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F8B60" w14:textId="77777777" w:rsidR="00375DF3" w:rsidRPr="00375DF3" w:rsidRDefault="00375DF3" w:rsidP="006018AE">
      <w:pPr>
        <w:tabs>
          <w:tab w:val="left" w:pos="284"/>
        </w:tabs>
        <w:spacing w:after="480" w:line="240" w:lineRule="auto"/>
      </w:pPr>
      <w:r>
        <w:rPr>
          <w:noProof/>
          <w:lang w:eastAsia="en-AU"/>
        </w:rPr>
        <mc:AlternateContent>
          <mc:Choice Requires="wps">
            <w:drawing>
              <wp:inline distT="0" distB="0" distL="0" distR="0" wp14:anchorId="0B8494E3" wp14:editId="785083E1">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B9BA0" w14:textId="77777777" w:rsidR="00530366" w:rsidRPr="00BE2A26" w:rsidRDefault="00530366"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B8494E3"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381B9BA0" w14:textId="77777777" w:rsidR="00530366" w:rsidRPr="00BE2A26" w:rsidRDefault="00530366"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t xml:space="preserve">This medicinal product is subject to additional monitoring in Australia. This will allow quick identification of new safety information. Healthcare professionals are asked to report any suspected adverse events at </w:t>
      </w:r>
      <w:hyperlink r:id="rId8" w:history="1">
        <w:r w:rsidRPr="00375DF3">
          <w:rPr>
            <w:rStyle w:val="Hyperlink"/>
          </w:rPr>
          <w:t>www.tga.gov.au/reporting-problems</w:t>
        </w:r>
      </w:hyperlink>
      <w:r w:rsidRPr="00375DF3">
        <w:t>.</w:t>
      </w:r>
    </w:p>
    <w:p w14:paraId="713384D0" w14:textId="40483BD8" w:rsidR="0013332C" w:rsidRPr="00497C85" w:rsidRDefault="0013332C" w:rsidP="0013332C">
      <w:pPr>
        <w:pStyle w:val="Heading1"/>
        <w:numPr>
          <w:ilvl w:val="0"/>
          <w:numId w:val="0"/>
        </w:numPr>
        <w:spacing w:after="240"/>
        <w:rPr>
          <w:rFonts w:eastAsia="SimSun" w:cstheme="minorHAnsi"/>
        </w:rPr>
      </w:pPr>
      <w:r w:rsidRPr="00497C85">
        <w:rPr>
          <w:rFonts w:eastAsia="SimSun" w:cstheme="minorHAnsi"/>
        </w:rPr>
        <w:t>Australian P</w:t>
      </w:r>
      <w:r>
        <w:rPr>
          <w:rFonts w:eastAsia="SimSun" w:cstheme="minorHAnsi"/>
        </w:rPr>
        <w:t xml:space="preserve">roduct </w:t>
      </w:r>
      <w:r w:rsidRPr="00497C85">
        <w:rPr>
          <w:rFonts w:eastAsia="SimSun" w:cstheme="minorHAnsi"/>
        </w:rPr>
        <w:t>I</w:t>
      </w:r>
      <w:r>
        <w:rPr>
          <w:rFonts w:eastAsia="SimSun" w:cstheme="minorHAnsi"/>
        </w:rPr>
        <w:t>nformation</w:t>
      </w:r>
      <w:r w:rsidRPr="00497C85">
        <w:rPr>
          <w:rFonts w:eastAsia="SimSun" w:cstheme="minorHAnsi"/>
        </w:rPr>
        <w:t xml:space="preserve"> – </w:t>
      </w:r>
      <w:r>
        <w:rPr>
          <w:rFonts w:eastAsia="SimSun" w:cstheme="minorHAnsi"/>
        </w:rPr>
        <w:t>Akynzeo</w:t>
      </w:r>
      <w:r w:rsidRPr="00A91D0D">
        <w:rPr>
          <w:rFonts w:eastAsia="SimSun" w:cstheme="minorHAnsi"/>
          <w:vertAlign w:val="superscript"/>
        </w:rPr>
        <w:t>®</w:t>
      </w:r>
      <w:r w:rsidRPr="00497C85">
        <w:rPr>
          <w:rFonts w:eastAsia="SimSun" w:cstheme="minorHAnsi"/>
        </w:rPr>
        <w:t xml:space="preserve"> </w:t>
      </w:r>
      <w:r w:rsidR="00460EEE">
        <w:rPr>
          <w:rFonts w:eastAsia="SimSun" w:cstheme="minorHAnsi"/>
        </w:rPr>
        <w:t xml:space="preserve">IV </w:t>
      </w:r>
      <w:r w:rsidRPr="00497C85">
        <w:rPr>
          <w:rFonts w:eastAsia="SimSun" w:cstheme="minorHAnsi"/>
        </w:rPr>
        <w:t>(</w:t>
      </w:r>
      <w:r w:rsidR="00460EEE">
        <w:rPr>
          <w:rFonts w:eastAsia="SimSun" w:cstheme="minorHAnsi"/>
        </w:rPr>
        <w:t>FOS</w:t>
      </w:r>
      <w:r>
        <w:rPr>
          <w:rFonts w:eastAsia="SimSun" w:cstheme="minorHAnsi"/>
        </w:rPr>
        <w:t>netupitant</w:t>
      </w:r>
      <w:r w:rsidR="00813AFB">
        <w:rPr>
          <w:rFonts w:eastAsia="SimSun" w:cstheme="minorHAnsi"/>
        </w:rPr>
        <w:t xml:space="preserve"> (as chloride hydrochloride)</w:t>
      </w:r>
      <w:r>
        <w:rPr>
          <w:rFonts w:eastAsia="SimSun" w:cstheme="minorHAnsi"/>
        </w:rPr>
        <w:t xml:space="preserve"> and palonosetron (as hydrochloride)</w:t>
      </w:r>
      <w:r w:rsidRPr="00497C85">
        <w:rPr>
          <w:rFonts w:eastAsia="SimSun" w:cstheme="minorHAnsi"/>
        </w:rPr>
        <w:t>)</w:t>
      </w:r>
      <w:r w:rsidR="0079772E">
        <w:rPr>
          <w:rFonts w:eastAsia="SimSun" w:cstheme="minorHAnsi"/>
        </w:rPr>
        <w:t xml:space="preserve"> </w:t>
      </w:r>
      <w:r w:rsidR="00307F9D">
        <w:rPr>
          <w:rFonts w:eastAsia="SimSun" w:cstheme="minorHAnsi"/>
        </w:rPr>
        <w:t>powder for injection</w:t>
      </w:r>
    </w:p>
    <w:p w14:paraId="607B235C" w14:textId="77777777" w:rsidR="0013332C" w:rsidRPr="003F1889" w:rsidRDefault="0013332C" w:rsidP="0013332C">
      <w:pPr>
        <w:pStyle w:val="Heading1"/>
      </w:pPr>
      <w:r w:rsidRPr="003F1889">
        <w:t>Name of the medicine</w:t>
      </w:r>
    </w:p>
    <w:p w14:paraId="6F086DBD" w14:textId="7280AD4F" w:rsidR="0013332C" w:rsidRDefault="000448DD" w:rsidP="001F6FA0">
      <w:proofErr w:type="spellStart"/>
      <w:r>
        <w:t>Fosnetupitant</w:t>
      </w:r>
      <w:proofErr w:type="spellEnd"/>
      <w:r>
        <w:t xml:space="preserve"> (as chloride hydrochloride) </w:t>
      </w:r>
    </w:p>
    <w:p w14:paraId="3166EC63" w14:textId="77777777" w:rsidR="0013332C" w:rsidRDefault="0013332C" w:rsidP="001F6FA0">
      <w:proofErr w:type="spellStart"/>
      <w:r w:rsidRPr="002608BB">
        <w:t>Palonosetron</w:t>
      </w:r>
      <w:proofErr w:type="spellEnd"/>
      <w:r w:rsidRPr="002608BB">
        <w:t xml:space="preserve"> </w:t>
      </w:r>
      <w:r w:rsidRPr="001744C9">
        <w:t>(as hydrochloride</w:t>
      </w:r>
      <w:r w:rsidRPr="002A2662">
        <w:t>)</w:t>
      </w:r>
      <w:r>
        <w:t xml:space="preserve"> </w:t>
      </w:r>
    </w:p>
    <w:p w14:paraId="54876E33" w14:textId="77777777" w:rsidR="0013332C" w:rsidRPr="003F1889" w:rsidRDefault="0013332C" w:rsidP="0013332C">
      <w:pPr>
        <w:pStyle w:val="Heading1"/>
      </w:pPr>
      <w:r w:rsidRPr="003F1889">
        <w:t>Qualitative and quantitative composition</w:t>
      </w:r>
    </w:p>
    <w:p w14:paraId="6059AD76" w14:textId="5D4CEA6F" w:rsidR="00C814D2" w:rsidRDefault="000448DD" w:rsidP="0013332C">
      <w:r>
        <w:t>Each vial</w:t>
      </w:r>
      <w:r w:rsidR="002B6DC0">
        <w:t xml:space="preserve"> of AKYNZEO IV</w:t>
      </w:r>
      <w:r>
        <w:t xml:space="preserve"> contains </w:t>
      </w:r>
      <w:r w:rsidR="00394A7E">
        <w:t xml:space="preserve">235 mg </w:t>
      </w:r>
      <w:proofErr w:type="spellStart"/>
      <w:r w:rsidR="00EB4230">
        <w:t>fosnetupitant</w:t>
      </w:r>
      <w:proofErr w:type="spellEnd"/>
      <w:r w:rsidR="00EB4230">
        <w:t xml:space="preserve"> </w:t>
      </w:r>
      <w:r w:rsidR="00D90CCA">
        <w:t xml:space="preserve">(as chloride hydrochloride) </w:t>
      </w:r>
      <w:r w:rsidR="00EB4230">
        <w:t>and</w:t>
      </w:r>
      <w:r w:rsidR="00394A7E">
        <w:t xml:space="preserve"> </w:t>
      </w:r>
      <w:r w:rsidR="002B6DC0">
        <w:t>250 micrograms</w:t>
      </w:r>
      <w:r w:rsidR="00EB4230">
        <w:t xml:space="preserve"> </w:t>
      </w:r>
      <w:proofErr w:type="spellStart"/>
      <w:r w:rsidR="00EB4230">
        <w:t>palonosetron</w:t>
      </w:r>
      <w:proofErr w:type="spellEnd"/>
      <w:r w:rsidR="00EB4230">
        <w:t xml:space="preserve"> (as hydrochloride). After reconstitution and dilution, 1 mL of solution contains </w:t>
      </w:r>
      <w:r w:rsidR="003B056C">
        <w:t xml:space="preserve">4.7 mg </w:t>
      </w:r>
      <w:proofErr w:type="spellStart"/>
      <w:r w:rsidR="00EB4230">
        <w:t>fosnetupitant</w:t>
      </w:r>
      <w:proofErr w:type="spellEnd"/>
      <w:r w:rsidR="00EB4230">
        <w:t xml:space="preserve"> and </w:t>
      </w:r>
      <w:r w:rsidR="003B056C">
        <w:t xml:space="preserve">5 micrograms </w:t>
      </w:r>
      <w:proofErr w:type="spellStart"/>
      <w:r w:rsidR="00EB4230">
        <w:t>palonosetron</w:t>
      </w:r>
      <w:proofErr w:type="spellEnd"/>
      <w:r w:rsidR="00EB4230">
        <w:t xml:space="preserve"> </w:t>
      </w:r>
      <w:r w:rsidR="007A20F6">
        <w:t xml:space="preserve">(see Section 4.2 </w:t>
      </w:r>
      <w:r w:rsidR="00C235C5">
        <w:t xml:space="preserve">- </w:t>
      </w:r>
      <w:r w:rsidR="007A20F6">
        <w:t>Dose and method of administration</w:t>
      </w:r>
      <w:r w:rsidR="00C235C5">
        <w:t>,</w:t>
      </w:r>
      <w:r w:rsidR="007A20F6">
        <w:t xml:space="preserve"> Method of Administration)</w:t>
      </w:r>
      <w:r w:rsidR="008718AA">
        <w:t>.</w:t>
      </w:r>
    </w:p>
    <w:p w14:paraId="3970005D" w14:textId="01BAF995" w:rsidR="008718AA" w:rsidRDefault="008718AA" w:rsidP="0013332C">
      <w:r w:rsidRPr="00E71C0E">
        <w:t>For the full list</w:t>
      </w:r>
      <w:r w:rsidR="0095127B" w:rsidRPr="00E71C0E">
        <w:t xml:space="preserve"> of excipients, see Section 6.1 – </w:t>
      </w:r>
      <w:r w:rsidR="00ED20C7" w:rsidRPr="00E71C0E">
        <w:t>List of e</w:t>
      </w:r>
      <w:r w:rsidRPr="00E71C0E">
        <w:t>xcipients</w:t>
      </w:r>
      <w:r w:rsidR="00B93B46" w:rsidRPr="00E71C0E">
        <w:t>.</w:t>
      </w:r>
      <w:r>
        <w:t xml:space="preserve"> </w:t>
      </w:r>
    </w:p>
    <w:p w14:paraId="2FCE41EE" w14:textId="40951C19" w:rsidR="00C814D2" w:rsidRDefault="00D90CCA" w:rsidP="0013332C">
      <w:proofErr w:type="spellStart"/>
      <w:r>
        <w:t>Fos</w:t>
      </w:r>
      <w:r w:rsidR="0097036F">
        <w:t>n</w:t>
      </w:r>
      <w:r>
        <w:t>etupitant</w:t>
      </w:r>
      <w:proofErr w:type="spellEnd"/>
      <w:r>
        <w:t xml:space="preserve"> is a</w:t>
      </w:r>
      <w:r w:rsidR="001E2A58">
        <w:t xml:space="preserve"> phosphorylated</w:t>
      </w:r>
      <w:r>
        <w:t xml:space="preserve"> pro-drug of </w:t>
      </w:r>
      <w:proofErr w:type="spellStart"/>
      <w:r>
        <w:t>netupitant</w:t>
      </w:r>
      <w:proofErr w:type="spellEnd"/>
      <w:r w:rsidR="003A28E0">
        <w:t>. W</w:t>
      </w:r>
      <w:r>
        <w:t xml:space="preserve">hen </w:t>
      </w:r>
      <w:proofErr w:type="spellStart"/>
      <w:r w:rsidR="003A28E0">
        <w:t>fosnetupitant</w:t>
      </w:r>
      <w:proofErr w:type="spellEnd"/>
      <w:r w:rsidR="003A28E0">
        <w:t xml:space="preserve"> is </w:t>
      </w:r>
      <w:r>
        <w:t xml:space="preserve">administered intravenously, </w:t>
      </w:r>
      <w:r w:rsidR="003A28E0">
        <w:t xml:space="preserve">it </w:t>
      </w:r>
      <w:r>
        <w:t xml:space="preserve">is converted rapidly to </w:t>
      </w:r>
      <w:proofErr w:type="spellStart"/>
      <w:r>
        <w:t>netupitant</w:t>
      </w:r>
      <w:proofErr w:type="spellEnd"/>
      <w:r w:rsidR="003A28E0">
        <w:t>,</w:t>
      </w:r>
      <w:r>
        <w:t xml:space="preserve"> (see Section 5.2 – Pharmacokinetic Properties). </w:t>
      </w:r>
    </w:p>
    <w:p w14:paraId="52661A83" w14:textId="77777777" w:rsidR="0013332C" w:rsidRPr="00233FE9" w:rsidRDefault="0013332C" w:rsidP="0013332C">
      <w:pPr>
        <w:pStyle w:val="Heading1"/>
      </w:pPr>
      <w:r w:rsidRPr="00233FE9">
        <w:t>Pharmaceutical form</w:t>
      </w:r>
    </w:p>
    <w:p w14:paraId="3213E2F1" w14:textId="1502295C" w:rsidR="0013332C" w:rsidRPr="00373032" w:rsidRDefault="0013332C" w:rsidP="0013332C">
      <w:r>
        <w:t>AKYNZEO</w:t>
      </w:r>
      <w:r w:rsidR="00046057">
        <w:t xml:space="preserve"> IV</w:t>
      </w:r>
      <w:r w:rsidRPr="00373032">
        <w:t xml:space="preserve"> is </w:t>
      </w:r>
      <w:r w:rsidR="000B39D1">
        <w:t xml:space="preserve">a white to off-white </w:t>
      </w:r>
      <w:r w:rsidR="006F0633">
        <w:t>amorphous</w:t>
      </w:r>
      <w:r w:rsidR="000B39D1">
        <w:t xml:space="preserve"> powder for injection for intravenous infusion</w:t>
      </w:r>
      <w:r w:rsidRPr="00373032">
        <w:t>.</w:t>
      </w:r>
    </w:p>
    <w:p w14:paraId="5A54458C" w14:textId="77777777" w:rsidR="0013332C" w:rsidRPr="00233FE9" w:rsidRDefault="0013332C" w:rsidP="0013332C">
      <w:pPr>
        <w:pStyle w:val="Heading1"/>
      </w:pPr>
      <w:r w:rsidRPr="00233FE9">
        <w:t>Clinical particulars</w:t>
      </w:r>
    </w:p>
    <w:p w14:paraId="6DFCF25C" w14:textId="77777777" w:rsidR="0013332C" w:rsidRPr="00233FE9" w:rsidRDefault="0013332C" w:rsidP="0013332C">
      <w:pPr>
        <w:pStyle w:val="Heading2"/>
      </w:pPr>
      <w:r w:rsidRPr="00233FE9">
        <w:t xml:space="preserve">Therapeutic indications </w:t>
      </w:r>
    </w:p>
    <w:p w14:paraId="1BEA9FD8" w14:textId="5BF9D902" w:rsidR="0013332C" w:rsidRPr="00CF5FDA" w:rsidRDefault="0013332C" w:rsidP="0013332C">
      <w:r>
        <w:t>AKYNZEO</w:t>
      </w:r>
      <w:r w:rsidRPr="00CF5FDA">
        <w:t xml:space="preserve"> </w:t>
      </w:r>
      <w:r w:rsidR="00046057">
        <w:t xml:space="preserve">IV </w:t>
      </w:r>
      <w:r w:rsidRPr="00CF5FDA">
        <w:t>is indicated in adult patients for:</w:t>
      </w:r>
    </w:p>
    <w:p w14:paraId="1302F504" w14:textId="77777777" w:rsidR="0013332C" w:rsidRPr="005B570B" w:rsidRDefault="0013332C" w:rsidP="0035369C">
      <w:pPr>
        <w:pStyle w:val="ListBullet"/>
      </w:pPr>
      <w:r w:rsidRPr="005B570B">
        <w:t xml:space="preserve">Prevention of acute and delayed nausea and vomiting associated with initial and repeat courses of highly </w:t>
      </w:r>
      <w:proofErr w:type="spellStart"/>
      <w:r w:rsidRPr="005B570B">
        <w:t>emetogenic</w:t>
      </w:r>
      <w:proofErr w:type="spellEnd"/>
      <w:r w:rsidRPr="005B570B">
        <w:t xml:space="preserve"> cancer chemotherapy.</w:t>
      </w:r>
    </w:p>
    <w:p w14:paraId="737E623B" w14:textId="6A30BFD7" w:rsidR="0013332C" w:rsidRPr="00AA537D" w:rsidRDefault="0013332C" w:rsidP="0035369C">
      <w:pPr>
        <w:pStyle w:val="ListBullet"/>
        <w:rPr>
          <w:b/>
        </w:rPr>
      </w:pPr>
      <w:r w:rsidRPr="005B570B">
        <w:t xml:space="preserve">Prevention of acute and delayed nausea and vomiting associated with initial and repeat courses of moderately </w:t>
      </w:r>
      <w:proofErr w:type="spellStart"/>
      <w:r w:rsidRPr="005B570B">
        <w:t>emetogenic</w:t>
      </w:r>
      <w:proofErr w:type="spellEnd"/>
      <w:r w:rsidRPr="005B570B">
        <w:t xml:space="preserve"> cancer chemotherapy.</w:t>
      </w:r>
    </w:p>
    <w:p w14:paraId="528B7216" w14:textId="77777777" w:rsidR="0013332C" w:rsidRPr="009A2546" w:rsidRDefault="0013332C" w:rsidP="0035369C">
      <w:pPr>
        <w:pStyle w:val="Heading2"/>
        <w:pageBreakBefore/>
      </w:pPr>
      <w:r w:rsidRPr="009A2546">
        <w:lastRenderedPageBreak/>
        <w:t xml:space="preserve">Dose and method of administration </w:t>
      </w:r>
    </w:p>
    <w:p w14:paraId="2A6E37A6" w14:textId="3F6A5951" w:rsidR="003B056C" w:rsidRDefault="003B056C" w:rsidP="0013332C">
      <w:pPr>
        <w:pStyle w:val="Heading3"/>
      </w:pPr>
      <w:r>
        <w:t>Dosage</w:t>
      </w:r>
    </w:p>
    <w:p w14:paraId="6DF13D6F" w14:textId="0D37A652" w:rsidR="003B056C" w:rsidRDefault="00504A1E" w:rsidP="00DA1002">
      <w:r>
        <w:t xml:space="preserve">One vial of AKYNZEO IV (235 mg </w:t>
      </w:r>
      <w:proofErr w:type="spellStart"/>
      <w:r>
        <w:t>fosnetupitant</w:t>
      </w:r>
      <w:proofErr w:type="spellEnd"/>
      <w:r>
        <w:t xml:space="preserve">/250 micrograms </w:t>
      </w:r>
      <w:proofErr w:type="spellStart"/>
      <w:r>
        <w:t>palonosetron</w:t>
      </w:r>
      <w:proofErr w:type="spellEnd"/>
      <w:r>
        <w:t>) should be administered as an intravenous infusion</w:t>
      </w:r>
      <w:r w:rsidR="00DA1002">
        <w:t xml:space="preserve"> over 30</w:t>
      </w:r>
      <w:r>
        <w:t xml:space="preserve"> minutes</w:t>
      </w:r>
      <w:r w:rsidR="00DA1002">
        <w:t>,</w:t>
      </w:r>
      <w:r w:rsidR="00DA1002" w:rsidRPr="00DA1002">
        <w:t xml:space="preserve"> </w:t>
      </w:r>
      <w:r w:rsidR="00DA1002">
        <w:t>initiated approximately 30 minutes prior to the start of each chemotherapy cycle</w:t>
      </w:r>
      <w:r>
        <w:t>.</w:t>
      </w:r>
      <w:r w:rsidR="00DA1002" w:rsidRPr="00DA1002">
        <w:t xml:space="preserve"> </w:t>
      </w:r>
      <w:r w:rsidR="00DA1002">
        <w:t>At the end of the infusion, flush the infusion line with the same carrier solution to ensure complete drug administration.</w:t>
      </w:r>
    </w:p>
    <w:p w14:paraId="704AD5DF" w14:textId="0A575523" w:rsidR="00504A1E" w:rsidRPr="006464B5" w:rsidRDefault="00504A1E" w:rsidP="00DA1002">
      <w:r w:rsidRPr="00AE62EF">
        <w:t xml:space="preserve">The recommended oral dexamethasone dose should be reduced by approximately 50 % when co-administered with </w:t>
      </w:r>
      <w:r w:rsidRPr="00FA75E3">
        <w:t xml:space="preserve">AKYNZEO </w:t>
      </w:r>
      <w:r>
        <w:t xml:space="preserve">IV </w:t>
      </w:r>
      <w:r w:rsidRPr="002A17CC">
        <w:t>(see Section 4.5 – Interactions with other medicines and other forms of interactions</w:t>
      </w:r>
      <w:r>
        <w:t>,</w:t>
      </w:r>
      <w:r w:rsidRPr="002A17CC">
        <w:t xml:space="preserve"> Dexamethasone and</w:t>
      </w:r>
      <w:r w:rsidRPr="002A2F3D">
        <w:t xml:space="preserve"> </w:t>
      </w:r>
      <w:r w:rsidRPr="002A17CC">
        <w:t xml:space="preserve">Section 5.1 </w:t>
      </w:r>
      <w:r>
        <w:t xml:space="preserve">- </w:t>
      </w:r>
      <w:r w:rsidRPr="002A17CC">
        <w:t xml:space="preserve">Pharmacodynamic properties; Clinical </w:t>
      </w:r>
      <w:r>
        <w:t>t</w:t>
      </w:r>
      <w:r w:rsidRPr="002A17CC">
        <w:t>rials</w:t>
      </w:r>
      <w:r>
        <w:t>, Tables 3 and 5</w:t>
      </w:r>
      <w:r w:rsidRPr="00FA75E3">
        <w:t>)</w:t>
      </w:r>
      <w:r w:rsidRPr="0018195A">
        <w:t>.</w:t>
      </w:r>
    </w:p>
    <w:p w14:paraId="4AA48B2F" w14:textId="57BA8ADD" w:rsidR="0013332C" w:rsidRPr="00233FE9" w:rsidRDefault="0013332C" w:rsidP="0013332C">
      <w:pPr>
        <w:pStyle w:val="Heading3"/>
      </w:pPr>
      <w:r w:rsidRPr="00233FE9">
        <w:t>Method of Administration</w:t>
      </w:r>
    </w:p>
    <w:p w14:paraId="79DC84AD" w14:textId="6511322D" w:rsidR="00446E21" w:rsidRDefault="00446E21" w:rsidP="0013332C">
      <w:r>
        <w:t>AKYNZEO</w:t>
      </w:r>
      <w:r w:rsidR="00046057">
        <w:t xml:space="preserve"> IV</w:t>
      </w:r>
      <w:r>
        <w:t xml:space="preserve"> should be administered intravenously and should not be given by the intramuscular or subcutaneous routes. Intravenous administration </w:t>
      </w:r>
      <w:r w:rsidR="00582067">
        <w:t>should occur</w:t>
      </w:r>
      <w:r>
        <w:t xml:space="preserve"> through a running intravenous infusion over thirty minutes. Do not administer AKYNZEO</w:t>
      </w:r>
      <w:r w:rsidR="00046057">
        <w:t xml:space="preserve"> IV</w:t>
      </w:r>
      <w:r>
        <w:t xml:space="preserve"> as a bolus injection or undiluted solution. </w:t>
      </w:r>
    </w:p>
    <w:p w14:paraId="3425D993" w14:textId="4EBC6783" w:rsidR="00446E21" w:rsidRDefault="00446E21" w:rsidP="0013332C">
      <w:r>
        <w:t>Instructions for reconstitution and dilution of AKYNZEO</w:t>
      </w:r>
      <w:r w:rsidR="00046057">
        <w:t xml:space="preserve"> IV</w:t>
      </w:r>
      <w:r>
        <w:t xml:space="preserve"> before administration: </w:t>
      </w:r>
    </w:p>
    <w:p w14:paraId="77BBEE09" w14:textId="7A08A053" w:rsidR="00D926E6" w:rsidRDefault="00D926E6" w:rsidP="00E71C0E">
      <w:pPr>
        <w:pStyle w:val="ListParagraph"/>
        <w:numPr>
          <w:ilvl w:val="0"/>
          <w:numId w:val="7"/>
        </w:numPr>
      </w:pPr>
      <w:r>
        <w:t xml:space="preserve">Aseptically inject 20 mL </w:t>
      </w:r>
      <w:r w:rsidR="00BC3990">
        <w:t xml:space="preserve">of 5% </w:t>
      </w:r>
      <w:r w:rsidR="009952AD">
        <w:t xml:space="preserve">glucose </w:t>
      </w:r>
      <w:r w:rsidR="00B2626F">
        <w:t>solution</w:t>
      </w:r>
      <w:r w:rsidR="00BC3990">
        <w:t xml:space="preserve"> </w:t>
      </w:r>
      <w:r w:rsidR="007438B8">
        <w:t xml:space="preserve">for injection </w:t>
      </w:r>
      <w:r>
        <w:t xml:space="preserve">or </w:t>
      </w:r>
      <w:r w:rsidR="00BC3990">
        <w:t>0.9% sodium chloride</w:t>
      </w:r>
      <w:r w:rsidR="00B2626F">
        <w:t xml:space="preserve"> solution</w:t>
      </w:r>
      <w:r w:rsidR="007438B8">
        <w:t xml:space="preserve"> for injection</w:t>
      </w:r>
      <w:r w:rsidR="00BC3990">
        <w:t xml:space="preserve"> </w:t>
      </w:r>
      <w:r>
        <w:t>into the vial. Ensure the solvent is added to the vial along the vial wall and not jetted in order to prevent foaming. Swirl the vial gently</w:t>
      </w:r>
      <w:r w:rsidR="006259DE">
        <w:t xml:space="preserve"> until dissolution of the contents is complete</w:t>
      </w:r>
      <w:r>
        <w:t xml:space="preserve">. </w:t>
      </w:r>
    </w:p>
    <w:p w14:paraId="563C4E13" w14:textId="37FB9467" w:rsidR="00D926E6" w:rsidRDefault="00D926E6" w:rsidP="00E71C0E">
      <w:pPr>
        <w:pStyle w:val="ListParagraph"/>
        <w:numPr>
          <w:ilvl w:val="0"/>
          <w:numId w:val="7"/>
        </w:numPr>
      </w:pPr>
      <w:r>
        <w:t>Aseptically prepare an infusion vial or bag filled with</w:t>
      </w:r>
      <w:r w:rsidR="00BC3990">
        <w:t xml:space="preserve"> 30 mL of 5% </w:t>
      </w:r>
      <w:r w:rsidR="009952AD">
        <w:t xml:space="preserve">glucose </w:t>
      </w:r>
      <w:r w:rsidR="001D7888">
        <w:t>solution</w:t>
      </w:r>
      <w:r w:rsidR="009952AD">
        <w:t xml:space="preserve"> for injection</w:t>
      </w:r>
      <w:r>
        <w:t xml:space="preserve"> or 0.9% sodium chloride </w:t>
      </w:r>
      <w:r w:rsidR="001D7888">
        <w:t>solution</w:t>
      </w:r>
      <w:r w:rsidR="009952AD">
        <w:t xml:space="preserve"> for injection</w:t>
      </w:r>
      <w:r>
        <w:t xml:space="preserve">. </w:t>
      </w:r>
    </w:p>
    <w:p w14:paraId="7F5DBF90" w14:textId="4978FDD2" w:rsidR="00D926E6" w:rsidRDefault="00D926E6" w:rsidP="00E71C0E">
      <w:pPr>
        <w:pStyle w:val="ListParagraph"/>
        <w:numPr>
          <w:ilvl w:val="0"/>
          <w:numId w:val="7"/>
        </w:numPr>
      </w:pPr>
      <w:r>
        <w:t xml:space="preserve">Aseptically withdraw the entire volume of reconstituted solution from the AKYNZEO </w:t>
      </w:r>
      <w:r w:rsidR="00046057">
        <w:t xml:space="preserve">IV </w:t>
      </w:r>
      <w:r>
        <w:t xml:space="preserve">vial and transfer it into the infusion vial or bag containing 30 mL of 5% </w:t>
      </w:r>
      <w:r w:rsidR="009952AD">
        <w:t xml:space="preserve">glucose </w:t>
      </w:r>
      <w:r w:rsidR="0004734E">
        <w:t>solution</w:t>
      </w:r>
      <w:r w:rsidR="009952AD">
        <w:t xml:space="preserve"> for injection</w:t>
      </w:r>
      <w:r w:rsidR="0004734E">
        <w:t xml:space="preserve"> </w:t>
      </w:r>
      <w:r>
        <w:t>or</w:t>
      </w:r>
      <w:r w:rsidR="00A123F4">
        <w:t xml:space="preserve"> 0.9% sodium chloride</w:t>
      </w:r>
      <w:r w:rsidR="0004734E">
        <w:t xml:space="preserve"> solution</w:t>
      </w:r>
      <w:r w:rsidR="00A123F4">
        <w:t xml:space="preserve"> </w:t>
      </w:r>
      <w:r w:rsidR="009952AD">
        <w:t xml:space="preserve">for injection </w:t>
      </w:r>
      <w:r>
        <w:t xml:space="preserve">to yield a total volume of 50 </w:t>
      </w:r>
      <w:proofErr w:type="spellStart"/>
      <w:r>
        <w:t>mL.</w:t>
      </w:r>
      <w:proofErr w:type="spellEnd"/>
      <w:r>
        <w:t xml:space="preserve"> </w:t>
      </w:r>
    </w:p>
    <w:p w14:paraId="6AE1E7DC" w14:textId="6FA5EFD3" w:rsidR="00D926E6" w:rsidRDefault="00D926E6" w:rsidP="00E71C0E">
      <w:pPr>
        <w:pStyle w:val="ListParagraph"/>
        <w:numPr>
          <w:ilvl w:val="0"/>
          <w:numId w:val="7"/>
        </w:numPr>
      </w:pPr>
      <w:r>
        <w:t xml:space="preserve">Gently invert the vial or bag until complete dissolution. </w:t>
      </w:r>
    </w:p>
    <w:p w14:paraId="4BEE7321" w14:textId="02774BBF" w:rsidR="00D926E6" w:rsidRDefault="00D926E6" w:rsidP="00E71C0E">
      <w:pPr>
        <w:pStyle w:val="ListParagraph"/>
        <w:numPr>
          <w:ilvl w:val="0"/>
          <w:numId w:val="7"/>
        </w:numPr>
      </w:pPr>
      <w:r>
        <w:t xml:space="preserve">Before administration, inspect the final diluted solution for particulate matter and discolouration. Discard the vial or bag if particulates and/or discoloration are observed. </w:t>
      </w:r>
    </w:p>
    <w:p w14:paraId="520B60E0" w14:textId="449EF087" w:rsidR="00446E21" w:rsidRDefault="00D926E6" w:rsidP="00D926E6">
      <w:r>
        <w:t>AKYNZEO</w:t>
      </w:r>
      <w:r w:rsidR="00046057">
        <w:t xml:space="preserve"> IV</w:t>
      </w:r>
      <w:r>
        <w:t xml:space="preserve"> must not be reconstituted or mixed with solutions for which physical and chemical compatibility has not been established (see Section 6.2 – Incompatibilities). </w:t>
      </w:r>
    </w:p>
    <w:p w14:paraId="207E5345" w14:textId="7B14202D" w:rsidR="00EB1F80" w:rsidRDefault="0096225E" w:rsidP="00D926E6">
      <w:r>
        <w:t xml:space="preserve">Contains no antimicrobial preservative. </w:t>
      </w:r>
      <w:r w:rsidR="00EB1F80">
        <w:t>AKYNZEO IV</w:t>
      </w:r>
      <w:r>
        <w:t xml:space="preserve"> </w:t>
      </w:r>
      <w:r w:rsidR="00EB1F80">
        <w:t xml:space="preserve">is </w:t>
      </w:r>
      <w:r w:rsidR="00923418">
        <w:t xml:space="preserve">to be used for one patient on one occasion only. Discard any residue. </w:t>
      </w:r>
    </w:p>
    <w:p w14:paraId="20CD3113" w14:textId="11382821" w:rsidR="00C84982" w:rsidRDefault="00964B01" w:rsidP="00D926E6">
      <w:r>
        <w:t>The reconstituted solution should be used immediately and the</w:t>
      </w:r>
      <w:r w:rsidR="00C84982">
        <w:t xml:space="preserve"> total time from reconstitution to the start of infusion should not exceed 3 hours</w:t>
      </w:r>
      <w:r w:rsidR="000460F3">
        <w:t xml:space="preserve"> when stored at 25</w:t>
      </w:r>
      <w:r w:rsidR="000460F3">
        <w:rPr>
          <w:vertAlign w:val="superscript"/>
        </w:rPr>
        <w:t>o</w:t>
      </w:r>
      <w:r w:rsidR="000460F3">
        <w:t>C</w:t>
      </w:r>
      <w:r w:rsidR="00C84982">
        <w:t xml:space="preserve">. </w:t>
      </w:r>
      <w:r w:rsidR="000460F3">
        <w:t>If storage is unavoidable, the reconstituted solution should be refrigerated (</w:t>
      </w:r>
      <w:r w:rsidR="000460F3" w:rsidRPr="000460F3">
        <w:t>2</w:t>
      </w:r>
      <w:r w:rsidR="000460F3">
        <w:rPr>
          <w:vertAlign w:val="superscript"/>
        </w:rPr>
        <w:t xml:space="preserve"> </w:t>
      </w:r>
      <w:r w:rsidR="000460F3">
        <w:t>– 8</w:t>
      </w:r>
      <w:r w:rsidR="000460F3">
        <w:rPr>
          <w:vertAlign w:val="superscript"/>
        </w:rPr>
        <w:t xml:space="preserve">o </w:t>
      </w:r>
      <w:r w:rsidR="000460F3">
        <w:t xml:space="preserve">C) for not more than 24 hours. </w:t>
      </w:r>
    </w:p>
    <w:p w14:paraId="26196426" w14:textId="16A9868A" w:rsidR="0019412C" w:rsidRDefault="00F419D9" w:rsidP="0019412C">
      <w:r>
        <w:t>* Please n</w:t>
      </w:r>
      <w:r w:rsidR="0019412C">
        <w:t xml:space="preserve">ote: there is a 3% overage in each vial to account for non-withdrawable losses and to ensure that the labelled dose of </w:t>
      </w:r>
      <w:r>
        <w:t xml:space="preserve">each active </w:t>
      </w:r>
      <w:r w:rsidR="0019412C">
        <w:t>is deliverable after reconstitution.</w:t>
      </w:r>
    </w:p>
    <w:p w14:paraId="1B86D3A6" w14:textId="77777777" w:rsidR="0013332C" w:rsidRPr="001C0F1E" w:rsidRDefault="0013332C" w:rsidP="0013332C">
      <w:pPr>
        <w:pStyle w:val="Heading3"/>
      </w:pPr>
      <w:r w:rsidRPr="001C0F1E">
        <w:lastRenderedPageBreak/>
        <w:t xml:space="preserve">Elderly </w:t>
      </w:r>
      <w:r>
        <w:t>P</w:t>
      </w:r>
      <w:r w:rsidRPr="001C0F1E">
        <w:t>opulation</w:t>
      </w:r>
    </w:p>
    <w:p w14:paraId="1E7249EB" w14:textId="47E15198" w:rsidR="0013332C" w:rsidRDefault="0013332C" w:rsidP="0013332C">
      <w:r w:rsidRPr="0093671E">
        <w:t>No dosage adjustment is necessary for elderly patients.</w:t>
      </w:r>
      <w:r w:rsidR="00C26B08" w:rsidRPr="0093671E">
        <w:t xml:space="preserve"> Caution should </w:t>
      </w:r>
      <w:r w:rsidR="00393779" w:rsidRPr="0093671E">
        <w:t>be exercised when using this product in patients over 75 years, due to the long half-life of the active substances and the limited experience in this population.</w:t>
      </w:r>
      <w:r w:rsidR="00393779">
        <w:t xml:space="preserve"> </w:t>
      </w:r>
    </w:p>
    <w:p w14:paraId="218A8235" w14:textId="77777777" w:rsidR="0013332C" w:rsidRPr="001C0F1E" w:rsidRDefault="0013332C" w:rsidP="0013332C">
      <w:pPr>
        <w:pStyle w:val="Heading3"/>
      </w:pPr>
      <w:r w:rsidRPr="001C0F1E">
        <w:t xml:space="preserve">Paediatric </w:t>
      </w:r>
      <w:r>
        <w:t>P</w:t>
      </w:r>
      <w:r w:rsidRPr="001C0F1E">
        <w:t>opulation</w:t>
      </w:r>
    </w:p>
    <w:p w14:paraId="59B1E9D1" w14:textId="5000BA18" w:rsidR="0013332C" w:rsidRPr="001C0F1E" w:rsidRDefault="0013332C" w:rsidP="0013332C">
      <w:pPr>
        <w:rPr>
          <w:i/>
        </w:rPr>
      </w:pPr>
      <w:r w:rsidRPr="001C0F1E">
        <w:t xml:space="preserve">The safety and efficacy of </w:t>
      </w:r>
      <w:r>
        <w:t>AKYNZEO</w:t>
      </w:r>
      <w:r w:rsidRPr="001C0F1E">
        <w:t xml:space="preserve"> </w:t>
      </w:r>
      <w:r w:rsidR="00046057">
        <w:t xml:space="preserve">IV </w:t>
      </w:r>
      <w:r w:rsidRPr="001C0F1E">
        <w:t>in children have not been established. No data are available.</w:t>
      </w:r>
    </w:p>
    <w:p w14:paraId="1963EA78" w14:textId="77777777" w:rsidR="0013332C" w:rsidRPr="001C0F1E" w:rsidRDefault="0013332C" w:rsidP="0013332C">
      <w:pPr>
        <w:pStyle w:val="Heading3"/>
      </w:pPr>
      <w:r w:rsidRPr="00E71C0E">
        <w:t>Patients with Renal Impairment</w:t>
      </w:r>
    </w:p>
    <w:p w14:paraId="2926B485" w14:textId="7D97BA9A" w:rsidR="0013332C" w:rsidRDefault="0013332C" w:rsidP="0013332C">
      <w:r w:rsidRPr="002A2F3D">
        <w:t xml:space="preserve">Dosage adjustment for AKYNZEO </w:t>
      </w:r>
      <w:r w:rsidR="00046057" w:rsidRPr="002A2F3D">
        <w:t xml:space="preserve">IV </w:t>
      </w:r>
      <w:r w:rsidRPr="00153E93">
        <w:t>is not considered necessary in patients with mild to moderate</w:t>
      </w:r>
      <w:r w:rsidRPr="002A2F3D">
        <w:t xml:space="preserve"> renal impairment. Use of AYKNZEO</w:t>
      </w:r>
      <w:r w:rsidR="00046057" w:rsidRPr="00153E93">
        <w:t xml:space="preserve"> IV</w:t>
      </w:r>
      <w:r w:rsidRPr="00153E93">
        <w:t xml:space="preserve"> in patients with severe renal impairment or end stage renal disease should be avoided</w:t>
      </w:r>
      <w:r>
        <w:t xml:space="preserve"> </w:t>
      </w:r>
      <w:r w:rsidRPr="00E71C0E">
        <w:t>(see Section 4.4</w:t>
      </w:r>
      <w:r w:rsidR="00C235C5">
        <w:t xml:space="preserve"> -</w:t>
      </w:r>
      <w:r w:rsidRPr="00E71C0E">
        <w:t xml:space="preserve"> Special warnings and precautions for use</w:t>
      </w:r>
      <w:r w:rsidR="00C235C5">
        <w:t>,</w:t>
      </w:r>
      <w:r w:rsidRPr="00E71C0E">
        <w:t xml:space="preserve"> Use in renal impairment)</w:t>
      </w:r>
      <w:r w:rsidRPr="002A2F3D">
        <w:t>.</w:t>
      </w:r>
    </w:p>
    <w:p w14:paraId="4CE80B43" w14:textId="77777777" w:rsidR="0013332C" w:rsidRPr="009920EB" w:rsidRDefault="0013332C" w:rsidP="0013332C">
      <w:pPr>
        <w:pStyle w:val="Heading3"/>
      </w:pPr>
      <w:r w:rsidRPr="009920EB">
        <w:t>Patients with Hepatic Impairment</w:t>
      </w:r>
    </w:p>
    <w:p w14:paraId="7D04E4F9" w14:textId="0D5FF8B4" w:rsidR="0013332C" w:rsidRPr="001C0F1E" w:rsidRDefault="0013332C" w:rsidP="0013332C">
      <w:r w:rsidRPr="002A2F3D">
        <w:t xml:space="preserve">No dosage adjustment is necessary for patients with mild or moderate hepatic impairment (Child-Pugh score 5-8). Limited data exist in patients with severe hepatic impairment (Child Pugh score </w:t>
      </w:r>
      <w:r w:rsidR="0035369C" w:rsidRPr="002A2F3D">
        <w:t>≥</w:t>
      </w:r>
      <w:r w:rsidR="0035369C">
        <w:t xml:space="preserve"> </w:t>
      </w:r>
      <w:r w:rsidRPr="002A2F3D">
        <w:t>9)</w:t>
      </w:r>
      <w:r w:rsidRPr="00FB2F69">
        <w:t xml:space="preserve">. As use in patients with severe hepatic impairment may be associated with increased exposure to </w:t>
      </w:r>
      <w:proofErr w:type="spellStart"/>
      <w:r w:rsidRPr="00FB2F69">
        <w:t>netupitant</w:t>
      </w:r>
      <w:proofErr w:type="spellEnd"/>
      <w:r w:rsidRPr="00FB2F69">
        <w:t>, AKYNZEO</w:t>
      </w:r>
      <w:r w:rsidR="00046057" w:rsidRPr="00FB2F69">
        <w:t xml:space="preserve"> IV</w:t>
      </w:r>
      <w:r w:rsidRPr="00FB2F69">
        <w:t xml:space="preserve"> should be used with caution in these patients</w:t>
      </w:r>
      <w:r w:rsidR="00FB2F69">
        <w:t xml:space="preserve"> (see Section 4.4 </w:t>
      </w:r>
      <w:r w:rsidR="00C235C5">
        <w:t xml:space="preserve">- </w:t>
      </w:r>
      <w:r w:rsidR="00FB2F69">
        <w:t>Special warnings and precautions</w:t>
      </w:r>
      <w:r w:rsidR="00C235C5">
        <w:t>,</w:t>
      </w:r>
      <w:r w:rsidR="00FB2F69">
        <w:t xml:space="preserve"> Use in hepatic impairment)</w:t>
      </w:r>
      <w:r w:rsidRPr="002A2F3D">
        <w:t>.</w:t>
      </w:r>
    </w:p>
    <w:p w14:paraId="3FD12A48" w14:textId="77777777" w:rsidR="0013332C" w:rsidRPr="009A2546" w:rsidRDefault="0013332C" w:rsidP="0013332C">
      <w:pPr>
        <w:pStyle w:val="Heading2"/>
      </w:pPr>
      <w:r w:rsidRPr="009A2546">
        <w:t>Contraindications</w:t>
      </w:r>
    </w:p>
    <w:p w14:paraId="564FCF84" w14:textId="1C7C7047" w:rsidR="0013332C" w:rsidRDefault="0013332C" w:rsidP="0013332C">
      <w:pPr>
        <w:rPr>
          <w:i/>
        </w:rPr>
      </w:pPr>
      <w:r w:rsidRPr="001C0F1E">
        <w:t xml:space="preserve">Hypersensitivity to </w:t>
      </w:r>
      <w:proofErr w:type="spellStart"/>
      <w:r>
        <w:t>palonosetron</w:t>
      </w:r>
      <w:proofErr w:type="spellEnd"/>
      <w:r w:rsidR="00FD1ACF">
        <w:t xml:space="preserve">, </w:t>
      </w:r>
      <w:proofErr w:type="spellStart"/>
      <w:r w:rsidR="00582213">
        <w:t>fos</w:t>
      </w:r>
      <w:r>
        <w:t>netupitant</w:t>
      </w:r>
      <w:proofErr w:type="spellEnd"/>
      <w:r w:rsidR="00223EBF">
        <w:t xml:space="preserve"> or </w:t>
      </w:r>
      <w:proofErr w:type="spellStart"/>
      <w:r w:rsidR="00223EBF">
        <w:t>netupitant</w:t>
      </w:r>
      <w:proofErr w:type="spellEnd"/>
      <w:r w:rsidR="00223EBF">
        <w:t>,</w:t>
      </w:r>
      <w:r w:rsidRPr="001C0F1E">
        <w:t xml:space="preserve"> or to any of the excipients </w:t>
      </w:r>
      <w:r>
        <w:t>l</w:t>
      </w:r>
      <w:r w:rsidRPr="001C0F1E">
        <w:t xml:space="preserve">isted </w:t>
      </w:r>
      <w:r w:rsidR="00FD1ACF">
        <w:t xml:space="preserve">in </w:t>
      </w:r>
      <w:r w:rsidRPr="00E71C0E">
        <w:t xml:space="preserve">Section </w:t>
      </w:r>
      <w:r w:rsidR="0095127B" w:rsidRPr="00E71C0E">
        <w:t xml:space="preserve">6.1 – </w:t>
      </w:r>
      <w:r w:rsidR="00565B45" w:rsidRPr="00E71C0E">
        <w:t xml:space="preserve">List of </w:t>
      </w:r>
      <w:r w:rsidR="0097036F" w:rsidRPr="00E71C0E">
        <w:t>excipients</w:t>
      </w:r>
      <w:r w:rsidR="00565B45">
        <w:t xml:space="preserve">. </w:t>
      </w:r>
    </w:p>
    <w:p w14:paraId="4ED8E01B" w14:textId="1B693D3A" w:rsidR="0013332C" w:rsidRPr="000E0F6F" w:rsidRDefault="0013332C" w:rsidP="0013332C">
      <w:pPr>
        <w:rPr>
          <w:i/>
        </w:rPr>
      </w:pPr>
      <w:r>
        <w:t xml:space="preserve">AKYNZEO </w:t>
      </w:r>
      <w:r w:rsidR="00046057">
        <w:t xml:space="preserve">IV </w:t>
      </w:r>
      <w:r>
        <w:t xml:space="preserve">is contraindicated during </w:t>
      </w:r>
      <w:r w:rsidRPr="00E71C0E">
        <w:t>pregnancy</w:t>
      </w:r>
      <w:r w:rsidR="00565B45" w:rsidRPr="00E71C0E">
        <w:t xml:space="preserve"> (see Section 4.6 – Fertility, pregnancy and lactation)</w:t>
      </w:r>
      <w:r w:rsidRPr="00E71C0E">
        <w:t>.</w:t>
      </w:r>
    </w:p>
    <w:p w14:paraId="711A4DE3" w14:textId="77777777" w:rsidR="0013332C" w:rsidRPr="009A2546" w:rsidRDefault="0013332C" w:rsidP="0013332C">
      <w:pPr>
        <w:pStyle w:val="Heading2"/>
      </w:pPr>
      <w:r w:rsidRPr="009A2546">
        <w:t>Special warnings and precautions for use</w:t>
      </w:r>
    </w:p>
    <w:p w14:paraId="192AF4C1" w14:textId="77777777" w:rsidR="0013332C" w:rsidRPr="00167848" w:rsidRDefault="0013332C">
      <w:pPr>
        <w:pStyle w:val="Heading3"/>
      </w:pPr>
      <w:r w:rsidRPr="00167848">
        <w:t>General</w:t>
      </w:r>
    </w:p>
    <w:p w14:paraId="1FFC4A2F" w14:textId="77777777" w:rsidR="0013332C" w:rsidRDefault="0013332C" w:rsidP="0013332C">
      <w:pPr>
        <w:rPr>
          <w:lang w:val="en-US"/>
        </w:rPr>
      </w:pPr>
      <w:r w:rsidRPr="004E5E49">
        <w:rPr>
          <w:lang w:val="en-US"/>
        </w:rPr>
        <w:t xml:space="preserve">Hypersensitivity reactions to </w:t>
      </w:r>
      <w:proofErr w:type="spellStart"/>
      <w:r w:rsidRPr="004E5E49">
        <w:rPr>
          <w:lang w:val="en-US"/>
        </w:rPr>
        <w:t>palonosetron</w:t>
      </w:r>
      <w:proofErr w:type="spellEnd"/>
      <w:r w:rsidRPr="004E5E49">
        <w:rPr>
          <w:lang w:val="en-US"/>
        </w:rPr>
        <w:t xml:space="preserve"> may occur in patients who have exhibited hypersensitivity to </w:t>
      </w:r>
      <w:r w:rsidRPr="00814483">
        <w:rPr>
          <w:lang w:val="en-US"/>
        </w:rPr>
        <w:t>other selective 5-HT</w:t>
      </w:r>
      <w:r w:rsidRPr="00814483">
        <w:rPr>
          <w:vertAlign w:val="subscript"/>
          <w:lang w:val="en-US"/>
        </w:rPr>
        <w:t>3</w:t>
      </w:r>
      <w:r w:rsidRPr="00814483">
        <w:rPr>
          <w:lang w:val="en-US"/>
        </w:rPr>
        <w:t xml:space="preserve"> receptor antagonists.</w:t>
      </w:r>
    </w:p>
    <w:p w14:paraId="5AAFA371" w14:textId="6CEC065E" w:rsidR="00573B43" w:rsidRPr="00573B43" w:rsidRDefault="0013332C" w:rsidP="00573B43">
      <w:pPr>
        <w:rPr>
          <w:lang w:eastAsia="ja-JP"/>
        </w:rPr>
      </w:pPr>
      <w:r w:rsidRPr="00573B43">
        <w:rPr>
          <w:lang w:eastAsia="ja-JP"/>
        </w:rPr>
        <w:t xml:space="preserve">AKYNZEO </w:t>
      </w:r>
      <w:r w:rsidR="00046057" w:rsidRPr="00573B43">
        <w:rPr>
          <w:lang w:eastAsia="ja-JP"/>
        </w:rPr>
        <w:t xml:space="preserve">IV </w:t>
      </w:r>
      <w:r w:rsidRPr="00573B43">
        <w:rPr>
          <w:lang w:eastAsia="ja-JP"/>
        </w:rPr>
        <w:t>should not be used to prevent or treat nausea and vomiting in the days following chemotherapy if not associated with another chemotherapy administration.</w:t>
      </w:r>
    </w:p>
    <w:p w14:paraId="0551DF3A" w14:textId="35BD354B" w:rsidR="00167848" w:rsidRPr="002A2F3D" w:rsidRDefault="0013332C" w:rsidP="00E71C0E">
      <w:pPr>
        <w:pStyle w:val="Heading3"/>
      </w:pPr>
      <w:r w:rsidRPr="00977070">
        <w:t>Constipation</w:t>
      </w:r>
    </w:p>
    <w:p w14:paraId="76991764" w14:textId="4BB599C2" w:rsidR="0013332C" w:rsidRDefault="0013332C" w:rsidP="0013332C">
      <w:r w:rsidRPr="009E550B">
        <w:t xml:space="preserve">As </w:t>
      </w:r>
      <w:proofErr w:type="spellStart"/>
      <w:r w:rsidRPr="009E550B">
        <w:t>palonosetron</w:t>
      </w:r>
      <w:proofErr w:type="spellEnd"/>
      <w:r w:rsidRPr="009E550B">
        <w:t xml:space="preserve"> may increase large bowel transit time, patients with a history of constipation or signs of subacute intestinal obstruction should be monitored following administration.</w:t>
      </w:r>
      <w:r w:rsidR="005E2D2F" w:rsidRPr="009E550B">
        <w:t xml:space="preserve"> </w:t>
      </w:r>
    </w:p>
    <w:p w14:paraId="6A234672" w14:textId="77777777" w:rsidR="0013332C" w:rsidRPr="009A2546" w:rsidRDefault="0013332C" w:rsidP="0013332C">
      <w:pPr>
        <w:pStyle w:val="Heading3"/>
      </w:pPr>
      <w:r w:rsidRPr="009A2546">
        <w:t>QT Prolongation</w:t>
      </w:r>
    </w:p>
    <w:p w14:paraId="10413C39" w14:textId="77777777" w:rsidR="00D3506E" w:rsidRDefault="0013332C" w:rsidP="0013332C">
      <w:r w:rsidRPr="001C0F1E">
        <w:t>A specific thorough ECG study cond</w:t>
      </w:r>
      <w:r>
        <w:t xml:space="preserve">ucted in adult male and female </w:t>
      </w:r>
      <w:r w:rsidRPr="001C0F1E">
        <w:t xml:space="preserve">healthy volunteers on </w:t>
      </w:r>
      <w:proofErr w:type="spellStart"/>
      <w:r w:rsidRPr="006F73B6">
        <w:rPr>
          <w:lang w:val="en-US"/>
        </w:rPr>
        <w:t>netupitant</w:t>
      </w:r>
      <w:proofErr w:type="spellEnd"/>
      <w:r w:rsidRPr="001C0F1E">
        <w:rPr>
          <w:lang w:val="en-US"/>
        </w:rPr>
        <w:t xml:space="preserve"> (200 and 600 mg) orally administered with </w:t>
      </w:r>
      <w:proofErr w:type="spellStart"/>
      <w:r w:rsidRPr="001C0F1E">
        <w:rPr>
          <w:lang w:val="en-US"/>
        </w:rPr>
        <w:t>palonosetron</w:t>
      </w:r>
      <w:proofErr w:type="spellEnd"/>
      <w:r w:rsidRPr="001C0F1E">
        <w:rPr>
          <w:lang w:val="en-US"/>
        </w:rPr>
        <w:t xml:space="preserve"> (0.5 and 1.5 mg) </w:t>
      </w:r>
      <w:r w:rsidRPr="001C0F1E">
        <w:t xml:space="preserve">demonstrated that </w:t>
      </w:r>
      <w:r>
        <w:t>AKYNZEO</w:t>
      </w:r>
      <w:r w:rsidR="00B52590">
        <w:t xml:space="preserve"> capsules</w:t>
      </w:r>
      <w:r w:rsidRPr="001C0F1E">
        <w:t xml:space="preserve"> had no clinically important effects on ECG parameters. </w:t>
      </w:r>
      <w:r w:rsidRPr="001C0F1E">
        <w:lastRenderedPageBreak/>
        <w:t xml:space="preserve">The ECG data analyses including a pharmacodynamic-pharmacokinetic (PD-PK) </w:t>
      </w:r>
      <w:r w:rsidRPr="002507C9">
        <w:t>analysis showed no effects on cardiac repolari</w:t>
      </w:r>
      <w:r>
        <w:t>s</w:t>
      </w:r>
      <w:r w:rsidRPr="002507C9">
        <w:t>ation.</w:t>
      </w:r>
      <w:r>
        <w:t xml:space="preserve"> </w:t>
      </w:r>
    </w:p>
    <w:p w14:paraId="66526BA3" w14:textId="1D8C1003" w:rsidR="0013332C" w:rsidRPr="001C0F1E" w:rsidRDefault="0013332C" w:rsidP="0013332C">
      <w:r w:rsidRPr="002507C9">
        <w:t>However, since AKYNZEO</w:t>
      </w:r>
      <w:r w:rsidR="005C6E99">
        <w:t xml:space="preserve"> IV</w:t>
      </w:r>
      <w:r w:rsidRPr="002507C9">
        <w:t xml:space="preserve"> contains a 5</w:t>
      </w:r>
      <w:r w:rsidR="00FD1ACF">
        <w:t>-</w:t>
      </w:r>
      <w:r w:rsidRPr="002507C9">
        <w:t>HT</w:t>
      </w:r>
      <w:r w:rsidRPr="002507C9">
        <w:rPr>
          <w:vertAlign w:val="subscript"/>
        </w:rPr>
        <w:t>3</w:t>
      </w:r>
      <w:r w:rsidRPr="002507C9">
        <w:t xml:space="preserve"> receptor antagonist</w:t>
      </w:r>
      <w:r w:rsidR="00692842">
        <w:t>,</w:t>
      </w:r>
      <w:r w:rsidRPr="002507C9">
        <w:t xml:space="preserve"> caution should be exercised in the concomitant use of AKYNZEO</w:t>
      </w:r>
      <w:r w:rsidR="005C6E99">
        <w:t xml:space="preserve"> IV</w:t>
      </w:r>
      <w:r w:rsidRPr="002507C9">
        <w:t xml:space="preserve"> with medicinal products that increase the QT interval or in patients who have or are likely to develop prolongation of the QT interval.  These conditions include patients with a personal or family history of QT prolongation, electrolyte abnormalities, congestive heart failure, </w:t>
      </w:r>
      <w:proofErr w:type="spellStart"/>
      <w:r w:rsidRPr="002507C9">
        <w:t>bradyarrhythmia</w:t>
      </w:r>
      <w:proofErr w:type="spellEnd"/>
      <w:r w:rsidRPr="002507C9">
        <w:t>, conduction disturbances and in patients taking anti-arrhythmic agents or other medicinal products that lead to QT prolongation or electrolyte abnormalities. Hypokalaemia and hypomagnesemia should be corrected prior to AKYNZEO</w:t>
      </w:r>
      <w:r w:rsidR="00E26FF2">
        <w:t xml:space="preserve"> IV</w:t>
      </w:r>
      <w:r w:rsidRPr="002507C9">
        <w:t xml:space="preserve"> administration.</w:t>
      </w:r>
    </w:p>
    <w:p w14:paraId="1072FCCE" w14:textId="6ED98CA6" w:rsidR="0013332C" w:rsidRPr="009A2546" w:rsidRDefault="0013332C" w:rsidP="0013332C">
      <w:pPr>
        <w:pStyle w:val="Heading3"/>
      </w:pPr>
      <w:r w:rsidRPr="009A2546">
        <w:t>Serotonin Syndrome</w:t>
      </w:r>
    </w:p>
    <w:p w14:paraId="2659359B" w14:textId="16AC24AA" w:rsidR="0013332C" w:rsidRPr="00D23361" w:rsidRDefault="0013332C" w:rsidP="0013332C">
      <w:pPr>
        <w:rPr>
          <w:lang w:val="en-US"/>
        </w:rPr>
      </w:pPr>
      <w:r w:rsidRPr="00462127">
        <w:rPr>
          <w:lang w:val="en-US"/>
        </w:rPr>
        <w:t>There have been reports of serotonin syndrome with the use of 5-HT</w:t>
      </w:r>
      <w:r w:rsidRPr="00D07E10">
        <w:rPr>
          <w:vertAlign w:val="subscript"/>
          <w:lang w:val="en-US"/>
        </w:rPr>
        <w:t>3</w:t>
      </w:r>
      <w:r w:rsidRPr="00462127">
        <w:rPr>
          <w:lang w:val="en-US"/>
        </w:rPr>
        <w:t xml:space="preserve"> antagonists either alone</w:t>
      </w:r>
      <w:r>
        <w:rPr>
          <w:lang w:val="en-US"/>
        </w:rPr>
        <w:t xml:space="preserve"> </w:t>
      </w:r>
      <w:r w:rsidRPr="00462127">
        <w:rPr>
          <w:lang w:val="en-US"/>
        </w:rPr>
        <w:t>or in combination with other serotonergic drugs including selective serotonin reuptake</w:t>
      </w:r>
      <w:r>
        <w:rPr>
          <w:lang w:val="en-US"/>
        </w:rPr>
        <w:t xml:space="preserve"> </w:t>
      </w:r>
      <w:r w:rsidRPr="00462127">
        <w:rPr>
          <w:lang w:val="en-US"/>
        </w:rPr>
        <w:t>inhibitors (SSRI</w:t>
      </w:r>
      <w:r w:rsidR="00A22D7E">
        <w:rPr>
          <w:lang w:val="en-US"/>
        </w:rPr>
        <w:t>s</w:t>
      </w:r>
      <w:r w:rsidRPr="00462127">
        <w:rPr>
          <w:lang w:val="en-US"/>
        </w:rPr>
        <w:t xml:space="preserve">) and serotonin </w:t>
      </w:r>
      <w:r w:rsidRPr="00107209">
        <w:rPr>
          <w:lang w:val="en-US"/>
        </w:rPr>
        <w:t>noradrenaline reuptake inhibitors (SNRIs).</w:t>
      </w:r>
      <w:r w:rsidR="004A4F75">
        <w:rPr>
          <w:lang w:val="en-US"/>
        </w:rPr>
        <w:t xml:space="preserve"> </w:t>
      </w:r>
    </w:p>
    <w:p w14:paraId="476A508A" w14:textId="77777777" w:rsidR="0013332C" w:rsidRPr="009A2546" w:rsidRDefault="0013332C" w:rsidP="0013332C">
      <w:pPr>
        <w:pStyle w:val="Heading3"/>
      </w:pPr>
      <w:r w:rsidRPr="009A2546">
        <w:t>Concomitant use of CYP3A4 Substrates</w:t>
      </w:r>
    </w:p>
    <w:p w14:paraId="5A700542" w14:textId="7C07B7B4" w:rsidR="00393FE5" w:rsidRDefault="0013332C" w:rsidP="0013332C">
      <w:pPr>
        <w:rPr>
          <w:lang w:eastAsia="en-AU"/>
        </w:rPr>
      </w:pPr>
      <w:proofErr w:type="spellStart"/>
      <w:r w:rsidRPr="00A8068A">
        <w:rPr>
          <w:lang w:eastAsia="en-AU"/>
        </w:rPr>
        <w:t>Netupitant</w:t>
      </w:r>
      <w:proofErr w:type="spellEnd"/>
      <w:r w:rsidRPr="00A8068A">
        <w:rPr>
          <w:lang w:eastAsia="en-AU"/>
        </w:rPr>
        <w:t xml:space="preserve"> is a moderate inhibitor of CYP3A4. It has a half-life of 88 hours so its inhibitory effect on CYP3A4 can last for over 4 days. Systemic exposure to chemotherapy agents and other medicines metabolised by CYP3A4 may increase when administered with or after AKYNZEO</w:t>
      </w:r>
      <w:r w:rsidR="008616DC">
        <w:rPr>
          <w:lang w:eastAsia="en-AU"/>
        </w:rPr>
        <w:t xml:space="preserve"> IV</w:t>
      </w:r>
      <w:r w:rsidRPr="00A8068A">
        <w:rPr>
          <w:lang w:eastAsia="en-AU"/>
        </w:rPr>
        <w:t>. For example, exposure to docetaxel was shown to increase by 37% with concomitant use. Likewise, exposure to dexamethasone is clearly increased with concomitant use. </w:t>
      </w:r>
    </w:p>
    <w:p w14:paraId="6E66FD3A" w14:textId="69963052" w:rsidR="0019710F" w:rsidRPr="00D23361" w:rsidRDefault="0013332C" w:rsidP="0013332C">
      <w:pPr>
        <w:rPr>
          <w:lang w:eastAsia="en-AU"/>
        </w:rPr>
      </w:pPr>
      <w:r w:rsidRPr="00A8068A">
        <w:rPr>
          <w:lang w:eastAsia="en-AU"/>
        </w:rPr>
        <w:t>Patients should be closely monitored for adverse reactions that may</w:t>
      </w:r>
      <w:r w:rsidRPr="00D579ED">
        <w:rPr>
          <w:color w:val="18376A"/>
          <w:lang w:eastAsia="en-AU"/>
        </w:rPr>
        <w:t xml:space="preserve"> </w:t>
      </w:r>
      <w:r w:rsidRPr="00A8068A">
        <w:rPr>
          <w:lang w:eastAsia="en-AU"/>
        </w:rPr>
        <w:t>arise from this additional systemic exposure to relevant chemotherapies and other medicines</w:t>
      </w:r>
      <w:r w:rsidR="00977070">
        <w:rPr>
          <w:lang w:eastAsia="en-AU"/>
        </w:rPr>
        <w:t xml:space="preserve"> </w:t>
      </w:r>
      <w:r w:rsidR="00750562" w:rsidRPr="00977070">
        <w:rPr>
          <w:lang w:eastAsia="en-AU"/>
        </w:rPr>
        <w:t>(s</w:t>
      </w:r>
      <w:r w:rsidRPr="00977070">
        <w:rPr>
          <w:lang w:eastAsia="en-AU"/>
        </w:rPr>
        <w:t>ee Section 4.5 – Interactions with other medicines and other forms of interactions</w:t>
      </w:r>
      <w:r w:rsidRPr="00A8068A">
        <w:rPr>
          <w:lang w:eastAsia="en-AU"/>
        </w:rPr>
        <w:t xml:space="preserve"> for further details</w:t>
      </w:r>
      <w:r w:rsidR="00750562">
        <w:rPr>
          <w:lang w:eastAsia="en-AU"/>
        </w:rPr>
        <w:t>)</w:t>
      </w:r>
      <w:r w:rsidRPr="00A8068A">
        <w:rPr>
          <w:lang w:eastAsia="en-AU"/>
        </w:rPr>
        <w:t>.</w:t>
      </w:r>
    </w:p>
    <w:p w14:paraId="309E0579" w14:textId="41C8A29D" w:rsidR="0013332C" w:rsidRDefault="0013332C" w:rsidP="0013332C">
      <w:pPr>
        <w:pStyle w:val="Heading3"/>
      </w:pPr>
      <w:r>
        <w:t>Women of Childbearing Potential/Contraception in Females</w:t>
      </w:r>
    </w:p>
    <w:p w14:paraId="13AE9774" w14:textId="12C2DDF2" w:rsidR="00514B3F" w:rsidRPr="00514B3F" w:rsidRDefault="0013332C">
      <w:r>
        <w:t xml:space="preserve">Women of childbearing potential should not be pregnant or become pregnant while </w:t>
      </w:r>
      <w:r w:rsidR="009F1E4A">
        <w:t xml:space="preserve">being </w:t>
      </w:r>
      <w:r>
        <w:t>treat</w:t>
      </w:r>
      <w:r w:rsidR="009F1E4A">
        <w:t>ed</w:t>
      </w:r>
      <w:r>
        <w:t xml:space="preserve"> with AKYNZEO</w:t>
      </w:r>
      <w:r w:rsidR="00C221CE">
        <w:t xml:space="preserve"> IV</w:t>
      </w:r>
      <w:r>
        <w:t>. A pregnancy test should be performed on all pre-menopausal women prior to treatment. Women of childbearing potential must use effective contraception during therapy and up to one month after treatment with this medicinal product</w:t>
      </w:r>
      <w:r w:rsidR="00A4433F">
        <w:t xml:space="preserve"> (see Section 4.6 – Fertility, pregnancy and lactation</w:t>
      </w:r>
      <w:r w:rsidR="00C235C5">
        <w:t>,</w:t>
      </w:r>
      <w:r w:rsidR="00A4433F">
        <w:t xml:space="preserve"> Use in pregnancy – Pregnancy Category </w:t>
      </w:r>
      <w:r w:rsidR="00964D8B">
        <w:t>D</w:t>
      </w:r>
      <w:r w:rsidR="00A4433F">
        <w:t>)</w:t>
      </w:r>
      <w:r>
        <w:t>.</w:t>
      </w:r>
    </w:p>
    <w:p w14:paraId="743DC689" w14:textId="77777777" w:rsidR="0013332C" w:rsidRPr="008C7399" w:rsidRDefault="0013332C" w:rsidP="0013332C">
      <w:pPr>
        <w:pStyle w:val="Heading3"/>
        <w:rPr>
          <w:rStyle w:val="Heading2Char"/>
          <w:b/>
          <w:smallCaps w:val="0"/>
          <w:sz w:val="22"/>
        </w:rPr>
      </w:pPr>
      <w:r w:rsidRPr="008C7399">
        <w:rPr>
          <w:rStyle w:val="Heading2Char"/>
          <w:b/>
          <w:smallCaps w:val="0"/>
          <w:sz w:val="22"/>
        </w:rPr>
        <w:t>Race</w:t>
      </w:r>
    </w:p>
    <w:p w14:paraId="00F67B25" w14:textId="3AA9DA28" w:rsidR="0013332C" w:rsidRPr="00CD7214" w:rsidRDefault="0013332C" w:rsidP="0013332C">
      <w:r w:rsidRPr="00CD7214">
        <w:t xml:space="preserve"> Intravenous </w:t>
      </w:r>
      <w:proofErr w:type="spellStart"/>
      <w:r w:rsidRPr="00CD7214">
        <w:t>palonosetron</w:t>
      </w:r>
      <w:proofErr w:type="spellEnd"/>
      <w:r w:rsidRPr="00CD7214">
        <w:t xml:space="preserve"> pharmacokinetics was characterised in twenty-four healthy Japanese subjects over the dose range of 3 – 90 </w:t>
      </w:r>
      <w:r w:rsidR="00C221CE">
        <w:t>micro</w:t>
      </w:r>
      <w:r w:rsidR="00C221CE" w:rsidRPr="00CD7214">
        <w:t>g</w:t>
      </w:r>
      <w:r w:rsidR="00C221CE">
        <w:t>rams</w:t>
      </w:r>
      <w:r w:rsidRPr="00CD7214">
        <w:t xml:space="preserve">/kg. Total body clearance was 25% higher in Japanese subjects compared to Whites; however, no dose adjustment is required. The pharmacokinetics of </w:t>
      </w:r>
      <w:proofErr w:type="spellStart"/>
      <w:r w:rsidRPr="00CD7214">
        <w:t>palonosetron</w:t>
      </w:r>
      <w:proofErr w:type="spellEnd"/>
      <w:r w:rsidRPr="00CD7214">
        <w:t xml:space="preserve"> in Blacks has not been adequately characterised. The pharmacokinetics of </w:t>
      </w:r>
      <w:proofErr w:type="spellStart"/>
      <w:r w:rsidRPr="00CD7214">
        <w:t>netupitant</w:t>
      </w:r>
      <w:proofErr w:type="spellEnd"/>
      <w:r w:rsidRPr="00CD7214">
        <w:t xml:space="preserve"> has been characterised only in Caucasians.</w:t>
      </w:r>
    </w:p>
    <w:p w14:paraId="0ADEFA35" w14:textId="77777777" w:rsidR="0013332C" w:rsidRPr="008C7399" w:rsidRDefault="0013332C" w:rsidP="0013332C">
      <w:pPr>
        <w:pStyle w:val="Heading3"/>
      </w:pPr>
      <w:r w:rsidRPr="008C7399">
        <w:t xml:space="preserve">Use in hepatic impairment </w:t>
      </w:r>
    </w:p>
    <w:p w14:paraId="254CB2D0" w14:textId="58D02A7E" w:rsidR="002F17FE" w:rsidRPr="002F17FE" w:rsidRDefault="00A02FD7" w:rsidP="0013332C">
      <w:r>
        <w:t xml:space="preserve">No studies were performed specifically with </w:t>
      </w:r>
      <w:proofErr w:type="spellStart"/>
      <w:r>
        <w:t>fosnetupitant</w:t>
      </w:r>
      <w:proofErr w:type="spellEnd"/>
      <w:r>
        <w:t xml:space="preserve"> in patients with </w:t>
      </w:r>
      <w:r w:rsidR="00977FA9">
        <w:t>hepatic</w:t>
      </w:r>
      <w:r>
        <w:t xml:space="preserve"> impairment. However, due to the transient exposure of </w:t>
      </w:r>
      <w:proofErr w:type="spellStart"/>
      <w:r>
        <w:t>fosnetupitant</w:t>
      </w:r>
      <w:proofErr w:type="spellEnd"/>
      <w:r>
        <w:t xml:space="preserve"> and subsequent conversion to </w:t>
      </w:r>
      <w:proofErr w:type="spellStart"/>
      <w:r>
        <w:t>netupitant</w:t>
      </w:r>
      <w:proofErr w:type="spellEnd"/>
      <w:r>
        <w:t xml:space="preserve"> there are no additional warnings considered necessary with the </w:t>
      </w:r>
      <w:r w:rsidR="00C235C5">
        <w:t>administration</w:t>
      </w:r>
      <w:r>
        <w:t xml:space="preserve"> of the prodrug compared to the parent compound.</w:t>
      </w:r>
    </w:p>
    <w:p w14:paraId="27318CD6" w14:textId="44FB07A7" w:rsidR="0013332C" w:rsidRDefault="0013332C" w:rsidP="0013332C">
      <w:pPr>
        <w:rPr>
          <w:rFonts w:cstheme="minorHAnsi"/>
        </w:rPr>
      </w:pPr>
      <w:r w:rsidRPr="007E73AB">
        <w:rPr>
          <w:rFonts w:cstheme="minorHAnsi"/>
        </w:rPr>
        <w:lastRenderedPageBreak/>
        <w:t xml:space="preserve">Hepatic impairment does not significantly affect total body clearance of </w:t>
      </w:r>
      <w:proofErr w:type="spellStart"/>
      <w:r w:rsidRPr="007E73AB">
        <w:rPr>
          <w:rFonts w:cstheme="minorHAnsi"/>
        </w:rPr>
        <w:t>palonosetron</w:t>
      </w:r>
      <w:proofErr w:type="spellEnd"/>
      <w:r w:rsidRPr="007E73AB">
        <w:rPr>
          <w:rFonts w:cstheme="minorHAnsi"/>
        </w:rPr>
        <w:t xml:space="preserve"> compared to the healthy subjects.</w:t>
      </w:r>
      <w:r w:rsidR="00964D8B">
        <w:rPr>
          <w:rFonts w:cstheme="minorHAnsi"/>
        </w:rPr>
        <w:t xml:space="preserve"> Dosage adjustment is not necessary in patients with any degree of hepatic impairment.</w:t>
      </w:r>
      <w:r w:rsidRPr="007E73AB">
        <w:rPr>
          <w:rFonts w:cstheme="minorHAnsi"/>
        </w:rPr>
        <w:t xml:space="preserve">  </w:t>
      </w:r>
    </w:p>
    <w:p w14:paraId="32F4BAF5" w14:textId="797C476A" w:rsidR="0013332C" w:rsidRPr="007E73AB" w:rsidRDefault="0013332C" w:rsidP="0013332C">
      <w:pPr>
        <w:rPr>
          <w:rFonts w:cstheme="minorHAnsi"/>
        </w:rPr>
      </w:pPr>
      <w:r w:rsidRPr="007E73AB">
        <w:rPr>
          <w:rFonts w:cstheme="minorHAnsi"/>
        </w:rPr>
        <w:t xml:space="preserve">Maximum concentrations and total exposure of </w:t>
      </w:r>
      <w:proofErr w:type="spellStart"/>
      <w:r w:rsidRPr="007E73AB">
        <w:rPr>
          <w:rFonts w:cstheme="minorHAnsi"/>
        </w:rPr>
        <w:t>netupitant</w:t>
      </w:r>
      <w:proofErr w:type="spellEnd"/>
      <w:r w:rsidRPr="007E73AB">
        <w:rPr>
          <w:rFonts w:cstheme="minorHAnsi"/>
        </w:rPr>
        <w:t xml:space="preserve"> were increased in subjects with mild (n=8), moderate (n=8), and severe (n=2) hepatic impairment compared to matching healthy subjects, although there was pronounced individual variability in both </w:t>
      </w:r>
      <w:proofErr w:type="spellStart"/>
      <w:r w:rsidRPr="007E73AB">
        <w:rPr>
          <w:rFonts w:cstheme="minorHAnsi"/>
        </w:rPr>
        <w:t>hepatically</w:t>
      </w:r>
      <w:proofErr w:type="spellEnd"/>
      <w:r w:rsidRPr="007E73AB">
        <w:rPr>
          <w:rFonts w:cstheme="minorHAnsi"/>
        </w:rPr>
        <w:t xml:space="preserve">-impaired and healthy subjects. Exposure to </w:t>
      </w:r>
      <w:proofErr w:type="spellStart"/>
      <w:r w:rsidRPr="007E73AB">
        <w:rPr>
          <w:rFonts w:cstheme="minorHAnsi"/>
        </w:rPr>
        <w:t>netupitant</w:t>
      </w:r>
      <w:proofErr w:type="spellEnd"/>
      <w:r w:rsidRPr="007E73AB">
        <w:rPr>
          <w:rFonts w:cstheme="minorHAnsi"/>
        </w:rPr>
        <w:t xml:space="preserve"> (</w:t>
      </w:r>
      <w:proofErr w:type="spellStart"/>
      <w:r w:rsidRPr="007E73AB">
        <w:rPr>
          <w:rFonts w:cstheme="minorHAnsi"/>
        </w:rPr>
        <w:t>C</w:t>
      </w:r>
      <w:r w:rsidRPr="007E73AB">
        <w:rPr>
          <w:rFonts w:cstheme="minorHAnsi"/>
          <w:vertAlign w:val="subscript"/>
        </w:rPr>
        <w:t>max</w:t>
      </w:r>
      <w:proofErr w:type="spellEnd"/>
      <w:r w:rsidRPr="007E73AB">
        <w:rPr>
          <w:rFonts w:cstheme="minorHAnsi"/>
        </w:rPr>
        <w:t>, AUC</w:t>
      </w:r>
      <w:r w:rsidRPr="007E73AB">
        <w:rPr>
          <w:rFonts w:cstheme="minorHAnsi"/>
          <w:vertAlign w:val="subscript"/>
        </w:rPr>
        <w:t>0-t</w:t>
      </w:r>
      <w:r w:rsidRPr="007E73AB">
        <w:rPr>
          <w:rFonts w:cstheme="minorHAnsi"/>
        </w:rPr>
        <w:t xml:space="preserve"> and AUC</w:t>
      </w:r>
      <w:r w:rsidRPr="007E73AB">
        <w:rPr>
          <w:rFonts w:cstheme="minorHAnsi"/>
          <w:vertAlign w:val="subscript"/>
        </w:rPr>
        <w:t>0-∞</w:t>
      </w:r>
      <w:r w:rsidRPr="007E73AB">
        <w:rPr>
          <w:rFonts w:cstheme="minorHAnsi"/>
        </w:rPr>
        <w:t xml:space="preserve">) compared to matching healthy subjects was 11%, 28% and 19% higher in mild and 70%, 88% and 143% higher in moderate </w:t>
      </w:r>
      <w:proofErr w:type="spellStart"/>
      <w:r w:rsidRPr="007E73AB">
        <w:rPr>
          <w:rFonts w:cstheme="minorHAnsi"/>
        </w:rPr>
        <w:t>hepatically</w:t>
      </w:r>
      <w:proofErr w:type="spellEnd"/>
      <w:r w:rsidRPr="007E73AB">
        <w:rPr>
          <w:rFonts w:cstheme="minorHAnsi"/>
        </w:rPr>
        <w:t>-impaired subjects, respectively. As such, no dosage adjustment of AKYNZEO</w:t>
      </w:r>
      <w:r w:rsidR="00403A9D">
        <w:rPr>
          <w:rFonts w:cstheme="minorHAnsi"/>
        </w:rPr>
        <w:t xml:space="preserve"> IV</w:t>
      </w:r>
      <w:r w:rsidRPr="007E73AB">
        <w:rPr>
          <w:rFonts w:cstheme="minorHAnsi"/>
        </w:rPr>
        <w:t xml:space="preserve"> is necessary for patients with mild or moderate hepatic impairment (Child-Pugh score 5-8). Limited data exist in patients with severe hepatic impairment (Child Pugh score </w:t>
      </w:r>
      <w:r w:rsidR="0035369C">
        <w:rPr>
          <w:rFonts w:cstheme="minorHAnsi"/>
        </w:rPr>
        <w:sym w:font="Symbol" w:char="F0B3"/>
      </w:r>
      <w:r w:rsidRPr="007E73AB">
        <w:rPr>
          <w:rFonts w:cstheme="minorHAnsi"/>
        </w:rPr>
        <w:t xml:space="preserve"> 9). </w:t>
      </w:r>
      <w:r w:rsidR="00E25412">
        <w:rPr>
          <w:rFonts w:cstheme="minorHAnsi"/>
          <w:lang w:eastAsia="en-AU"/>
        </w:rPr>
        <w:t>C</w:t>
      </w:r>
      <w:r w:rsidRPr="007E73AB">
        <w:rPr>
          <w:rFonts w:cstheme="minorHAnsi"/>
          <w:lang w:eastAsia="en-AU"/>
        </w:rPr>
        <w:t>onsiderabl</w:t>
      </w:r>
      <w:r w:rsidR="001D700C">
        <w:rPr>
          <w:rFonts w:cstheme="minorHAnsi"/>
          <w:lang w:eastAsia="en-AU"/>
        </w:rPr>
        <w:t>e</w:t>
      </w:r>
      <w:r w:rsidRPr="007E73AB">
        <w:rPr>
          <w:rFonts w:cstheme="minorHAnsi"/>
          <w:lang w:eastAsia="en-AU"/>
        </w:rPr>
        <w:t xml:space="preserve"> increased exposure to </w:t>
      </w:r>
      <w:proofErr w:type="spellStart"/>
      <w:r w:rsidRPr="007E73AB">
        <w:rPr>
          <w:rFonts w:cstheme="minorHAnsi"/>
          <w:lang w:eastAsia="en-AU"/>
        </w:rPr>
        <w:t>netupitant</w:t>
      </w:r>
      <w:proofErr w:type="spellEnd"/>
      <w:r w:rsidRPr="007E73AB">
        <w:rPr>
          <w:rFonts w:cstheme="minorHAnsi"/>
          <w:lang w:eastAsia="en-AU"/>
        </w:rPr>
        <w:t xml:space="preserve"> can be expected in severe hepatic impairment. </w:t>
      </w:r>
      <w:r w:rsidRPr="007E73AB">
        <w:rPr>
          <w:rFonts w:cstheme="minorHAnsi"/>
        </w:rPr>
        <w:t xml:space="preserve">Therefore, AKYNZEO </w:t>
      </w:r>
      <w:r w:rsidR="00403A9D">
        <w:rPr>
          <w:rFonts w:cstheme="minorHAnsi"/>
        </w:rPr>
        <w:t xml:space="preserve">IV </w:t>
      </w:r>
      <w:r w:rsidRPr="007E73AB">
        <w:rPr>
          <w:rFonts w:cstheme="minorHAnsi"/>
        </w:rPr>
        <w:t>should be used with caution in these patients.</w:t>
      </w:r>
    </w:p>
    <w:p w14:paraId="71B51697" w14:textId="77777777" w:rsidR="0013332C" w:rsidRPr="008C7399" w:rsidRDefault="0013332C" w:rsidP="0013332C">
      <w:pPr>
        <w:pStyle w:val="Heading3"/>
      </w:pPr>
      <w:r w:rsidRPr="008C7399">
        <w:t xml:space="preserve">Use in renal impairment </w:t>
      </w:r>
    </w:p>
    <w:p w14:paraId="71082E66" w14:textId="409D317B" w:rsidR="00BE23B2" w:rsidRPr="00BE23B2" w:rsidRDefault="00BE23B2" w:rsidP="00E71C0E">
      <w:r w:rsidRPr="00BE23B2">
        <w:t xml:space="preserve">No specific studies were performed to evaluate </w:t>
      </w:r>
      <w:proofErr w:type="spellStart"/>
      <w:r w:rsidRPr="00BE23B2">
        <w:t>fosnetupitant</w:t>
      </w:r>
      <w:proofErr w:type="spellEnd"/>
      <w:r w:rsidRPr="00BE23B2">
        <w:t xml:space="preserve"> in patients with renal impairment. However, due to the transient exposure of </w:t>
      </w:r>
      <w:proofErr w:type="spellStart"/>
      <w:r w:rsidRPr="00BE23B2">
        <w:t>fosnetupitant</w:t>
      </w:r>
      <w:proofErr w:type="spellEnd"/>
      <w:r w:rsidRPr="00BE23B2">
        <w:t xml:space="preserve"> and subsequent conversion to </w:t>
      </w:r>
      <w:proofErr w:type="spellStart"/>
      <w:r w:rsidRPr="00BE23B2">
        <w:t>netupitant</w:t>
      </w:r>
      <w:proofErr w:type="spellEnd"/>
      <w:r w:rsidRPr="00BE23B2">
        <w:t xml:space="preserve"> there are no additional warnings considered necessary with the administration of the prodrug compared to the parent compound.</w:t>
      </w:r>
    </w:p>
    <w:p w14:paraId="61DAE095" w14:textId="3DB9F64D" w:rsidR="00BE23B2" w:rsidRPr="00BE23B2" w:rsidRDefault="00BE23B2" w:rsidP="00BE23B2">
      <w:r w:rsidRPr="00BE23B2">
        <w:t xml:space="preserve">In healthy volunteers receiving oral </w:t>
      </w:r>
      <w:proofErr w:type="spellStart"/>
      <w:r w:rsidRPr="00BE23B2">
        <w:t>netupitant</w:t>
      </w:r>
      <w:proofErr w:type="spellEnd"/>
      <w:r w:rsidRPr="00BE23B2">
        <w:t xml:space="preserve">, less than 5% of all drug-related material was excreted in </w:t>
      </w:r>
      <w:r>
        <w:t xml:space="preserve">the </w:t>
      </w:r>
      <w:r w:rsidRPr="00BE23B2">
        <w:t xml:space="preserve">urine and less than 1% of the </w:t>
      </w:r>
      <w:proofErr w:type="spellStart"/>
      <w:r w:rsidRPr="00BE23B2">
        <w:t>netupitant</w:t>
      </w:r>
      <w:proofErr w:type="spellEnd"/>
      <w:r w:rsidRPr="00BE23B2">
        <w:t xml:space="preserve"> dose was eliminated unchanged in the urine</w:t>
      </w:r>
      <w:r>
        <w:t xml:space="preserve">, any accumulation of </w:t>
      </w:r>
      <w:proofErr w:type="spellStart"/>
      <w:r>
        <w:t>netupitant</w:t>
      </w:r>
      <w:proofErr w:type="spellEnd"/>
      <w:r>
        <w:t xml:space="preserve"> or metabolites after a single dose is negligible. </w:t>
      </w:r>
      <w:r w:rsidR="0002355D" w:rsidRPr="00CD7214">
        <w:t xml:space="preserve">The pharmacokinetics and safety of </w:t>
      </w:r>
      <w:proofErr w:type="spellStart"/>
      <w:r w:rsidR="0002355D" w:rsidRPr="00CD7214">
        <w:t>netupitant</w:t>
      </w:r>
      <w:proofErr w:type="spellEnd"/>
      <w:r w:rsidR="0002355D" w:rsidRPr="00CD7214">
        <w:t xml:space="preserve"> has not been studied in patients with renal impairment or chronic kidney disease. </w:t>
      </w:r>
    </w:p>
    <w:p w14:paraId="20F5BF75" w14:textId="67D7A0C8" w:rsidR="0013332C" w:rsidRDefault="0013332C" w:rsidP="0013332C">
      <w:r w:rsidRPr="00CD7214">
        <w:t xml:space="preserve">Mild to moderate renal impairment does not significantly affect </w:t>
      </w:r>
      <w:proofErr w:type="spellStart"/>
      <w:r w:rsidRPr="00CD7214">
        <w:t>palonosetron</w:t>
      </w:r>
      <w:proofErr w:type="spellEnd"/>
      <w:r w:rsidRPr="00CD7214">
        <w:t xml:space="preserve"> pharmacokinetic parameters. Total systemic exposure of </w:t>
      </w:r>
      <w:proofErr w:type="spellStart"/>
      <w:r w:rsidRPr="00CD7214">
        <w:t>palonosetron</w:t>
      </w:r>
      <w:proofErr w:type="spellEnd"/>
      <w:r w:rsidRPr="00CD7214">
        <w:t xml:space="preserve"> increased by approximately 28% in severe renal impairment relative to healthy subjects. </w:t>
      </w:r>
    </w:p>
    <w:p w14:paraId="0EBEC07A" w14:textId="5910FC9A" w:rsidR="0013332C" w:rsidRPr="00CD7214" w:rsidRDefault="0013332C" w:rsidP="0013332C">
      <w:r w:rsidRPr="00CD7214">
        <w:t xml:space="preserve">Therefore, no dose adjustment for AKYNZEO </w:t>
      </w:r>
      <w:r w:rsidR="0040213C">
        <w:t xml:space="preserve">IV </w:t>
      </w:r>
      <w:r w:rsidRPr="00CD7214">
        <w:t xml:space="preserve">is necessary in patients with mild to moderate renal impairment. Use of AKYNZEO </w:t>
      </w:r>
      <w:r w:rsidR="00F5248C">
        <w:t xml:space="preserve">IV </w:t>
      </w:r>
      <w:r w:rsidRPr="00CD7214">
        <w:t>in patients with severe renal impairment or end-stage renal disease should be avoided.</w:t>
      </w:r>
    </w:p>
    <w:p w14:paraId="46EABB0C" w14:textId="77777777" w:rsidR="0013332C" w:rsidRPr="008C7399" w:rsidRDefault="0013332C" w:rsidP="0013332C">
      <w:pPr>
        <w:pStyle w:val="Heading3"/>
      </w:pPr>
      <w:r w:rsidRPr="008C7399">
        <w:t>Use in the elderly</w:t>
      </w:r>
    </w:p>
    <w:p w14:paraId="36169413" w14:textId="5C2CBA03" w:rsidR="0013332C" w:rsidRPr="00CD7214" w:rsidRDefault="0013332C" w:rsidP="0013332C">
      <w:r w:rsidRPr="00843A5E">
        <w:t xml:space="preserve">Population pharmacokinetic analysis and clinical safety and efficacy data for </w:t>
      </w:r>
      <w:proofErr w:type="spellStart"/>
      <w:r w:rsidRPr="00843A5E">
        <w:t>palonosetron</w:t>
      </w:r>
      <w:proofErr w:type="spellEnd"/>
      <w:r w:rsidRPr="00843A5E">
        <w:t xml:space="preserve"> did not reveal any differences between cancer patients </w:t>
      </w:r>
      <w:r w:rsidR="0035369C" w:rsidRPr="002A2F3D">
        <w:t>≥</w:t>
      </w:r>
      <w:r w:rsidRPr="00843A5E">
        <w:t xml:space="preserve"> 65 years of age and younger patients (18 to 64 years). In healthy elderly subjects (&gt;65 years old) the mean AUC</w:t>
      </w:r>
      <w:r w:rsidRPr="00843A5E">
        <w:rPr>
          <w:vertAlign w:val="subscript"/>
        </w:rPr>
        <w:t>0-</w:t>
      </w:r>
      <w:r w:rsidRPr="00843A5E">
        <w:rPr>
          <w:rFonts w:hint="eastAsia"/>
          <w:vertAlign w:val="subscript"/>
        </w:rPr>
        <w:t>∞</w:t>
      </w:r>
      <w:r w:rsidRPr="00843A5E">
        <w:t xml:space="preserve"> and </w:t>
      </w:r>
      <w:proofErr w:type="spellStart"/>
      <w:r w:rsidRPr="00843A5E">
        <w:t>C</w:t>
      </w:r>
      <w:r w:rsidRPr="00843A5E">
        <w:rPr>
          <w:vertAlign w:val="subscript"/>
        </w:rPr>
        <w:t>max</w:t>
      </w:r>
      <w:proofErr w:type="spellEnd"/>
      <w:r w:rsidRPr="00843A5E">
        <w:t xml:space="preserve"> was 25% and 36% higher, respectively, for </w:t>
      </w:r>
      <w:proofErr w:type="spellStart"/>
      <w:r w:rsidRPr="00843A5E">
        <w:t>netupitant</w:t>
      </w:r>
      <w:proofErr w:type="spellEnd"/>
      <w:r w:rsidRPr="00843A5E">
        <w:t>, and 37% and 10% higher, respectively, for</w:t>
      </w:r>
      <w:r w:rsidR="00C235C5">
        <w:t xml:space="preserve"> </w:t>
      </w:r>
      <w:proofErr w:type="spellStart"/>
      <w:r w:rsidRPr="00843A5E">
        <w:t>palonosetron</w:t>
      </w:r>
      <w:proofErr w:type="spellEnd"/>
      <w:r w:rsidRPr="00843A5E">
        <w:t xml:space="preserve"> compared to those in healthy younger adults (22-45 years old). No dose adjustment is required for these patients.</w:t>
      </w:r>
      <w:r w:rsidR="0040213C">
        <w:t xml:space="preserve"> However, caution should be exercised when using AKYNZEO IV in patients over 75 years, due to the long half-life of the active substances and the limited experience in this population. </w:t>
      </w:r>
    </w:p>
    <w:p w14:paraId="1B3B7924" w14:textId="77777777" w:rsidR="0013332C" w:rsidRPr="008C7399" w:rsidRDefault="0013332C" w:rsidP="0013332C">
      <w:pPr>
        <w:pStyle w:val="Heading3"/>
      </w:pPr>
      <w:r w:rsidRPr="008C7399">
        <w:lastRenderedPageBreak/>
        <w:t>Paediatric use</w:t>
      </w:r>
    </w:p>
    <w:p w14:paraId="53A3248E" w14:textId="4E948A21" w:rsidR="0013332C" w:rsidRPr="007E73AB" w:rsidRDefault="0013332C" w:rsidP="0013332C">
      <w:pPr>
        <w:rPr>
          <w:sz w:val="28"/>
          <w:szCs w:val="28"/>
        </w:rPr>
      </w:pPr>
      <w:r w:rsidRPr="007E73AB">
        <w:t>The safety and efficacy of AKYNZEO</w:t>
      </w:r>
      <w:r w:rsidR="0040213C">
        <w:t xml:space="preserve"> IV</w:t>
      </w:r>
      <w:r w:rsidRPr="007E73AB">
        <w:t xml:space="preserve"> in children have not been established. No data are available.</w:t>
      </w:r>
    </w:p>
    <w:p w14:paraId="34BE4A8E" w14:textId="77777777" w:rsidR="0013332C" w:rsidRPr="00157A1C" w:rsidRDefault="0013332C" w:rsidP="0013332C">
      <w:pPr>
        <w:pStyle w:val="Heading3"/>
      </w:pPr>
      <w:r w:rsidRPr="00157A1C">
        <w:t>Effects on laboratory tests</w:t>
      </w:r>
    </w:p>
    <w:p w14:paraId="033F03CE" w14:textId="77777777" w:rsidR="0013332C" w:rsidRPr="006136A4" w:rsidRDefault="0013332C" w:rsidP="0013332C">
      <w:r>
        <w:t xml:space="preserve">No data available. </w:t>
      </w:r>
    </w:p>
    <w:p w14:paraId="23819DA0" w14:textId="77777777" w:rsidR="0013332C" w:rsidRPr="00157A1C" w:rsidRDefault="0013332C" w:rsidP="0013332C">
      <w:pPr>
        <w:pStyle w:val="Heading2"/>
      </w:pPr>
      <w:r w:rsidRPr="00157A1C">
        <w:t>Interactions with other medicines and other forms of interactions</w:t>
      </w:r>
    </w:p>
    <w:p w14:paraId="55609B8B" w14:textId="3F748D6D" w:rsidR="00CF70B0" w:rsidRDefault="00977FA9" w:rsidP="0013332C">
      <w:r>
        <w:t xml:space="preserve">When administered intravenously </w:t>
      </w:r>
      <w:proofErr w:type="spellStart"/>
      <w:r>
        <w:t>fosnetupitant</w:t>
      </w:r>
      <w:proofErr w:type="spellEnd"/>
      <w:r>
        <w:t xml:space="preserve"> is rapidly converted to </w:t>
      </w:r>
      <w:proofErr w:type="spellStart"/>
      <w:r>
        <w:t>netupitant</w:t>
      </w:r>
      <w:proofErr w:type="spellEnd"/>
      <w:r>
        <w:t xml:space="preserve">. Interactions with other medicinal products following administration of intravenous </w:t>
      </w:r>
      <w:proofErr w:type="spellStart"/>
      <w:r>
        <w:t>fosnetupitant</w:t>
      </w:r>
      <w:proofErr w:type="spellEnd"/>
      <w:r>
        <w:t xml:space="preserve"> are likely to occur with active substances that interact with oral </w:t>
      </w:r>
      <w:proofErr w:type="spellStart"/>
      <w:r>
        <w:t>netupitant</w:t>
      </w:r>
      <w:proofErr w:type="spellEnd"/>
      <w:r>
        <w:t xml:space="preserve">. </w:t>
      </w:r>
      <w:r w:rsidR="00BE4411">
        <w:t>The following information</w:t>
      </w:r>
      <w:r w:rsidR="00A865E5">
        <w:t xml:space="preserve">, relating to </w:t>
      </w:r>
      <w:proofErr w:type="spellStart"/>
      <w:r w:rsidR="00A865E5">
        <w:t>netupitant</w:t>
      </w:r>
      <w:proofErr w:type="spellEnd"/>
      <w:r w:rsidR="00A865E5">
        <w:t>,</w:t>
      </w:r>
      <w:r w:rsidR="00BE4411">
        <w:t xml:space="preserve"> was derived from studies conducted with oral </w:t>
      </w:r>
      <w:proofErr w:type="spellStart"/>
      <w:r w:rsidR="00BE4411">
        <w:t>netupitant</w:t>
      </w:r>
      <w:proofErr w:type="spellEnd"/>
      <w:r w:rsidR="00BE4411">
        <w:t xml:space="preserve"> and studies conducted with intravenous </w:t>
      </w:r>
      <w:proofErr w:type="spellStart"/>
      <w:r w:rsidR="00BE4411">
        <w:t>fosnetupitant</w:t>
      </w:r>
      <w:proofErr w:type="spellEnd"/>
      <w:r w:rsidR="00BE4411">
        <w:t xml:space="preserve">. </w:t>
      </w:r>
    </w:p>
    <w:p w14:paraId="28664A3C" w14:textId="53BAD23D" w:rsidR="005D48B1" w:rsidRDefault="0013332C" w:rsidP="0013332C">
      <w:r>
        <w:t xml:space="preserve">In humans, </w:t>
      </w:r>
      <w:proofErr w:type="spellStart"/>
      <w:r w:rsidRPr="001C0F1E">
        <w:t>netupitant</w:t>
      </w:r>
      <w:proofErr w:type="spellEnd"/>
      <w:r w:rsidRPr="001C0F1E">
        <w:t xml:space="preserve"> is eliminated mainly by hepatic metabolism mediated by CYP3A4 </w:t>
      </w:r>
      <w:r w:rsidRPr="003C38C0">
        <w:t xml:space="preserve">with a marginal renal excretion. At a dose of 300 mg in humans, </w:t>
      </w:r>
      <w:proofErr w:type="spellStart"/>
      <w:r w:rsidRPr="003C38C0">
        <w:t>netupitant</w:t>
      </w:r>
      <w:proofErr w:type="spellEnd"/>
      <w:r w:rsidRPr="003C38C0">
        <w:t xml:space="preserve"> is a substrate and moderate inhibitor of CYP3A4. </w:t>
      </w:r>
    </w:p>
    <w:p w14:paraId="055A7CF2" w14:textId="599E35C2" w:rsidR="00BE4411" w:rsidRPr="00BC3C6F" w:rsidRDefault="0013332C" w:rsidP="0013332C">
      <w:proofErr w:type="spellStart"/>
      <w:r w:rsidRPr="003C38C0">
        <w:t>Palonosetron</w:t>
      </w:r>
      <w:proofErr w:type="spellEnd"/>
      <w:r w:rsidRPr="003C38C0">
        <w:t xml:space="preserve"> is eliminated from the body through both renal excretion and metabolic pathways, with the latter mediated via multiple CYP enzymes.</w:t>
      </w:r>
      <w:r>
        <w:t xml:space="preserve"> </w:t>
      </w:r>
      <w:r w:rsidRPr="002538DE">
        <w:t xml:space="preserve">Further </w:t>
      </w:r>
      <w:r w:rsidRPr="000102E6">
        <w:rPr>
          <w:i/>
        </w:rPr>
        <w:t>in vitro</w:t>
      </w:r>
      <w:r w:rsidRPr="002538DE">
        <w:t xml:space="preserve"> studies indicated that </w:t>
      </w:r>
      <w:proofErr w:type="spellStart"/>
      <w:r w:rsidRPr="002538DE">
        <w:t>palonosetron</w:t>
      </w:r>
      <w:proofErr w:type="spellEnd"/>
      <w:r w:rsidRPr="002538DE">
        <w:t xml:space="preserve"> is</w:t>
      </w:r>
      <w:r>
        <w:t xml:space="preserve"> </w:t>
      </w:r>
      <w:r w:rsidRPr="002538DE">
        <w:t>not an inhibitor of CYP1A2, CYP2A6, CYP2B6, CYP2C9, CPY2D6, CYP2E1 and CYP3A4/5</w:t>
      </w:r>
      <w:r>
        <w:t xml:space="preserve"> </w:t>
      </w:r>
      <w:r w:rsidRPr="002538DE">
        <w:t>(CYP2C19 was not investigated) nor does it induce the activity of CYP1A2, CYP2D6, or CYP3A4/5</w:t>
      </w:r>
      <w:r w:rsidR="00EE6D4B">
        <w:t xml:space="preserve">. </w:t>
      </w:r>
      <w:r w:rsidRPr="00EE6D4B">
        <w:t>Therefore</w:t>
      </w:r>
      <w:r w:rsidRPr="002538DE">
        <w:t xml:space="preserve">, the potential for clinically significant drug interactions with </w:t>
      </w:r>
      <w:proofErr w:type="spellStart"/>
      <w:r w:rsidRPr="002538DE">
        <w:t>palonosetron</w:t>
      </w:r>
      <w:proofErr w:type="spellEnd"/>
      <w:r w:rsidRPr="002538DE">
        <w:t xml:space="preserve"> appears to be low.</w:t>
      </w:r>
    </w:p>
    <w:p w14:paraId="206A1CC0" w14:textId="0DEB5A45" w:rsidR="0013332C" w:rsidRPr="00840C5C" w:rsidRDefault="0013332C" w:rsidP="0013332C">
      <w:r w:rsidRPr="00840C5C">
        <w:t xml:space="preserve">Based on the </w:t>
      </w:r>
      <w:r w:rsidRPr="00840C5C">
        <w:rPr>
          <w:i/>
        </w:rPr>
        <w:t>in vitro</w:t>
      </w:r>
      <w:r w:rsidRPr="00840C5C">
        <w:t xml:space="preserve"> studies, </w:t>
      </w:r>
      <w:proofErr w:type="spellStart"/>
      <w:r w:rsidRPr="00840C5C">
        <w:t>netupitant</w:t>
      </w:r>
      <w:proofErr w:type="spellEnd"/>
      <w:r w:rsidRPr="00840C5C">
        <w:t xml:space="preserve"> and its metabolites are unlikely to have </w:t>
      </w:r>
      <w:r w:rsidRPr="00840C5C">
        <w:rPr>
          <w:i/>
        </w:rPr>
        <w:t>in vivo</w:t>
      </w:r>
      <w:r w:rsidRPr="00840C5C">
        <w:t xml:space="preserve"> drug-drug interactions via inhibition of CYP1A2, CYP2B6, CYP2C8, CYP2C9, CYP2C19, and CYP2D6 at the clinical dose of 300 mg.</w:t>
      </w:r>
    </w:p>
    <w:p w14:paraId="21DDA2D5" w14:textId="622F081D" w:rsidR="0013332C" w:rsidRPr="001C0F1E" w:rsidRDefault="0013332C" w:rsidP="0013332C">
      <w:proofErr w:type="spellStart"/>
      <w:r w:rsidRPr="00CD1579">
        <w:t>Netupitant</w:t>
      </w:r>
      <w:proofErr w:type="spellEnd"/>
      <w:r w:rsidRPr="00CD1579">
        <w:t xml:space="preserve"> and its metabolites, M1, M2 and M3, are not inducers of CYP1A2, </w:t>
      </w:r>
      <w:r w:rsidR="003B6140">
        <w:t xml:space="preserve">CYB2B6, </w:t>
      </w:r>
      <w:r w:rsidRPr="00CD1579">
        <w:t>CYP2C9, CYP2C19 and CYP3A4.</w:t>
      </w:r>
      <w:r>
        <w:t xml:space="preserve"> </w:t>
      </w:r>
      <w:r w:rsidRPr="003C38C0">
        <w:t xml:space="preserve">When AKYNZEO </w:t>
      </w:r>
      <w:r w:rsidR="00B73358">
        <w:t xml:space="preserve">IV </w:t>
      </w:r>
      <w:r w:rsidRPr="003C38C0">
        <w:t xml:space="preserve">is used concomitantly with another CYP3A4 inhibitor, </w:t>
      </w:r>
      <w:proofErr w:type="spellStart"/>
      <w:r w:rsidRPr="003C38C0">
        <w:t>netupitant</w:t>
      </w:r>
      <w:proofErr w:type="spellEnd"/>
      <w:r w:rsidRPr="003C38C0">
        <w:t xml:space="preserve"> plasma concentrations could be elevated. When AKYNZEO</w:t>
      </w:r>
      <w:r w:rsidRPr="001C0F1E">
        <w:t xml:space="preserve"> </w:t>
      </w:r>
      <w:r w:rsidR="003E2845">
        <w:t xml:space="preserve">IV </w:t>
      </w:r>
      <w:r w:rsidRPr="001C0F1E">
        <w:t xml:space="preserve">is used concomitantly with medications that induce CYP3A4 activity, </w:t>
      </w:r>
      <w:proofErr w:type="spellStart"/>
      <w:r w:rsidRPr="001C0F1E">
        <w:t>netupitant</w:t>
      </w:r>
      <w:proofErr w:type="spellEnd"/>
      <w:r w:rsidRPr="001C0F1E">
        <w:t xml:space="preserve"> plasma concentrations could be reduced and this may result in decreased efficacy of </w:t>
      </w:r>
      <w:r>
        <w:t>AKYNZEO</w:t>
      </w:r>
      <w:r w:rsidR="00373FB5">
        <w:t xml:space="preserve"> </w:t>
      </w:r>
      <w:r w:rsidR="00DF1F94">
        <w:t>IV</w:t>
      </w:r>
      <w:r w:rsidRPr="001C0F1E">
        <w:t xml:space="preserve">. </w:t>
      </w:r>
      <w:r>
        <w:t>AKYNZEO</w:t>
      </w:r>
      <w:r w:rsidR="00373FB5">
        <w:t xml:space="preserve"> </w:t>
      </w:r>
      <w:r w:rsidR="00DF1F94">
        <w:t>IV</w:t>
      </w:r>
      <w:r w:rsidRPr="001C0F1E">
        <w:t xml:space="preserve"> can increase plasma concentrations of concomitantly administered medications that are metaboli</w:t>
      </w:r>
      <w:r>
        <w:t>s</w:t>
      </w:r>
      <w:r w:rsidRPr="001C0F1E">
        <w:t>ed via CYP3A4.</w:t>
      </w:r>
    </w:p>
    <w:p w14:paraId="4EBC77E1" w14:textId="77777777" w:rsidR="0013332C" w:rsidRPr="00157A1C" w:rsidRDefault="0013332C" w:rsidP="0013332C">
      <w:pPr>
        <w:pStyle w:val="Heading3"/>
      </w:pPr>
      <w:r w:rsidRPr="00157A1C">
        <w:t xml:space="preserve">Interaction Between </w:t>
      </w:r>
      <w:proofErr w:type="spellStart"/>
      <w:r w:rsidRPr="00157A1C">
        <w:t>Netupitant</w:t>
      </w:r>
      <w:proofErr w:type="spellEnd"/>
      <w:r w:rsidRPr="00157A1C">
        <w:t xml:space="preserve"> and Oral </w:t>
      </w:r>
      <w:proofErr w:type="spellStart"/>
      <w:r w:rsidRPr="00157A1C">
        <w:t>Palonosetron</w:t>
      </w:r>
      <w:proofErr w:type="spellEnd"/>
    </w:p>
    <w:p w14:paraId="2F4FDCEA" w14:textId="77777777" w:rsidR="0013332C" w:rsidRPr="000102E6" w:rsidRDefault="0013332C" w:rsidP="0013332C">
      <w:r w:rsidRPr="001C0F1E">
        <w:t xml:space="preserve">No clinically relevant pharmacokinetic interactions have been observed </w:t>
      </w:r>
      <w:r w:rsidRPr="000102E6">
        <w:t xml:space="preserve">between oral </w:t>
      </w:r>
      <w:proofErr w:type="spellStart"/>
      <w:r w:rsidRPr="000102E6">
        <w:t>netupitant</w:t>
      </w:r>
      <w:proofErr w:type="spellEnd"/>
      <w:r w:rsidRPr="000102E6">
        <w:t xml:space="preserve"> and oral </w:t>
      </w:r>
      <w:proofErr w:type="spellStart"/>
      <w:r w:rsidRPr="000102E6">
        <w:t>palonosetron</w:t>
      </w:r>
      <w:proofErr w:type="spellEnd"/>
      <w:r w:rsidRPr="000102E6">
        <w:t>.</w:t>
      </w:r>
    </w:p>
    <w:p w14:paraId="25DABF3F" w14:textId="77777777" w:rsidR="0013332C" w:rsidRPr="00157A1C" w:rsidRDefault="0013332C" w:rsidP="0013332C">
      <w:pPr>
        <w:pStyle w:val="Heading3"/>
      </w:pPr>
      <w:r w:rsidRPr="00157A1C">
        <w:t>Interaction with CYP3A4 Substrates</w:t>
      </w:r>
    </w:p>
    <w:p w14:paraId="53E79D3E" w14:textId="717270C9" w:rsidR="0013332C" w:rsidRPr="000102E6" w:rsidRDefault="0013332C" w:rsidP="0013332C">
      <w:proofErr w:type="spellStart"/>
      <w:r w:rsidRPr="000102E6">
        <w:t>Netupitant</w:t>
      </w:r>
      <w:proofErr w:type="spellEnd"/>
      <w:r w:rsidR="009C2B79" w:rsidRPr="000102E6" w:rsidDel="009C2B79">
        <w:t xml:space="preserve"> </w:t>
      </w:r>
      <w:r w:rsidRPr="000102E6">
        <w:t>, is a moderate inhibitor of CYP3A4. AKYNZEO</w:t>
      </w:r>
      <w:r w:rsidR="00EA155A">
        <w:t xml:space="preserve"> IV</w:t>
      </w:r>
      <w:r w:rsidRPr="000102E6">
        <w:t xml:space="preserve"> should be used with caution in patients receiving concomitant medications that are primarily metaboli</w:t>
      </w:r>
      <w:r>
        <w:t>s</w:t>
      </w:r>
      <w:r w:rsidRPr="000102E6">
        <w:t xml:space="preserve">ed through CYP3A4. The plasma concentrations of CYP3A4 substrates can increase when co-administered with </w:t>
      </w:r>
      <w:r w:rsidRPr="000102E6">
        <w:lastRenderedPageBreak/>
        <w:t>AKYNZEO</w:t>
      </w:r>
      <w:r w:rsidR="00276B67">
        <w:t xml:space="preserve"> </w:t>
      </w:r>
      <w:r w:rsidR="001164C3">
        <w:t>IV</w:t>
      </w:r>
      <w:r w:rsidRPr="000102E6">
        <w:t xml:space="preserve">. </w:t>
      </w:r>
      <w:proofErr w:type="spellStart"/>
      <w:r>
        <w:t>Netupitant</w:t>
      </w:r>
      <w:proofErr w:type="spellEnd"/>
      <w:r>
        <w:t xml:space="preserve"> has a half-life of 88 hours. </w:t>
      </w:r>
      <w:r w:rsidRPr="000102E6">
        <w:t xml:space="preserve">The inhibitory effect on CYP3A4 can last </w:t>
      </w:r>
      <w:r>
        <w:t>over 4</w:t>
      </w:r>
      <w:r w:rsidRPr="000102E6">
        <w:t xml:space="preserve"> days.</w:t>
      </w:r>
    </w:p>
    <w:p w14:paraId="778826B1" w14:textId="77777777" w:rsidR="0013332C" w:rsidRPr="00157A1C" w:rsidRDefault="0013332C" w:rsidP="0013332C">
      <w:pPr>
        <w:pStyle w:val="Heading3"/>
      </w:pPr>
      <w:r w:rsidRPr="00157A1C">
        <w:t>Dexamethasone</w:t>
      </w:r>
    </w:p>
    <w:p w14:paraId="441A6180" w14:textId="6899E419" w:rsidR="007D2CDC" w:rsidRDefault="0013332C" w:rsidP="00581C45">
      <w:r w:rsidRPr="001C0F1E">
        <w:t xml:space="preserve">Co-administration of a single dose of </w:t>
      </w:r>
      <w:proofErr w:type="spellStart"/>
      <w:r w:rsidRPr="001C0F1E">
        <w:t>netupitant</w:t>
      </w:r>
      <w:proofErr w:type="spellEnd"/>
      <w:r w:rsidRPr="001C0F1E">
        <w:t xml:space="preserve"> (300 mg)</w:t>
      </w:r>
      <w:r w:rsidR="0059712C">
        <w:t xml:space="preserve"> </w:t>
      </w:r>
      <w:r w:rsidRPr="001C0F1E">
        <w:t xml:space="preserve">with a </w:t>
      </w:r>
      <w:r w:rsidRPr="00D01CA4">
        <w:t xml:space="preserve">dexamethasone regimen (20 mg on Day 1, followed by 8 mg </w:t>
      </w:r>
      <w:r w:rsidR="00EA155A">
        <w:t>twice daily</w:t>
      </w:r>
      <w:r w:rsidRPr="00D01CA4">
        <w:t xml:space="preserve"> from Day 2 to Day 4) significantly increased the exposure to dexamethasone in a time and dose dependent manner. During the 4-day treatment period,</w:t>
      </w:r>
      <w:r w:rsidRPr="00D01CA4">
        <w:rPr>
          <w:rFonts w:hint="eastAsia"/>
        </w:rPr>
        <w:t xml:space="preserve"> </w:t>
      </w:r>
      <w:r w:rsidRPr="00D01CA4">
        <w:t>increase of dexamethasone exposure, as expressed by the AUC, ranged from 1.7</w:t>
      </w:r>
      <w:r w:rsidRPr="00D01CA4">
        <w:rPr>
          <w:rFonts w:hint="eastAsia"/>
        </w:rPr>
        <w:t xml:space="preserve"> to</w:t>
      </w:r>
      <w:r w:rsidRPr="00D01CA4">
        <w:t xml:space="preserve"> 2.4-fold</w:t>
      </w:r>
      <w:r>
        <w:t xml:space="preserve"> </w:t>
      </w:r>
      <w:r w:rsidRPr="001C0F1E">
        <w:t xml:space="preserve">with co-administration of 300 mg </w:t>
      </w:r>
      <w:proofErr w:type="spellStart"/>
      <w:r w:rsidRPr="001C0F1E">
        <w:t>netupitant</w:t>
      </w:r>
      <w:proofErr w:type="spellEnd"/>
      <w:r w:rsidRPr="001C0F1E">
        <w:t xml:space="preserve">. </w:t>
      </w:r>
      <w:r w:rsidRPr="0097715B">
        <w:rPr>
          <w:rFonts w:hint="eastAsia"/>
        </w:rPr>
        <w:t xml:space="preserve">Similarly, </w:t>
      </w:r>
      <w:r>
        <w:t xml:space="preserve">increase of </w:t>
      </w:r>
      <w:proofErr w:type="spellStart"/>
      <w:r w:rsidRPr="0097715B">
        <w:rPr>
          <w:rFonts w:hint="eastAsia"/>
        </w:rPr>
        <w:t>C</w:t>
      </w:r>
      <w:r w:rsidRPr="003D792E">
        <w:rPr>
          <w:rFonts w:hint="eastAsia"/>
          <w:vertAlign w:val="subscript"/>
        </w:rPr>
        <w:t>max</w:t>
      </w:r>
      <w:proofErr w:type="spellEnd"/>
      <w:r w:rsidRPr="0097715B">
        <w:rPr>
          <w:rFonts w:hint="eastAsia"/>
        </w:rPr>
        <w:t xml:space="preserve"> and </w:t>
      </w:r>
      <w:proofErr w:type="spellStart"/>
      <w:r w:rsidRPr="0097715B">
        <w:rPr>
          <w:rFonts w:hint="eastAsia"/>
        </w:rPr>
        <w:t>C</w:t>
      </w:r>
      <w:r w:rsidRPr="003D792E">
        <w:rPr>
          <w:rFonts w:hint="eastAsia"/>
          <w:vertAlign w:val="subscript"/>
        </w:rPr>
        <w:t>min</w:t>
      </w:r>
      <w:proofErr w:type="spellEnd"/>
      <w:r w:rsidRPr="0097715B">
        <w:rPr>
          <w:rFonts w:hint="eastAsia"/>
        </w:rPr>
        <w:t xml:space="preserve"> </w:t>
      </w:r>
      <w:r>
        <w:t>ranged</w:t>
      </w:r>
      <w:r w:rsidRPr="0097715B">
        <w:rPr>
          <w:rFonts w:hint="eastAsia"/>
        </w:rPr>
        <w:t xml:space="preserve"> </w:t>
      </w:r>
      <w:r>
        <w:t>from 1.1</w:t>
      </w:r>
      <w:r w:rsidRPr="0097715B">
        <w:rPr>
          <w:rFonts w:hint="eastAsia"/>
        </w:rPr>
        <w:t xml:space="preserve"> to 1.7-</w:t>
      </w:r>
      <w:r>
        <w:t>fold</w:t>
      </w:r>
      <w:r w:rsidRPr="0097715B">
        <w:rPr>
          <w:rFonts w:hint="eastAsia"/>
        </w:rPr>
        <w:t xml:space="preserve"> and </w:t>
      </w:r>
      <w:r>
        <w:t>from 3.5 to 5.1</w:t>
      </w:r>
      <w:r>
        <w:rPr>
          <w:rFonts w:hint="eastAsia"/>
        </w:rPr>
        <w:t>-fold, respectively</w:t>
      </w:r>
      <w:r w:rsidRPr="001C0F1E">
        <w:t>.</w:t>
      </w:r>
      <w:r w:rsidR="00731452">
        <w:t xml:space="preserve"> </w:t>
      </w:r>
    </w:p>
    <w:p w14:paraId="6F718BBC" w14:textId="3B41BEB2" w:rsidR="00731452" w:rsidRPr="00731452" w:rsidRDefault="007C6067" w:rsidP="00581C45">
      <w:r>
        <w:t xml:space="preserve">Co-administration of a single intravenous dose of </w:t>
      </w:r>
      <w:proofErr w:type="spellStart"/>
      <w:r>
        <w:t>fosnetupitant</w:t>
      </w:r>
      <w:proofErr w:type="spellEnd"/>
      <w:r>
        <w:t xml:space="preserve"> with dexamethasone significantly increased exposure to dexamethasone. The mean AUC of dexamethasone increased by 1.5 fold on Day 1 and 2.4 fold on Day 4 after 260 mg </w:t>
      </w:r>
      <w:proofErr w:type="spellStart"/>
      <w:r>
        <w:t>fosnetupitant</w:t>
      </w:r>
      <w:proofErr w:type="spellEnd"/>
      <w:r>
        <w:t xml:space="preserve">. Considering the limited </w:t>
      </w:r>
      <w:proofErr w:type="spellStart"/>
      <w:r>
        <w:t>fosnetupitant</w:t>
      </w:r>
      <w:proofErr w:type="spellEnd"/>
      <w:r>
        <w:t xml:space="preserve"> exposure in human plasma and its fast conversion to </w:t>
      </w:r>
      <w:proofErr w:type="spellStart"/>
      <w:r>
        <w:t>netupitant</w:t>
      </w:r>
      <w:proofErr w:type="spellEnd"/>
      <w:r>
        <w:t xml:space="preserve">, the effects are ascribed to </w:t>
      </w:r>
      <w:proofErr w:type="spellStart"/>
      <w:r>
        <w:t>netupitant</w:t>
      </w:r>
      <w:proofErr w:type="spellEnd"/>
      <w:r>
        <w:t xml:space="preserve"> </w:t>
      </w:r>
    </w:p>
    <w:p w14:paraId="0C2603B4" w14:textId="77777777" w:rsidR="0013332C" w:rsidRPr="00157A1C" w:rsidRDefault="0013332C" w:rsidP="0013332C">
      <w:pPr>
        <w:pStyle w:val="Heading3"/>
      </w:pPr>
      <w:r w:rsidRPr="00157A1C">
        <w:t>Interaction with Chemotherapeutic Agents (Docetaxel, Etoposide, Cyclophosphamide)</w:t>
      </w:r>
    </w:p>
    <w:p w14:paraId="2968C43E" w14:textId="24B4CB89" w:rsidR="0013332C" w:rsidRPr="00CF2414" w:rsidRDefault="0013332C" w:rsidP="0013332C">
      <w:r w:rsidRPr="00462127">
        <w:t>The systemic exposure of chemotherapy agents metaboli</w:t>
      </w:r>
      <w:r>
        <w:t>s</w:t>
      </w:r>
      <w:r w:rsidRPr="00462127">
        <w:t>ed by CYP3A4 can increase when administered with AKYNZEO</w:t>
      </w:r>
      <w:r w:rsidR="00617C2C">
        <w:t xml:space="preserve"> </w:t>
      </w:r>
      <w:r w:rsidR="004702C9">
        <w:t>IV</w:t>
      </w:r>
      <w:r w:rsidRPr="00462127">
        <w:t>.</w:t>
      </w:r>
      <w:r>
        <w:t xml:space="preserve"> </w:t>
      </w:r>
      <w:r w:rsidRPr="00462127">
        <w:t>Chemotherapy agents that are known to be metaboli</w:t>
      </w:r>
      <w:r>
        <w:t>s</w:t>
      </w:r>
      <w:r w:rsidRPr="00462127">
        <w:t xml:space="preserve">ed by CYP3A4 include docetaxel, paclitaxel, etoposide, </w:t>
      </w:r>
      <w:proofErr w:type="spellStart"/>
      <w:r w:rsidRPr="00462127">
        <w:t>irinotecan</w:t>
      </w:r>
      <w:proofErr w:type="spellEnd"/>
      <w:r w:rsidRPr="00462127">
        <w:t xml:space="preserve">, cyclophosphamide, </w:t>
      </w:r>
      <w:proofErr w:type="spellStart"/>
      <w:r w:rsidRPr="00462127">
        <w:t>ifosfamide</w:t>
      </w:r>
      <w:proofErr w:type="spellEnd"/>
      <w:r w:rsidRPr="00462127">
        <w:t xml:space="preserve">, </w:t>
      </w:r>
      <w:proofErr w:type="spellStart"/>
      <w:r w:rsidRPr="00462127">
        <w:t>imatinib</w:t>
      </w:r>
      <w:proofErr w:type="spellEnd"/>
      <w:r w:rsidRPr="00462127">
        <w:t xml:space="preserve">, </w:t>
      </w:r>
      <w:proofErr w:type="spellStart"/>
      <w:r w:rsidRPr="00462127">
        <w:t>vinorelbine</w:t>
      </w:r>
      <w:proofErr w:type="spellEnd"/>
      <w:r w:rsidRPr="00462127">
        <w:t>, vinblastine, and vincristine</w:t>
      </w:r>
      <w:r>
        <w:t xml:space="preserve">. </w:t>
      </w:r>
      <w:r w:rsidRPr="00462127">
        <w:rPr>
          <w:i/>
        </w:rPr>
        <w:t xml:space="preserve"> </w:t>
      </w:r>
      <w:r w:rsidRPr="001C0F1E">
        <w:t xml:space="preserve">Exposure to docetaxel and etoposide was increased </w:t>
      </w:r>
      <w:r w:rsidRPr="00FA23B7">
        <w:t>37%</w:t>
      </w:r>
      <w:r w:rsidRPr="001C0F1E">
        <w:t xml:space="preserve"> and </w:t>
      </w:r>
      <w:r w:rsidRPr="00FA23B7">
        <w:t>21</w:t>
      </w:r>
      <w:r w:rsidRPr="001C0F1E">
        <w:t xml:space="preserve">%, respectively, when co-administered with </w:t>
      </w:r>
      <w:r>
        <w:t>AKYNZEO</w:t>
      </w:r>
      <w:r w:rsidR="00617C2C">
        <w:t xml:space="preserve"> </w:t>
      </w:r>
      <w:r w:rsidR="00153B3F">
        <w:t>capsules</w:t>
      </w:r>
      <w:r w:rsidRPr="001C0F1E">
        <w:t xml:space="preserve">. </w:t>
      </w:r>
      <w:r>
        <w:t>Caution and monitoring for chemotherapeutic related adverse reactions are advised in patients receiving chemotherapy agents metaboli</w:t>
      </w:r>
      <w:r w:rsidR="001C32D6">
        <w:t>s</w:t>
      </w:r>
      <w:r>
        <w:t xml:space="preserve">ed primarily by CYP3A4. </w:t>
      </w:r>
      <w:r w:rsidRPr="001C0F1E">
        <w:t xml:space="preserve">No consistent effect was seen with cyclophosphamide after </w:t>
      </w:r>
      <w:proofErr w:type="spellStart"/>
      <w:r w:rsidRPr="001C0F1E">
        <w:t>netupitant</w:t>
      </w:r>
      <w:proofErr w:type="spellEnd"/>
      <w:r w:rsidRPr="001C0F1E">
        <w:t xml:space="preserve"> co-administration.</w:t>
      </w:r>
    </w:p>
    <w:p w14:paraId="333D4CAD" w14:textId="77777777" w:rsidR="0013332C" w:rsidRPr="00157A1C" w:rsidRDefault="0013332C" w:rsidP="0013332C">
      <w:pPr>
        <w:pStyle w:val="Heading3"/>
      </w:pPr>
      <w:r w:rsidRPr="00157A1C">
        <w:t>Interaction with Oral Contraceptives</w:t>
      </w:r>
    </w:p>
    <w:p w14:paraId="51B34DA2" w14:textId="0805F280" w:rsidR="0013332C" w:rsidRPr="00CF2414" w:rsidRDefault="0013332C" w:rsidP="0013332C">
      <w:pPr>
        <w:rPr>
          <w:i/>
        </w:rPr>
      </w:pPr>
      <w:r>
        <w:t>AKYNZEO</w:t>
      </w:r>
      <w:r w:rsidR="00617C2C">
        <w:t xml:space="preserve"> capsules</w:t>
      </w:r>
      <w:r w:rsidRPr="001C0F1E">
        <w:t xml:space="preserve">, when given with a single oral dose of 60 </w:t>
      </w:r>
      <w:r>
        <w:t>microgram</w:t>
      </w:r>
      <w:r w:rsidRPr="001C0F1E">
        <w:t xml:space="preserve"> ethinylestradiol and 300</w:t>
      </w:r>
      <w:r>
        <w:t xml:space="preserve"> microgram</w:t>
      </w:r>
      <w:r w:rsidRPr="001C0F1E">
        <w:t xml:space="preserve"> </w:t>
      </w:r>
      <w:proofErr w:type="spellStart"/>
      <w:r w:rsidRPr="001C0F1E">
        <w:t>levonorgestrel</w:t>
      </w:r>
      <w:proofErr w:type="spellEnd"/>
      <w:r w:rsidRPr="001C0F1E">
        <w:t xml:space="preserve"> had no significant effect on the AUC of ethinylestradiol and increased the AUC </w:t>
      </w:r>
      <w:r>
        <w:t>of</w:t>
      </w:r>
      <w:r w:rsidRPr="001C0F1E">
        <w:t xml:space="preserve"> </w:t>
      </w:r>
      <w:proofErr w:type="spellStart"/>
      <w:r w:rsidRPr="001C0F1E">
        <w:t>levonorgestrel</w:t>
      </w:r>
      <w:proofErr w:type="spellEnd"/>
      <w:r w:rsidRPr="001C0F1E">
        <w:t xml:space="preserve"> by 1.4-fold; clinical effects on the efficacy of hormonal contraception are unlikely. No relevant changes </w:t>
      </w:r>
      <w:r>
        <w:t>in</w:t>
      </w:r>
      <w:r w:rsidRPr="001C0F1E">
        <w:t xml:space="preserve"> </w:t>
      </w:r>
      <w:proofErr w:type="spellStart"/>
      <w:r w:rsidRPr="001C0F1E">
        <w:t>netupitant</w:t>
      </w:r>
      <w:proofErr w:type="spellEnd"/>
      <w:r w:rsidRPr="001C0F1E">
        <w:t xml:space="preserve"> and </w:t>
      </w:r>
      <w:proofErr w:type="spellStart"/>
      <w:r w:rsidRPr="001C0F1E">
        <w:t>palonosetron</w:t>
      </w:r>
      <w:proofErr w:type="spellEnd"/>
      <w:r w:rsidRPr="001C0F1E">
        <w:t xml:space="preserve"> pharmacokinetics were observed.</w:t>
      </w:r>
    </w:p>
    <w:p w14:paraId="66B60FF3" w14:textId="77777777" w:rsidR="0013332C" w:rsidRPr="00157A1C" w:rsidRDefault="0013332C" w:rsidP="0013332C">
      <w:pPr>
        <w:pStyle w:val="Heading3"/>
      </w:pPr>
      <w:r w:rsidRPr="00157A1C">
        <w:t>Erythromycin and Midazolam</w:t>
      </w:r>
    </w:p>
    <w:p w14:paraId="718EBDC8" w14:textId="636EDFD6" w:rsidR="0013332C" w:rsidRPr="00CC5128" w:rsidRDefault="0013332C" w:rsidP="0013332C">
      <w:pPr>
        <w:rPr>
          <w:color w:val="000000"/>
        </w:rPr>
      </w:pPr>
      <w:r w:rsidRPr="001C0F1E">
        <w:t xml:space="preserve">Exposure to erythromycin and midazolam was increased approximately 1.3 and 2.4 fold, respectively, when each was co-administered with </w:t>
      </w:r>
      <w:proofErr w:type="spellStart"/>
      <w:r w:rsidRPr="001C0F1E">
        <w:t>netupitant</w:t>
      </w:r>
      <w:proofErr w:type="spellEnd"/>
      <w:r w:rsidRPr="001C0F1E">
        <w:t xml:space="preserve">. The pharmacokinetic profile of </w:t>
      </w:r>
      <w:proofErr w:type="spellStart"/>
      <w:r w:rsidRPr="001C0F1E">
        <w:t>netupitant</w:t>
      </w:r>
      <w:proofErr w:type="spellEnd"/>
      <w:r w:rsidRPr="001C0F1E">
        <w:t xml:space="preserve"> was unaffected by the concomitant administration of either midazolam or erythromycin. </w:t>
      </w:r>
      <w:r w:rsidRPr="001C0F1E">
        <w:rPr>
          <w:color w:val="000000"/>
        </w:rPr>
        <w:t xml:space="preserve">The potential effects of increased plasma concentrations of midazolam or other </w:t>
      </w:r>
      <w:r w:rsidRPr="002507C9">
        <w:rPr>
          <w:color w:val="000000"/>
        </w:rPr>
        <w:t xml:space="preserve">benzodiazepines metabolised via CYP3A4 (alprazolam, </w:t>
      </w:r>
      <w:proofErr w:type="spellStart"/>
      <w:r w:rsidRPr="002507C9">
        <w:rPr>
          <w:color w:val="000000"/>
        </w:rPr>
        <w:t>triazolam</w:t>
      </w:r>
      <w:proofErr w:type="spellEnd"/>
      <w:r w:rsidRPr="002507C9">
        <w:rPr>
          <w:color w:val="000000"/>
        </w:rPr>
        <w:t>) should be considered when co</w:t>
      </w:r>
      <w:r>
        <w:rPr>
          <w:color w:val="000000"/>
        </w:rPr>
        <w:t>-</w:t>
      </w:r>
      <w:r w:rsidRPr="002507C9">
        <w:rPr>
          <w:color w:val="000000"/>
        </w:rPr>
        <w:t>administering these agents with AKYNZEO</w:t>
      </w:r>
      <w:r w:rsidR="0022601B">
        <w:rPr>
          <w:color w:val="000000"/>
        </w:rPr>
        <w:t xml:space="preserve"> IV</w:t>
      </w:r>
      <w:r w:rsidRPr="002507C9">
        <w:rPr>
          <w:color w:val="000000"/>
        </w:rPr>
        <w:t>.</w:t>
      </w:r>
    </w:p>
    <w:p w14:paraId="0C13A010" w14:textId="77777777" w:rsidR="0013332C" w:rsidRPr="00157A1C" w:rsidRDefault="0013332C" w:rsidP="0013332C">
      <w:pPr>
        <w:pStyle w:val="Heading3"/>
      </w:pPr>
      <w:r w:rsidRPr="00157A1C">
        <w:t>Rifampicin</w:t>
      </w:r>
    </w:p>
    <w:p w14:paraId="67F049C5" w14:textId="2518CF20" w:rsidR="0013332C" w:rsidRPr="00CC5128" w:rsidRDefault="0013332C" w:rsidP="0013332C">
      <w:pPr>
        <w:rPr>
          <w:rFonts w:eastAsia="Batang"/>
          <w:lang w:eastAsia="ko-KR"/>
        </w:rPr>
      </w:pPr>
      <w:r w:rsidRPr="00CC5128">
        <w:t xml:space="preserve">Single dose AKYNZEO </w:t>
      </w:r>
      <w:r w:rsidR="00F34CD5">
        <w:t xml:space="preserve">capsule </w:t>
      </w:r>
      <w:r w:rsidRPr="00CC5128">
        <w:t xml:space="preserve">was administered with rifampicin, </w:t>
      </w:r>
      <w:r w:rsidRPr="00CC5128">
        <w:rPr>
          <w:rFonts w:eastAsia="Batang"/>
          <w:lang w:eastAsia="ko-KR"/>
        </w:rPr>
        <w:t xml:space="preserve">a strong CYP3A4 inducer, </w:t>
      </w:r>
      <w:r w:rsidRPr="00CC5128">
        <w:t>following once daily administration of 600 mg rifampicin</w:t>
      </w:r>
      <w:r w:rsidRPr="00CC5128">
        <w:rPr>
          <w:rFonts w:eastAsia="Batang"/>
          <w:lang w:eastAsia="ko-KR"/>
        </w:rPr>
        <w:t xml:space="preserve"> </w:t>
      </w:r>
      <w:r w:rsidRPr="00CC5128">
        <w:t xml:space="preserve">for 17 days. Pharmacokinetics of </w:t>
      </w:r>
      <w:proofErr w:type="spellStart"/>
      <w:r w:rsidRPr="00CC5128">
        <w:t>netupitant</w:t>
      </w:r>
      <w:proofErr w:type="spellEnd"/>
      <w:r w:rsidRPr="00CC5128">
        <w:t xml:space="preserve"> and </w:t>
      </w:r>
      <w:proofErr w:type="spellStart"/>
      <w:r w:rsidRPr="00CC5128">
        <w:t>palonosetron</w:t>
      </w:r>
      <w:proofErr w:type="spellEnd"/>
      <w:r w:rsidRPr="00CC5128">
        <w:t xml:space="preserve"> were compared to that after administration of AKYNZEO</w:t>
      </w:r>
      <w:r w:rsidR="007C00AE">
        <w:t xml:space="preserve"> capsules</w:t>
      </w:r>
      <w:r w:rsidRPr="00CC5128">
        <w:t xml:space="preserve"> </w:t>
      </w:r>
      <w:r w:rsidRPr="00CC5128">
        <w:lastRenderedPageBreak/>
        <w:t xml:space="preserve">alone. </w:t>
      </w:r>
      <w:r w:rsidRPr="00CC5128">
        <w:rPr>
          <w:rFonts w:eastAsia="Batang"/>
          <w:lang w:eastAsia="ko-KR"/>
        </w:rPr>
        <w:t xml:space="preserve">Co-administration of rifampicin decreased the mean </w:t>
      </w:r>
      <w:proofErr w:type="spellStart"/>
      <w:r w:rsidRPr="00CC5128">
        <w:rPr>
          <w:rFonts w:eastAsia="Batang"/>
          <w:lang w:eastAsia="ko-KR"/>
        </w:rPr>
        <w:t>C</w:t>
      </w:r>
      <w:r w:rsidRPr="00CC5128">
        <w:rPr>
          <w:rFonts w:eastAsia="Batang"/>
          <w:vertAlign w:val="subscript"/>
          <w:lang w:eastAsia="ko-KR"/>
        </w:rPr>
        <w:t>max</w:t>
      </w:r>
      <w:proofErr w:type="spellEnd"/>
      <w:r w:rsidRPr="00CC5128">
        <w:rPr>
          <w:rFonts w:eastAsia="Batang"/>
          <w:lang w:eastAsia="ko-KR"/>
        </w:rPr>
        <w:t xml:space="preserve"> and AUC</w:t>
      </w:r>
      <w:r w:rsidRPr="00CC5128">
        <w:rPr>
          <w:rFonts w:eastAsia="Batang"/>
          <w:vertAlign w:val="subscript"/>
          <w:lang w:eastAsia="ko-KR"/>
        </w:rPr>
        <w:t>0-∞</w:t>
      </w:r>
      <w:r w:rsidRPr="00CC5128">
        <w:rPr>
          <w:rFonts w:eastAsia="Batang"/>
          <w:lang w:eastAsia="ko-KR"/>
        </w:rPr>
        <w:t xml:space="preserve"> of </w:t>
      </w:r>
      <w:proofErr w:type="spellStart"/>
      <w:r w:rsidRPr="00CC5128">
        <w:rPr>
          <w:rFonts w:eastAsia="Batang"/>
          <w:lang w:eastAsia="ko-KR"/>
        </w:rPr>
        <w:t>netupitant</w:t>
      </w:r>
      <w:proofErr w:type="spellEnd"/>
      <w:r w:rsidRPr="00CC5128">
        <w:rPr>
          <w:rFonts w:eastAsia="Batang"/>
          <w:lang w:eastAsia="ko-KR"/>
        </w:rPr>
        <w:t xml:space="preserve"> by 62% and 82%, respectively, compared to those after AKYNZEO</w:t>
      </w:r>
      <w:r w:rsidR="00A0062C">
        <w:rPr>
          <w:rFonts w:eastAsia="Batang"/>
          <w:lang w:eastAsia="ko-KR"/>
        </w:rPr>
        <w:t xml:space="preserve"> capsule</w:t>
      </w:r>
      <w:r w:rsidRPr="00CC5128">
        <w:rPr>
          <w:rFonts w:eastAsia="Batang"/>
          <w:lang w:eastAsia="ko-KR"/>
        </w:rPr>
        <w:t xml:space="preserve"> alone. Co-administration of rifampicin decreased the mean </w:t>
      </w:r>
      <w:proofErr w:type="spellStart"/>
      <w:r w:rsidRPr="00CC5128">
        <w:rPr>
          <w:rFonts w:eastAsia="Batang"/>
          <w:lang w:eastAsia="ko-KR"/>
        </w:rPr>
        <w:t>C</w:t>
      </w:r>
      <w:r w:rsidRPr="00CC5128">
        <w:rPr>
          <w:rFonts w:eastAsia="Batang"/>
          <w:vertAlign w:val="subscript"/>
          <w:lang w:eastAsia="ko-KR"/>
        </w:rPr>
        <w:t>max</w:t>
      </w:r>
      <w:proofErr w:type="spellEnd"/>
      <w:r w:rsidRPr="00CC5128">
        <w:rPr>
          <w:rFonts w:eastAsia="Batang"/>
          <w:lang w:eastAsia="ko-KR"/>
        </w:rPr>
        <w:t xml:space="preserve"> and AUC for </w:t>
      </w:r>
      <w:proofErr w:type="spellStart"/>
      <w:r w:rsidRPr="00CC5128">
        <w:rPr>
          <w:rFonts w:eastAsia="Batang"/>
          <w:lang w:eastAsia="ko-KR"/>
        </w:rPr>
        <w:t>palonosetron</w:t>
      </w:r>
      <w:proofErr w:type="spellEnd"/>
      <w:r w:rsidRPr="00CC5128">
        <w:rPr>
          <w:rFonts w:eastAsia="Batang"/>
          <w:lang w:eastAsia="ko-KR"/>
        </w:rPr>
        <w:t xml:space="preserve"> by 15% and 19%, respectively. Co-administration of a strong CYP3A4 inducer can therefore decrease the efficacy of AKYNZEO</w:t>
      </w:r>
      <w:r w:rsidR="00F34CD5">
        <w:rPr>
          <w:rFonts w:eastAsia="Batang"/>
          <w:lang w:eastAsia="ko-KR"/>
        </w:rPr>
        <w:t xml:space="preserve"> IV</w:t>
      </w:r>
      <w:r w:rsidRPr="00CC5128">
        <w:rPr>
          <w:rFonts w:eastAsia="Batang"/>
          <w:lang w:eastAsia="ko-KR"/>
        </w:rPr>
        <w:t>.</w:t>
      </w:r>
      <w:r w:rsidR="00806296">
        <w:rPr>
          <w:rFonts w:eastAsia="Batang"/>
          <w:lang w:eastAsia="ko-KR"/>
        </w:rPr>
        <w:t xml:space="preserve"> </w:t>
      </w:r>
    </w:p>
    <w:p w14:paraId="084B011B" w14:textId="77777777" w:rsidR="0013332C" w:rsidRPr="00157A1C" w:rsidRDefault="0013332C" w:rsidP="0013332C">
      <w:pPr>
        <w:pStyle w:val="Heading3"/>
      </w:pPr>
      <w:r w:rsidRPr="00157A1C">
        <w:t>Ketoconazole</w:t>
      </w:r>
    </w:p>
    <w:p w14:paraId="407629EC" w14:textId="46F0FBD2" w:rsidR="0013332C" w:rsidRDefault="0041194F" w:rsidP="0013332C">
      <w:pPr>
        <w:rPr>
          <w:rFonts w:eastAsia="Batang"/>
          <w:lang w:eastAsia="ko-KR"/>
        </w:rPr>
      </w:pPr>
      <w:r>
        <w:t>A s</w:t>
      </w:r>
      <w:r w:rsidR="0013332C" w:rsidRPr="0068352F">
        <w:t>ingle dose AKYNZEO</w:t>
      </w:r>
      <w:r w:rsidR="00B237A4">
        <w:t xml:space="preserve"> capsule</w:t>
      </w:r>
      <w:r w:rsidR="0013332C" w:rsidRPr="0068352F">
        <w:t xml:space="preserve"> was administered with ketoconazole, a </w:t>
      </w:r>
      <w:r w:rsidR="0013332C" w:rsidRPr="0068352F">
        <w:rPr>
          <w:rFonts w:eastAsia="Batang"/>
          <w:lang w:eastAsia="ko-KR"/>
        </w:rPr>
        <w:t xml:space="preserve">strong CYP3A4 inhibitor, </w:t>
      </w:r>
      <w:r w:rsidR="0013332C" w:rsidRPr="0068352F">
        <w:t>following once daily administration of 400 mg ketoconazole for 12 days. Pharmacokinetics</w:t>
      </w:r>
      <w:r w:rsidR="0013332C" w:rsidRPr="0068352F">
        <w:rPr>
          <w:rFonts w:eastAsia="Batang"/>
          <w:lang w:eastAsia="ko-KR"/>
        </w:rPr>
        <w:t xml:space="preserve"> of </w:t>
      </w:r>
      <w:proofErr w:type="spellStart"/>
      <w:r w:rsidR="0013332C" w:rsidRPr="0068352F">
        <w:rPr>
          <w:rFonts w:eastAsia="Batang"/>
          <w:lang w:eastAsia="ko-KR"/>
        </w:rPr>
        <w:t>netupitant</w:t>
      </w:r>
      <w:proofErr w:type="spellEnd"/>
      <w:r w:rsidR="0013332C" w:rsidRPr="0068352F">
        <w:rPr>
          <w:rFonts w:eastAsia="Batang"/>
          <w:lang w:eastAsia="ko-KR"/>
        </w:rPr>
        <w:t xml:space="preserve"> and </w:t>
      </w:r>
      <w:proofErr w:type="spellStart"/>
      <w:r w:rsidR="0013332C" w:rsidRPr="0068352F">
        <w:rPr>
          <w:rFonts w:eastAsia="Batang"/>
          <w:lang w:eastAsia="ko-KR"/>
        </w:rPr>
        <w:t>palonosetron</w:t>
      </w:r>
      <w:proofErr w:type="spellEnd"/>
      <w:r w:rsidR="0013332C" w:rsidRPr="0068352F">
        <w:rPr>
          <w:rFonts w:eastAsia="Batang"/>
          <w:lang w:eastAsia="ko-KR"/>
        </w:rPr>
        <w:t xml:space="preserve"> were compared to that after administration of AKYNZEO </w:t>
      </w:r>
      <w:r>
        <w:rPr>
          <w:rFonts w:eastAsia="Batang"/>
          <w:lang w:eastAsia="ko-KR"/>
        </w:rPr>
        <w:t xml:space="preserve">capsule </w:t>
      </w:r>
      <w:r w:rsidR="0013332C" w:rsidRPr="0068352F">
        <w:rPr>
          <w:rFonts w:eastAsia="Batang"/>
          <w:lang w:eastAsia="ko-KR"/>
        </w:rPr>
        <w:t xml:space="preserve">alone. Co-administration with ketoconazole increased mean </w:t>
      </w:r>
      <w:proofErr w:type="spellStart"/>
      <w:r w:rsidR="0013332C" w:rsidRPr="0068352F">
        <w:rPr>
          <w:rFonts w:eastAsia="Batang"/>
          <w:lang w:eastAsia="ko-KR"/>
        </w:rPr>
        <w:t>C</w:t>
      </w:r>
      <w:r w:rsidR="0013332C" w:rsidRPr="0068352F">
        <w:rPr>
          <w:rFonts w:eastAsia="Batang"/>
          <w:vertAlign w:val="subscript"/>
          <w:lang w:eastAsia="ko-KR"/>
        </w:rPr>
        <w:t>max</w:t>
      </w:r>
      <w:proofErr w:type="spellEnd"/>
      <w:r w:rsidR="0013332C" w:rsidRPr="0068352F">
        <w:rPr>
          <w:rFonts w:eastAsia="Batang"/>
          <w:lang w:eastAsia="ko-KR"/>
        </w:rPr>
        <w:t xml:space="preserve"> and AUC of </w:t>
      </w:r>
      <w:proofErr w:type="spellStart"/>
      <w:r w:rsidR="0013332C" w:rsidRPr="0068352F">
        <w:rPr>
          <w:rFonts w:eastAsia="Batang"/>
          <w:lang w:eastAsia="ko-KR"/>
        </w:rPr>
        <w:t>netupitant</w:t>
      </w:r>
      <w:proofErr w:type="spellEnd"/>
      <w:r w:rsidR="0013332C" w:rsidRPr="0068352F">
        <w:rPr>
          <w:rFonts w:eastAsia="Batang"/>
          <w:lang w:eastAsia="ko-KR"/>
        </w:rPr>
        <w:t xml:space="preserve"> by 25% and 140%, respectively, compared to those after administration of AKYNZEO </w:t>
      </w:r>
      <w:r>
        <w:rPr>
          <w:rFonts w:eastAsia="Batang"/>
          <w:lang w:eastAsia="ko-KR"/>
        </w:rPr>
        <w:t xml:space="preserve">capsule </w:t>
      </w:r>
      <w:r w:rsidR="0013332C" w:rsidRPr="0068352F">
        <w:rPr>
          <w:rFonts w:eastAsia="Batang"/>
          <w:lang w:eastAsia="ko-KR"/>
        </w:rPr>
        <w:t xml:space="preserve">alone. The mean AUC and </w:t>
      </w:r>
      <w:proofErr w:type="spellStart"/>
      <w:r w:rsidR="0013332C" w:rsidRPr="0068352F">
        <w:rPr>
          <w:rFonts w:eastAsia="Batang"/>
          <w:lang w:eastAsia="ko-KR"/>
        </w:rPr>
        <w:t>C</w:t>
      </w:r>
      <w:r w:rsidR="0013332C" w:rsidRPr="0068352F">
        <w:rPr>
          <w:rFonts w:eastAsia="Batang"/>
          <w:vertAlign w:val="subscript"/>
          <w:lang w:eastAsia="ko-KR"/>
        </w:rPr>
        <w:t>max</w:t>
      </w:r>
      <w:proofErr w:type="spellEnd"/>
      <w:r w:rsidR="0013332C" w:rsidRPr="0068352F">
        <w:rPr>
          <w:rFonts w:eastAsia="Batang"/>
          <w:lang w:eastAsia="ko-KR"/>
        </w:rPr>
        <w:t xml:space="preserve"> of </w:t>
      </w:r>
      <w:proofErr w:type="spellStart"/>
      <w:r w:rsidR="0013332C" w:rsidRPr="0068352F">
        <w:rPr>
          <w:rFonts w:eastAsia="Batang"/>
          <w:lang w:eastAsia="ko-KR"/>
        </w:rPr>
        <w:t>palonosetron</w:t>
      </w:r>
      <w:proofErr w:type="spellEnd"/>
      <w:r w:rsidR="0013332C" w:rsidRPr="0068352F">
        <w:rPr>
          <w:rFonts w:eastAsia="Batang"/>
          <w:lang w:eastAsia="ko-KR"/>
        </w:rPr>
        <w:t xml:space="preserve"> were 10% and 15% higher, respectively, when co-administered with ketoconazole. </w:t>
      </w:r>
      <w:r w:rsidR="0013332C">
        <w:rPr>
          <w:rFonts w:eastAsia="Batang"/>
          <w:lang w:eastAsia="ko-KR"/>
        </w:rPr>
        <w:t xml:space="preserve"> No dosage adjustment is necessary for single dose administration of AKYNZEO</w:t>
      </w:r>
      <w:r w:rsidR="00953BE0">
        <w:rPr>
          <w:rFonts w:eastAsia="Batang"/>
          <w:lang w:eastAsia="ko-KR"/>
        </w:rPr>
        <w:t xml:space="preserve"> IV</w:t>
      </w:r>
      <w:r w:rsidR="0013332C">
        <w:rPr>
          <w:rFonts w:eastAsia="Batang"/>
          <w:lang w:eastAsia="ko-KR"/>
        </w:rPr>
        <w:t>.</w:t>
      </w:r>
    </w:p>
    <w:p w14:paraId="103316A8" w14:textId="77777777" w:rsidR="0013332C" w:rsidRPr="00373B89" w:rsidRDefault="0013332C" w:rsidP="0013332C">
      <w:pPr>
        <w:pStyle w:val="Heading3"/>
      </w:pPr>
      <w:r w:rsidRPr="00373B89">
        <w:t xml:space="preserve">Interaction with Warfarin, </w:t>
      </w:r>
      <w:proofErr w:type="spellStart"/>
      <w:r w:rsidRPr="00373B89">
        <w:t>Tolbutamide</w:t>
      </w:r>
      <w:proofErr w:type="spellEnd"/>
      <w:r w:rsidRPr="00373B89">
        <w:t>:</w:t>
      </w:r>
    </w:p>
    <w:p w14:paraId="12F8EF4B" w14:textId="25F971D8" w:rsidR="0013332C" w:rsidRPr="001C0F1E" w:rsidRDefault="0013332C" w:rsidP="0013332C">
      <w:r w:rsidRPr="002507C9">
        <w:t>AKYNZEO interactions with CYP2C9</w:t>
      </w:r>
      <w:r w:rsidRPr="001C0F1E">
        <w:t xml:space="preserve"> substrates (e.</w:t>
      </w:r>
      <w:r w:rsidR="0029674A" w:rsidRPr="001C0F1E">
        <w:t>g. warfarin</w:t>
      </w:r>
      <w:r w:rsidRPr="001C0F1E">
        <w:t xml:space="preserve">, </w:t>
      </w:r>
      <w:proofErr w:type="spellStart"/>
      <w:r w:rsidRPr="001C0F1E">
        <w:t>tolbutamide</w:t>
      </w:r>
      <w:proofErr w:type="spellEnd"/>
      <w:r w:rsidRPr="001C0F1E">
        <w:t xml:space="preserve">) are unlikely. </w:t>
      </w:r>
      <w:r w:rsidRPr="00E82E42">
        <w:rPr>
          <w:i/>
        </w:rPr>
        <w:t>In vitro</w:t>
      </w:r>
      <w:r w:rsidRPr="00F117CA">
        <w:t xml:space="preserve"> studies using human liver </w:t>
      </w:r>
      <w:proofErr w:type="spellStart"/>
      <w:r w:rsidRPr="00F117CA">
        <w:t>microsomes</w:t>
      </w:r>
      <w:proofErr w:type="spellEnd"/>
      <w:r w:rsidRPr="00F117CA">
        <w:t xml:space="preserve"> indicate that </w:t>
      </w:r>
      <w:proofErr w:type="spellStart"/>
      <w:r w:rsidRPr="00F117CA">
        <w:t>palonosetron</w:t>
      </w:r>
      <w:proofErr w:type="spellEnd"/>
      <w:r w:rsidRPr="00F117CA">
        <w:t xml:space="preserve"> is not an</w:t>
      </w:r>
      <w:r>
        <w:t xml:space="preserve"> </w:t>
      </w:r>
      <w:r w:rsidRPr="00F117CA">
        <w:t xml:space="preserve">inhibitor of CYP2C9 and </w:t>
      </w:r>
      <w:proofErr w:type="spellStart"/>
      <w:r>
        <w:t>n</w:t>
      </w:r>
      <w:r w:rsidRPr="00F117CA">
        <w:t>etupitant</w:t>
      </w:r>
      <w:proofErr w:type="spellEnd"/>
      <w:r w:rsidRPr="00F117CA">
        <w:t xml:space="preserve"> is not a CYP2C9 inducer or inhibitor at</w:t>
      </w:r>
      <w:r>
        <w:t xml:space="preserve"> </w:t>
      </w:r>
      <w:r w:rsidRPr="00F117CA">
        <w:t>clinically relevant concentrations.</w:t>
      </w:r>
    </w:p>
    <w:p w14:paraId="02CB51A3" w14:textId="77777777" w:rsidR="0013332C" w:rsidRPr="00373B89" w:rsidRDefault="0013332C" w:rsidP="0013332C">
      <w:pPr>
        <w:pStyle w:val="Heading3"/>
      </w:pPr>
      <w:r w:rsidRPr="00373B89">
        <w:t xml:space="preserve">Additional Interactions with </w:t>
      </w:r>
      <w:proofErr w:type="spellStart"/>
      <w:r w:rsidRPr="00373B89">
        <w:t>Palonosetron</w:t>
      </w:r>
      <w:proofErr w:type="spellEnd"/>
    </w:p>
    <w:p w14:paraId="4D07975C" w14:textId="77777777" w:rsidR="0013332C" w:rsidRPr="00B00782" w:rsidRDefault="0013332C" w:rsidP="0013332C">
      <w:r w:rsidRPr="00462127">
        <w:t>There have been reports of serotonin syndrome following concomitant use of 5-HT</w:t>
      </w:r>
      <w:r w:rsidRPr="007E0B72">
        <w:rPr>
          <w:vertAlign w:val="subscript"/>
        </w:rPr>
        <w:t>3</w:t>
      </w:r>
      <w:r>
        <w:t xml:space="preserve"> </w:t>
      </w:r>
      <w:r w:rsidRPr="00462127">
        <w:t>antagonists and other serotonergic drugs (including SSRIs and SNRIs).</w:t>
      </w:r>
      <w:r>
        <w:t xml:space="preserve"> </w:t>
      </w:r>
      <w:r w:rsidRPr="00B00782">
        <w:t xml:space="preserve">A study in healthy volunteers involving single-dose IV </w:t>
      </w:r>
      <w:proofErr w:type="spellStart"/>
      <w:r w:rsidRPr="00B00782">
        <w:t>palonosetron</w:t>
      </w:r>
      <w:proofErr w:type="spellEnd"/>
      <w:r w:rsidRPr="00B00782">
        <w:t xml:space="preserve"> (0.75 mg) and steady state oral</w:t>
      </w:r>
      <w:r>
        <w:t xml:space="preserve"> </w:t>
      </w:r>
      <w:r w:rsidRPr="00B00782">
        <w:t>metoclopramide (10 mg four times daily) demonstrated no significant pharmacokinetic interaction.</w:t>
      </w:r>
    </w:p>
    <w:p w14:paraId="3746774A" w14:textId="55C7462B" w:rsidR="0013332C" w:rsidRPr="00B00782" w:rsidRDefault="0013332C" w:rsidP="0013332C">
      <w:r w:rsidRPr="00B00782">
        <w:t xml:space="preserve">In controlled clinical trials, </w:t>
      </w:r>
      <w:proofErr w:type="spellStart"/>
      <w:r w:rsidR="007C6067">
        <w:t>palonosetron</w:t>
      </w:r>
      <w:proofErr w:type="spellEnd"/>
      <w:r w:rsidR="007C6067" w:rsidRPr="00B00782">
        <w:t xml:space="preserve"> </w:t>
      </w:r>
      <w:r w:rsidRPr="00B00782">
        <w:t>injection</w:t>
      </w:r>
      <w:r w:rsidR="00DD569F">
        <w:t xml:space="preserve"> </w:t>
      </w:r>
      <w:r w:rsidRPr="00B00782">
        <w:t>has been safely administered with corticosteroids,</w:t>
      </w:r>
      <w:r>
        <w:t xml:space="preserve"> </w:t>
      </w:r>
      <w:r w:rsidRPr="00B00782">
        <w:t>analgesics, anti</w:t>
      </w:r>
      <w:r>
        <w:t>-</w:t>
      </w:r>
      <w:r w:rsidRPr="00B00782">
        <w:t>emetics/anti</w:t>
      </w:r>
      <w:r>
        <w:t>-</w:t>
      </w:r>
      <w:proofErr w:type="spellStart"/>
      <w:r w:rsidRPr="00B00782">
        <w:t>nauseants</w:t>
      </w:r>
      <w:proofErr w:type="spellEnd"/>
      <w:r w:rsidRPr="00B00782">
        <w:t>, antispasmodics and anticholinergic agents.</w:t>
      </w:r>
    </w:p>
    <w:p w14:paraId="255B2009" w14:textId="7DAB36A0" w:rsidR="0013332C" w:rsidRDefault="0013332C" w:rsidP="0013332C">
      <w:pPr>
        <w:rPr>
          <w:u w:val="single"/>
        </w:rPr>
      </w:pPr>
      <w:proofErr w:type="spellStart"/>
      <w:r w:rsidRPr="00B00782">
        <w:t>Palonosetron</w:t>
      </w:r>
      <w:proofErr w:type="spellEnd"/>
      <w:r w:rsidRPr="00B00782">
        <w:t xml:space="preserve"> did not inhibit the antitumor activity of the five chemotherapeutic agents tested (cisplatin,</w:t>
      </w:r>
      <w:r>
        <w:t xml:space="preserve"> </w:t>
      </w:r>
      <w:r w:rsidRPr="00B00782">
        <w:t xml:space="preserve">cyclophosphamide, </w:t>
      </w:r>
      <w:proofErr w:type="spellStart"/>
      <w:r w:rsidRPr="00B00782">
        <w:t>cytarabine</w:t>
      </w:r>
      <w:proofErr w:type="spellEnd"/>
      <w:r w:rsidRPr="00B00782">
        <w:t xml:space="preserve">, doxorubicin and </w:t>
      </w:r>
      <w:proofErr w:type="spellStart"/>
      <w:r w:rsidRPr="00B00782">
        <w:t>mitomycin</w:t>
      </w:r>
      <w:proofErr w:type="spellEnd"/>
      <w:r w:rsidRPr="00B00782">
        <w:t xml:space="preserve"> C) in murine tumo</w:t>
      </w:r>
      <w:r w:rsidR="00DD569F">
        <w:t>u</w:t>
      </w:r>
      <w:r w:rsidRPr="00B00782">
        <w:t>r models.</w:t>
      </w:r>
    </w:p>
    <w:p w14:paraId="33E8BE0E" w14:textId="77777777" w:rsidR="0013332C" w:rsidRPr="00373B89" w:rsidRDefault="0013332C" w:rsidP="0013332C">
      <w:pPr>
        <w:pStyle w:val="Heading3"/>
      </w:pPr>
      <w:r w:rsidRPr="0034368C">
        <w:t xml:space="preserve">Additional Interactions with </w:t>
      </w:r>
      <w:proofErr w:type="spellStart"/>
      <w:r w:rsidRPr="0034368C">
        <w:t>Netupitant</w:t>
      </w:r>
      <w:proofErr w:type="spellEnd"/>
    </w:p>
    <w:p w14:paraId="02CFEF30" w14:textId="58DBD316" w:rsidR="0013332C" w:rsidRDefault="0013332C" w:rsidP="0013332C">
      <w:pPr>
        <w:rPr>
          <w:lang w:val="en-GB" w:eastAsia="hu-HU"/>
        </w:rPr>
      </w:pPr>
      <w:r w:rsidRPr="007E0B72">
        <w:rPr>
          <w:lang w:val="en-GB" w:eastAsia="hu-HU"/>
        </w:rPr>
        <w:t xml:space="preserve">Based on </w:t>
      </w:r>
      <w:r w:rsidRPr="007E0B72">
        <w:rPr>
          <w:i/>
          <w:lang w:val="en-GB" w:eastAsia="hu-HU"/>
        </w:rPr>
        <w:t>in vitro</w:t>
      </w:r>
      <w:r w:rsidRPr="007E0B72">
        <w:rPr>
          <w:lang w:val="en-GB" w:eastAsia="hu-HU"/>
        </w:rPr>
        <w:t xml:space="preserve"> studies, </w:t>
      </w:r>
      <w:proofErr w:type="spellStart"/>
      <w:r w:rsidRPr="007E0B72">
        <w:rPr>
          <w:lang w:val="en-GB" w:eastAsia="hu-HU"/>
        </w:rPr>
        <w:t>netupitant</w:t>
      </w:r>
      <w:proofErr w:type="spellEnd"/>
      <w:r w:rsidRPr="007E0B72">
        <w:rPr>
          <w:lang w:val="en-GB" w:eastAsia="hu-HU"/>
        </w:rPr>
        <w:t xml:space="preserve"> is an inhibitor of </w:t>
      </w:r>
      <w:r>
        <w:rPr>
          <w:lang w:val="en-GB" w:eastAsia="hu-HU"/>
        </w:rPr>
        <w:t>P-glycoprotein (</w:t>
      </w:r>
      <w:r w:rsidRPr="007E0B72">
        <w:rPr>
          <w:lang w:val="en-GB" w:eastAsia="hu-HU"/>
        </w:rPr>
        <w:t>P-</w:t>
      </w:r>
      <w:proofErr w:type="spellStart"/>
      <w:r w:rsidRPr="007E0B72">
        <w:rPr>
          <w:lang w:val="en-GB" w:eastAsia="hu-HU"/>
        </w:rPr>
        <w:t>gp</w:t>
      </w:r>
      <w:proofErr w:type="spellEnd"/>
      <w:r>
        <w:rPr>
          <w:lang w:val="en-GB" w:eastAsia="hu-HU"/>
        </w:rPr>
        <w:t>).</w:t>
      </w:r>
      <w:r w:rsidR="00803EA7">
        <w:rPr>
          <w:lang w:val="en-GB" w:eastAsia="hu-HU"/>
        </w:rPr>
        <w:t xml:space="preserve"> </w:t>
      </w:r>
      <w:r>
        <w:rPr>
          <w:lang w:val="en-GB" w:eastAsia="hu-HU"/>
        </w:rPr>
        <w:t xml:space="preserve">It cannot be excluded that this effect may be more marked, and then clinically relevant, in cancer patients, notably those having abnormal renal function. Therefore, caution is recommended when </w:t>
      </w:r>
      <w:proofErr w:type="spellStart"/>
      <w:r>
        <w:rPr>
          <w:lang w:val="en-GB" w:eastAsia="hu-HU"/>
        </w:rPr>
        <w:t>netupitant</w:t>
      </w:r>
      <w:proofErr w:type="spellEnd"/>
      <w:r>
        <w:rPr>
          <w:lang w:val="en-GB" w:eastAsia="hu-HU"/>
        </w:rPr>
        <w:t xml:space="preserve"> is combined with digoxin or with other P-</w:t>
      </w:r>
      <w:proofErr w:type="spellStart"/>
      <w:r>
        <w:rPr>
          <w:lang w:val="en-GB" w:eastAsia="hu-HU"/>
        </w:rPr>
        <w:t>gp</w:t>
      </w:r>
      <w:proofErr w:type="spellEnd"/>
      <w:r>
        <w:rPr>
          <w:lang w:val="en-GB" w:eastAsia="hu-HU"/>
        </w:rPr>
        <w:t xml:space="preserve"> substrates such as dabigatran or colchicine.</w:t>
      </w:r>
      <w:r w:rsidRPr="00EB0344">
        <w:rPr>
          <w:lang w:val="en-GB" w:eastAsia="hu-HU"/>
        </w:rPr>
        <w:t xml:space="preserve"> </w:t>
      </w:r>
      <w:r w:rsidRPr="007E0B72">
        <w:rPr>
          <w:lang w:val="en-GB" w:eastAsia="hu-HU"/>
        </w:rPr>
        <w:t>In addition, metabolite M2 is a substrate for P-</w:t>
      </w:r>
      <w:proofErr w:type="spellStart"/>
      <w:r w:rsidRPr="007E0B72">
        <w:rPr>
          <w:lang w:val="en-GB" w:eastAsia="hu-HU"/>
        </w:rPr>
        <w:t>gp</w:t>
      </w:r>
      <w:proofErr w:type="spellEnd"/>
      <w:r w:rsidRPr="007E0B72">
        <w:rPr>
          <w:lang w:val="en-GB" w:eastAsia="hu-HU"/>
        </w:rPr>
        <w:t xml:space="preserve">. </w:t>
      </w:r>
      <w:proofErr w:type="spellStart"/>
      <w:r w:rsidRPr="007E0B72">
        <w:rPr>
          <w:lang w:val="en-GB" w:eastAsia="hu-HU"/>
        </w:rPr>
        <w:t>Netupitant</w:t>
      </w:r>
      <w:proofErr w:type="spellEnd"/>
      <w:r w:rsidR="00B061AA">
        <w:rPr>
          <w:lang w:val="en-GB" w:eastAsia="hu-HU"/>
        </w:rPr>
        <w:t xml:space="preserve"> </w:t>
      </w:r>
      <w:r w:rsidRPr="007E0B72">
        <w:rPr>
          <w:lang w:val="en-GB" w:eastAsia="hu-HU"/>
        </w:rPr>
        <w:t>’s potential for being a substrate for P-</w:t>
      </w:r>
      <w:proofErr w:type="spellStart"/>
      <w:r w:rsidRPr="007E0B72">
        <w:rPr>
          <w:lang w:val="en-GB" w:eastAsia="hu-HU"/>
        </w:rPr>
        <w:t>gp</w:t>
      </w:r>
      <w:proofErr w:type="spellEnd"/>
      <w:r w:rsidRPr="007E0B72">
        <w:rPr>
          <w:lang w:val="en-GB" w:eastAsia="hu-HU"/>
        </w:rPr>
        <w:t xml:space="preserve"> is unknown.</w:t>
      </w:r>
    </w:p>
    <w:p w14:paraId="7E17BE94" w14:textId="77777777" w:rsidR="0013332C" w:rsidRDefault="0013332C" w:rsidP="0013332C">
      <w:pPr>
        <w:rPr>
          <w:lang w:val="en-GB" w:eastAsia="hu-HU"/>
        </w:rPr>
      </w:pPr>
      <w:r w:rsidRPr="007E0B72">
        <w:rPr>
          <w:i/>
          <w:lang w:val="en-GB" w:eastAsia="hu-HU"/>
        </w:rPr>
        <w:t>In vitro</w:t>
      </w:r>
      <w:r w:rsidRPr="007E0B72">
        <w:rPr>
          <w:lang w:val="en-GB" w:eastAsia="hu-HU"/>
        </w:rPr>
        <w:t xml:space="preserve"> studies indicate that </w:t>
      </w:r>
      <w:proofErr w:type="spellStart"/>
      <w:r w:rsidRPr="007E0B72">
        <w:rPr>
          <w:lang w:val="en-GB" w:eastAsia="hu-HU"/>
        </w:rPr>
        <w:t>netupitant</w:t>
      </w:r>
      <w:proofErr w:type="spellEnd"/>
      <w:r w:rsidRPr="007E0B72">
        <w:rPr>
          <w:lang w:val="en-GB" w:eastAsia="hu-HU"/>
        </w:rPr>
        <w:t xml:space="preserve"> and its three major metabolites are unlikely to have </w:t>
      </w:r>
      <w:r w:rsidRPr="007E0B72">
        <w:rPr>
          <w:i/>
          <w:lang w:val="en-GB" w:eastAsia="hu-HU"/>
        </w:rPr>
        <w:t>in vivo</w:t>
      </w:r>
      <w:r w:rsidRPr="007E0B72">
        <w:rPr>
          <w:lang w:val="en-GB" w:eastAsia="hu-HU"/>
        </w:rPr>
        <w:t xml:space="preserve"> drug-drug interactions with human efflux transporters BSEP, </w:t>
      </w:r>
      <w:r w:rsidRPr="007E0B72">
        <w:rPr>
          <w:color w:val="000000"/>
        </w:rPr>
        <w:t>MRP2,</w:t>
      </w:r>
      <w:r w:rsidRPr="007E0B72">
        <w:rPr>
          <w:lang w:val="en-GB" w:eastAsia="hu-HU"/>
        </w:rPr>
        <w:t xml:space="preserve"> and human uptake transporters </w:t>
      </w:r>
      <w:r w:rsidRPr="007E0B72">
        <w:rPr>
          <w:color w:val="000000"/>
        </w:rPr>
        <w:t xml:space="preserve">OATP1B1, </w:t>
      </w:r>
      <w:r w:rsidRPr="007E0B72">
        <w:rPr>
          <w:lang w:val="en-GB" w:eastAsia="hu-HU"/>
        </w:rPr>
        <w:t>OATP1B3, OAT1, OAT3</w:t>
      </w:r>
      <w:r w:rsidRPr="007E0B72">
        <w:rPr>
          <w:color w:val="000000"/>
        </w:rPr>
        <w:t xml:space="preserve">, </w:t>
      </w:r>
      <w:r w:rsidRPr="007E0B72">
        <w:rPr>
          <w:lang w:val="en-GB" w:eastAsia="hu-HU"/>
        </w:rPr>
        <w:t>OCT1</w:t>
      </w:r>
      <w:r w:rsidRPr="007E0B72">
        <w:rPr>
          <w:color w:val="000000"/>
        </w:rPr>
        <w:t xml:space="preserve">, and </w:t>
      </w:r>
      <w:r w:rsidRPr="007E0B72">
        <w:rPr>
          <w:lang w:val="en-GB" w:eastAsia="hu-HU"/>
        </w:rPr>
        <w:t>OCT2 at the clinical dose of 300 mg.</w:t>
      </w:r>
    </w:p>
    <w:p w14:paraId="6FF7322B" w14:textId="7ECBCE8B" w:rsidR="0013332C" w:rsidRDefault="0013332C" w:rsidP="003164E0">
      <w:pPr>
        <w:rPr>
          <w:lang w:val="en-GB" w:eastAsia="hu-HU"/>
        </w:rPr>
      </w:pPr>
      <w:r w:rsidRPr="007E0B72">
        <w:rPr>
          <w:lang w:val="en-GB" w:eastAsia="hu-HU"/>
        </w:rPr>
        <w:lastRenderedPageBreak/>
        <w:t xml:space="preserve">Based on </w:t>
      </w:r>
      <w:r w:rsidRPr="007E0B72">
        <w:rPr>
          <w:i/>
          <w:lang w:val="en-GB" w:eastAsia="hu-HU"/>
        </w:rPr>
        <w:t>in vitro</w:t>
      </w:r>
      <w:r w:rsidRPr="007E0B72">
        <w:rPr>
          <w:lang w:val="en-GB" w:eastAsia="hu-HU"/>
        </w:rPr>
        <w:t xml:space="preserve"> studies, </w:t>
      </w:r>
      <w:proofErr w:type="spellStart"/>
      <w:r w:rsidRPr="007E0B72">
        <w:rPr>
          <w:lang w:val="en-GB" w:eastAsia="hu-HU"/>
        </w:rPr>
        <w:t>netupitant</w:t>
      </w:r>
      <w:proofErr w:type="spellEnd"/>
      <w:r w:rsidRPr="007E0B72">
        <w:rPr>
          <w:lang w:val="en-GB" w:eastAsia="hu-HU"/>
        </w:rPr>
        <w:t xml:space="preserve"> is an inhibitor of BCRP transporters. </w:t>
      </w:r>
      <w:r w:rsidRPr="005A3847">
        <w:rPr>
          <w:lang w:val="en-GB" w:eastAsia="hu-HU"/>
        </w:rPr>
        <w:t>Caution</w:t>
      </w:r>
      <w:r>
        <w:rPr>
          <w:lang w:val="en-GB" w:eastAsia="hu-HU"/>
        </w:rPr>
        <w:t xml:space="preserve"> is recommended when </w:t>
      </w:r>
      <w:proofErr w:type="spellStart"/>
      <w:r>
        <w:rPr>
          <w:lang w:val="en-GB" w:eastAsia="hu-HU"/>
        </w:rPr>
        <w:t>netupitant</w:t>
      </w:r>
      <w:proofErr w:type="spellEnd"/>
      <w:r>
        <w:rPr>
          <w:lang w:val="en-GB" w:eastAsia="hu-HU"/>
        </w:rPr>
        <w:t xml:space="preserve"> is combined with an oral substrate of </w:t>
      </w:r>
      <w:proofErr w:type="spellStart"/>
      <w:r>
        <w:rPr>
          <w:lang w:val="en-GB" w:eastAsia="hu-HU"/>
        </w:rPr>
        <w:t>glucuronidation</w:t>
      </w:r>
      <w:proofErr w:type="spellEnd"/>
      <w:r>
        <w:rPr>
          <w:lang w:val="en-GB" w:eastAsia="hu-HU"/>
        </w:rPr>
        <w:t xml:space="preserve"> isozyme UGT2B7 (e.g. zidovudine, </w:t>
      </w:r>
      <w:proofErr w:type="spellStart"/>
      <w:r>
        <w:rPr>
          <w:lang w:val="en-GB" w:eastAsia="hu-HU"/>
        </w:rPr>
        <w:t>valproic</w:t>
      </w:r>
      <w:proofErr w:type="spellEnd"/>
      <w:r>
        <w:rPr>
          <w:lang w:val="en-GB" w:eastAsia="hu-HU"/>
        </w:rPr>
        <w:t xml:space="preserve"> acid, morphine). </w:t>
      </w:r>
    </w:p>
    <w:p w14:paraId="794C9CDF" w14:textId="77777777" w:rsidR="0013332C" w:rsidRPr="00373B89" w:rsidRDefault="0013332C" w:rsidP="0013332C">
      <w:pPr>
        <w:pStyle w:val="Heading2"/>
      </w:pPr>
      <w:r w:rsidRPr="00373B89">
        <w:t xml:space="preserve">Fertility, pregnancy and lactation </w:t>
      </w:r>
    </w:p>
    <w:p w14:paraId="0B2AFD98" w14:textId="77777777" w:rsidR="0013332C" w:rsidRPr="00A41E96" w:rsidRDefault="0013332C" w:rsidP="00A41E96">
      <w:pPr>
        <w:pStyle w:val="Heading3"/>
      </w:pPr>
      <w:r w:rsidRPr="00A41E96">
        <w:t>Effects on fertility</w:t>
      </w:r>
    </w:p>
    <w:p w14:paraId="36545553" w14:textId="49B87667" w:rsidR="00A41E96" w:rsidRDefault="00A41E96" w:rsidP="0013332C">
      <w:pPr>
        <w:rPr>
          <w:lang w:eastAsia="it-CH"/>
        </w:rPr>
      </w:pPr>
      <w:r>
        <w:rPr>
          <w:lang w:eastAsia="it-CH"/>
        </w:rPr>
        <w:t xml:space="preserve">No studies on the effect on fertility have been conducted with the </w:t>
      </w:r>
      <w:proofErr w:type="spellStart"/>
      <w:r>
        <w:rPr>
          <w:lang w:eastAsia="it-CH"/>
        </w:rPr>
        <w:t>fosnetupitant</w:t>
      </w:r>
      <w:proofErr w:type="spellEnd"/>
      <w:r>
        <w:rPr>
          <w:lang w:eastAsia="it-CH"/>
        </w:rPr>
        <w:t>/</w:t>
      </w:r>
      <w:proofErr w:type="spellStart"/>
      <w:r>
        <w:rPr>
          <w:lang w:eastAsia="it-CH"/>
        </w:rPr>
        <w:t>palonosetron</w:t>
      </w:r>
      <w:proofErr w:type="spellEnd"/>
      <w:r>
        <w:rPr>
          <w:lang w:eastAsia="it-CH"/>
        </w:rPr>
        <w:t xml:space="preserve"> combination. </w:t>
      </w:r>
    </w:p>
    <w:p w14:paraId="79E5A5B3" w14:textId="7C28788D" w:rsidR="003B1937" w:rsidRDefault="003B1937" w:rsidP="0013332C">
      <w:pPr>
        <w:rPr>
          <w:lang w:eastAsia="it-CH"/>
        </w:rPr>
      </w:pPr>
      <w:r>
        <w:rPr>
          <w:lang w:eastAsia="it-CH"/>
        </w:rPr>
        <w:t xml:space="preserve">No effect on fertility has been observed with </w:t>
      </w:r>
      <w:proofErr w:type="spellStart"/>
      <w:r>
        <w:rPr>
          <w:lang w:eastAsia="it-CH"/>
        </w:rPr>
        <w:t>fosnetupitant</w:t>
      </w:r>
      <w:proofErr w:type="spellEnd"/>
      <w:r>
        <w:rPr>
          <w:lang w:eastAsia="it-CH"/>
        </w:rPr>
        <w:t xml:space="preserve"> in animal studies in</w:t>
      </w:r>
      <w:r w:rsidR="00C7502E">
        <w:rPr>
          <w:lang w:eastAsia="it-CH"/>
        </w:rPr>
        <w:t xml:space="preserve"> IV</w:t>
      </w:r>
      <w:r>
        <w:rPr>
          <w:lang w:eastAsia="it-CH"/>
        </w:rPr>
        <w:t xml:space="preserve"> doses up to 39 mg/kg/day</w:t>
      </w:r>
      <w:r w:rsidR="00A41E96">
        <w:rPr>
          <w:lang w:eastAsia="it-CH"/>
        </w:rPr>
        <w:t xml:space="preserve"> (&gt;56 times the human AUC for both </w:t>
      </w:r>
      <w:proofErr w:type="spellStart"/>
      <w:r w:rsidR="00A41E96">
        <w:rPr>
          <w:lang w:eastAsia="it-CH"/>
        </w:rPr>
        <w:t>fosnetupitant</w:t>
      </w:r>
      <w:proofErr w:type="spellEnd"/>
      <w:r w:rsidR="00A41E96">
        <w:rPr>
          <w:lang w:eastAsia="it-CH"/>
        </w:rPr>
        <w:t xml:space="preserve"> and </w:t>
      </w:r>
      <w:proofErr w:type="spellStart"/>
      <w:r w:rsidR="00A41E96">
        <w:rPr>
          <w:lang w:eastAsia="it-CH"/>
        </w:rPr>
        <w:t>netupitant</w:t>
      </w:r>
      <w:proofErr w:type="spellEnd"/>
      <w:r w:rsidR="00A41E96">
        <w:rPr>
          <w:lang w:eastAsia="it-CH"/>
        </w:rPr>
        <w:t xml:space="preserve"> at the recommended human dose)</w:t>
      </w:r>
      <w:r>
        <w:rPr>
          <w:lang w:eastAsia="it-CH"/>
        </w:rPr>
        <w:t xml:space="preserve">. </w:t>
      </w:r>
    </w:p>
    <w:p w14:paraId="0B4F56F6" w14:textId="240253E0" w:rsidR="0013332C" w:rsidRPr="0021508E" w:rsidRDefault="003B1937" w:rsidP="0013332C">
      <w:r>
        <w:rPr>
          <w:lang w:eastAsia="it-CH"/>
        </w:rPr>
        <w:t xml:space="preserve">Daily oral administration of up to 30 mg/kg </w:t>
      </w:r>
      <w:proofErr w:type="spellStart"/>
      <w:r>
        <w:rPr>
          <w:lang w:eastAsia="it-CH"/>
        </w:rPr>
        <w:t>netupitant</w:t>
      </w:r>
      <w:proofErr w:type="spellEnd"/>
      <w:r>
        <w:rPr>
          <w:lang w:eastAsia="it-CH"/>
        </w:rPr>
        <w:t xml:space="preserve"> in female (3 times the human AUC at the recommended human dose) and male rats had no effects on fertility or reproductive performance.</w:t>
      </w:r>
      <w:r w:rsidR="002B6DC0">
        <w:rPr>
          <w:lang w:eastAsia="it-CH"/>
        </w:rPr>
        <w:t xml:space="preserve"> </w:t>
      </w:r>
      <w:proofErr w:type="spellStart"/>
      <w:r w:rsidR="0013332C" w:rsidRPr="0021508E">
        <w:t>Palonosetron</w:t>
      </w:r>
      <w:proofErr w:type="spellEnd"/>
      <w:r w:rsidR="0013332C" w:rsidRPr="0021508E">
        <w:t xml:space="preserve"> at oral doses of up to 60 mg/kg/day (&gt;</w:t>
      </w:r>
      <w:r w:rsidR="0013332C">
        <w:t>30</w:t>
      </w:r>
      <w:r w:rsidR="0013332C" w:rsidRPr="0021508E">
        <w:t xml:space="preserve"> times the human </w:t>
      </w:r>
      <w:r w:rsidR="0013332C">
        <w:t>exposure based on plasma AUC</w:t>
      </w:r>
      <w:r w:rsidR="0013332C" w:rsidRPr="0021508E">
        <w:t xml:space="preserve">) was found to have no effect on fertility and reproductive performance of male and female rats. Oral </w:t>
      </w:r>
      <w:r w:rsidR="00A41E96">
        <w:t>dosing of</w:t>
      </w:r>
      <w:r w:rsidR="0013332C" w:rsidRPr="0021508E">
        <w:t xml:space="preserve"> male rats for </w:t>
      </w:r>
      <w:r w:rsidR="000941CB">
        <w:t>two</w:t>
      </w:r>
      <w:r w:rsidR="000941CB" w:rsidRPr="0021508E">
        <w:t xml:space="preserve"> </w:t>
      </w:r>
      <w:r w:rsidR="0013332C" w:rsidRPr="0021508E">
        <w:t xml:space="preserve">months prior to mating </w:t>
      </w:r>
      <w:r w:rsidR="00A41E96">
        <w:t xml:space="preserve">was </w:t>
      </w:r>
      <w:r w:rsidR="0013332C" w:rsidRPr="0021508E">
        <w:t xml:space="preserve">associated with complete infertility at the 120 mg/kg/day dose. Testicular degeneration was confirmed in a </w:t>
      </w:r>
      <w:r w:rsidR="00025E1A" w:rsidRPr="0021508E">
        <w:t>3-month</w:t>
      </w:r>
      <w:r w:rsidR="0013332C" w:rsidRPr="0021508E">
        <w:t xml:space="preserve"> general toxicity study at oral doses of 60 and 120 mg/kg/day. An IV dose of up to 10 mg/kg/day (&gt;</w:t>
      </w:r>
      <w:r w:rsidR="0013332C">
        <w:t>30</w:t>
      </w:r>
      <w:r w:rsidR="0013332C" w:rsidRPr="0021508E">
        <w:t xml:space="preserve"> times the human</w:t>
      </w:r>
      <w:r w:rsidR="0013332C">
        <w:t xml:space="preserve"> exposure </w:t>
      </w:r>
      <w:r w:rsidR="0013332C" w:rsidRPr="0021508E">
        <w:t>based on plasma AUC) had no effect on male fertility and reproductive performance.</w:t>
      </w:r>
    </w:p>
    <w:p w14:paraId="74CFEC37" w14:textId="3DF4B47F" w:rsidR="0013332C" w:rsidRPr="00373B89" w:rsidRDefault="0013332C" w:rsidP="0013332C">
      <w:pPr>
        <w:pStyle w:val="Heading3"/>
      </w:pPr>
      <w:r w:rsidRPr="00373B89">
        <w:t xml:space="preserve">Use in pregnancy – Pregnancy Category </w:t>
      </w:r>
      <w:r w:rsidR="00692842">
        <w:t>D</w:t>
      </w:r>
    </w:p>
    <w:p w14:paraId="67A5FBAE" w14:textId="420DC6EA" w:rsidR="0013332C" w:rsidRDefault="0013332C" w:rsidP="0013332C">
      <w:proofErr w:type="spellStart"/>
      <w:r>
        <w:t>Palonosetron</w:t>
      </w:r>
      <w:proofErr w:type="spellEnd"/>
      <w:r>
        <w:t xml:space="preserve"> had no effect on </w:t>
      </w:r>
      <w:proofErr w:type="spellStart"/>
      <w:r>
        <w:t>fetal</w:t>
      </w:r>
      <w:proofErr w:type="spellEnd"/>
      <w:r>
        <w:t xml:space="preserve"> development at oral doses of up to 18 mg/kg/day in rats and 90 mg/kg/day in rabbits. At 60 and 120 mg/kg/day in rats, </w:t>
      </w:r>
      <w:proofErr w:type="spellStart"/>
      <w:r>
        <w:t>fetal</w:t>
      </w:r>
      <w:proofErr w:type="spellEnd"/>
      <w:r>
        <w:t xml:space="preserve"> weight was reduced. </w:t>
      </w:r>
      <w:proofErr w:type="spellStart"/>
      <w:r>
        <w:t>Palonosetron</w:t>
      </w:r>
      <w:proofErr w:type="spellEnd"/>
      <w:r>
        <w:t xml:space="preserve"> did not cause </w:t>
      </w:r>
      <w:proofErr w:type="spellStart"/>
      <w:r>
        <w:t>fetal</w:t>
      </w:r>
      <w:proofErr w:type="spellEnd"/>
      <w:r>
        <w:t xml:space="preserve"> abnormalities at these dose levels. However, </w:t>
      </w:r>
      <w:proofErr w:type="spellStart"/>
      <w:r>
        <w:t>palonosetron</w:t>
      </w:r>
      <w:proofErr w:type="spellEnd"/>
      <w:r>
        <w:t xml:space="preserve"> had toxic effects on the dams at 120 mg/kg in rats and 90 mg/kg/day in rabbits. </w:t>
      </w:r>
    </w:p>
    <w:p w14:paraId="3868A369" w14:textId="57457820" w:rsidR="00DB55EE" w:rsidRPr="00E64615" w:rsidRDefault="0013332C" w:rsidP="0013332C">
      <w:r w:rsidRPr="001252E0">
        <w:t>No effects on embryo-</w:t>
      </w:r>
      <w:proofErr w:type="spellStart"/>
      <w:r w:rsidRPr="001252E0">
        <w:t>fetal</w:t>
      </w:r>
      <w:proofErr w:type="spellEnd"/>
      <w:r w:rsidRPr="001252E0">
        <w:t xml:space="preserve"> development were observed following daily</w:t>
      </w:r>
      <w:r w:rsidRPr="003914AF">
        <w:t xml:space="preserve"> administration of </w:t>
      </w:r>
      <w:proofErr w:type="spellStart"/>
      <w:r w:rsidRPr="003914AF">
        <w:t>netupitant</w:t>
      </w:r>
      <w:proofErr w:type="spellEnd"/>
      <w:r w:rsidRPr="003914AF">
        <w:t xml:space="preserve"> in pregnant rats during the period of organogenesis at doses up to 3 times the human AUC at the recommended human dose. However, </w:t>
      </w:r>
      <w:r w:rsidR="00AB0EF0">
        <w:t xml:space="preserve">an increased incidence of positional </w:t>
      </w:r>
      <w:proofErr w:type="spellStart"/>
      <w:r w:rsidR="00AB0EF0">
        <w:t>fetal</w:t>
      </w:r>
      <w:proofErr w:type="spellEnd"/>
      <w:r w:rsidR="00AB0EF0">
        <w:t xml:space="preserve"> abnormalities of the limbs and paws, fused </w:t>
      </w:r>
      <w:proofErr w:type="spellStart"/>
      <w:r w:rsidR="00AB0EF0">
        <w:t>sternebrae</w:t>
      </w:r>
      <w:proofErr w:type="spellEnd"/>
      <w:r w:rsidR="00AB0EF0">
        <w:t xml:space="preserve"> and agenesis of accessory lung lobe were observed following daily administration of </w:t>
      </w:r>
      <w:proofErr w:type="spellStart"/>
      <w:r w:rsidR="00AB0EF0">
        <w:t>netupitant</w:t>
      </w:r>
      <w:proofErr w:type="spellEnd"/>
      <w:r w:rsidR="00AB0EF0">
        <w:t xml:space="preserve"> to rabbits at oral doses of 10 mg/kg/day and higher during the period of organogenesis.  </w:t>
      </w:r>
      <w:r w:rsidR="00DB55EE">
        <w:t xml:space="preserve">In a pilot study in rabbits, cleft palate, </w:t>
      </w:r>
      <w:proofErr w:type="spellStart"/>
      <w:r w:rsidR="00DB55EE">
        <w:t>mi</w:t>
      </w:r>
      <w:r w:rsidR="000F14B9">
        <w:t>cro</w:t>
      </w:r>
      <w:r w:rsidR="00DB55EE">
        <w:t>pht</w:t>
      </w:r>
      <w:r w:rsidR="00AB0EF0">
        <w:t>h</w:t>
      </w:r>
      <w:r w:rsidR="00DB55EE">
        <w:t>almia</w:t>
      </w:r>
      <w:proofErr w:type="spellEnd"/>
      <w:r w:rsidR="00DB55EE">
        <w:t xml:space="preserve"> and </w:t>
      </w:r>
      <w:proofErr w:type="spellStart"/>
      <w:r w:rsidR="00DB55EE">
        <w:t>aphakia</w:t>
      </w:r>
      <w:proofErr w:type="spellEnd"/>
      <w:r w:rsidR="00DB55EE">
        <w:t xml:space="preserve"> were observed in </w:t>
      </w:r>
      <w:proofErr w:type="spellStart"/>
      <w:r w:rsidR="00AB0EF0">
        <w:t>fetuses</w:t>
      </w:r>
      <w:proofErr w:type="spellEnd"/>
      <w:r w:rsidR="00AB0EF0">
        <w:t xml:space="preserve"> following a maternal dose of </w:t>
      </w:r>
      <w:r w:rsidR="00DB55EE">
        <w:t>30 mg/kg/day</w:t>
      </w:r>
      <w:r w:rsidR="004D3083">
        <w:t xml:space="preserve"> </w:t>
      </w:r>
      <w:r w:rsidR="00AB0EF0">
        <w:t xml:space="preserve">Exposure at the no observed adverse effect level was less than the anticipated human AUC. </w:t>
      </w:r>
    </w:p>
    <w:p w14:paraId="3EA5BC3A" w14:textId="0C971A9E" w:rsidR="003164E0" w:rsidRDefault="003164E0" w:rsidP="003164E0">
      <w:r>
        <w:t>In animal reproduction studies, no effects on embryo-</w:t>
      </w:r>
      <w:proofErr w:type="spellStart"/>
      <w:r>
        <w:t>fetal</w:t>
      </w:r>
      <w:proofErr w:type="spellEnd"/>
      <w:r>
        <w:t xml:space="preserve"> development were observed following daily administration of </w:t>
      </w:r>
      <w:proofErr w:type="spellStart"/>
      <w:r>
        <w:t>fosnetupitant</w:t>
      </w:r>
      <w:proofErr w:type="spellEnd"/>
      <w:r>
        <w:t xml:space="preserve"> in pregnant rats during the period of organogenesis at doses up to </w:t>
      </w:r>
      <w:r w:rsidR="00CA1BE0">
        <w:t>13.2 mg/kg/day (2.1</w:t>
      </w:r>
      <w:r>
        <w:t xml:space="preserve"> times the human AUC for </w:t>
      </w:r>
      <w:proofErr w:type="spellStart"/>
      <w:r>
        <w:t>netupitant</w:t>
      </w:r>
      <w:proofErr w:type="spellEnd"/>
      <w:r>
        <w:t xml:space="preserve"> at the recommended human dose</w:t>
      </w:r>
      <w:r w:rsidR="00DF5B81">
        <w:t>)</w:t>
      </w:r>
      <w:r>
        <w:t xml:space="preserve">. </w:t>
      </w:r>
      <w:r w:rsidR="00067612">
        <w:t xml:space="preserve">At 39.5 mg/kg/day (3.2 times the human AUC for </w:t>
      </w:r>
      <w:proofErr w:type="spellStart"/>
      <w:r w:rsidR="00067612">
        <w:t>netupitant</w:t>
      </w:r>
      <w:proofErr w:type="spellEnd"/>
      <w:r w:rsidR="00067612">
        <w:t xml:space="preserve"> at recommended human dose), the incidence of </w:t>
      </w:r>
      <w:proofErr w:type="spellStart"/>
      <w:r w:rsidR="00067612">
        <w:t>unossified</w:t>
      </w:r>
      <w:proofErr w:type="spellEnd"/>
      <w:r w:rsidR="00067612">
        <w:t xml:space="preserve"> pubis was increased. A</w:t>
      </w:r>
      <w:r>
        <w:t>n increase</w:t>
      </w:r>
      <w:r w:rsidR="00067612">
        <w:t xml:space="preserve"> </w:t>
      </w:r>
      <w:r>
        <w:t xml:space="preserve">in intrauterine deaths (early/late resorption and dead </w:t>
      </w:r>
      <w:proofErr w:type="spellStart"/>
      <w:r>
        <w:t>fetuses</w:t>
      </w:r>
      <w:proofErr w:type="spellEnd"/>
      <w:r>
        <w:t xml:space="preserve">) was observed following daily </w:t>
      </w:r>
      <w:r>
        <w:lastRenderedPageBreak/>
        <w:t xml:space="preserve">administration of </w:t>
      </w:r>
      <w:proofErr w:type="spellStart"/>
      <w:r>
        <w:t>fosnetupitant</w:t>
      </w:r>
      <w:proofErr w:type="spellEnd"/>
      <w:r>
        <w:t xml:space="preserve"> in pregnant rabbits during the period of organogenesis with doses</w:t>
      </w:r>
      <w:r w:rsidR="0035369C">
        <w:t xml:space="preserve"> </w:t>
      </w:r>
      <w:r w:rsidR="0035369C" w:rsidRPr="002A2F3D">
        <w:t>≥</w:t>
      </w:r>
      <w:r w:rsidR="00067612">
        <w:t xml:space="preserve"> 6.25 mg/kg/day</w:t>
      </w:r>
      <w:r>
        <w:t xml:space="preserve"> at least </w:t>
      </w:r>
      <w:r w:rsidR="00067612">
        <w:t xml:space="preserve">20 </w:t>
      </w:r>
      <w:r>
        <w:t xml:space="preserve">times the human AUC for </w:t>
      </w:r>
      <w:proofErr w:type="spellStart"/>
      <w:r>
        <w:t>fosnetupitant</w:t>
      </w:r>
      <w:proofErr w:type="spellEnd"/>
      <w:r>
        <w:t xml:space="preserve"> and </w:t>
      </w:r>
      <w:r w:rsidR="00067612">
        <w:t>0.6</w:t>
      </w:r>
      <w:r>
        <w:t xml:space="preserve"> times the human AUC for </w:t>
      </w:r>
      <w:proofErr w:type="spellStart"/>
      <w:r>
        <w:t>netupitant</w:t>
      </w:r>
      <w:proofErr w:type="spellEnd"/>
      <w:r>
        <w:t xml:space="preserve"> at the recommended human dose. </w:t>
      </w:r>
    </w:p>
    <w:p w14:paraId="726ED475" w14:textId="7494C44A" w:rsidR="0013332C" w:rsidRDefault="0013332C" w:rsidP="0013332C">
      <w:r w:rsidRPr="00AE54F6">
        <w:t xml:space="preserve">There are no data from the use of </w:t>
      </w:r>
      <w:proofErr w:type="spellStart"/>
      <w:r w:rsidRPr="00AE54F6">
        <w:t>palonosetron</w:t>
      </w:r>
      <w:proofErr w:type="spellEnd"/>
      <w:r w:rsidRPr="00AE54F6">
        <w:t xml:space="preserve"> and </w:t>
      </w:r>
      <w:proofErr w:type="spellStart"/>
      <w:r w:rsidRPr="00AE54F6">
        <w:t>netupitant</w:t>
      </w:r>
      <w:proofErr w:type="spellEnd"/>
      <w:r w:rsidRPr="00AE54F6">
        <w:t xml:space="preserve"> in pregnant women. </w:t>
      </w:r>
      <w:r w:rsidR="006F30BE">
        <w:t xml:space="preserve">No studies on the effect on </w:t>
      </w:r>
      <w:proofErr w:type="spellStart"/>
      <w:r w:rsidR="006F30BE">
        <w:t>embryofetal</w:t>
      </w:r>
      <w:proofErr w:type="spellEnd"/>
      <w:r w:rsidR="006F30BE">
        <w:t xml:space="preserve"> development have been conducted with the </w:t>
      </w:r>
      <w:proofErr w:type="spellStart"/>
      <w:r w:rsidR="006F30BE">
        <w:t>fosnetupitant</w:t>
      </w:r>
      <w:proofErr w:type="spellEnd"/>
      <w:r w:rsidR="006F30BE">
        <w:t>/</w:t>
      </w:r>
      <w:proofErr w:type="spellStart"/>
      <w:r w:rsidR="006F30BE">
        <w:t>palonosetron</w:t>
      </w:r>
      <w:proofErr w:type="spellEnd"/>
      <w:r w:rsidR="006F30BE">
        <w:t xml:space="preserve"> combination. </w:t>
      </w:r>
      <w:r w:rsidRPr="001C1BA7">
        <w:t>AKYNZEO</w:t>
      </w:r>
      <w:r w:rsidR="00120D42">
        <w:t xml:space="preserve"> IV</w:t>
      </w:r>
      <w:r w:rsidRPr="001C1BA7">
        <w:t xml:space="preserve"> </w:t>
      </w:r>
      <w:r>
        <w:t>is contraindicated in pregnancy.</w:t>
      </w:r>
      <w:r w:rsidR="004D3083">
        <w:t xml:space="preserve"> </w:t>
      </w:r>
    </w:p>
    <w:p w14:paraId="20D98477" w14:textId="77777777" w:rsidR="0013332C" w:rsidRPr="00373B89" w:rsidRDefault="0013332C" w:rsidP="0013332C">
      <w:pPr>
        <w:pStyle w:val="Heading3"/>
      </w:pPr>
      <w:r w:rsidRPr="00373B89">
        <w:t>Use in lactation</w:t>
      </w:r>
    </w:p>
    <w:p w14:paraId="5F705620" w14:textId="3E5B495B" w:rsidR="002D2C34" w:rsidRPr="00BC5E75" w:rsidRDefault="0013332C" w:rsidP="0013332C">
      <w:pPr>
        <w:rPr>
          <w:lang w:eastAsia="it-CH"/>
        </w:rPr>
      </w:pPr>
      <w:r w:rsidRPr="001C1BA7">
        <w:t xml:space="preserve">It is not known whether </w:t>
      </w:r>
      <w:proofErr w:type="spellStart"/>
      <w:r w:rsidRPr="001C1BA7">
        <w:t>palonosetron</w:t>
      </w:r>
      <w:proofErr w:type="spellEnd"/>
      <w:r w:rsidRPr="001C1BA7">
        <w:t xml:space="preserve"> or </w:t>
      </w:r>
      <w:proofErr w:type="spellStart"/>
      <w:r w:rsidRPr="001C1BA7">
        <w:t>netupitant</w:t>
      </w:r>
      <w:proofErr w:type="spellEnd"/>
      <w:r w:rsidRPr="001C1BA7">
        <w:t xml:space="preserve"> are excreted in human milk. A risk to the newborn/infant cannot be excluded. Breastfeeding should be discontinued during treatment with AKYNZEO</w:t>
      </w:r>
      <w:r>
        <w:t xml:space="preserve"> </w:t>
      </w:r>
      <w:r w:rsidR="00CF1DB4">
        <w:t xml:space="preserve">IV </w:t>
      </w:r>
      <w:r>
        <w:t>and for one month after the last dose</w:t>
      </w:r>
      <w:r w:rsidRPr="001C1BA7">
        <w:t xml:space="preserve">. </w:t>
      </w:r>
      <w:r w:rsidRPr="000207F3">
        <w:rPr>
          <w:color w:val="231F20"/>
        </w:rPr>
        <w:t xml:space="preserve">Pre- and post-natal development study in </w:t>
      </w:r>
      <w:r w:rsidRPr="000207F3">
        <w:rPr>
          <w:lang w:eastAsia="it-CH"/>
        </w:rPr>
        <w:t xml:space="preserve">rats with </w:t>
      </w:r>
      <w:proofErr w:type="spellStart"/>
      <w:r w:rsidRPr="000207F3">
        <w:rPr>
          <w:lang w:eastAsia="it-CH"/>
        </w:rPr>
        <w:t>netupitant</w:t>
      </w:r>
      <w:proofErr w:type="spellEnd"/>
      <w:r w:rsidRPr="000207F3">
        <w:rPr>
          <w:lang w:eastAsia="it-CH"/>
        </w:rPr>
        <w:t xml:space="preserve"> does not indicate direct or indirect harmful effects on F1 and F2 generations</w:t>
      </w:r>
      <w:r>
        <w:rPr>
          <w:lang w:eastAsia="it-CH"/>
        </w:rPr>
        <w:t xml:space="preserve">, after daily administration of </w:t>
      </w:r>
      <w:proofErr w:type="spellStart"/>
      <w:r>
        <w:rPr>
          <w:lang w:eastAsia="it-CH"/>
        </w:rPr>
        <w:t>netupitant</w:t>
      </w:r>
      <w:proofErr w:type="spellEnd"/>
      <w:r>
        <w:rPr>
          <w:lang w:eastAsia="it-CH"/>
        </w:rPr>
        <w:t xml:space="preserve"> up to 3 times the human AUC at the recommended human dose.</w:t>
      </w:r>
      <w:r w:rsidR="002D2C34">
        <w:rPr>
          <w:lang w:eastAsia="it-CH"/>
        </w:rPr>
        <w:t xml:space="preserve"> Daily administration of 39.5 </w:t>
      </w:r>
      <w:proofErr w:type="spellStart"/>
      <w:r w:rsidR="002D2C34">
        <w:rPr>
          <w:lang w:eastAsia="it-CH"/>
        </w:rPr>
        <w:t>fosnetupitant</w:t>
      </w:r>
      <w:proofErr w:type="spellEnd"/>
      <w:r w:rsidR="002D2C34">
        <w:rPr>
          <w:lang w:eastAsia="it-CH"/>
        </w:rPr>
        <w:t xml:space="preserve"> in rats (</w:t>
      </w:r>
      <w:r w:rsidR="004516D2">
        <w:rPr>
          <w:lang w:eastAsia="it-CH"/>
        </w:rPr>
        <w:t xml:space="preserve">3.2 times the human AUC for </w:t>
      </w:r>
      <w:proofErr w:type="spellStart"/>
      <w:r w:rsidR="004516D2">
        <w:rPr>
          <w:lang w:eastAsia="it-CH"/>
        </w:rPr>
        <w:t>netupitant</w:t>
      </w:r>
      <w:proofErr w:type="spellEnd"/>
      <w:r w:rsidR="004516D2">
        <w:rPr>
          <w:lang w:eastAsia="it-CH"/>
        </w:rPr>
        <w:t xml:space="preserve"> at the recommended human do</w:t>
      </w:r>
      <w:r w:rsidR="00D92249">
        <w:rPr>
          <w:lang w:eastAsia="it-CH"/>
        </w:rPr>
        <w:t>se</w:t>
      </w:r>
      <w:r w:rsidR="004516D2">
        <w:rPr>
          <w:lang w:eastAsia="it-CH"/>
        </w:rPr>
        <w:t xml:space="preserve">) during organogenesis through lactation increased pre-birth loss and pup loss, reduced bodyweight of F1 pups and delayed development (pinna detachment, eye opening, preputial separation and startle response to sound), associated with reduced maternal body weights. No effects were observed in offspring or dams at 13 mg/kg/day (1.3 times the human AUC for </w:t>
      </w:r>
      <w:proofErr w:type="spellStart"/>
      <w:r w:rsidR="004516D2">
        <w:rPr>
          <w:lang w:eastAsia="it-CH"/>
        </w:rPr>
        <w:t>netupitant</w:t>
      </w:r>
      <w:proofErr w:type="spellEnd"/>
      <w:r w:rsidR="004516D2">
        <w:rPr>
          <w:lang w:eastAsia="it-CH"/>
        </w:rPr>
        <w:t xml:space="preserve"> at the recommended human dose). </w:t>
      </w:r>
    </w:p>
    <w:p w14:paraId="5F5207E2" w14:textId="77777777" w:rsidR="0013332C" w:rsidRPr="00373B89" w:rsidRDefault="0013332C" w:rsidP="0013332C">
      <w:pPr>
        <w:pStyle w:val="Heading2"/>
      </w:pPr>
      <w:r w:rsidRPr="00373B89">
        <w:t xml:space="preserve">Effects on ability to drive and use machines </w:t>
      </w:r>
    </w:p>
    <w:p w14:paraId="690556B8" w14:textId="0B49B7A6" w:rsidR="0013332C" w:rsidRPr="00333B48" w:rsidRDefault="0013332C" w:rsidP="0013332C">
      <w:r w:rsidRPr="001C1BA7">
        <w:t>No studies on the effects on the ability to drive and use machines have been performed with AKYNZEO</w:t>
      </w:r>
      <w:r w:rsidR="00217A69">
        <w:t xml:space="preserve"> IV</w:t>
      </w:r>
      <w:r w:rsidRPr="001C1BA7">
        <w:t>. AKYNZEO</w:t>
      </w:r>
      <w:r w:rsidR="00217A69">
        <w:t xml:space="preserve"> IV</w:t>
      </w:r>
      <w:r w:rsidRPr="001C1BA7">
        <w:t xml:space="preserve"> may induce dizziness, somnolence or fatigue, therefore patients should </w:t>
      </w:r>
      <w:r>
        <w:t>use</w:t>
      </w:r>
      <w:r w:rsidRPr="001C1BA7">
        <w:t xml:space="preserve"> caution when driving or operating </w:t>
      </w:r>
      <w:r w:rsidRPr="0021508E">
        <w:t>machines.</w:t>
      </w:r>
    </w:p>
    <w:p w14:paraId="0CDCC716" w14:textId="77777777" w:rsidR="0013332C" w:rsidRPr="00373B89" w:rsidRDefault="0013332C" w:rsidP="0013332C">
      <w:pPr>
        <w:pStyle w:val="Heading2"/>
      </w:pPr>
      <w:r w:rsidRPr="00373B89">
        <w:t>Adverse effects (Undesirable effects)</w:t>
      </w:r>
    </w:p>
    <w:p w14:paraId="110995B9" w14:textId="3B5E4705" w:rsidR="00D373CE" w:rsidRDefault="00D373CE" w:rsidP="00980032">
      <w:pPr>
        <w:rPr>
          <w:lang w:eastAsia="it-CH"/>
        </w:rPr>
      </w:pPr>
      <w:r>
        <w:rPr>
          <w:lang w:eastAsia="it-CH"/>
        </w:rPr>
        <w:t xml:space="preserve">The safety of AKYNZEO IV was evaluated in 203 patients in an active-controlled multi-cycle (median 4 cycles, range 1-4 cycles) safety clinical study in patients receiving HEC (including cisplatin, cyclophosphamide, </w:t>
      </w:r>
      <w:proofErr w:type="spellStart"/>
      <w:r>
        <w:rPr>
          <w:lang w:eastAsia="it-CH"/>
        </w:rPr>
        <w:t>carmustine</w:t>
      </w:r>
      <w:proofErr w:type="spellEnd"/>
      <w:r>
        <w:rPr>
          <w:lang w:eastAsia="it-CH"/>
        </w:rPr>
        <w:t xml:space="preserve">, </w:t>
      </w:r>
      <w:proofErr w:type="spellStart"/>
      <w:r>
        <w:rPr>
          <w:lang w:eastAsia="it-CH"/>
        </w:rPr>
        <w:t>dacarbazine</w:t>
      </w:r>
      <w:proofErr w:type="spellEnd"/>
      <w:r>
        <w:rPr>
          <w:lang w:eastAsia="it-CH"/>
        </w:rPr>
        <w:t xml:space="preserve"> and </w:t>
      </w:r>
      <w:proofErr w:type="spellStart"/>
      <w:r>
        <w:rPr>
          <w:lang w:eastAsia="it-CH"/>
        </w:rPr>
        <w:t>mechloretamine</w:t>
      </w:r>
      <w:proofErr w:type="spellEnd"/>
      <w:r>
        <w:rPr>
          <w:lang w:eastAsia="it-CH"/>
        </w:rPr>
        <w:t>) compared to 201 patients receiving AKYNZEO capsules</w:t>
      </w:r>
      <w:r w:rsidR="00980032">
        <w:rPr>
          <w:lang w:eastAsia="it-CH"/>
        </w:rPr>
        <w:t xml:space="preserve">. All patients received a single dose of AKYNZEO IV 30 minutes prior to the start of each chemotherapy cycle; dexamethasone was co-administered with AKYNZEO IV. The safety profile of AKYNZEO IV was similar to that seen with AKYNZEO capsules. </w:t>
      </w:r>
    </w:p>
    <w:p w14:paraId="0CCE3C3C" w14:textId="0161A017" w:rsidR="0013332C" w:rsidRPr="00DD0A7B" w:rsidRDefault="0013332C" w:rsidP="0013332C">
      <w:pPr>
        <w:rPr>
          <w:color w:val="000000"/>
        </w:rPr>
      </w:pPr>
      <w:r w:rsidRPr="001C0F1E">
        <w:rPr>
          <w:lang w:eastAsia="it-CH"/>
        </w:rPr>
        <w:t xml:space="preserve">The safety profile of </w:t>
      </w:r>
      <w:r>
        <w:rPr>
          <w:lang w:eastAsia="it-CH"/>
        </w:rPr>
        <w:t>AKYNZEO</w:t>
      </w:r>
      <w:r w:rsidR="004A1E78">
        <w:rPr>
          <w:lang w:eastAsia="it-CH"/>
        </w:rPr>
        <w:t xml:space="preserve"> capsules</w:t>
      </w:r>
      <w:r w:rsidRPr="001C0F1E">
        <w:rPr>
          <w:lang w:eastAsia="it-CH"/>
        </w:rPr>
        <w:t xml:space="preserve"> </w:t>
      </w:r>
      <w:r w:rsidR="004A1E78">
        <w:rPr>
          <w:lang w:eastAsia="it-CH"/>
        </w:rPr>
        <w:t xml:space="preserve">were </w:t>
      </w:r>
      <w:r w:rsidRPr="001C0F1E">
        <w:rPr>
          <w:lang w:eastAsia="it-CH"/>
        </w:rPr>
        <w:t xml:space="preserve">evaluated in </w:t>
      </w:r>
      <w:r w:rsidRPr="001C0F1E">
        <w:t xml:space="preserve">1169 cancer patients, including 782 exposed to </w:t>
      </w:r>
      <w:r>
        <w:t>AKYNZEO</w:t>
      </w:r>
      <w:r w:rsidR="00D35851">
        <w:t xml:space="preserve"> capsules</w:t>
      </w:r>
      <w:r w:rsidRPr="001C0F1E">
        <w:t xml:space="preserve"> for at least 4 cycles and 321 exposed for at least 6 cycles, up to a maximum of 12 cycles of chemotherapy. All patients received a single oral dose of </w:t>
      </w:r>
      <w:r>
        <w:t>AKYNZEO</w:t>
      </w:r>
      <w:r w:rsidRPr="001C0F1E">
        <w:t xml:space="preserve"> </w:t>
      </w:r>
      <w:r w:rsidR="00D373CE">
        <w:t xml:space="preserve">capsules </w:t>
      </w:r>
      <w:r w:rsidRPr="001C0F1E">
        <w:t xml:space="preserve">one hour prior to the start of each chemotherapy cycle. In all studies, dexamethasone was co-administered with </w:t>
      </w:r>
      <w:r>
        <w:t>AKYNZEO</w:t>
      </w:r>
      <w:r w:rsidR="00D373CE">
        <w:t xml:space="preserve"> </w:t>
      </w:r>
      <w:r w:rsidR="00D373CE" w:rsidRPr="006701EC">
        <w:t>capsules</w:t>
      </w:r>
      <w:r w:rsidRPr="006701EC">
        <w:t xml:space="preserve"> </w:t>
      </w:r>
      <w:r w:rsidRPr="00E71C0E">
        <w:t xml:space="preserve">(see Section 5.1 </w:t>
      </w:r>
      <w:r w:rsidR="00962ED4">
        <w:t xml:space="preserve">- </w:t>
      </w:r>
      <w:r w:rsidRPr="00E71C0E">
        <w:t>Pharmacodynamic properties</w:t>
      </w:r>
      <w:r w:rsidR="00962ED4">
        <w:t>,</w:t>
      </w:r>
      <w:r w:rsidRPr="00E71C0E">
        <w:t xml:space="preserve"> Clinical trials, Tables 3</w:t>
      </w:r>
      <w:r w:rsidR="00962ED4">
        <w:t xml:space="preserve">, 5 </w:t>
      </w:r>
      <w:r w:rsidRPr="00E71C0E">
        <w:t xml:space="preserve">and </w:t>
      </w:r>
      <w:r w:rsidR="00715116">
        <w:t>7)</w:t>
      </w:r>
      <w:r w:rsidRPr="00E71C0E">
        <w:t>.</w:t>
      </w:r>
    </w:p>
    <w:p w14:paraId="5EE987D6" w14:textId="11B9D6B4" w:rsidR="0013332C" w:rsidRDefault="0013332C" w:rsidP="0013332C">
      <w:pPr>
        <w:rPr>
          <w:lang w:eastAsia="it-CH"/>
        </w:rPr>
      </w:pPr>
      <w:r w:rsidRPr="00B5161C">
        <w:rPr>
          <w:lang w:eastAsia="it-CH"/>
        </w:rPr>
        <w:t xml:space="preserve">Adverse reactions, considered as drug-related by the investigator, were reported in approximately 13% of patients </w:t>
      </w:r>
      <w:r w:rsidRPr="004E5E49">
        <w:rPr>
          <w:lang w:eastAsia="it-CH"/>
        </w:rPr>
        <w:t>treated with AKYNZEO</w:t>
      </w:r>
      <w:r w:rsidR="00D373CE">
        <w:rPr>
          <w:lang w:eastAsia="it-CH"/>
        </w:rPr>
        <w:t xml:space="preserve"> cap</w:t>
      </w:r>
      <w:r w:rsidR="00980032">
        <w:rPr>
          <w:lang w:eastAsia="it-CH"/>
        </w:rPr>
        <w:t>s</w:t>
      </w:r>
      <w:r w:rsidR="00D373CE">
        <w:rPr>
          <w:lang w:eastAsia="it-CH"/>
        </w:rPr>
        <w:t>ules</w:t>
      </w:r>
      <w:r w:rsidRPr="004E5E49">
        <w:rPr>
          <w:lang w:eastAsia="it-CH"/>
        </w:rPr>
        <w:t xml:space="preserve">. AKYNZEO was discontinued </w:t>
      </w:r>
      <w:r w:rsidRPr="004E5E49">
        <w:rPr>
          <w:lang w:eastAsia="it-CH"/>
        </w:rPr>
        <w:lastRenderedPageBreak/>
        <w:t xml:space="preserve">due to adverse reactions in 3.7 % of patients. </w:t>
      </w:r>
      <w:r w:rsidRPr="004E5E49">
        <w:rPr>
          <w:color w:val="000000"/>
        </w:rPr>
        <w:t>The adverse reaction profile was similar across all cycles.</w:t>
      </w:r>
      <w:r w:rsidRPr="004E5E49">
        <w:rPr>
          <w:lang w:eastAsia="it-CH"/>
        </w:rPr>
        <w:t xml:space="preserve"> </w:t>
      </w:r>
      <w:r w:rsidRPr="004E5E49">
        <w:t xml:space="preserve">The following is a listing of the adverse reactions reported by </w:t>
      </w:r>
      <w:r w:rsidR="0035369C" w:rsidRPr="002A2F3D">
        <w:t>≥</w:t>
      </w:r>
      <w:r w:rsidRPr="004E5E49">
        <w:t xml:space="preserve"> 1% of patients </w:t>
      </w:r>
      <w:r w:rsidR="001D5807">
        <w:t xml:space="preserve">(common adverse events) </w:t>
      </w:r>
      <w:r w:rsidRPr="004E5E49">
        <w:rPr>
          <w:lang w:eastAsia="it-CH"/>
        </w:rPr>
        <w:t>treated with AKYNZEO</w:t>
      </w:r>
      <w:r w:rsidR="00410547">
        <w:rPr>
          <w:lang w:eastAsia="it-CH"/>
        </w:rPr>
        <w:t xml:space="preserve"> capsules</w:t>
      </w:r>
      <w:r w:rsidRPr="004E5E49">
        <w:rPr>
          <w:lang w:eastAsia="it-CH"/>
        </w:rPr>
        <w:t xml:space="preserve"> for one or more cycles.</w:t>
      </w:r>
      <w:r>
        <w:rPr>
          <w:lang w:eastAsia="it-CH"/>
        </w:rPr>
        <w:t xml:space="preserve"> </w:t>
      </w:r>
    </w:p>
    <w:p w14:paraId="400D05DE" w14:textId="1221C773" w:rsidR="0013332C" w:rsidRPr="00330703" w:rsidRDefault="00D44BA2" w:rsidP="0035369C">
      <w:pPr>
        <w:rPr>
          <w:b/>
          <w:sz w:val="20"/>
        </w:rPr>
      </w:pPr>
      <w:r>
        <w:rPr>
          <w:b/>
          <w:sz w:val="20"/>
        </w:rPr>
        <w:t xml:space="preserve">Table 1: </w:t>
      </w:r>
      <w:r w:rsidR="0013332C" w:rsidRPr="00E71C0E">
        <w:rPr>
          <w:sz w:val="20"/>
        </w:rPr>
        <w:t xml:space="preserve">Adverse Reactions Occurring in </w:t>
      </w:r>
      <w:r w:rsidR="0035369C" w:rsidRPr="002A2F3D">
        <w:t>≥</w:t>
      </w:r>
      <w:r w:rsidR="0013332C" w:rsidRPr="00E71C0E">
        <w:rPr>
          <w:sz w:val="20"/>
        </w:rPr>
        <w:t>1% of Cancer Patients Receiving AKYNZEO</w:t>
      </w:r>
      <w:r w:rsidR="00D373CE" w:rsidRPr="00E71C0E">
        <w:rPr>
          <w:sz w:val="20"/>
        </w:rPr>
        <w:t xml:space="preserve"> Capsules</w:t>
      </w:r>
      <w:r w:rsidR="0013332C" w:rsidRPr="00E71C0E">
        <w:rPr>
          <w:sz w:val="20"/>
        </w:rPr>
        <w:t xml:space="preserve"> in Chemotherapy-Induced Nausea and Vomiting Studies (All Cycles)</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6"/>
        <w:gridCol w:w="1627"/>
        <w:gridCol w:w="2410"/>
        <w:gridCol w:w="2268"/>
      </w:tblGrid>
      <w:tr w:rsidR="0013332C" w:rsidRPr="004E5E49" w14:paraId="31A082AC" w14:textId="77777777" w:rsidTr="00491341">
        <w:trPr>
          <w:cantSplit/>
          <w:trHeight w:val="603"/>
          <w:tblHeader/>
        </w:trPr>
        <w:tc>
          <w:tcPr>
            <w:tcW w:w="2626" w:type="dxa"/>
            <w:tcBorders>
              <w:top w:val="single" w:sz="4" w:space="0" w:color="auto"/>
              <w:bottom w:val="single" w:sz="4" w:space="0" w:color="auto"/>
              <w:right w:val="single" w:sz="4" w:space="0" w:color="auto"/>
            </w:tcBorders>
            <w:vAlign w:val="center"/>
          </w:tcPr>
          <w:p w14:paraId="4EA6E96B" w14:textId="77777777" w:rsidR="0013332C" w:rsidRPr="00373B89" w:rsidRDefault="0013332C" w:rsidP="00E71C0E">
            <w:pPr>
              <w:spacing w:after="0"/>
              <w:rPr>
                <w:b/>
                <w:sz w:val="20"/>
                <w:szCs w:val="20"/>
              </w:rPr>
            </w:pPr>
            <w:r w:rsidRPr="00373B89">
              <w:rPr>
                <w:b/>
                <w:sz w:val="20"/>
                <w:szCs w:val="20"/>
              </w:rPr>
              <w:t>Adverse Drug Reactions</w:t>
            </w:r>
          </w:p>
        </w:tc>
        <w:tc>
          <w:tcPr>
            <w:tcW w:w="1627" w:type="dxa"/>
            <w:tcBorders>
              <w:top w:val="single" w:sz="4" w:space="0" w:color="auto"/>
              <w:left w:val="nil"/>
              <w:bottom w:val="single" w:sz="4" w:space="0" w:color="auto"/>
              <w:right w:val="single" w:sz="4" w:space="0" w:color="auto"/>
            </w:tcBorders>
          </w:tcPr>
          <w:p w14:paraId="74558A8E" w14:textId="67A7C3FB" w:rsidR="0013332C" w:rsidRPr="00373B89" w:rsidRDefault="0013332C" w:rsidP="00E71C0E">
            <w:pPr>
              <w:spacing w:after="0"/>
              <w:jc w:val="center"/>
              <w:rPr>
                <w:b/>
                <w:sz w:val="20"/>
                <w:szCs w:val="20"/>
              </w:rPr>
            </w:pPr>
            <w:r w:rsidRPr="00373B89">
              <w:rPr>
                <w:b/>
                <w:sz w:val="20"/>
                <w:szCs w:val="20"/>
              </w:rPr>
              <w:t>AKYNZEO</w:t>
            </w:r>
            <w:r w:rsidR="00B162B7">
              <w:rPr>
                <w:b/>
                <w:sz w:val="20"/>
                <w:szCs w:val="20"/>
              </w:rPr>
              <w:t xml:space="preserve"> </w:t>
            </w:r>
          </w:p>
          <w:p w14:paraId="10B15DE1" w14:textId="77777777" w:rsidR="0013332C" w:rsidRPr="00373B89" w:rsidRDefault="0013332C" w:rsidP="00E71C0E">
            <w:pPr>
              <w:spacing w:after="0"/>
              <w:jc w:val="center"/>
              <w:rPr>
                <w:b/>
                <w:sz w:val="20"/>
                <w:szCs w:val="20"/>
              </w:rPr>
            </w:pPr>
            <w:r w:rsidRPr="00373B89">
              <w:rPr>
                <w:b/>
                <w:sz w:val="20"/>
                <w:szCs w:val="20"/>
              </w:rPr>
              <w:t>(N=1169)</w:t>
            </w:r>
          </w:p>
        </w:tc>
        <w:tc>
          <w:tcPr>
            <w:tcW w:w="2410" w:type="dxa"/>
            <w:tcBorders>
              <w:top w:val="single" w:sz="4" w:space="0" w:color="auto"/>
              <w:left w:val="nil"/>
              <w:bottom w:val="single" w:sz="4" w:space="0" w:color="auto"/>
              <w:right w:val="single" w:sz="4" w:space="0" w:color="auto"/>
            </w:tcBorders>
          </w:tcPr>
          <w:p w14:paraId="7F6B309D" w14:textId="77777777" w:rsidR="0013332C" w:rsidRPr="00373B89" w:rsidRDefault="0013332C" w:rsidP="00E71C0E">
            <w:pPr>
              <w:spacing w:after="0"/>
              <w:jc w:val="center"/>
              <w:rPr>
                <w:b/>
                <w:sz w:val="20"/>
                <w:szCs w:val="20"/>
              </w:rPr>
            </w:pPr>
            <w:proofErr w:type="spellStart"/>
            <w:r w:rsidRPr="00373B89">
              <w:rPr>
                <w:b/>
                <w:sz w:val="20"/>
                <w:szCs w:val="20"/>
              </w:rPr>
              <w:t>Palonosetron</w:t>
            </w:r>
            <w:proofErr w:type="spellEnd"/>
            <w:r w:rsidRPr="00373B89">
              <w:rPr>
                <w:b/>
                <w:sz w:val="20"/>
                <w:szCs w:val="20"/>
              </w:rPr>
              <w:t xml:space="preserve"> 500 µg</w:t>
            </w:r>
          </w:p>
          <w:p w14:paraId="4E34F9DC" w14:textId="77777777" w:rsidR="0013332C" w:rsidRPr="00373B89" w:rsidRDefault="0013332C" w:rsidP="00E71C0E">
            <w:pPr>
              <w:spacing w:after="0"/>
              <w:jc w:val="center"/>
              <w:rPr>
                <w:b/>
                <w:sz w:val="20"/>
                <w:szCs w:val="20"/>
              </w:rPr>
            </w:pPr>
            <w:r w:rsidRPr="00373B89">
              <w:rPr>
                <w:b/>
                <w:sz w:val="20"/>
                <w:szCs w:val="20"/>
              </w:rPr>
              <w:t>(N=1231)</w:t>
            </w:r>
          </w:p>
        </w:tc>
        <w:tc>
          <w:tcPr>
            <w:tcW w:w="2268" w:type="dxa"/>
            <w:tcBorders>
              <w:top w:val="single" w:sz="4" w:space="0" w:color="auto"/>
              <w:left w:val="nil"/>
              <w:bottom w:val="single" w:sz="4" w:space="0" w:color="auto"/>
              <w:right w:val="single" w:sz="4" w:space="0" w:color="auto"/>
            </w:tcBorders>
          </w:tcPr>
          <w:p w14:paraId="61624C74" w14:textId="005948C7" w:rsidR="0013332C" w:rsidRPr="00373B89" w:rsidRDefault="0013332C" w:rsidP="00E71C0E">
            <w:pPr>
              <w:spacing w:after="0"/>
              <w:jc w:val="center"/>
              <w:rPr>
                <w:b/>
                <w:sz w:val="20"/>
                <w:szCs w:val="20"/>
              </w:rPr>
            </w:pPr>
            <w:proofErr w:type="spellStart"/>
            <w:r w:rsidRPr="00373B89">
              <w:rPr>
                <w:b/>
                <w:sz w:val="20"/>
                <w:szCs w:val="20"/>
              </w:rPr>
              <w:t>Aprepitant</w:t>
            </w:r>
            <w:proofErr w:type="spellEnd"/>
            <w:r w:rsidRPr="00373B89">
              <w:rPr>
                <w:b/>
                <w:sz w:val="20"/>
                <w:szCs w:val="20"/>
              </w:rPr>
              <w:t xml:space="preserve"> plus 5</w:t>
            </w:r>
            <w:r w:rsidR="00D373CE">
              <w:rPr>
                <w:b/>
                <w:sz w:val="20"/>
                <w:szCs w:val="20"/>
              </w:rPr>
              <w:t>-</w:t>
            </w:r>
            <w:r w:rsidRPr="00373B89">
              <w:rPr>
                <w:b/>
                <w:sz w:val="20"/>
                <w:szCs w:val="20"/>
              </w:rPr>
              <w:t>HT</w:t>
            </w:r>
            <w:r w:rsidRPr="00373B89">
              <w:rPr>
                <w:b/>
                <w:bCs/>
                <w:sz w:val="20"/>
                <w:szCs w:val="20"/>
                <w:vertAlign w:val="subscript"/>
              </w:rPr>
              <w:t>3</w:t>
            </w:r>
          </w:p>
          <w:p w14:paraId="131BEEB0" w14:textId="77777777" w:rsidR="0013332C" w:rsidRPr="00373B89" w:rsidRDefault="0013332C" w:rsidP="00E71C0E">
            <w:pPr>
              <w:spacing w:after="0"/>
              <w:jc w:val="center"/>
              <w:rPr>
                <w:b/>
                <w:sz w:val="20"/>
                <w:szCs w:val="20"/>
              </w:rPr>
            </w:pPr>
            <w:r w:rsidRPr="00373B89">
              <w:rPr>
                <w:b/>
                <w:sz w:val="20"/>
                <w:szCs w:val="20"/>
              </w:rPr>
              <w:t>(N=238)</w:t>
            </w:r>
          </w:p>
        </w:tc>
      </w:tr>
      <w:tr w:rsidR="0013332C" w:rsidRPr="004E5E49" w14:paraId="7E43E872" w14:textId="77777777" w:rsidTr="00E71C0E">
        <w:trPr>
          <w:cantSplit/>
        </w:trPr>
        <w:tc>
          <w:tcPr>
            <w:tcW w:w="2626" w:type="dxa"/>
            <w:tcBorders>
              <w:top w:val="single" w:sz="4" w:space="0" w:color="auto"/>
              <w:bottom w:val="nil"/>
              <w:right w:val="single" w:sz="4" w:space="0" w:color="auto"/>
            </w:tcBorders>
            <w:vAlign w:val="center"/>
          </w:tcPr>
          <w:p w14:paraId="75C1C4D1" w14:textId="77777777" w:rsidR="0013332C" w:rsidRPr="00DF329C" w:rsidRDefault="0013332C" w:rsidP="00491341">
            <w:pPr>
              <w:jc w:val="center"/>
              <w:rPr>
                <w:i/>
                <w:sz w:val="20"/>
                <w:szCs w:val="20"/>
              </w:rPr>
            </w:pPr>
            <w:r w:rsidRPr="00DF329C">
              <w:rPr>
                <w:i/>
                <w:sz w:val="20"/>
                <w:szCs w:val="20"/>
              </w:rPr>
              <w:t>Nervous system Disorders</w:t>
            </w:r>
          </w:p>
        </w:tc>
        <w:tc>
          <w:tcPr>
            <w:tcW w:w="1627" w:type="dxa"/>
            <w:tcBorders>
              <w:top w:val="single" w:sz="4" w:space="0" w:color="auto"/>
              <w:left w:val="nil"/>
              <w:bottom w:val="nil"/>
              <w:right w:val="single" w:sz="4" w:space="0" w:color="auto"/>
            </w:tcBorders>
            <w:shd w:val="clear" w:color="auto" w:fill="D9D9D9" w:themeFill="background1" w:themeFillShade="D9"/>
            <w:vAlign w:val="center"/>
          </w:tcPr>
          <w:p w14:paraId="25A878F1" w14:textId="77777777" w:rsidR="0013332C" w:rsidRPr="006970EC" w:rsidRDefault="0013332C" w:rsidP="00491341">
            <w:pPr>
              <w:jc w:val="center"/>
              <w:rPr>
                <w:sz w:val="20"/>
                <w:szCs w:val="20"/>
              </w:rPr>
            </w:pPr>
          </w:p>
        </w:tc>
        <w:tc>
          <w:tcPr>
            <w:tcW w:w="2410" w:type="dxa"/>
            <w:tcBorders>
              <w:top w:val="single" w:sz="4" w:space="0" w:color="auto"/>
              <w:left w:val="nil"/>
              <w:bottom w:val="nil"/>
              <w:right w:val="single" w:sz="4" w:space="0" w:color="auto"/>
            </w:tcBorders>
            <w:shd w:val="clear" w:color="auto" w:fill="D9D9D9" w:themeFill="background1" w:themeFillShade="D9"/>
            <w:vAlign w:val="center"/>
          </w:tcPr>
          <w:p w14:paraId="4B34887F" w14:textId="77777777" w:rsidR="0013332C" w:rsidRPr="001A7530" w:rsidRDefault="0013332C" w:rsidP="00491341">
            <w:pPr>
              <w:jc w:val="center"/>
              <w:rPr>
                <w:sz w:val="20"/>
                <w:szCs w:val="20"/>
              </w:rPr>
            </w:pPr>
          </w:p>
        </w:tc>
        <w:tc>
          <w:tcPr>
            <w:tcW w:w="2268" w:type="dxa"/>
            <w:tcBorders>
              <w:top w:val="single" w:sz="4" w:space="0" w:color="auto"/>
              <w:left w:val="nil"/>
              <w:bottom w:val="nil"/>
              <w:right w:val="single" w:sz="4" w:space="0" w:color="auto"/>
            </w:tcBorders>
            <w:shd w:val="clear" w:color="auto" w:fill="D9D9D9" w:themeFill="background1" w:themeFillShade="D9"/>
            <w:vAlign w:val="center"/>
          </w:tcPr>
          <w:p w14:paraId="39654CE6" w14:textId="77777777" w:rsidR="0013332C" w:rsidRPr="001A7530" w:rsidRDefault="0013332C" w:rsidP="00491341">
            <w:pPr>
              <w:jc w:val="center"/>
              <w:rPr>
                <w:sz w:val="20"/>
                <w:szCs w:val="20"/>
              </w:rPr>
            </w:pPr>
          </w:p>
        </w:tc>
      </w:tr>
      <w:tr w:rsidR="0013332C" w:rsidRPr="004E5E49" w14:paraId="79DDA7C1" w14:textId="77777777" w:rsidTr="00E71C0E">
        <w:trPr>
          <w:cantSplit/>
        </w:trPr>
        <w:tc>
          <w:tcPr>
            <w:tcW w:w="2626" w:type="dxa"/>
            <w:tcBorders>
              <w:top w:val="single" w:sz="4" w:space="0" w:color="auto"/>
              <w:bottom w:val="single" w:sz="4" w:space="0" w:color="auto"/>
              <w:right w:val="single" w:sz="4" w:space="0" w:color="auto"/>
            </w:tcBorders>
            <w:vAlign w:val="center"/>
          </w:tcPr>
          <w:p w14:paraId="0E3955E7" w14:textId="77777777" w:rsidR="0013332C" w:rsidRPr="00DF329C" w:rsidRDefault="0013332C" w:rsidP="00491341">
            <w:pPr>
              <w:jc w:val="center"/>
              <w:rPr>
                <w:sz w:val="20"/>
                <w:szCs w:val="20"/>
              </w:rPr>
            </w:pPr>
            <w:r w:rsidRPr="00DF329C">
              <w:rPr>
                <w:sz w:val="20"/>
                <w:szCs w:val="20"/>
              </w:rPr>
              <w:t>Headache</w:t>
            </w:r>
          </w:p>
        </w:tc>
        <w:tc>
          <w:tcPr>
            <w:tcW w:w="1627" w:type="dxa"/>
            <w:tcBorders>
              <w:top w:val="single" w:sz="4" w:space="0" w:color="auto"/>
              <w:left w:val="nil"/>
              <w:bottom w:val="single" w:sz="4" w:space="0" w:color="auto"/>
              <w:right w:val="single" w:sz="4" w:space="0" w:color="auto"/>
            </w:tcBorders>
            <w:vAlign w:val="center"/>
          </w:tcPr>
          <w:p w14:paraId="48A13564" w14:textId="77777777" w:rsidR="0013332C" w:rsidRPr="006970EC" w:rsidRDefault="0013332C" w:rsidP="00491341">
            <w:pPr>
              <w:jc w:val="center"/>
              <w:rPr>
                <w:sz w:val="20"/>
                <w:szCs w:val="20"/>
              </w:rPr>
            </w:pPr>
            <w:r w:rsidRPr="006970EC">
              <w:rPr>
                <w:sz w:val="20"/>
                <w:szCs w:val="20"/>
              </w:rPr>
              <w:t>3.6%</w:t>
            </w:r>
          </w:p>
        </w:tc>
        <w:tc>
          <w:tcPr>
            <w:tcW w:w="2410" w:type="dxa"/>
            <w:tcBorders>
              <w:top w:val="single" w:sz="4" w:space="0" w:color="auto"/>
              <w:left w:val="nil"/>
              <w:bottom w:val="single" w:sz="4" w:space="0" w:color="auto"/>
              <w:right w:val="single" w:sz="4" w:space="0" w:color="auto"/>
            </w:tcBorders>
            <w:vAlign w:val="center"/>
          </w:tcPr>
          <w:p w14:paraId="6B8A1930" w14:textId="77777777" w:rsidR="0013332C" w:rsidRPr="001A7530" w:rsidRDefault="0013332C" w:rsidP="00491341">
            <w:pPr>
              <w:jc w:val="center"/>
              <w:rPr>
                <w:sz w:val="20"/>
                <w:szCs w:val="20"/>
              </w:rPr>
            </w:pPr>
            <w:r w:rsidRPr="001A7530">
              <w:rPr>
                <w:sz w:val="20"/>
                <w:szCs w:val="20"/>
              </w:rPr>
              <w:t>2.9%</w:t>
            </w:r>
          </w:p>
        </w:tc>
        <w:tc>
          <w:tcPr>
            <w:tcW w:w="2268" w:type="dxa"/>
            <w:tcBorders>
              <w:top w:val="single" w:sz="4" w:space="0" w:color="auto"/>
              <w:left w:val="nil"/>
              <w:bottom w:val="single" w:sz="4" w:space="0" w:color="auto"/>
              <w:right w:val="single" w:sz="4" w:space="0" w:color="auto"/>
            </w:tcBorders>
            <w:vAlign w:val="center"/>
          </w:tcPr>
          <w:p w14:paraId="2BF53ACD" w14:textId="77777777" w:rsidR="0013332C" w:rsidRPr="001A7530" w:rsidRDefault="0013332C" w:rsidP="00491341">
            <w:pPr>
              <w:jc w:val="center"/>
              <w:rPr>
                <w:sz w:val="20"/>
                <w:szCs w:val="20"/>
              </w:rPr>
            </w:pPr>
            <w:r w:rsidRPr="001A7530">
              <w:rPr>
                <w:sz w:val="20"/>
                <w:szCs w:val="20"/>
              </w:rPr>
              <w:t>1.7%</w:t>
            </w:r>
          </w:p>
        </w:tc>
      </w:tr>
      <w:tr w:rsidR="0013332C" w:rsidRPr="004E5E49" w14:paraId="74F7D8C3" w14:textId="77777777" w:rsidTr="00E71C0E">
        <w:trPr>
          <w:cantSplit/>
        </w:trPr>
        <w:tc>
          <w:tcPr>
            <w:tcW w:w="2626" w:type="dxa"/>
            <w:tcBorders>
              <w:top w:val="single" w:sz="4" w:space="0" w:color="auto"/>
              <w:bottom w:val="single" w:sz="4" w:space="0" w:color="auto"/>
              <w:right w:val="single" w:sz="4" w:space="0" w:color="auto"/>
            </w:tcBorders>
            <w:vAlign w:val="center"/>
          </w:tcPr>
          <w:p w14:paraId="47799CC9" w14:textId="77777777" w:rsidR="0013332C" w:rsidRPr="00DF329C" w:rsidRDefault="0013332C" w:rsidP="00491341">
            <w:pPr>
              <w:jc w:val="center"/>
              <w:rPr>
                <w:i/>
                <w:sz w:val="20"/>
                <w:szCs w:val="20"/>
              </w:rPr>
            </w:pPr>
            <w:r w:rsidRPr="00DF329C">
              <w:rPr>
                <w:i/>
                <w:sz w:val="20"/>
                <w:szCs w:val="20"/>
              </w:rPr>
              <w:t>Gastrointestinal Disorders</w:t>
            </w:r>
          </w:p>
        </w:tc>
        <w:tc>
          <w:tcPr>
            <w:tcW w:w="16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80A6A9" w14:textId="77777777" w:rsidR="0013332C" w:rsidRPr="006970EC" w:rsidRDefault="0013332C" w:rsidP="00491341">
            <w:pPr>
              <w:jc w:val="center"/>
              <w:rPr>
                <w:sz w:val="20"/>
                <w:szCs w:val="20"/>
              </w:rPr>
            </w:pP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865A7E" w14:textId="77777777" w:rsidR="0013332C" w:rsidRPr="001A7530" w:rsidRDefault="0013332C" w:rsidP="00491341">
            <w:pPr>
              <w:jc w:val="center"/>
              <w:rPr>
                <w:sz w:val="20"/>
                <w:szCs w:val="20"/>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4A56FC" w14:textId="77777777" w:rsidR="0013332C" w:rsidRPr="001A7530" w:rsidRDefault="0013332C" w:rsidP="00491341">
            <w:pPr>
              <w:jc w:val="center"/>
              <w:rPr>
                <w:sz w:val="20"/>
                <w:szCs w:val="20"/>
              </w:rPr>
            </w:pPr>
          </w:p>
        </w:tc>
      </w:tr>
      <w:tr w:rsidR="0013332C" w:rsidRPr="004E5E49" w14:paraId="0989EE23" w14:textId="77777777" w:rsidTr="00E71C0E">
        <w:trPr>
          <w:cantSplit/>
        </w:trPr>
        <w:tc>
          <w:tcPr>
            <w:tcW w:w="2626" w:type="dxa"/>
            <w:tcBorders>
              <w:top w:val="single" w:sz="4" w:space="0" w:color="auto"/>
              <w:bottom w:val="single" w:sz="4" w:space="0" w:color="auto"/>
              <w:right w:val="single" w:sz="4" w:space="0" w:color="auto"/>
            </w:tcBorders>
            <w:vAlign w:val="center"/>
          </w:tcPr>
          <w:p w14:paraId="63439B29" w14:textId="77777777" w:rsidR="0013332C" w:rsidRPr="006970EC" w:rsidRDefault="0013332C" w:rsidP="00491341">
            <w:pPr>
              <w:jc w:val="center"/>
              <w:rPr>
                <w:sz w:val="20"/>
                <w:szCs w:val="20"/>
              </w:rPr>
            </w:pPr>
            <w:r w:rsidRPr="00DF329C">
              <w:rPr>
                <w:sz w:val="20"/>
                <w:szCs w:val="20"/>
              </w:rPr>
              <w:t>C</w:t>
            </w:r>
            <w:r w:rsidRPr="006970EC">
              <w:rPr>
                <w:sz w:val="20"/>
                <w:szCs w:val="20"/>
              </w:rPr>
              <w:t>onstipation</w:t>
            </w:r>
          </w:p>
        </w:tc>
        <w:tc>
          <w:tcPr>
            <w:tcW w:w="1627" w:type="dxa"/>
            <w:tcBorders>
              <w:top w:val="single" w:sz="4" w:space="0" w:color="auto"/>
              <w:left w:val="nil"/>
              <w:bottom w:val="single" w:sz="4" w:space="0" w:color="auto"/>
              <w:right w:val="single" w:sz="4" w:space="0" w:color="auto"/>
            </w:tcBorders>
            <w:vAlign w:val="center"/>
          </w:tcPr>
          <w:p w14:paraId="33A46A82" w14:textId="77777777" w:rsidR="0013332C" w:rsidRPr="001A7530" w:rsidRDefault="0013332C" w:rsidP="00491341">
            <w:pPr>
              <w:jc w:val="center"/>
              <w:rPr>
                <w:sz w:val="20"/>
                <w:szCs w:val="20"/>
              </w:rPr>
            </w:pPr>
            <w:r w:rsidRPr="001A7530">
              <w:rPr>
                <w:sz w:val="20"/>
                <w:szCs w:val="20"/>
              </w:rPr>
              <w:t>3.0%</w:t>
            </w:r>
          </w:p>
        </w:tc>
        <w:tc>
          <w:tcPr>
            <w:tcW w:w="2410" w:type="dxa"/>
            <w:tcBorders>
              <w:top w:val="single" w:sz="4" w:space="0" w:color="auto"/>
              <w:left w:val="nil"/>
              <w:bottom w:val="single" w:sz="4" w:space="0" w:color="auto"/>
              <w:right w:val="single" w:sz="4" w:space="0" w:color="auto"/>
            </w:tcBorders>
            <w:vAlign w:val="center"/>
          </w:tcPr>
          <w:p w14:paraId="4596C54F" w14:textId="77777777" w:rsidR="0013332C" w:rsidRPr="001A7530" w:rsidRDefault="0013332C" w:rsidP="00491341">
            <w:pPr>
              <w:jc w:val="center"/>
              <w:rPr>
                <w:sz w:val="20"/>
                <w:szCs w:val="20"/>
              </w:rPr>
            </w:pPr>
            <w:r w:rsidRPr="001A7530">
              <w:rPr>
                <w:sz w:val="20"/>
                <w:szCs w:val="20"/>
              </w:rPr>
              <w:t>2.5%</w:t>
            </w:r>
          </w:p>
        </w:tc>
        <w:tc>
          <w:tcPr>
            <w:tcW w:w="2268" w:type="dxa"/>
            <w:tcBorders>
              <w:top w:val="single" w:sz="4" w:space="0" w:color="auto"/>
              <w:left w:val="nil"/>
              <w:bottom w:val="single" w:sz="4" w:space="0" w:color="auto"/>
              <w:right w:val="single" w:sz="4" w:space="0" w:color="auto"/>
            </w:tcBorders>
            <w:vAlign w:val="center"/>
          </w:tcPr>
          <w:p w14:paraId="441C377F" w14:textId="77777777" w:rsidR="0013332C" w:rsidRPr="001A7530" w:rsidRDefault="0013332C" w:rsidP="00491341">
            <w:pPr>
              <w:jc w:val="center"/>
              <w:rPr>
                <w:sz w:val="20"/>
                <w:szCs w:val="20"/>
              </w:rPr>
            </w:pPr>
            <w:r w:rsidRPr="001A7530">
              <w:rPr>
                <w:sz w:val="20"/>
                <w:szCs w:val="20"/>
              </w:rPr>
              <w:t>1.3%</w:t>
            </w:r>
          </w:p>
        </w:tc>
      </w:tr>
      <w:tr w:rsidR="0013332C" w:rsidRPr="004E5E49" w14:paraId="5FAB0586" w14:textId="77777777" w:rsidTr="00E71C0E">
        <w:trPr>
          <w:cantSplit/>
        </w:trPr>
        <w:tc>
          <w:tcPr>
            <w:tcW w:w="2626" w:type="dxa"/>
            <w:tcBorders>
              <w:top w:val="single" w:sz="4" w:space="0" w:color="auto"/>
              <w:bottom w:val="single" w:sz="4" w:space="0" w:color="auto"/>
              <w:right w:val="single" w:sz="4" w:space="0" w:color="auto"/>
            </w:tcBorders>
            <w:vAlign w:val="center"/>
          </w:tcPr>
          <w:p w14:paraId="0B8176E1" w14:textId="77777777" w:rsidR="0013332C" w:rsidRPr="00DF329C" w:rsidRDefault="0013332C" w:rsidP="00491341">
            <w:pPr>
              <w:jc w:val="center"/>
              <w:rPr>
                <w:i/>
                <w:sz w:val="20"/>
                <w:szCs w:val="20"/>
              </w:rPr>
            </w:pPr>
            <w:r w:rsidRPr="00DF329C">
              <w:rPr>
                <w:i/>
                <w:sz w:val="20"/>
                <w:szCs w:val="20"/>
              </w:rPr>
              <w:t>General Disorders</w:t>
            </w:r>
          </w:p>
        </w:tc>
        <w:tc>
          <w:tcPr>
            <w:tcW w:w="16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BA5821" w14:textId="77777777" w:rsidR="0013332C" w:rsidRPr="006970EC" w:rsidRDefault="0013332C" w:rsidP="00491341">
            <w:pPr>
              <w:jc w:val="center"/>
              <w:rPr>
                <w:sz w:val="20"/>
                <w:szCs w:val="20"/>
              </w:rPr>
            </w:pP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D39AEC" w14:textId="77777777" w:rsidR="0013332C" w:rsidRPr="001A7530" w:rsidRDefault="0013332C" w:rsidP="00491341">
            <w:pPr>
              <w:jc w:val="center"/>
              <w:rPr>
                <w:sz w:val="20"/>
                <w:szCs w:val="20"/>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EAF44D" w14:textId="77777777" w:rsidR="0013332C" w:rsidRPr="001A7530" w:rsidRDefault="0013332C" w:rsidP="00491341">
            <w:pPr>
              <w:jc w:val="center"/>
              <w:rPr>
                <w:sz w:val="20"/>
                <w:szCs w:val="20"/>
              </w:rPr>
            </w:pPr>
          </w:p>
        </w:tc>
      </w:tr>
      <w:tr w:rsidR="0013332C" w:rsidRPr="004E5E49" w14:paraId="0AF0639C" w14:textId="77777777" w:rsidTr="00E71C0E">
        <w:trPr>
          <w:cantSplit/>
        </w:trPr>
        <w:tc>
          <w:tcPr>
            <w:tcW w:w="2626" w:type="dxa"/>
            <w:tcBorders>
              <w:top w:val="single" w:sz="4" w:space="0" w:color="auto"/>
              <w:bottom w:val="single" w:sz="4" w:space="0" w:color="auto"/>
              <w:right w:val="single" w:sz="4" w:space="0" w:color="auto"/>
            </w:tcBorders>
            <w:vAlign w:val="center"/>
          </w:tcPr>
          <w:p w14:paraId="3EFFDC37" w14:textId="77777777" w:rsidR="0013332C" w:rsidRPr="00DF329C" w:rsidRDefault="0013332C" w:rsidP="00491341">
            <w:pPr>
              <w:jc w:val="center"/>
              <w:rPr>
                <w:sz w:val="20"/>
                <w:szCs w:val="20"/>
              </w:rPr>
            </w:pPr>
            <w:r w:rsidRPr="00DF329C">
              <w:rPr>
                <w:sz w:val="20"/>
                <w:szCs w:val="20"/>
              </w:rPr>
              <w:t>Fatigue</w:t>
            </w:r>
          </w:p>
        </w:tc>
        <w:tc>
          <w:tcPr>
            <w:tcW w:w="1627" w:type="dxa"/>
            <w:tcBorders>
              <w:top w:val="single" w:sz="4" w:space="0" w:color="auto"/>
              <w:left w:val="nil"/>
              <w:bottom w:val="single" w:sz="4" w:space="0" w:color="auto"/>
              <w:right w:val="single" w:sz="4" w:space="0" w:color="auto"/>
            </w:tcBorders>
            <w:vAlign w:val="center"/>
          </w:tcPr>
          <w:p w14:paraId="78B01174" w14:textId="77777777" w:rsidR="0013332C" w:rsidRPr="006970EC" w:rsidRDefault="0013332C" w:rsidP="00491341">
            <w:pPr>
              <w:jc w:val="center"/>
              <w:rPr>
                <w:sz w:val="20"/>
                <w:szCs w:val="20"/>
              </w:rPr>
            </w:pPr>
            <w:r w:rsidRPr="006970EC">
              <w:rPr>
                <w:sz w:val="20"/>
                <w:szCs w:val="20"/>
              </w:rPr>
              <w:t>1.2%</w:t>
            </w:r>
          </w:p>
        </w:tc>
        <w:tc>
          <w:tcPr>
            <w:tcW w:w="2410" w:type="dxa"/>
            <w:tcBorders>
              <w:top w:val="single" w:sz="4" w:space="0" w:color="auto"/>
              <w:left w:val="nil"/>
              <w:bottom w:val="single" w:sz="4" w:space="0" w:color="auto"/>
              <w:right w:val="single" w:sz="4" w:space="0" w:color="auto"/>
            </w:tcBorders>
            <w:vAlign w:val="center"/>
          </w:tcPr>
          <w:p w14:paraId="159A896D" w14:textId="77777777" w:rsidR="0013332C" w:rsidRPr="001A7530" w:rsidRDefault="0013332C" w:rsidP="00491341">
            <w:pPr>
              <w:jc w:val="center"/>
              <w:rPr>
                <w:sz w:val="20"/>
                <w:szCs w:val="20"/>
              </w:rPr>
            </w:pPr>
            <w:r w:rsidRPr="001A7530">
              <w:rPr>
                <w:sz w:val="20"/>
                <w:szCs w:val="20"/>
              </w:rPr>
              <w:t>0.7%</w:t>
            </w:r>
          </w:p>
        </w:tc>
        <w:tc>
          <w:tcPr>
            <w:tcW w:w="2268" w:type="dxa"/>
            <w:tcBorders>
              <w:top w:val="single" w:sz="4" w:space="0" w:color="auto"/>
              <w:left w:val="nil"/>
              <w:bottom w:val="single" w:sz="4" w:space="0" w:color="auto"/>
              <w:right w:val="single" w:sz="4" w:space="0" w:color="auto"/>
            </w:tcBorders>
            <w:vAlign w:val="center"/>
          </w:tcPr>
          <w:p w14:paraId="6496DEDB" w14:textId="77777777" w:rsidR="0013332C" w:rsidRPr="001A7530" w:rsidRDefault="0013332C" w:rsidP="00491341">
            <w:pPr>
              <w:jc w:val="center"/>
              <w:rPr>
                <w:sz w:val="20"/>
                <w:szCs w:val="20"/>
              </w:rPr>
            </w:pPr>
            <w:r w:rsidRPr="001A7530">
              <w:rPr>
                <w:sz w:val="20"/>
                <w:szCs w:val="20"/>
              </w:rPr>
              <w:t>==</w:t>
            </w:r>
          </w:p>
        </w:tc>
      </w:tr>
    </w:tbl>
    <w:p w14:paraId="432A084D" w14:textId="77777777" w:rsidR="0013332C" w:rsidRPr="00F45F4D" w:rsidRDefault="0013332C" w:rsidP="0013332C">
      <w:pPr>
        <w:autoSpaceDE w:val="0"/>
        <w:autoSpaceDN w:val="0"/>
        <w:adjustRightInd w:val="0"/>
        <w:spacing w:after="0"/>
        <w:rPr>
          <w:rFonts w:ascii="Arial" w:eastAsia="Times New Roman" w:hAnsi="Arial" w:cs="Arial"/>
          <w:i/>
          <w:lang w:val="en-GB"/>
        </w:rPr>
      </w:pPr>
    </w:p>
    <w:p w14:paraId="3E8D4764" w14:textId="302239DC" w:rsidR="0013332C" w:rsidRDefault="0013332C" w:rsidP="0013332C">
      <w:pPr>
        <w:rPr>
          <w:lang w:eastAsia="en-GB"/>
        </w:rPr>
      </w:pPr>
      <w:r w:rsidRPr="00F45F4D">
        <w:rPr>
          <w:lang w:val="en-GB"/>
        </w:rPr>
        <w:t>The following uncommon (</w:t>
      </w:r>
      <w:r w:rsidR="0035369C" w:rsidRPr="002A2F3D">
        <w:t>≥</w:t>
      </w:r>
      <w:r w:rsidRPr="00F45F4D">
        <w:t xml:space="preserve">0.1% to </w:t>
      </w:r>
      <w:r w:rsidRPr="00F45F4D">
        <w:rPr>
          <w:lang w:val="en-GB" w:eastAsia="en-GB"/>
        </w:rPr>
        <w:t xml:space="preserve">&lt;1%) </w:t>
      </w:r>
      <w:r>
        <w:rPr>
          <w:lang w:val="en-GB" w:eastAsia="en-GB"/>
        </w:rPr>
        <w:t xml:space="preserve">and rare </w:t>
      </w:r>
      <w:r w:rsidR="00D373CE">
        <w:rPr>
          <w:lang w:val="en-GB" w:eastAsia="en-GB"/>
        </w:rPr>
        <w:t>(</w:t>
      </w:r>
      <w:r w:rsidR="0035369C" w:rsidRPr="002A2F3D">
        <w:t>≥</w:t>
      </w:r>
      <w:r w:rsidR="00D373CE" w:rsidRPr="00F45F4D">
        <w:t>0.</w:t>
      </w:r>
      <w:r w:rsidR="00D373CE">
        <w:t>0</w:t>
      </w:r>
      <w:r w:rsidR="00D373CE" w:rsidRPr="00F45F4D">
        <w:t xml:space="preserve">1% to </w:t>
      </w:r>
      <w:r w:rsidR="00D373CE" w:rsidRPr="00F45F4D">
        <w:rPr>
          <w:lang w:val="en-GB" w:eastAsia="en-GB"/>
        </w:rPr>
        <w:t>&lt;</w:t>
      </w:r>
      <w:r w:rsidR="00D373CE">
        <w:rPr>
          <w:lang w:val="en-GB" w:eastAsia="en-GB"/>
        </w:rPr>
        <w:t>0.</w:t>
      </w:r>
      <w:r w:rsidR="00D373CE" w:rsidRPr="00F45F4D">
        <w:rPr>
          <w:lang w:val="en-GB" w:eastAsia="en-GB"/>
        </w:rPr>
        <w:t xml:space="preserve">1%) </w:t>
      </w:r>
      <w:r w:rsidRPr="00F45F4D">
        <w:rPr>
          <w:lang w:val="en-GB"/>
        </w:rPr>
        <w:t xml:space="preserve">adverse reactions were reported as treatment-related adverse events in </w:t>
      </w:r>
      <w:r w:rsidRPr="00F45F4D">
        <w:rPr>
          <w:lang w:val="en-GB" w:eastAsia="en-GB"/>
        </w:rPr>
        <w:t xml:space="preserve">at least </w:t>
      </w:r>
      <w:r>
        <w:rPr>
          <w:lang w:val="en-GB" w:eastAsia="en-GB"/>
        </w:rPr>
        <w:t>two</w:t>
      </w:r>
      <w:r w:rsidRPr="00F45F4D">
        <w:rPr>
          <w:lang w:val="en-GB" w:eastAsia="en-GB"/>
        </w:rPr>
        <w:t xml:space="preserve"> </w:t>
      </w:r>
      <w:r>
        <w:rPr>
          <w:lang w:val="en-GB" w:eastAsia="en-GB"/>
        </w:rPr>
        <w:t>cancer</w:t>
      </w:r>
      <w:r w:rsidRPr="00F45F4D">
        <w:rPr>
          <w:lang w:eastAsia="en-GB"/>
        </w:rPr>
        <w:t xml:space="preserve"> patients receiving AKYNZEO</w:t>
      </w:r>
      <w:r w:rsidR="00D373CE">
        <w:rPr>
          <w:lang w:eastAsia="en-GB"/>
        </w:rPr>
        <w:t xml:space="preserve"> capsules</w:t>
      </w:r>
      <w:r w:rsidRPr="00F45F4D">
        <w:rPr>
          <w:lang w:eastAsia="en-GB"/>
        </w:rPr>
        <w:t xml:space="preserve"> in chemotherapy-induced nausea and vomiting studies:</w:t>
      </w:r>
    </w:p>
    <w:p w14:paraId="602B6708" w14:textId="4D15FEB0" w:rsidR="00833CEC" w:rsidRPr="007A7A42" w:rsidRDefault="00833CEC" w:rsidP="0035369C">
      <w:pPr>
        <w:rPr>
          <w:lang w:eastAsia="en-GB"/>
        </w:rPr>
      </w:pPr>
      <w:r>
        <w:rPr>
          <w:b/>
          <w:sz w:val="20"/>
        </w:rPr>
        <w:t xml:space="preserve">Table 2: </w:t>
      </w:r>
      <w:r w:rsidR="007A7A42" w:rsidRPr="00E71C0E">
        <w:rPr>
          <w:sz w:val="20"/>
        </w:rPr>
        <w:t>Adverse reactions per system organ class</w:t>
      </w:r>
    </w:p>
    <w:tbl>
      <w:tblPr>
        <w:tblStyle w:val="TableGrid"/>
        <w:tblW w:w="0" w:type="auto"/>
        <w:tblLook w:val="04A0" w:firstRow="1" w:lastRow="0" w:firstColumn="1" w:lastColumn="0" w:noHBand="0" w:noVBand="1"/>
      </w:tblPr>
      <w:tblGrid>
        <w:gridCol w:w="3003"/>
        <w:gridCol w:w="3003"/>
        <w:gridCol w:w="3004"/>
      </w:tblGrid>
      <w:tr w:rsidR="0013332C" w14:paraId="661E40D0" w14:textId="77777777" w:rsidTr="00E71C0E">
        <w:trPr>
          <w:trHeight w:val="301"/>
          <w:tblHeader/>
        </w:trPr>
        <w:tc>
          <w:tcPr>
            <w:tcW w:w="3003" w:type="dxa"/>
            <w:vAlign w:val="center"/>
          </w:tcPr>
          <w:p w14:paraId="4CF8A3DD" w14:textId="77777777" w:rsidR="0013332C" w:rsidRDefault="0013332C" w:rsidP="00E71C0E">
            <w:pPr>
              <w:jc w:val="center"/>
              <w:rPr>
                <w:lang w:val="en-GB"/>
              </w:rPr>
            </w:pPr>
          </w:p>
        </w:tc>
        <w:tc>
          <w:tcPr>
            <w:tcW w:w="3003" w:type="dxa"/>
            <w:vAlign w:val="center"/>
          </w:tcPr>
          <w:p w14:paraId="79B33BA2" w14:textId="77777777" w:rsidR="0013332C" w:rsidRPr="00233FE9" w:rsidRDefault="0013332C" w:rsidP="00DF329C">
            <w:pPr>
              <w:jc w:val="center"/>
              <w:rPr>
                <w:b/>
                <w:lang w:val="en-GB"/>
              </w:rPr>
            </w:pPr>
            <w:r w:rsidRPr="00233FE9">
              <w:rPr>
                <w:b/>
                <w:lang w:val="en-GB"/>
              </w:rPr>
              <w:t>Uncommon adverse reaction</w:t>
            </w:r>
          </w:p>
        </w:tc>
        <w:tc>
          <w:tcPr>
            <w:tcW w:w="3004" w:type="dxa"/>
            <w:vAlign w:val="center"/>
          </w:tcPr>
          <w:p w14:paraId="6C03BAB2" w14:textId="77777777" w:rsidR="0013332C" w:rsidRPr="00233FE9" w:rsidRDefault="0013332C" w:rsidP="00DF329C">
            <w:pPr>
              <w:jc w:val="center"/>
              <w:rPr>
                <w:b/>
                <w:lang w:val="en-GB"/>
              </w:rPr>
            </w:pPr>
            <w:r>
              <w:rPr>
                <w:b/>
                <w:lang w:val="en-GB"/>
              </w:rPr>
              <w:t>Rare adverse reactions</w:t>
            </w:r>
          </w:p>
        </w:tc>
      </w:tr>
      <w:tr w:rsidR="0013332C" w14:paraId="74B323BC" w14:textId="77777777" w:rsidTr="00E71C0E">
        <w:tc>
          <w:tcPr>
            <w:tcW w:w="3003" w:type="dxa"/>
            <w:vAlign w:val="center"/>
          </w:tcPr>
          <w:p w14:paraId="31A95909" w14:textId="77777777" w:rsidR="0013332C" w:rsidRPr="004F0F8F" w:rsidRDefault="0013332C" w:rsidP="00E71C0E">
            <w:pPr>
              <w:jc w:val="center"/>
              <w:rPr>
                <w:bCs/>
                <w:i/>
                <w:color w:val="000000"/>
              </w:rPr>
            </w:pPr>
            <w:r w:rsidRPr="004F0F8F">
              <w:rPr>
                <w:bCs/>
                <w:i/>
                <w:color w:val="000000"/>
              </w:rPr>
              <w:t>Infections and infestations</w:t>
            </w:r>
          </w:p>
        </w:tc>
        <w:tc>
          <w:tcPr>
            <w:tcW w:w="3003" w:type="dxa"/>
            <w:vAlign w:val="center"/>
          </w:tcPr>
          <w:p w14:paraId="48C97035" w14:textId="77777777" w:rsidR="0013332C" w:rsidRPr="004F0F8F" w:rsidRDefault="0013332C" w:rsidP="00E71C0E">
            <w:pPr>
              <w:jc w:val="center"/>
              <w:rPr>
                <w:lang w:val="en-GB" w:eastAsia="en-GB"/>
              </w:rPr>
            </w:pPr>
          </w:p>
        </w:tc>
        <w:tc>
          <w:tcPr>
            <w:tcW w:w="3004" w:type="dxa"/>
            <w:vAlign w:val="center"/>
          </w:tcPr>
          <w:p w14:paraId="72E27519" w14:textId="77777777" w:rsidR="0013332C" w:rsidRPr="00FE0934" w:rsidRDefault="0013332C" w:rsidP="00E71C0E">
            <w:pPr>
              <w:jc w:val="center"/>
              <w:rPr>
                <w:lang w:val="en-GB"/>
              </w:rPr>
            </w:pPr>
            <w:r w:rsidRPr="00FE0934">
              <w:rPr>
                <w:lang w:val="en-GB"/>
              </w:rPr>
              <w:t>cystitis</w:t>
            </w:r>
          </w:p>
        </w:tc>
      </w:tr>
      <w:tr w:rsidR="0013332C" w14:paraId="22A7AC02" w14:textId="77777777" w:rsidTr="00E71C0E">
        <w:tc>
          <w:tcPr>
            <w:tcW w:w="3003" w:type="dxa"/>
            <w:vAlign w:val="center"/>
          </w:tcPr>
          <w:p w14:paraId="176ED39E" w14:textId="77777777" w:rsidR="0013332C" w:rsidRPr="004F0F8F" w:rsidRDefault="0013332C" w:rsidP="00E71C0E">
            <w:pPr>
              <w:jc w:val="center"/>
              <w:rPr>
                <w:i/>
                <w:lang w:val="en-GB"/>
              </w:rPr>
            </w:pPr>
            <w:r w:rsidRPr="004F0F8F">
              <w:rPr>
                <w:bCs/>
                <w:i/>
                <w:color w:val="000000"/>
              </w:rPr>
              <w:t>Blood and lymphatic system disorders</w:t>
            </w:r>
          </w:p>
        </w:tc>
        <w:tc>
          <w:tcPr>
            <w:tcW w:w="3003" w:type="dxa"/>
            <w:vAlign w:val="center"/>
          </w:tcPr>
          <w:p w14:paraId="11B912AB" w14:textId="77777777" w:rsidR="0013332C" w:rsidRPr="00FE0934" w:rsidRDefault="0013332C" w:rsidP="00E71C0E">
            <w:pPr>
              <w:jc w:val="center"/>
              <w:rPr>
                <w:lang w:val="en-GB"/>
              </w:rPr>
            </w:pPr>
            <w:r w:rsidRPr="004F0F8F">
              <w:rPr>
                <w:lang w:val="en-GB" w:eastAsia="en-GB"/>
              </w:rPr>
              <w:t>leucocytosis,</w:t>
            </w:r>
            <w:r w:rsidRPr="004F0F8F">
              <w:rPr>
                <w:lang w:val="en-GB"/>
              </w:rPr>
              <w:t xml:space="preserve"> </w:t>
            </w:r>
            <w:r w:rsidRPr="00FE0934">
              <w:rPr>
                <w:color w:val="000000"/>
              </w:rPr>
              <w:t>neutropenia</w:t>
            </w:r>
          </w:p>
        </w:tc>
        <w:tc>
          <w:tcPr>
            <w:tcW w:w="3004" w:type="dxa"/>
            <w:vAlign w:val="center"/>
          </w:tcPr>
          <w:p w14:paraId="040DDB6E" w14:textId="77777777" w:rsidR="0013332C" w:rsidRPr="00FE0934" w:rsidRDefault="0013332C" w:rsidP="00E71C0E">
            <w:pPr>
              <w:jc w:val="center"/>
              <w:rPr>
                <w:lang w:val="en-GB"/>
              </w:rPr>
            </w:pPr>
            <w:r w:rsidRPr="00FE0934">
              <w:rPr>
                <w:lang w:val="en-GB"/>
              </w:rPr>
              <w:t>leukopenia, lymphocytosis</w:t>
            </w:r>
          </w:p>
        </w:tc>
      </w:tr>
      <w:tr w:rsidR="0013332C" w14:paraId="1056E35E" w14:textId="77777777" w:rsidTr="00E71C0E">
        <w:tc>
          <w:tcPr>
            <w:tcW w:w="3003" w:type="dxa"/>
            <w:vAlign w:val="center"/>
          </w:tcPr>
          <w:p w14:paraId="157E802D" w14:textId="77777777" w:rsidR="0013332C" w:rsidRPr="004F0F8F" w:rsidRDefault="0013332C" w:rsidP="00E71C0E">
            <w:pPr>
              <w:jc w:val="center"/>
              <w:rPr>
                <w:i/>
                <w:lang w:val="en-GB"/>
              </w:rPr>
            </w:pPr>
            <w:r w:rsidRPr="004F0F8F">
              <w:rPr>
                <w:bCs/>
                <w:i/>
                <w:color w:val="000000"/>
              </w:rPr>
              <w:t>Cardiac disorders</w:t>
            </w:r>
          </w:p>
        </w:tc>
        <w:tc>
          <w:tcPr>
            <w:tcW w:w="3003" w:type="dxa"/>
            <w:vAlign w:val="center"/>
          </w:tcPr>
          <w:p w14:paraId="310801B6" w14:textId="63A1F89F" w:rsidR="0013332C" w:rsidRPr="004F0F8F" w:rsidRDefault="0013332C" w:rsidP="00E71C0E">
            <w:pPr>
              <w:jc w:val="center"/>
              <w:rPr>
                <w:lang w:val="en-GB"/>
              </w:rPr>
            </w:pPr>
            <w:r w:rsidRPr="004F0F8F">
              <w:rPr>
                <w:color w:val="000000"/>
              </w:rPr>
              <w:t>atrioventricular block</w:t>
            </w:r>
            <w:r w:rsidR="000A1DB8" w:rsidRPr="004F0F8F">
              <w:rPr>
                <w:color w:val="000000"/>
              </w:rPr>
              <w:t xml:space="preserve"> </w:t>
            </w:r>
            <w:r w:rsidR="000A1DB8" w:rsidRPr="00FE0934">
              <w:rPr>
                <w:color w:val="000000"/>
              </w:rPr>
              <w:t>first degree</w:t>
            </w:r>
            <w:r w:rsidRPr="00FE0934">
              <w:rPr>
                <w:color w:val="000000"/>
              </w:rPr>
              <w:t>, bundle branch block</w:t>
            </w:r>
            <w:r w:rsidRPr="004F0F8F">
              <w:rPr>
                <w:color w:val="000000"/>
              </w:rPr>
              <w:t>,</w:t>
            </w:r>
            <w:r w:rsidRPr="004F0F8F">
              <w:rPr>
                <w:lang w:val="en-GB"/>
              </w:rPr>
              <w:t xml:space="preserve"> </w:t>
            </w:r>
            <w:r w:rsidRPr="004F0F8F">
              <w:rPr>
                <w:color w:val="000000"/>
              </w:rPr>
              <w:t>cardiomyopathy, conduction disorder</w:t>
            </w:r>
          </w:p>
        </w:tc>
        <w:tc>
          <w:tcPr>
            <w:tcW w:w="3004" w:type="dxa"/>
            <w:vAlign w:val="center"/>
          </w:tcPr>
          <w:p w14:paraId="1B3661E9" w14:textId="77777777" w:rsidR="0013332C" w:rsidRPr="00FE0934" w:rsidRDefault="0013332C" w:rsidP="00E71C0E">
            <w:pPr>
              <w:jc w:val="center"/>
              <w:rPr>
                <w:lang w:val="en-GB"/>
              </w:rPr>
            </w:pPr>
            <w:r w:rsidRPr="00FE0934">
              <w:rPr>
                <w:lang w:val="en-GB"/>
              </w:rPr>
              <w:t xml:space="preserve">arrhythmia, atrioventricular block second degree, mitral valve incompetence, myocardial ischaemia, ventricular </w:t>
            </w:r>
            <w:proofErr w:type="spellStart"/>
            <w:r w:rsidRPr="00FE0934">
              <w:rPr>
                <w:lang w:val="en-GB"/>
              </w:rPr>
              <w:t>extrasystoles</w:t>
            </w:r>
            <w:proofErr w:type="spellEnd"/>
          </w:p>
        </w:tc>
      </w:tr>
      <w:tr w:rsidR="0013332C" w14:paraId="1DE61678" w14:textId="77777777" w:rsidTr="00E71C0E">
        <w:tc>
          <w:tcPr>
            <w:tcW w:w="3003" w:type="dxa"/>
            <w:vAlign w:val="center"/>
          </w:tcPr>
          <w:p w14:paraId="705D37B5" w14:textId="77777777" w:rsidR="0013332C" w:rsidRPr="004F0F8F" w:rsidRDefault="0013332C" w:rsidP="00E71C0E">
            <w:pPr>
              <w:jc w:val="center"/>
              <w:rPr>
                <w:i/>
                <w:lang w:val="en-GB"/>
              </w:rPr>
            </w:pPr>
            <w:r w:rsidRPr="004F0F8F">
              <w:rPr>
                <w:bCs/>
                <w:i/>
                <w:color w:val="000000"/>
              </w:rPr>
              <w:t>Ear and labyrinth disorders</w:t>
            </w:r>
          </w:p>
        </w:tc>
        <w:tc>
          <w:tcPr>
            <w:tcW w:w="3003" w:type="dxa"/>
            <w:vAlign w:val="center"/>
          </w:tcPr>
          <w:p w14:paraId="432EFB30" w14:textId="77777777" w:rsidR="0013332C" w:rsidRPr="00FE0934" w:rsidRDefault="0013332C" w:rsidP="00E71C0E">
            <w:pPr>
              <w:jc w:val="center"/>
              <w:rPr>
                <w:lang w:val="en-GB"/>
              </w:rPr>
            </w:pPr>
            <w:r w:rsidRPr="004F0F8F">
              <w:rPr>
                <w:color w:val="000000"/>
              </w:rPr>
              <w:t>vertigo</w:t>
            </w:r>
          </w:p>
        </w:tc>
        <w:tc>
          <w:tcPr>
            <w:tcW w:w="3004" w:type="dxa"/>
            <w:vAlign w:val="center"/>
          </w:tcPr>
          <w:p w14:paraId="7C673195" w14:textId="77777777" w:rsidR="0013332C" w:rsidRPr="00FE0934" w:rsidRDefault="0013332C" w:rsidP="00E71C0E">
            <w:pPr>
              <w:jc w:val="center"/>
              <w:rPr>
                <w:lang w:val="en-GB"/>
              </w:rPr>
            </w:pPr>
          </w:p>
        </w:tc>
      </w:tr>
      <w:tr w:rsidR="0013332C" w14:paraId="333D5BFF" w14:textId="77777777" w:rsidTr="00E71C0E">
        <w:tc>
          <w:tcPr>
            <w:tcW w:w="3003" w:type="dxa"/>
            <w:vAlign w:val="center"/>
          </w:tcPr>
          <w:p w14:paraId="1EF8BE75" w14:textId="77777777" w:rsidR="0013332C" w:rsidRPr="004F0F8F" w:rsidRDefault="0013332C" w:rsidP="00E71C0E">
            <w:pPr>
              <w:jc w:val="center"/>
              <w:rPr>
                <w:bCs/>
                <w:i/>
                <w:color w:val="000000"/>
              </w:rPr>
            </w:pPr>
            <w:r w:rsidRPr="004F0F8F">
              <w:rPr>
                <w:bCs/>
                <w:i/>
                <w:color w:val="000000"/>
              </w:rPr>
              <w:t>Eye disorders</w:t>
            </w:r>
          </w:p>
        </w:tc>
        <w:tc>
          <w:tcPr>
            <w:tcW w:w="3003" w:type="dxa"/>
            <w:vAlign w:val="center"/>
          </w:tcPr>
          <w:p w14:paraId="47AF3F35" w14:textId="77777777" w:rsidR="0013332C" w:rsidRPr="004F0F8F" w:rsidRDefault="0013332C" w:rsidP="00E71C0E">
            <w:pPr>
              <w:jc w:val="center"/>
              <w:rPr>
                <w:color w:val="000000"/>
              </w:rPr>
            </w:pPr>
          </w:p>
        </w:tc>
        <w:tc>
          <w:tcPr>
            <w:tcW w:w="3004" w:type="dxa"/>
            <w:vAlign w:val="center"/>
          </w:tcPr>
          <w:p w14:paraId="2918B0A4" w14:textId="77777777" w:rsidR="0013332C" w:rsidRPr="00FE0934" w:rsidRDefault="0013332C" w:rsidP="00E71C0E">
            <w:pPr>
              <w:jc w:val="center"/>
              <w:rPr>
                <w:lang w:val="en-GB"/>
              </w:rPr>
            </w:pPr>
            <w:r w:rsidRPr="00FE0934">
              <w:rPr>
                <w:lang w:val="en-GB"/>
              </w:rPr>
              <w:t>conjunctivitis, vision blurred</w:t>
            </w:r>
          </w:p>
        </w:tc>
      </w:tr>
      <w:tr w:rsidR="0013332C" w14:paraId="12F3A41F" w14:textId="77777777" w:rsidTr="00E71C0E">
        <w:tc>
          <w:tcPr>
            <w:tcW w:w="3003" w:type="dxa"/>
            <w:vAlign w:val="center"/>
          </w:tcPr>
          <w:p w14:paraId="53FF0600" w14:textId="77777777" w:rsidR="0013332C" w:rsidRPr="004F0F8F" w:rsidRDefault="0013332C" w:rsidP="00E71C0E">
            <w:pPr>
              <w:jc w:val="center"/>
              <w:rPr>
                <w:i/>
                <w:lang w:val="en-GB"/>
              </w:rPr>
            </w:pPr>
            <w:r w:rsidRPr="004F0F8F">
              <w:rPr>
                <w:bCs/>
                <w:i/>
                <w:color w:val="000000"/>
              </w:rPr>
              <w:t>Gastrointestinal disorders</w:t>
            </w:r>
          </w:p>
        </w:tc>
        <w:tc>
          <w:tcPr>
            <w:tcW w:w="3003" w:type="dxa"/>
            <w:vAlign w:val="center"/>
          </w:tcPr>
          <w:p w14:paraId="799608F6" w14:textId="77777777" w:rsidR="0013332C" w:rsidRPr="00FE0934" w:rsidRDefault="0013332C" w:rsidP="00E71C0E">
            <w:pPr>
              <w:jc w:val="center"/>
              <w:rPr>
                <w:lang w:val="en-GB"/>
              </w:rPr>
            </w:pPr>
            <w:r w:rsidRPr="004F0F8F">
              <w:rPr>
                <w:color w:val="000000"/>
              </w:rPr>
              <w:t>abdominal distension, abdominal pain, diarrhoea</w:t>
            </w:r>
            <w:r w:rsidRPr="004F0F8F">
              <w:rPr>
                <w:lang w:val="en-GB" w:eastAsia="en-GB"/>
              </w:rPr>
              <w:t xml:space="preserve">, </w:t>
            </w:r>
            <w:r w:rsidRPr="004F0F8F">
              <w:rPr>
                <w:color w:val="000000"/>
              </w:rPr>
              <w:t>dyspepsia, flatulence, nausea</w:t>
            </w:r>
          </w:p>
        </w:tc>
        <w:tc>
          <w:tcPr>
            <w:tcW w:w="3004" w:type="dxa"/>
            <w:vAlign w:val="center"/>
          </w:tcPr>
          <w:p w14:paraId="0BE2B2D7" w14:textId="77777777" w:rsidR="0013332C" w:rsidRPr="00FE0934" w:rsidRDefault="0013332C" w:rsidP="00E71C0E">
            <w:pPr>
              <w:jc w:val="center"/>
              <w:rPr>
                <w:lang w:val="en-GB"/>
              </w:rPr>
            </w:pPr>
            <w:r w:rsidRPr="00FE0934">
              <w:rPr>
                <w:lang w:val="en-GB"/>
              </w:rPr>
              <w:t>dysphagia, tongue coated</w:t>
            </w:r>
          </w:p>
        </w:tc>
      </w:tr>
      <w:tr w:rsidR="0013332C" w14:paraId="156395EE" w14:textId="77777777" w:rsidTr="00E71C0E">
        <w:tc>
          <w:tcPr>
            <w:tcW w:w="3003" w:type="dxa"/>
            <w:vAlign w:val="center"/>
          </w:tcPr>
          <w:p w14:paraId="27EBEDB7" w14:textId="6922C27F" w:rsidR="0013332C" w:rsidRPr="004F0F8F" w:rsidRDefault="0013332C" w:rsidP="00E71C0E">
            <w:pPr>
              <w:jc w:val="center"/>
              <w:rPr>
                <w:i/>
                <w:lang w:val="en-GB"/>
              </w:rPr>
            </w:pPr>
            <w:r w:rsidRPr="004F0F8F">
              <w:rPr>
                <w:bCs/>
                <w:i/>
                <w:color w:val="000000"/>
              </w:rPr>
              <w:t>General disorders and administration</w:t>
            </w:r>
            <w:r w:rsidR="00B761F1" w:rsidRPr="004F0F8F">
              <w:rPr>
                <w:bCs/>
                <w:i/>
                <w:color w:val="000000"/>
              </w:rPr>
              <w:t xml:space="preserve"> site conditions</w:t>
            </w:r>
          </w:p>
        </w:tc>
        <w:tc>
          <w:tcPr>
            <w:tcW w:w="3003" w:type="dxa"/>
            <w:vAlign w:val="center"/>
          </w:tcPr>
          <w:p w14:paraId="210B3EA7" w14:textId="77777777" w:rsidR="0013332C" w:rsidRPr="00FE0934" w:rsidRDefault="0013332C" w:rsidP="00E71C0E">
            <w:pPr>
              <w:jc w:val="center"/>
              <w:rPr>
                <w:lang w:val="en-GB"/>
              </w:rPr>
            </w:pPr>
            <w:r w:rsidRPr="00FE0934">
              <w:rPr>
                <w:color w:val="000000"/>
              </w:rPr>
              <w:t>asthenia</w:t>
            </w:r>
          </w:p>
        </w:tc>
        <w:tc>
          <w:tcPr>
            <w:tcW w:w="3004" w:type="dxa"/>
            <w:vAlign w:val="center"/>
          </w:tcPr>
          <w:p w14:paraId="476F56D9" w14:textId="77777777" w:rsidR="0013332C" w:rsidRPr="00FE0934" w:rsidRDefault="0013332C" w:rsidP="00E71C0E">
            <w:pPr>
              <w:jc w:val="center"/>
              <w:rPr>
                <w:lang w:val="en-GB"/>
              </w:rPr>
            </w:pPr>
            <w:r w:rsidRPr="00FE0934">
              <w:rPr>
                <w:lang w:val="en-GB"/>
              </w:rPr>
              <w:t>feeling hot, non-cardiac chest pain, product taste abnormal</w:t>
            </w:r>
          </w:p>
        </w:tc>
      </w:tr>
      <w:tr w:rsidR="0013332C" w14:paraId="61A4B3E9" w14:textId="77777777" w:rsidTr="00E71C0E">
        <w:tc>
          <w:tcPr>
            <w:tcW w:w="3003" w:type="dxa"/>
            <w:vAlign w:val="center"/>
          </w:tcPr>
          <w:p w14:paraId="287B8FCC" w14:textId="77777777" w:rsidR="0013332C" w:rsidRPr="004F0F8F" w:rsidRDefault="0013332C" w:rsidP="00E71C0E">
            <w:pPr>
              <w:jc w:val="center"/>
              <w:rPr>
                <w:bCs/>
                <w:i/>
                <w:color w:val="000000"/>
              </w:rPr>
            </w:pPr>
            <w:r w:rsidRPr="004F0F8F">
              <w:rPr>
                <w:bCs/>
                <w:i/>
                <w:color w:val="000000"/>
              </w:rPr>
              <w:t>Musculoskeletal and connective tissue disorders</w:t>
            </w:r>
          </w:p>
        </w:tc>
        <w:tc>
          <w:tcPr>
            <w:tcW w:w="3003" w:type="dxa"/>
            <w:vAlign w:val="center"/>
          </w:tcPr>
          <w:p w14:paraId="274851C3" w14:textId="77777777" w:rsidR="0013332C" w:rsidRPr="004F0F8F" w:rsidRDefault="0013332C" w:rsidP="00E71C0E">
            <w:pPr>
              <w:jc w:val="center"/>
              <w:rPr>
                <w:color w:val="000000"/>
              </w:rPr>
            </w:pPr>
          </w:p>
        </w:tc>
        <w:tc>
          <w:tcPr>
            <w:tcW w:w="3004" w:type="dxa"/>
            <w:vAlign w:val="center"/>
          </w:tcPr>
          <w:p w14:paraId="1C7578B7" w14:textId="77777777" w:rsidR="0013332C" w:rsidRPr="00FE0934" w:rsidRDefault="0013332C" w:rsidP="00E71C0E">
            <w:pPr>
              <w:jc w:val="center"/>
              <w:rPr>
                <w:lang w:val="en-GB"/>
              </w:rPr>
            </w:pPr>
            <w:r w:rsidRPr="00FE0934">
              <w:rPr>
                <w:lang w:val="en-GB"/>
              </w:rPr>
              <w:t>back pain</w:t>
            </w:r>
          </w:p>
        </w:tc>
      </w:tr>
      <w:tr w:rsidR="0013332C" w:rsidRPr="008B009A" w14:paraId="2904A2CB" w14:textId="77777777" w:rsidTr="00E71C0E">
        <w:tc>
          <w:tcPr>
            <w:tcW w:w="3003" w:type="dxa"/>
            <w:vAlign w:val="center"/>
          </w:tcPr>
          <w:p w14:paraId="0696CAAA" w14:textId="77777777" w:rsidR="0013332C" w:rsidRPr="004F0F8F" w:rsidRDefault="0013332C" w:rsidP="00E71C0E">
            <w:pPr>
              <w:jc w:val="center"/>
              <w:rPr>
                <w:i/>
                <w:lang w:val="en-GB"/>
              </w:rPr>
            </w:pPr>
            <w:r w:rsidRPr="004F0F8F">
              <w:rPr>
                <w:bCs/>
                <w:i/>
                <w:color w:val="000000"/>
              </w:rPr>
              <w:t>Investigations</w:t>
            </w:r>
          </w:p>
        </w:tc>
        <w:tc>
          <w:tcPr>
            <w:tcW w:w="3003" w:type="dxa"/>
            <w:vAlign w:val="center"/>
          </w:tcPr>
          <w:p w14:paraId="61E98724" w14:textId="77777777" w:rsidR="0013332C" w:rsidRPr="00FE0934" w:rsidRDefault="0013332C" w:rsidP="00E71C0E">
            <w:pPr>
              <w:jc w:val="center"/>
              <w:rPr>
                <w:lang w:val="en-GB"/>
              </w:rPr>
            </w:pPr>
            <w:r w:rsidRPr="004F0F8F">
              <w:rPr>
                <w:color w:val="000000"/>
              </w:rPr>
              <w:t xml:space="preserve">liver transaminases increased, blood alkaline phosphatase </w:t>
            </w:r>
            <w:r w:rsidRPr="004F0F8F">
              <w:rPr>
                <w:color w:val="000000"/>
              </w:rPr>
              <w:lastRenderedPageBreak/>
              <w:t>increased</w:t>
            </w:r>
            <w:r w:rsidRPr="00FE0934">
              <w:rPr>
                <w:color w:val="000000"/>
              </w:rPr>
              <w:t>, blood creatinine increased, electrocardiogram QT prolonged,</w:t>
            </w:r>
          </w:p>
        </w:tc>
        <w:tc>
          <w:tcPr>
            <w:tcW w:w="3004" w:type="dxa"/>
            <w:vAlign w:val="center"/>
          </w:tcPr>
          <w:p w14:paraId="56F2506F" w14:textId="77777777" w:rsidR="0013332C" w:rsidRPr="003B5033" w:rsidRDefault="0013332C" w:rsidP="00E71C0E">
            <w:pPr>
              <w:jc w:val="center"/>
              <w:rPr>
                <w:lang w:val="en-GB"/>
              </w:rPr>
            </w:pPr>
            <w:r w:rsidRPr="00FE0934">
              <w:rPr>
                <w:lang w:val="en-GB"/>
              </w:rPr>
              <w:lastRenderedPageBreak/>
              <w:t xml:space="preserve">blood bilirubin increased, </w:t>
            </w:r>
            <w:r w:rsidRPr="00FE0934">
              <w:rPr>
                <w:color w:val="000000"/>
              </w:rPr>
              <w:t>blood creati</w:t>
            </w:r>
            <w:r w:rsidRPr="009A2438">
              <w:rPr>
                <w:color w:val="000000"/>
              </w:rPr>
              <w:t xml:space="preserve">nine phosphokinase </w:t>
            </w:r>
            <w:r w:rsidRPr="001D5807">
              <w:rPr>
                <w:color w:val="000000"/>
              </w:rPr>
              <w:t xml:space="preserve">MB </w:t>
            </w:r>
            <w:r w:rsidRPr="001D5807">
              <w:rPr>
                <w:color w:val="000000"/>
              </w:rPr>
              <w:lastRenderedPageBreak/>
              <w:t>increased, electrocardiogram ST segment</w:t>
            </w:r>
            <w:r w:rsidRPr="00811077">
              <w:rPr>
                <w:color w:val="000000"/>
              </w:rPr>
              <w:t xml:space="preserve"> depression, </w:t>
            </w:r>
            <w:r w:rsidRPr="00921A35">
              <w:rPr>
                <w:color w:val="000000"/>
              </w:rPr>
              <w:t xml:space="preserve">electrocardiogram ST -T </w:t>
            </w:r>
            <w:r w:rsidRPr="00891459">
              <w:rPr>
                <w:color w:val="000000"/>
              </w:rPr>
              <w:t>segment abnormal</w:t>
            </w:r>
            <w:r w:rsidRPr="003B5033">
              <w:rPr>
                <w:color w:val="000000"/>
              </w:rPr>
              <w:t>, troponin increased</w:t>
            </w:r>
          </w:p>
        </w:tc>
      </w:tr>
      <w:tr w:rsidR="0013332C" w14:paraId="04AF7DA3" w14:textId="77777777" w:rsidTr="00E71C0E">
        <w:trPr>
          <w:trHeight w:val="699"/>
        </w:trPr>
        <w:tc>
          <w:tcPr>
            <w:tcW w:w="3003" w:type="dxa"/>
            <w:vAlign w:val="center"/>
          </w:tcPr>
          <w:p w14:paraId="31E611E0" w14:textId="77777777" w:rsidR="0013332C" w:rsidRPr="004F0F8F" w:rsidRDefault="0013332C" w:rsidP="00E71C0E">
            <w:pPr>
              <w:jc w:val="center"/>
              <w:rPr>
                <w:bCs/>
                <w:i/>
                <w:color w:val="000000"/>
              </w:rPr>
            </w:pPr>
            <w:r w:rsidRPr="004F0F8F">
              <w:rPr>
                <w:bCs/>
                <w:i/>
                <w:color w:val="000000"/>
              </w:rPr>
              <w:lastRenderedPageBreak/>
              <w:t>Metabolism and nutrition disorders</w:t>
            </w:r>
          </w:p>
        </w:tc>
        <w:tc>
          <w:tcPr>
            <w:tcW w:w="3003" w:type="dxa"/>
            <w:vAlign w:val="center"/>
          </w:tcPr>
          <w:p w14:paraId="624886D4" w14:textId="77777777" w:rsidR="0013332C" w:rsidRPr="004F0F8F" w:rsidRDefault="0013332C" w:rsidP="00E71C0E">
            <w:pPr>
              <w:jc w:val="center"/>
              <w:rPr>
                <w:lang w:val="en-GB"/>
              </w:rPr>
            </w:pPr>
            <w:r w:rsidRPr="004F0F8F">
              <w:rPr>
                <w:color w:val="000000"/>
              </w:rPr>
              <w:t>decreased appetite</w:t>
            </w:r>
          </w:p>
          <w:p w14:paraId="136965A9" w14:textId="77777777" w:rsidR="0013332C" w:rsidRPr="00FE0934" w:rsidRDefault="0013332C" w:rsidP="00E71C0E">
            <w:pPr>
              <w:jc w:val="center"/>
              <w:rPr>
                <w:color w:val="000000"/>
              </w:rPr>
            </w:pPr>
          </w:p>
        </w:tc>
        <w:tc>
          <w:tcPr>
            <w:tcW w:w="3004" w:type="dxa"/>
            <w:vAlign w:val="center"/>
          </w:tcPr>
          <w:p w14:paraId="4D6DB46C" w14:textId="77777777" w:rsidR="0013332C" w:rsidRPr="00FE0934" w:rsidRDefault="0013332C" w:rsidP="00E71C0E">
            <w:pPr>
              <w:jc w:val="center"/>
              <w:rPr>
                <w:lang w:val="en-GB"/>
              </w:rPr>
            </w:pPr>
            <w:r w:rsidRPr="00FE0934">
              <w:rPr>
                <w:lang w:val="en-GB"/>
              </w:rPr>
              <w:t>hypokalaemia</w:t>
            </w:r>
          </w:p>
        </w:tc>
      </w:tr>
      <w:tr w:rsidR="0013332C" w14:paraId="3528ECD5" w14:textId="77777777" w:rsidTr="00E71C0E">
        <w:trPr>
          <w:trHeight w:val="699"/>
        </w:trPr>
        <w:tc>
          <w:tcPr>
            <w:tcW w:w="3003" w:type="dxa"/>
            <w:vAlign w:val="center"/>
          </w:tcPr>
          <w:p w14:paraId="5B7386FE" w14:textId="77777777" w:rsidR="0013332C" w:rsidRPr="004F0F8F" w:rsidRDefault="0013332C" w:rsidP="00E71C0E">
            <w:pPr>
              <w:jc w:val="center"/>
              <w:rPr>
                <w:bCs/>
                <w:i/>
                <w:color w:val="000000"/>
              </w:rPr>
            </w:pPr>
            <w:r w:rsidRPr="004F0F8F">
              <w:rPr>
                <w:bCs/>
                <w:i/>
                <w:color w:val="000000"/>
              </w:rPr>
              <w:t>Nervous system disorders</w:t>
            </w:r>
          </w:p>
        </w:tc>
        <w:tc>
          <w:tcPr>
            <w:tcW w:w="3003" w:type="dxa"/>
            <w:vAlign w:val="center"/>
          </w:tcPr>
          <w:p w14:paraId="7A0EA1A0" w14:textId="63BCB9BD" w:rsidR="0013332C" w:rsidRPr="004F0F8F" w:rsidRDefault="00BA1F5A" w:rsidP="00E71C0E">
            <w:pPr>
              <w:jc w:val="center"/>
              <w:rPr>
                <w:color w:val="000000"/>
              </w:rPr>
            </w:pPr>
            <w:r>
              <w:rPr>
                <w:color w:val="000000"/>
              </w:rPr>
              <w:t>d</w:t>
            </w:r>
            <w:r w:rsidR="0013332C" w:rsidRPr="004F0F8F">
              <w:rPr>
                <w:color w:val="000000"/>
              </w:rPr>
              <w:t>izziness</w:t>
            </w:r>
          </w:p>
        </w:tc>
        <w:tc>
          <w:tcPr>
            <w:tcW w:w="3004" w:type="dxa"/>
            <w:vAlign w:val="center"/>
          </w:tcPr>
          <w:p w14:paraId="1E5B71C9" w14:textId="77777777" w:rsidR="0013332C" w:rsidRPr="00FE0934" w:rsidRDefault="0013332C" w:rsidP="00E71C0E">
            <w:pPr>
              <w:jc w:val="center"/>
              <w:rPr>
                <w:lang w:val="en-GB"/>
              </w:rPr>
            </w:pPr>
            <w:proofErr w:type="spellStart"/>
            <w:r w:rsidRPr="00FE0934">
              <w:t>hypoaesthesia</w:t>
            </w:r>
            <w:proofErr w:type="spellEnd"/>
          </w:p>
        </w:tc>
      </w:tr>
      <w:tr w:rsidR="0013332C" w14:paraId="2BD77DEF" w14:textId="77777777" w:rsidTr="00E71C0E">
        <w:trPr>
          <w:trHeight w:val="699"/>
        </w:trPr>
        <w:tc>
          <w:tcPr>
            <w:tcW w:w="3003" w:type="dxa"/>
            <w:vAlign w:val="center"/>
          </w:tcPr>
          <w:p w14:paraId="7E1285C9" w14:textId="77777777" w:rsidR="0013332C" w:rsidRPr="004F0F8F" w:rsidRDefault="0013332C" w:rsidP="00E71C0E">
            <w:pPr>
              <w:jc w:val="center"/>
              <w:rPr>
                <w:bCs/>
                <w:i/>
                <w:color w:val="000000"/>
              </w:rPr>
            </w:pPr>
            <w:r w:rsidRPr="004F0F8F">
              <w:rPr>
                <w:bCs/>
                <w:i/>
                <w:color w:val="000000"/>
              </w:rPr>
              <w:t>Psychiatric disorders</w:t>
            </w:r>
          </w:p>
        </w:tc>
        <w:tc>
          <w:tcPr>
            <w:tcW w:w="3003" w:type="dxa"/>
            <w:vAlign w:val="center"/>
          </w:tcPr>
          <w:p w14:paraId="27A36B21" w14:textId="77777777" w:rsidR="0013332C" w:rsidRPr="004F0F8F" w:rsidRDefault="0013332C" w:rsidP="00E71C0E">
            <w:pPr>
              <w:jc w:val="center"/>
              <w:rPr>
                <w:color w:val="000000"/>
              </w:rPr>
            </w:pPr>
            <w:r w:rsidRPr="004F0F8F">
              <w:rPr>
                <w:color w:val="000000"/>
              </w:rPr>
              <w:t>insomnia</w:t>
            </w:r>
          </w:p>
        </w:tc>
        <w:tc>
          <w:tcPr>
            <w:tcW w:w="3004" w:type="dxa"/>
            <w:vAlign w:val="center"/>
          </w:tcPr>
          <w:p w14:paraId="43519540" w14:textId="77777777" w:rsidR="0013332C" w:rsidRPr="00FE0934" w:rsidRDefault="0013332C" w:rsidP="00E71C0E">
            <w:pPr>
              <w:jc w:val="center"/>
              <w:rPr>
                <w:lang w:val="en-GB"/>
              </w:rPr>
            </w:pPr>
            <w:r w:rsidRPr="00FE0934">
              <w:rPr>
                <w:lang w:val="en-GB"/>
              </w:rPr>
              <w:t>acute psychosis, mood altered, sleep disorder</w:t>
            </w:r>
          </w:p>
        </w:tc>
      </w:tr>
      <w:tr w:rsidR="0013332C" w14:paraId="2677864B" w14:textId="77777777" w:rsidTr="00E71C0E">
        <w:trPr>
          <w:trHeight w:val="699"/>
        </w:trPr>
        <w:tc>
          <w:tcPr>
            <w:tcW w:w="3003" w:type="dxa"/>
            <w:vAlign w:val="center"/>
          </w:tcPr>
          <w:p w14:paraId="050710D2" w14:textId="77777777" w:rsidR="0013332C" w:rsidRPr="004F0F8F" w:rsidRDefault="0013332C" w:rsidP="00E71C0E">
            <w:pPr>
              <w:jc w:val="center"/>
              <w:rPr>
                <w:bCs/>
                <w:i/>
                <w:color w:val="000000"/>
                <w:lang w:val="en-GB"/>
              </w:rPr>
            </w:pPr>
            <w:r w:rsidRPr="004F0F8F">
              <w:rPr>
                <w:bCs/>
                <w:i/>
                <w:color w:val="000000"/>
              </w:rPr>
              <w:t>Respiratory, thoracic and mediastinal disorders</w:t>
            </w:r>
          </w:p>
        </w:tc>
        <w:tc>
          <w:tcPr>
            <w:tcW w:w="3003" w:type="dxa"/>
            <w:vAlign w:val="center"/>
          </w:tcPr>
          <w:p w14:paraId="7B1CF757" w14:textId="77777777" w:rsidR="0013332C" w:rsidRPr="004F0F8F" w:rsidRDefault="0013332C" w:rsidP="00E71C0E">
            <w:pPr>
              <w:jc w:val="center"/>
              <w:rPr>
                <w:color w:val="000000"/>
              </w:rPr>
            </w:pPr>
            <w:r w:rsidRPr="004F0F8F">
              <w:rPr>
                <w:color w:val="000000"/>
              </w:rPr>
              <w:t>hiccups</w:t>
            </w:r>
          </w:p>
        </w:tc>
        <w:tc>
          <w:tcPr>
            <w:tcW w:w="3004" w:type="dxa"/>
            <w:vAlign w:val="center"/>
          </w:tcPr>
          <w:p w14:paraId="2149C782" w14:textId="77777777" w:rsidR="0013332C" w:rsidRPr="00FE0934" w:rsidRDefault="0013332C" w:rsidP="00E71C0E">
            <w:pPr>
              <w:jc w:val="center"/>
              <w:rPr>
                <w:lang w:val="en-GB"/>
              </w:rPr>
            </w:pPr>
          </w:p>
        </w:tc>
      </w:tr>
      <w:tr w:rsidR="0013332C" w14:paraId="63E36CA4" w14:textId="77777777" w:rsidTr="00E71C0E">
        <w:trPr>
          <w:trHeight w:val="699"/>
        </w:trPr>
        <w:tc>
          <w:tcPr>
            <w:tcW w:w="3003" w:type="dxa"/>
            <w:vAlign w:val="center"/>
          </w:tcPr>
          <w:p w14:paraId="5267AA56" w14:textId="77777777" w:rsidR="0013332C" w:rsidRPr="004F0F8F" w:rsidRDefault="0013332C" w:rsidP="00E71C0E">
            <w:pPr>
              <w:jc w:val="center"/>
              <w:rPr>
                <w:bCs/>
                <w:i/>
                <w:color w:val="000000"/>
              </w:rPr>
            </w:pPr>
            <w:r w:rsidRPr="004F0F8F">
              <w:rPr>
                <w:bCs/>
                <w:i/>
                <w:color w:val="000000"/>
              </w:rPr>
              <w:t>Skin and subcutaneous tissue disorders</w:t>
            </w:r>
          </w:p>
        </w:tc>
        <w:tc>
          <w:tcPr>
            <w:tcW w:w="3003" w:type="dxa"/>
            <w:vAlign w:val="center"/>
          </w:tcPr>
          <w:p w14:paraId="6DFE7CD5" w14:textId="77777777" w:rsidR="0013332C" w:rsidRPr="00FE0934" w:rsidRDefault="0013332C" w:rsidP="00E71C0E">
            <w:pPr>
              <w:jc w:val="center"/>
              <w:rPr>
                <w:color w:val="000000"/>
              </w:rPr>
            </w:pPr>
            <w:r w:rsidRPr="004F0F8F">
              <w:rPr>
                <w:color w:val="000000"/>
              </w:rPr>
              <w:t xml:space="preserve">alopecia, </w:t>
            </w:r>
            <w:proofErr w:type="spellStart"/>
            <w:r w:rsidRPr="004F0F8F">
              <w:rPr>
                <w:color w:val="000000"/>
              </w:rPr>
              <w:t>urticaria</w:t>
            </w:r>
            <w:proofErr w:type="spellEnd"/>
          </w:p>
        </w:tc>
        <w:tc>
          <w:tcPr>
            <w:tcW w:w="3004" w:type="dxa"/>
            <w:vAlign w:val="center"/>
          </w:tcPr>
          <w:p w14:paraId="5707DE2E" w14:textId="77777777" w:rsidR="0013332C" w:rsidRPr="00FE0934" w:rsidRDefault="0013332C" w:rsidP="00E71C0E">
            <w:pPr>
              <w:jc w:val="center"/>
              <w:rPr>
                <w:lang w:val="en-GB"/>
              </w:rPr>
            </w:pPr>
          </w:p>
        </w:tc>
      </w:tr>
      <w:tr w:rsidR="0013332C" w14:paraId="0668FCAB" w14:textId="77777777" w:rsidTr="00E71C0E">
        <w:trPr>
          <w:trHeight w:val="371"/>
        </w:trPr>
        <w:tc>
          <w:tcPr>
            <w:tcW w:w="3003" w:type="dxa"/>
            <w:vAlign w:val="center"/>
          </w:tcPr>
          <w:p w14:paraId="26CBB8EE" w14:textId="77777777" w:rsidR="0013332C" w:rsidRPr="004F0F8F" w:rsidRDefault="0013332C" w:rsidP="00E71C0E">
            <w:pPr>
              <w:jc w:val="center"/>
              <w:rPr>
                <w:bCs/>
                <w:i/>
                <w:color w:val="000000"/>
              </w:rPr>
            </w:pPr>
            <w:r w:rsidRPr="004F0F8F">
              <w:rPr>
                <w:bCs/>
                <w:i/>
                <w:color w:val="000000"/>
              </w:rPr>
              <w:t>Vascular disorders</w:t>
            </w:r>
          </w:p>
        </w:tc>
        <w:tc>
          <w:tcPr>
            <w:tcW w:w="3003" w:type="dxa"/>
            <w:vAlign w:val="center"/>
          </w:tcPr>
          <w:p w14:paraId="708244C5" w14:textId="77777777" w:rsidR="0013332C" w:rsidRPr="00FE0934" w:rsidRDefault="0013332C" w:rsidP="00E71C0E">
            <w:pPr>
              <w:jc w:val="center"/>
              <w:rPr>
                <w:color w:val="000000"/>
              </w:rPr>
            </w:pPr>
            <w:r w:rsidRPr="004F0F8F">
              <w:rPr>
                <w:color w:val="000000"/>
              </w:rPr>
              <w:t>hypertension</w:t>
            </w:r>
          </w:p>
        </w:tc>
        <w:tc>
          <w:tcPr>
            <w:tcW w:w="3004" w:type="dxa"/>
            <w:vAlign w:val="center"/>
          </w:tcPr>
          <w:p w14:paraId="50953041" w14:textId="77777777" w:rsidR="0013332C" w:rsidRPr="00FE0934" w:rsidRDefault="0013332C" w:rsidP="00E71C0E">
            <w:pPr>
              <w:jc w:val="center"/>
              <w:rPr>
                <w:lang w:val="en-GB"/>
              </w:rPr>
            </w:pPr>
            <w:r w:rsidRPr="00FE0934">
              <w:rPr>
                <w:lang w:val="en-GB"/>
              </w:rPr>
              <w:t>hypotension</w:t>
            </w:r>
          </w:p>
        </w:tc>
      </w:tr>
    </w:tbl>
    <w:p w14:paraId="02B66DC7" w14:textId="77777777" w:rsidR="00962ED4" w:rsidRDefault="00962ED4" w:rsidP="001D5807"/>
    <w:p w14:paraId="04B1D170" w14:textId="09BC1C50" w:rsidR="0013332C" w:rsidRPr="00373B89" w:rsidRDefault="0013332C" w:rsidP="0013332C">
      <w:pPr>
        <w:pStyle w:val="Heading3"/>
      </w:pPr>
      <w:r>
        <w:t>Post Marketing Experience</w:t>
      </w:r>
    </w:p>
    <w:p w14:paraId="34BC7AB3" w14:textId="0EB50BA1" w:rsidR="0013332C" w:rsidRPr="00F45F4D" w:rsidRDefault="00921A35" w:rsidP="0013332C">
      <w:r>
        <w:t xml:space="preserve">Very rare cases of </w:t>
      </w:r>
      <w:r w:rsidR="002B6DFF">
        <w:t>hypersensitivity reactions including anaphylaxis</w:t>
      </w:r>
      <w:r>
        <w:t xml:space="preserve"> and shock have been reported from post-marketing use of intravenous </w:t>
      </w:r>
      <w:proofErr w:type="spellStart"/>
      <w:r>
        <w:t>palonosetron</w:t>
      </w:r>
      <w:proofErr w:type="spellEnd"/>
      <w:r>
        <w:t xml:space="preserve">. </w:t>
      </w:r>
      <w:r w:rsidR="00980032">
        <w:t>There is no post marketing data available at this time for AKYNZEO IV.</w:t>
      </w:r>
    </w:p>
    <w:p w14:paraId="3DBBE3AB" w14:textId="77777777" w:rsidR="0013332C" w:rsidRPr="00373B89" w:rsidRDefault="0013332C" w:rsidP="0013332C">
      <w:pPr>
        <w:pStyle w:val="Heading3"/>
      </w:pPr>
      <w:r w:rsidRPr="00373B89">
        <w:t>Reporting suspected adverse effects</w:t>
      </w:r>
    </w:p>
    <w:p w14:paraId="6C19EB43" w14:textId="5E81D3D4" w:rsidR="0013332C" w:rsidRPr="00891459" w:rsidRDefault="0013332C" w:rsidP="0013332C">
      <w:pPr>
        <w:rPr>
          <w:rFonts w:cstheme="minorHAnsi"/>
          <w:color w:val="0000FF" w:themeColor="hyperlink"/>
          <w:u w:val="single"/>
          <w:lang w:val="en"/>
        </w:rPr>
      </w:pPr>
      <w:r w:rsidRPr="00497C85">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sidRPr="00497C85">
          <w:rPr>
            <w:rStyle w:val="Hyperlink"/>
            <w:rFonts w:cstheme="minorHAnsi"/>
            <w:lang w:val="en"/>
          </w:rPr>
          <w:t>www.tga.gov.au/reporting-problems</w:t>
        </w:r>
      </w:hyperlink>
      <w:r w:rsidRPr="00497C85">
        <w:rPr>
          <w:rFonts w:cstheme="minorHAnsi"/>
          <w:lang w:val="en"/>
        </w:rPr>
        <w:t>.</w:t>
      </w:r>
    </w:p>
    <w:p w14:paraId="396368DE" w14:textId="77777777" w:rsidR="0013332C" w:rsidRPr="00373B89" w:rsidRDefault="0013332C" w:rsidP="0013332C">
      <w:pPr>
        <w:pStyle w:val="Heading2"/>
      </w:pPr>
      <w:r w:rsidRPr="00373B89">
        <w:t>Overdose</w:t>
      </w:r>
    </w:p>
    <w:p w14:paraId="35BAEC7C" w14:textId="528BE71E" w:rsidR="0013332C" w:rsidRPr="001C0F1E" w:rsidRDefault="0013332C" w:rsidP="0013332C">
      <w:pPr>
        <w:rPr>
          <w:lang w:eastAsia="it-CH"/>
        </w:rPr>
      </w:pPr>
      <w:r w:rsidRPr="001C0F1E">
        <w:rPr>
          <w:lang w:eastAsia="it-CH"/>
        </w:rPr>
        <w:t xml:space="preserve">No case of overdose has been reported and no specific information is available on the treatment of overdose with </w:t>
      </w:r>
      <w:r>
        <w:rPr>
          <w:lang w:eastAsia="it-CH"/>
        </w:rPr>
        <w:t>AKYNZEO</w:t>
      </w:r>
      <w:r w:rsidR="003B5033">
        <w:rPr>
          <w:lang w:eastAsia="it-CH"/>
        </w:rPr>
        <w:t xml:space="preserve"> </w:t>
      </w:r>
      <w:r w:rsidR="000F08B9">
        <w:rPr>
          <w:lang w:eastAsia="it-CH"/>
        </w:rPr>
        <w:t>IV</w:t>
      </w:r>
      <w:r>
        <w:rPr>
          <w:lang w:eastAsia="it-CH"/>
        </w:rPr>
        <w:t xml:space="preserve">. </w:t>
      </w:r>
      <w:proofErr w:type="spellStart"/>
      <w:r>
        <w:rPr>
          <w:lang w:eastAsia="it-CH"/>
        </w:rPr>
        <w:t>Netupitant</w:t>
      </w:r>
      <w:proofErr w:type="spellEnd"/>
      <w:r>
        <w:rPr>
          <w:lang w:eastAsia="it-CH"/>
        </w:rPr>
        <w:t xml:space="preserve"> doses up to 600 mg </w:t>
      </w:r>
      <w:r w:rsidRPr="001C0F1E">
        <w:rPr>
          <w:lang w:eastAsia="it-CH"/>
        </w:rPr>
        <w:t xml:space="preserve">and </w:t>
      </w:r>
      <w:proofErr w:type="spellStart"/>
      <w:r w:rsidRPr="001C0F1E">
        <w:rPr>
          <w:lang w:eastAsia="it-CH"/>
        </w:rPr>
        <w:t>palonosetron</w:t>
      </w:r>
      <w:proofErr w:type="spellEnd"/>
      <w:r w:rsidRPr="001C0F1E">
        <w:rPr>
          <w:lang w:eastAsia="it-CH"/>
        </w:rPr>
        <w:t xml:space="preserve"> doses up to 6 mg have been used in clinical studies without any safety concerns. In the unlikely event of overdose, </w:t>
      </w:r>
      <w:r>
        <w:rPr>
          <w:lang w:eastAsia="it-CH"/>
        </w:rPr>
        <w:t>AKYNZEO</w:t>
      </w:r>
      <w:r w:rsidRPr="001C0F1E">
        <w:rPr>
          <w:lang w:eastAsia="it-CH"/>
        </w:rPr>
        <w:t xml:space="preserve"> </w:t>
      </w:r>
      <w:r w:rsidR="003B5033">
        <w:rPr>
          <w:lang w:eastAsia="it-CH"/>
        </w:rPr>
        <w:t xml:space="preserve">IV </w:t>
      </w:r>
      <w:r w:rsidRPr="001C0F1E">
        <w:rPr>
          <w:lang w:eastAsia="it-CH"/>
        </w:rPr>
        <w:t xml:space="preserve">should be discontinued and general supportive treatment and monitoring should be provided. Because of the antiemetic activity of </w:t>
      </w:r>
      <w:proofErr w:type="spellStart"/>
      <w:r w:rsidRPr="001C0F1E">
        <w:rPr>
          <w:lang w:eastAsia="it-CH"/>
        </w:rPr>
        <w:t>netupitant</w:t>
      </w:r>
      <w:proofErr w:type="spellEnd"/>
      <w:r w:rsidRPr="001C0F1E">
        <w:rPr>
          <w:lang w:eastAsia="it-CH"/>
        </w:rPr>
        <w:t xml:space="preserve"> and </w:t>
      </w:r>
      <w:proofErr w:type="spellStart"/>
      <w:r w:rsidRPr="001C0F1E">
        <w:rPr>
          <w:lang w:eastAsia="it-CH"/>
        </w:rPr>
        <w:t>palonosetron</w:t>
      </w:r>
      <w:proofErr w:type="spellEnd"/>
      <w:r w:rsidRPr="001C0F1E">
        <w:rPr>
          <w:lang w:eastAsia="it-CH"/>
        </w:rPr>
        <w:t>, emesis induced by a medicinal product may not</w:t>
      </w:r>
      <w:r>
        <w:rPr>
          <w:lang w:eastAsia="it-CH"/>
        </w:rPr>
        <w:t xml:space="preserve"> be effective. Dialysis studies </w:t>
      </w:r>
      <w:r w:rsidRPr="001C0F1E">
        <w:rPr>
          <w:lang w:eastAsia="it-CH"/>
        </w:rPr>
        <w:t xml:space="preserve">have not been performed, however, due to the large volume of distribution of </w:t>
      </w:r>
      <w:proofErr w:type="spellStart"/>
      <w:r w:rsidRPr="001C0F1E">
        <w:rPr>
          <w:lang w:eastAsia="it-CH"/>
        </w:rPr>
        <w:t>palonosetron</w:t>
      </w:r>
      <w:proofErr w:type="spellEnd"/>
      <w:r w:rsidRPr="001C0F1E">
        <w:rPr>
          <w:lang w:eastAsia="it-CH"/>
        </w:rPr>
        <w:t xml:space="preserve"> and </w:t>
      </w:r>
      <w:proofErr w:type="spellStart"/>
      <w:r w:rsidRPr="001C0F1E">
        <w:rPr>
          <w:lang w:eastAsia="it-CH"/>
        </w:rPr>
        <w:t>netupitant</w:t>
      </w:r>
      <w:proofErr w:type="spellEnd"/>
      <w:r w:rsidRPr="001C0F1E">
        <w:rPr>
          <w:lang w:eastAsia="it-CH"/>
        </w:rPr>
        <w:t xml:space="preserve">, dialysis is unlikely to be an effective treatment for </w:t>
      </w:r>
      <w:r>
        <w:rPr>
          <w:lang w:eastAsia="it-CH"/>
        </w:rPr>
        <w:t xml:space="preserve">AKYNZEO </w:t>
      </w:r>
      <w:r w:rsidR="003B5033">
        <w:rPr>
          <w:lang w:eastAsia="it-CH"/>
        </w:rPr>
        <w:t xml:space="preserve">IV </w:t>
      </w:r>
      <w:r>
        <w:rPr>
          <w:lang w:eastAsia="it-CH"/>
        </w:rPr>
        <w:t>overdose.</w:t>
      </w:r>
    </w:p>
    <w:p w14:paraId="5F0F10BC" w14:textId="4DC97026" w:rsidR="0013332C" w:rsidRDefault="0013332C" w:rsidP="0013332C">
      <w:r w:rsidRPr="001C0F1E">
        <w:t xml:space="preserve">For information on the management of overdose, contact </w:t>
      </w:r>
      <w:r>
        <w:t xml:space="preserve">the </w:t>
      </w:r>
      <w:r w:rsidRPr="001C0F1E">
        <w:t>Poison</w:t>
      </w:r>
      <w:r>
        <w:t>s</w:t>
      </w:r>
      <w:r w:rsidRPr="001C0F1E">
        <w:t xml:space="preserve"> Information Centre on 13 11 26 (Australia)</w:t>
      </w:r>
      <w:r>
        <w:t>.</w:t>
      </w:r>
    </w:p>
    <w:p w14:paraId="6001E545" w14:textId="77777777" w:rsidR="0013332C" w:rsidRPr="00373B89" w:rsidRDefault="0013332C" w:rsidP="0013332C">
      <w:pPr>
        <w:pStyle w:val="Heading1"/>
      </w:pPr>
      <w:r w:rsidRPr="00373B89">
        <w:lastRenderedPageBreak/>
        <w:t>Pharmacological properties</w:t>
      </w:r>
    </w:p>
    <w:p w14:paraId="43C57443" w14:textId="77777777" w:rsidR="0013332C" w:rsidRPr="00373B89" w:rsidRDefault="0013332C" w:rsidP="0013332C">
      <w:pPr>
        <w:pStyle w:val="Heading2"/>
      </w:pPr>
      <w:r w:rsidRPr="00373B89">
        <w:t xml:space="preserve">Pharmacodynamic properties </w:t>
      </w:r>
    </w:p>
    <w:p w14:paraId="090A1346" w14:textId="1C7E98F9" w:rsidR="0013332C" w:rsidRPr="00443E2D" w:rsidRDefault="0013332C" w:rsidP="0013332C">
      <w:proofErr w:type="spellStart"/>
      <w:r w:rsidRPr="00443E2D">
        <w:t>Pharmacotherapeutic</w:t>
      </w:r>
      <w:proofErr w:type="spellEnd"/>
      <w:r w:rsidRPr="00443E2D">
        <w:t xml:space="preserve"> group: Anti</w:t>
      </w:r>
      <w:r>
        <w:t>-</w:t>
      </w:r>
      <w:r w:rsidRPr="00443E2D">
        <w:t>emetics and anti</w:t>
      </w:r>
      <w:r>
        <w:t>-</w:t>
      </w:r>
      <w:proofErr w:type="spellStart"/>
      <w:r w:rsidRPr="00443E2D">
        <w:t>nauseants</w:t>
      </w:r>
      <w:proofErr w:type="spellEnd"/>
      <w:r>
        <w:t xml:space="preserve">; </w:t>
      </w:r>
      <w:r w:rsidRPr="00443E2D">
        <w:t>serotonin (5</w:t>
      </w:r>
      <w:r>
        <w:t>-</w:t>
      </w:r>
      <w:r w:rsidRPr="00443E2D">
        <w:t>HT</w:t>
      </w:r>
      <w:r w:rsidRPr="00443E2D">
        <w:rPr>
          <w:vertAlign w:val="subscript"/>
        </w:rPr>
        <w:t>3</w:t>
      </w:r>
      <w:r w:rsidRPr="00443E2D">
        <w:t>) and neurokinin-1 (NK</w:t>
      </w:r>
      <w:r w:rsidRPr="00443E2D">
        <w:rPr>
          <w:vertAlign w:val="subscript"/>
        </w:rPr>
        <w:t>1</w:t>
      </w:r>
      <w:r w:rsidRPr="00443E2D">
        <w:t xml:space="preserve">) </w:t>
      </w:r>
      <w:r>
        <w:t xml:space="preserve">receptor </w:t>
      </w:r>
      <w:r w:rsidRPr="00E71C0E">
        <w:t>antagonists</w:t>
      </w:r>
      <w:r w:rsidR="006B3EA5">
        <w:t>.</w:t>
      </w:r>
      <w:r w:rsidRPr="00E71C0E">
        <w:t xml:space="preserve"> </w:t>
      </w:r>
    </w:p>
    <w:p w14:paraId="62920B3E" w14:textId="3FBF39AF" w:rsidR="0013332C" w:rsidRPr="00E71C0E" w:rsidRDefault="0013332C" w:rsidP="0013332C">
      <w:pPr>
        <w:rPr>
          <w:lang w:val="fr-FR"/>
        </w:rPr>
      </w:pPr>
      <w:r w:rsidRPr="00E71C0E">
        <w:rPr>
          <w:lang w:val="fr-FR"/>
        </w:rPr>
        <w:t xml:space="preserve">ATC code: A04AA55 </w:t>
      </w:r>
      <w:proofErr w:type="spellStart"/>
      <w:r w:rsidRPr="00E71C0E">
        <w:rPr>
          <w:lang w:val="fr-FR"/>
        </w:rPr>
        <w:t>palonosetron</w:t>
      </w:r>
      <w:proofErr w:type="spellEnd"/>
      <w:r w:rsidRPr="00E71C0E">
        <w:rPr>
          <w:lang w:val="fr-FR"/>
        </w:rPr>
        <w:t xml:space="preserve">, </w:t>
      </w:r>
      <w:proofErr w:type="spellStart"/>
      <w:r w:rsidRPr="00E71C0E">
        <w:rPr>
          <w:lang w:val="fr-FR"/>
        </w:rPr>
        <w:t>combinations</w:t>
      </w:r>
      <w:proofErr w:type="spellEnd"/>
      <w:r w:rsidR="00980032" w:rsidRPr="00E71C0E">
        <w:rPr>
          <w:lang w:val="fr-FR"/>
        </w:rPr>
        <w:t>.</w:t>
      </w:r>
    </w:p>
    <w:p w14:paraId="27CBB283" w14:textId="084AA5CF" w:rsidR="0013332C" w:rsidRPr="009E2A74" w:rsidRDefault="0013332C" w:rsidP="0013332C">
      <w:r w:rsidRPr="00FC3412">
        <w:t>NK</w:t>
      </w:r>
      <w:r w:rsidRPr="00FC3412">
        <w:rPr>
          <w:vertAlign w:val="subscript"/>
        </w:rPr>
        <w:t>1</w:t>
      </w:r>
      <w:r w:rsidRPr="00FC3412">
        <w:t xml:space="preserve"> Receptor Occupancy</w:t>
      </w:r>
      <w:r>
        <w:t>: t</w:t>
      </w:r>
      <w:r w:rsidRPr="00FC3412">
        <w:t xml:space="preserve">he receptor occupancy for the Chemotherapy Induced Nausea and Vomiting (CINV) dosing regimen of </w:t>
      </w:r>
      <w:proofErr w:type="spellStart"/>
      <w:r w:rsidRPr="00FC3412">
        <w:t>netupitant</w:t>
      </w:r>
      <w:proofErr w:type="spellEnd"/>
      <w:r w:rsidRPr="00FC3412">
        <w:t xml:space="preserve"> has been determined in a human Positron Emission Tomography (PET) study with three single doses tested (100 mg, 300 mg and 450 mg, 2 subjects per dose). </w:t>
      </w:r>
      <w:proofErr w:type="spellStart"/>
      <w:r w:rsidRPr="00FC3412">
        <w:t>Netupitant</w:t>
      </w:r>
      <w:proofErr w:type="spellEnd"/>
      <w:r w:rsidRPr="00FC3412">
        <w:t xml:space="preserve"> was shown to cross the blood brain barrier with a high occupancy of brain NK</w:t>
      </w:r>
      <w:r w:rsidRPr="00FC3412">
        <w:rPr>
          <w:vertAlign w:val="subscript"/>
        </w:rPr>
        <w:t>1</w:t>
      </w:r>
      <w:r w:rsidRPr="00FC3412">
        <w:t xml:space="preserve"> receptors. All doses achieved a relatively long duration of blockade of the NK</w:t>
      </w:r>
      <w:r w:rsidRPr="00FC3412">
        <w:rPr>
          <w:vertAlign w:val="subscript"/>
        </w:rPr>
        <w:t>1</w:t>
      </w:r>
      <w:r w:rsidRPr="00FC3412">
        <w:t xml:space="preserve"> receptor. NK</w:t>
      </w:r>
      <w:r w:rsidRPr="00FC3412">
        <w:rPr>
          <w:vertAlign w:val="subscript"/>
        </w:rPr>
        <w:t>1</w:t>
      </w:r>
      <w:r w:rsidRPr="00FC3412">
        <w:t xml:space="preserve"> receptor occupancy in striatum at 6, 24, 48, 72 and 96 hours after administration of 300 mg </w:t>
      </w:r>
      <w:proofErr w:type="spellStart"/>
      <w:r w:rsidRPr="00FC3412">
        <w:t>netupitant</w:t>
      </w:r>
      <w:proofErr w:type="spellEnd"/>
      <w:r w:rsidRPr="00FC3412">
        <w:t xml:space="preserve"> was 92.5%, 86.5%, 85.0%, 78.0% and 76.0%, respectively.</w:t>
      </w:r>
    </w:p>
    <w:p w14:paraId="4C8C00DD" w14:textId="77777777" w:rsidR="0013332C" w:rsidRPr="00373B89" w:rsidRDefault="0013332C" w:rsidP="0013332C">
      <w:pPr>
        <w:pStyle w:val="Heading3"/>
      </w:pPr>
      <w:r w:rsidRPr="00373B89">
        <w:t>Mechanism of action</w:t>
      </w:r>
    </w:p>
    <w:p w14:paraId="263CDB1B" w14:textId="63DD49DA" w:rsidR="00011684" w:rsidRDefault="00036963" w:rsidP="0013332C">
      <w:proofErr w:type="spellStart"/>
      <w:r>
        <w:t>Fosnetupitant</w:t>
      </w:r>
      <w:proofErr w:type="spellEnd"/>
      <w:r>
        <w:t xml:space="preserve"> is the prodrug of </w:t>
      </w:r>
      <w:proofErr w:type="spellStart"/>
      <w:r>
        <w:t>netupitant</w:t>
      </w:r>
      <w:proofErr w:type="spellEnd"/>
      <w:r>
        <w:t xml:space="preserve"> and when administered intravenously is converted rapidly to </w:t>
      </w:r>
      <w:proofErr w:type="spellStart"/>
      <w:r>
        <w:t>netupitant</w:t>
      </w:r>
      <w:proofErr w:type="spellEnd"/>
      <w:r>
        <w:t xml:space="preserve"> </w:t>
      </w:r>
      <w:r w:rsidRPr="006866C7">
        <w:t>(see Section 5.2 – Pharmacokinetic properties).</w:t>
      </w:r>
      <w:r w:rsidR="00962ED4">
        <w:t xml:space="preserve"> </w:t>
      </w:r>
      <w:proofErr w:type="spellStart"/>
      <w:r w:rsidR="0013332C" w:rsidRPr="00FD0CEE">
        <w:t>Netupitant</w:t>
      </w:r>
      <w:proofErr w:type="spellEnd"/>
      <w:r w:rsidR="0013332C" w:rsidRPr="00FD0CEE">
        <w:t xml:space="preserve"> is a selective high-affinity antagonist of human substance P/neurokinin 1 (NK</w:t>
      </w:r>
      <w:r w:rsidR="0013332C" w:rsidRPr="00FD0CEE">
        <w:rPr>
          <w:vertAlign w:val="subscript"/>
        </w:rPr>
        <w:t>1</w:t>
      </w:r>
      <w:r w:rsidR="0013332C" w:rsidRPr="00FD0CEE">
        <w:t xml:space="preserve">) </w:t>
      </w:r>
      <w:r w:rsidR="0013332C" w:rsidRPr="00602084">
        <w:t xml:space="preserve">receptors. </w:t>
      </w:r>
      <w:r w:rsidR="006D7E8A" w:rsidRPr="002608BB">
        <w:t xml:space="preserve">Delayed emesis has been largely associated with </w:t>
      </w:r>
      <w:r w:rsidR="006D7E8A" w:rsidRPr="005E7A08">
        <w:t>the activation of tachykinin family neurokinin 1 (NK</w:t>
      </w:r>
      <w:r w:rsidR="006D7E8A" w:rsidRPr="005E7A08">
        <w:rPr>
          <w:vertAlign w:val="subscript"/>
        </w:rPr>
        <w:t>1</w:t>
      </w:r>
      <w:r w:rsidR="006D7E8A" w:rsidRPr="005E7A08">
        <w:t xml:space="preserve">) receptors (broadly distributed in the central and peripheral nervous systems) by substance P. </w:t>
      </w:r>
      <w:r w:rsidR="006D7E8A" w:rsidRPr="005E7A08">
        <w:rPr>
          <w:bCs/>
        </w:rPr>
        <w:t xml:space="preserve">As shown in </w:t>
      </w:r>
      <w:r w:rsidR="006D7E8A" w:rsidRPr="005E7A08">
        <w:rPr>
          <w:bCs/>
          <w:i/>
        </w:rPr>
        <w:t>in vitro</w:t>
      </w:r>
      <w:r w:rsidR="006D7E8A" w:rsidRPr="005E7A08">
        <w:rPr>
          <w:bCs/>
        </w:rPr>
        <w:t xml:space="preserve"> and </w:t>
      </w:r>
      <w:r w:rsidR="006D7E8A" w:rsidRPr="005E7A08">
        <w:rPr>
          <w:bCs/>
          <w:i/>
        </w:rPr>
        <w:t>in vivo</w:t>
      </w:r>
      <w:r w:rsidR="006D7E8A" w:rsidRPr="005E7A08">
        <w:rPr>
          <w:bCs/>
        </w:rPr>
        <w:t xml:space="preserve"> studies, </w:t>
      </w:r>
      <w:proofErr w:type="spellStart"/>
      <w:r w:rsidR="006D7E8A" w:rsidRPr="005E7A08">
        <w:rPr>
          <w:bCs/>
        </w:rPr>
        <w:t>netupitant</w:t>
      </w:r>
      <w:proofErr w:type="spellEnd"/>
      <w:r w:rsidR="006D7E8A" w:rsidRPr="005E7A08">
        <w:rPr>
          <w:bCs/>
        </w:rPr>
        <w:t xml:space="preserve"> and </w:t>
      </w:r>
      <w:proofErr w:type="spellStart"/>
      <w:r w:rsidR="006D7E8A" w:rsidRPr="005E7A08">
        <w:rPr>
          <w:bCs/>
        </w:rPr>
        <w:t>palonosetron</w:t>
      </w:r>
      <w:proofErr w:type="spellEnd"/>
      <w:r w:rsidR="006D7E8A" w:rsidRPr="005E7A08">
        <w:rPr>
          <w:bCs/>
        </w:rPr>
        <w:t xml:space="preserve"> can contribute to the inhibition of substance P mediated response. </w:t>
      </w:r>
      <w:r w:rsidR="006D7E8A" w:rsidRPr="005E7A08">
        <w:rPr>
          <w:bCs/>
          <w:i/>
        </w:rPr>
        <w:t>In vitro</w:t>
      </w:r>
      <w:r w:rsidR="006D7E8A" w:rsidRPr="005E7A08">
        <w:rPr>
          <w:bCs/>
        </w:rPr>
        <w:t xml:space="preserve"> studies have demonstrated that while </w:t>
      </w:r>
      <w:proofErr w:type="spellStart"/>
      <w:r w:rsidR="006D7E8A" w:rsidRPr="005E7A08">
        <w:rPr>
          <w:bCs/>
        </w:rPr>
        <w:t>palonosetron</w:t>
      </w:r>
      <w:proofErr w:type="spellEnd"/>
      <w:r w:rsidR="006D7E8A" w:rsidRPr="005E7A08">
        <w:rPr>
          <w:bCs/>
        </w:rPr>
        <w:t xml:space="preserve"> does not bind to the NK</w:t>
      </w:r>
      <w:r w:rsidR="006D7E8A" w:rsidRPr="005E7A08">
        <w:rPr>
          <w:bCs/>
          <w:vertAlign w:val="subscript"/>
        </w:rPr>
        <w:t>1</w:t>
      </w:r>
      <w:r w:rsidR="006D7E8A" w:rsidRPr="005E7A08">
        <w:rPr>
          <w:bCs/>
        </w:rPr>
        <w:t xml:space="preserve"> receptor, it does inhibit cisplatin-induced substance P enhancement of NK</w:t>
      </w:r>
      <w:r w:rsidR="006D7E8A" w:rsidRPr="005E7A08">
        <w:rPr>
          <w:bCs/>
          <w:vertAlign w:val="subscript"/>
        </w:rPr>
        <w:t>1</w:t>
      </w:r>
      <w:r w:rsidR="006D7E8A" w:rsidRPr="005E7A08">
        <w:rPr>
          <w:bCs/>
        </w:rPr>
        <w:t xml:space="preserve"> signa</w:t>
      </w:r>
      <w:r w:rsidR="006D7E8A">
        <w:rPr>
          <w:bCs/>
        </w:rPr>
        <w:t>l</w:t>
      </w:r>
      <w:r w:rsidR="006D7E8A" w:rsidRPr="005E7A08">
        <w:rPr>
          <w:bCs/>
        </w:rPr>
        <w:t>ling, in a dose-dependent manner.</w:t>
      </w:r>
    </w:p>
    <w:p w14:paraId="3209FDBF" w14:textId="0AC89552" w:rsidR="0013332C" w:rsidRPr="009E2A74" w:rsidRDefault="0013332C" w:rsidP="0013332C">
      <w:pPr>
        <w:rPr>
          <w:bCs/>
        </w:rPr>
      </w:pPr>
      <w:proofErr w:type="spellStart"/>
      <w:r w:rsidRPr="0021508E">
        <w:rPr>
          <w:lang w:eastAsia="ja-JP"/>
        </w:rPr>
        <w:t>Palonosetron</w:t>
      </w:r>
      <w:proofErr w:type="spellEnd"/>
      <w:r w:rsidRPr="0021508E">
        <w:rPr>
          <w:lang w:eastAsia="ja-JP"/>
        </w:rPr>
        <w:t xml:space="preserve"> is a</w:t>
      </w:r>
      <w:r>
        <w:rPr>
          <w:lang w:eastAsia="ja-JP"/>
        </w:rPr>
        <w:t xml:space="preserve"> selective</w:t>
      </w:r>
      <w:r w:rsidRPr="0021508E">
        <w:rPr>
          <w:lang w:eastAsia="ja-JP"/>
        </w:rPr>
        <w:t xml:space="preserve"> </w:t>
      </w:r>
      <w:r>
        <w:rPr>
          <w:lang w:eastAsia="ja-JP"/>
        </w:rPr>
        <w:t>serotonin subtype 3 (</w:t>
      </w:r>
      <w:r w:rsidRPr="0021508E">
        <w:rPr>
          <w:lang w:eastAsia="ja-JP"/>
        </w:rPr>
        <w:t>5-HT</w:t>
      </w:r>
      <w:r w:rsidRPr="0021508E">
        <w:rPr>
          <w:vertAlign w:val="subscript"/>
          <w:lang w:eastAsia="ja-JP"/>
        </w:rPr>
        <w:t>3</w:t>
      </w:r>
      <w:r w:rsidRPr="003967F1">
        <w:rPr>
          <w:lang w:eastAsia="ja-JP"/>
        </w:rPr>
        <w:t>)</w:t>
      </w:r>
      <w:r w:rsidRPr="0021508E">
        <w:rPr>
          <w:lang w:eastAsia="ja-JP"/>
        </w:rPr>
        <w:t xml:space="preserve"> receptor antagonist with a strong binding affinity for this receptor</w:t>
      </w:r>
      <w:r>
        <w:rPr>
          <w:lang w:eastAsia="ja-JP"/>
        </w:rPr>
        <w:t>.</w:t>
      </w:r>
      <w:r w:rsidRPr="0021508E">
        <w:rPr>
          <w:lang w:eastAsia="ja-JP"/>
        </w:rPr>
        <w:t xml:space="preserve"> </w:t>
      </w:r>
      <w:r w:rsidRPr="0021508E">
        <w:rPr>
          <w:color w:val="221E1F"/>
        </w:rPr>
        <w:t>Cancer chemotherapy</w:t>
      </w:r>
      <w:r w:rsidRPr="002608BB">
        <w:rPr>
          <w:color w:val="221E1F"/>
        </w:rPr>
        <w:t xml:space="preserve"> may be associated with a high incidence of nausea and vomiting, particularly when certain agents, such as cisplatin, are used. 5-HT</w:t>
      </w:r>
      <w:r w:rsidRPr="002608BB">
        <w:rPr>
          <w:rStyle w:val="A6"/>
          <w:rFonts w:ascii="Arial" w:hAnsi="Arial" w:cs="Arial"/>
          <w:sz w:val="24"/>
          <w:szCs w:val="24"/>
          <w:vertAlign w:val="subscript"/>
        </w:rPr>
        <w:t>3</w:t>
      </w:r>
      <w:r w:rsidRPr="002608BB">
        <w:rPr>
          <w:rStyle w:val="A6"/>
          <w:rFonts w:ascii="Arial" w:hAnsi="Arial" w:cs="Arial"/>
          <w:sz w:val="24"/>
          <w:szCs w:val="24"/>
        </w:rPr>
        <w:t xml:space="preserve"> </w:t>
      </w:r>
      <w:r w:rsidRPr="002608BB">
        <w:rPr>
          <w:color w:val="221E1F"/>
        </w:rPr>
        <w:t xml:space="preserve">receptors are located on the nerve terminals of the </w:t>
      </w:r>
      <w:proofErr w:type="spellStart"/>
      <w:r w:rsidRPr="002608BB">
        <w:rPr>
          <w:color w:val="221E1F"/>
        </w:rPr>
        <w:t>vagus</w:t>
      </w:r>
      <w:proofErr w:type="spellEnd"/>
      <w:r w:rsidRPr="002608BB">
        <w:rPr>
          <w:color w:val="221E1F"/>
        </w:rPr>
        <w:t xml:space="preserve"> in the periphery and centrally in the chemoreceptor trigger zone of the area </w:t>
      </w:r>
      <w:proofErr w:type="spellStart"/>
      <w:r w:rsidRPr="002608BB">
        <w:rPr>
          <w:color w:val="221E1F"/>
        </w:rPr>
        <w:t>postrema</w:t>
      </w:r>
      <w:proofErr w:type="spellEnd"/>
      <w:r w:rsidRPr="002608BB">
        <w:rPr>
          <w:color w:val="221E1F"/>
        </w:rPr>
        <w:t xml:space="preserve">. It is thought that chemotherapeutic agents produce nausea and vomiting by releasing serotonin from the </w:t>
      </w:r>
      <w:proofErr w:type="spellStart"/>
      <w:r w:rsidRPr="002608BB">
        <w:rPr>
          <w:color w:val="221E1F"/>
        </w:rPr>
        <w:t>enterochromaffin</w:t>
      </w:r>
      <w:proofErr w:type="spellEnd"/>
      <w:r w:rsidRPr="002608BB">
        <w:rPr>
          <w:color w:val="221E1F"/>
        </w:rPr>
        <w:t xml:space="preserve"> cells of the small intestine and that the released serotonin then activates 5-HT</w:t>
      </w:r>
      <w:r w:rsidRPr="002608BB">
        <w:rPr>
          <w:rStyle w:val="A6"/>
          <w:rFonts w:ascii="Arial" w:hAnsi="Arial" w:cs="Arial"/>
          <w:sz w:val="24"/>
          <w:szCs w:val="24"/>
          <w:vertAlign w:val="subscript"/>
        </w:rPr>
        <w:t>3</w:t>
      </w:r>
      <w:r w:rsidRPr="002608BB">
        <w:rPr>
          <w:rStyle w:val="A6"/>
          <w:rFonts w:ascii="Arial" w:hAnsi="Arial" w:cs="Arial"/>
          <w:sz w:val="24"/>
          <w:szCs w:val="24"/>
        </w:rPr>
        <w:t xml:space="preserve"> </w:t>
      </w:r>
      <w:r w:rsidRPr="002608BB">
        <w:rPr>
          <w:color w:val="221E1F"/>
        </w:rPr>
        <w:t>receptors located on vagal afferents to initiate the vomiting reflex.</w:t>
      </w:r>
      <w:r w:rsidRPr="002608BB">
        <w:t xml:space="preserve"> The development of acute emesis is known to depend on 5-Hydroxytryptamine serotonin (5-HT) and the 5-HT</w:t>
      </w:r>
      <w:r w:rsidRPr="002608BB">
        <w:rPr>
          <w:vertAlign w:val="subscript"/>
        </w:rPr>
        <w:t>3</w:t>
      </w:r>
      <w:r w:rsidRPr="002608BB">
        <w:t xml:space="preserve"> receptor has been demonstrated to selectively participate in the emetic response. </w:t>
      </w:r>
    </w:p>
    <w:p w14:paraId="44584B99" w14:textId="77777777" w:rsidR="0013332C" w:rsidRPr="00373B89" w:rsidRDefault="0013332C" w:rsidP="0013332C">
      <w:pPr>
        <w:pStyle w:val="Heading3"/>
      </w:pPr>
      <w:r w:rsidRPr="00373B89">
        <w:t>Clinical trials</w:t>
      </w:r>
    </w:p>
    <w:p w14:paraId="0A5903CD" w14:textId="77777777" w:rsidR="0013332C" w:rsidRPr="002D6C7F" w:rsidRDefault="0013332C" w:rsidP="0013332C">
      <w:pPr>
        <w:rPr>
          <w:rFonts w:eastAsia="Times New Roman"/>
        </w:rPr>
      </w:pPr>
      <w:r w:rsidRPr="002608BB">
        <w:t xml:space="preserve">Oral administration of </w:t>
      </w:r>
      <w:r>
        <w:t>AKYNZEO</w:t>
      </w:r>
      <w:r w:rsidRPr="002608BB">
        <w:t xml:space="preserve"> in combination with dexamethasone has been shown to prevent acute and delayed nausea and vomiting associated with highly and moderately </w:t>
      </w:r>
      <w:proofErr w:type="spellStart"/>
      <w:r w:rsidRPr="002608BB">
        <w:t>emetogenic</w:t>
      </w:r>
      <w:proofErr w:type="spellEnd"/>
      <w:r w:rsidRPr="002608BB">
        <w:t xml:space="preserve"> cancer chemotherapy in two separate pivotal studies.</w:t>
      </w:r>
    </w:p>
    <w:p w14:paraId="13F39370" w14:textId="77777777" w:rsidR="0013332C" w:rsidRPr="0054267B" w:rsidRDefault="0013332C" w:rsidP="0013332C">
      <w:pPr>
        <w:pStyle w:val="Heading4"/>
        <w:rPr>
          <w:rFonts w:eastAsia="Times New Roman"/>
        </w:rPr>
      </w:pPr>
      <w:r w:rsidRPr="0054267B">
        <w:rPr>
          <w:rFonts w:eastAsia="Times New Roman"/>
        </w:rPr>
        <w:lastRenderedPageBreak/>
        <w:t xml:space="preserve">Highly </w:t>
      </w:r>
      <w:proofErr w:type="spellStart"/>
      <w:r w:rsidRPr="0054267B">
        <w:rPr>
          <w:rFonts w:eastAsia="Times New Roman"/>
        </w:rPr>
        <w:t>Emetogenic</w:t>
      </w:r>
      <w:proofErr w:type="spellEnd"/>
      <w:r w:rsidRPr="0054267B">
        <w:rPr>
          <w:rFonts w:eastAsia="Times New Roman"/>
        </w:rPr>
        <w:t xml:space="preserve"> Chemotherapy</w:t>
      </w:r>
      <w:r>
        <w:rPr>
          <w:rFonts w:eastAsia="Times New Roman"/>
        </w:rPr>
        <w:t xml:space="preserve"> (HEC)</w:t>
      </w:r>
      <w:r w:rsidRPr="0054267B">
        <w:rPr>
          <w:rFonts w:eastAsia="Times New Roman"/>
        </w:rPr>
        <w:t xml:space="preserve"> study:</w:t>
      </w:r>
    </w:p>
    <w:p w14:paraId="026BD980" w14:textId="537055AE" w:rsidR="0013332C" w:rsidRPr="002D6C7F" w:rsidRDefault="0013332C" w:rsidP="0013332C">
      <w:r w:rsidRPr="002608BB">
        <w:t>In a multi</w:t>
      </w:r>
      <w:r>
        <w:t>-</w:t>
      </w:r>
      <w:r w:rsidRPr="002608BB">
        <w:t>centre, randomi</w:t>
      </w:r>
      <w:r>
        <w:t>s</w:t>
      </w:r>
      <w:r w:rsidRPr="002608BB">
        <w:t xml:space="preserve">ed, parallel, double-blind, controlled clinical study of 694 patients the efficacy and safety of single doses of oral </w:t>
      </w:r>
      <w:proofErr w:type="spellStart"/>
      <w:r w:rsidRPr="002608BB">
        <w:t>netupitant</w:t>
      </w:r>
      <w:proofErr w:type="spellEnd"/>
      <w:r w:rsidRPr="002608BB">
        <w:t xml:space="preserve"> in combination with oral </w:t>
      </w:r>
      <w:proofErr w:type="spellStart"/>
      <w:r w:rsidRPr="002608BB">
        <w:t>palonosetron</w:t>
      </w:r>
      <w:proofErr w:type="spellEnd"/>
      <w:r w:rsidRPr="002608BB">
        <w:t xml:space="preserve">, were compared with a single oral dose of </w:t>
      </w:r>
      <w:proofErr w:type="spellStart"/>
      <w:r w:rsidRPr="002608BB">
        <w:t>palonosetron</w:t>
      </w:r>
      <w:proofErr w:type="spellEnd"/>
      <w:r w:rsidRPr="002608BB">
        <w:t xml:space="preserve"> in cancer patients receiving a chemotherapy regimen that included cisplatin (med</w:t>
      </w:r>
      <w:r>
        <w:t xml:space="preserve">ian dose = </w:t>
      </w:r>
      <w:r w:rsidRPr="002608BB">
        <w:t>75 mg/m</w:t>
      </w:r>
      <w:r w:rsidRPr="002608BB">
        <w:rPr>
          <w:vertAlign w:val="superscript"/>
        </w:rPr>
        <w:t>2</w:t>
      </w:r>
      <w:r w:rsidRPr="002608BB">
        <w:t>).</w:t>
      </w:r>
      <w:r w:rsidRPr="0043475A">
        <w:t xml:space="preserve"> </w:t>
      </w:r>
      <w:r w:rsidRPr="00623A59">
        <w:t>Lung and respiratory tract, head and neck, and ovarian cancers were the most frequent cancer types; approximately half of the enrolled patients had metastatic disease.</w:t>
      </w:r>
    </w:p>
    <w:p w14:paraId="7E83C49C" w14:textId="77777777" w:rsidR="0013332C" w:rsidRPr="002D6C7F" w:rsidRDefault="0013332C" w:rsidP="0013332C">
      <w:pPr>
        <w:rPr>
          <w:color w:val="000000"/>
        </w:rPr>
      </w:pPr>
      <w:r w:rsidRPr="0043475A">
        <w:t>The primary efficacy analysis included 135 patients who re</w:t>
      </w:r>
      <w:r w:rsidRPr="002608BB">
        <w:t xml:space="preserve">ceived a single oral dose of </w:t>
      </w:r>
      <w:proofErr w:type="spellStart"/>
      <w:r w:rsidRPr="002608BB">
        <w:t>netupitant</w:t>
      </w:r>
      <w:proofErr w:type="spellEnd"/>
      <w:r w:rsidRPr="002608BB">
        <w:t xml:space="preserve"> 300 mg </w:t>
      </w:r>
      <w:r>
        <w:t>plus</w:t>
      </w:r>
      <w:r w:rsidRPr="002608BB">
        <w:t xml:space="preserve"> </w:t>
      </w:r>
      <w:proofErr w:type="spellStart"/>
      <w:r w:rsidRPr="002608BB">
        <w:t>palonosetron</w:t>
      </w:r>
      <w:proofErr w:type="spellEnd"/>
      <w:r w:rsidRPr="002608BB">
        <w:t xml:space="preserve"> </w:t>
      </w:r>
      <w:r>
        <w:t>500 microgram,</w:t>
      </w:r>
      <w:r w:rsidRPr="002608BB">
        <w:t xml:space="preserve"> and 136 patients who received oral </w:t>
      </w:r>
      <w:proofErr w:type="spellStart"/>
      <w:r w:rsidRPr="002608BB">
        <w:t>palonosetron</w:t>
      </w:r>
      <w:proofErr w:type="spellEnd"/>
      <w:r w:rsidRPr="002608BB">
        <w:t xml:space="preserve"> </w:t>
      </w:r>
      <w:r>
        <w:t>500 microgram</w:t>
      </w:r>
      <w:r w:rsidRPr="002608BB">
        <w:t xml:space="preserve"> alone.</w:t>
      </w:r>
    </w:p>
    <w:p w14:paraId="35EB2858" w14:textId="1D239116" w:rsidR="0013332C" w:rsidRDefault="0013332C" w:rsidP="0013332C">
      <w:pPr>
        <w:rPr>
          <w:highlight w:val="yellow"/>
        </w:rPr>
      </w:pPr>
      <w:r w:rsidRPr="002608BB">
        <w:t xml:space="preserve">The treatment regimens for the oral </w:t>
      </w:r>
      <w:proofErr w:type="spellStart"/>
      <w:r>
        <w:t>netupitant</w:t>
      </w:r>
      <w:proofErr w:type="spellEnd"/>
      <w:r>
        <w:t xml:space="preserve"> 300 mg plus </w:t>
      </w:r>
      <w:proofErr w:type="spellStart"/>
      <w:r>
        <w:t>palonosetron</w:t>
      </w:r>
      <w:proofErr w:type="spellEnd"/>
      <w:r>
        <w:t xml:space="preserve"> 500 microgram </w:t>
      </w:r>
      <w:r w:rsidRPr="002608BB">
        <w:t xml:space="preserve">and the </w:t>
      </w:r>
      <w:proofErr w:type="spellStart"/>
      <w:r w:rsidRPr="002608BB">
        <w:t>palonosetron</w:t>
      </w:r>
      <w:proofErr w:type="spellEnd"/>
      <w:r w:rsidRPr="002608BB">
        <w:t xml:space="preserve"> </w:t>
      </w:r>
      <w:r>
        <w:t>500 microgram</w:t>
      </w:r>
      <w:r w:rsidRPr="002608BB">
        <w:t xml:space="preserve"> arms are defined</w:t>
      </w:r>
      <w:r>
        <w:t xml:space="preserve"> in the following table </w:t>
      </w:r>
      <w:r w:rsidRPr="00E71C0E">
        <w:t xml:space="preserve">(Table </w:t>
      </w:r>
      <w:r w:rsidR="00833CEC">
        <w:t>3</w:t>
      </w:r>
      <w:r w:rsidRPr="00E71C0E">
        <w:t>)</w:t>
      </w:r>
      <w:r w:rsidRPr="009E550B">
        <w:t>.</w:t>
      </w:r>
    </w:p>
    <w:p w14:paraId="19777B8F" w14:textId="7881B635" w:rsidR="0013332C" w:rsidRPr="00B86305" w:rsidRDefault="0013332C" w:rsidP="0035369C">
      <w:pPr>
        <w:spacing w:after="0"/>
        <w:rPr>
          <w:b/>
          <w:sz w:val="20"/>
          <w:szCs w:val="20"/>
        </w:rPr>
      </w:pPr>
      <w:r w:rsidRPr="00E71C0E">
        <w:rPr>
          <w:b/>
          <w:sz w:val="20"/>
          <w:szCs w:val="20"/>
        </w:rPr>
        <w:t xml:space="preserve">Table </w:t>
      </w:r>
      <w:r w:rsidR="00833CEC">
        <w:rPr>
          <w:b/>
          <w:sz w:val="20"/>
          <w:szCs w:val="20"/>
        </w:rPr>
        <w:t>3</w:t>
      </w:r>
      <w:r w:rsidR="006F1A9C">
        <w:rPr>
          <w:b/>
          <w:sz w:val="20"/>
          <w:szCs w:val="20"/>
        </w:rPr>
        <w:t xml:space="preserve">: </w:t>
      </w:r>
      <w:r w:rsidR="00924446" w:rsidRPr="00E71C0E">
        <w:rPr>
          <w:sz w:val="20"/>
          <w:szCs w:val="20"/>
        </w:rPr>
        <w:t xml:space="preserve">Treatment regimens for oral </w:t>
      </w:r>
      <w:proofErr w:type="spellStart"/>
      <w:r w:rsidR="00924446" w:rsidRPr="00E71C0E">
        <w:rPr>
          <w:sz w:val="20"/>
          <w:szCs w:val="20"/>
        </w:rPr>
        <w:t>netupitant</w:t>
      </w:r>
      <w:proofErr w:type="spellEnd"/>
      <w:r w:rsidR="00924446" w:rsidRPr="00E71C0E">
        <w:rPr>
          <w:sz w:val="20"/>
          <w:szCs w:val="20"/>
        </w:rPr>
        <w:t xml:space="preserve"> in combination with </w:t>
      </w:r>
      <w:proofErr w:type="spellStart"/>
      <w:r w:rsidR="00924446" w:rsidRPr="00E71C0E">
        <w:rPr>
          <w:sz w:val="20"/>
          <w:szCs w:val="20"/>
        </w:rPr>
        <w:t>palonosetron</w:t>
      </w:r>
      <w:proofErr w:type="spellEnd"/>
      <w:r w:rsidR="00924446" w:rsidRPr="00E71C0E">
        <w:rPr>
          <w:sz w:val="20"/>
          <w:szCs w:val="20"/>
        </w:rPr>
        <w:t xml:space="preserve"> and </w:t>
      </w:r>
      <w:proofErr w:type="spellStart"/>
      <w:r w:rsidR="00924446" w:rsidRPr="00E71C0E">
        <w:rPr>
          <w:sz w:val="20"/>
          <w:szCs w:val="20"/>
        </w:rPr>
        <w:t>palonosetron</w:t>
      </w:r>
      <w:proofErr w:type="spellEnd"/>
      <w:r w:rsidR="00924446" w:rsidRPr="00E71C0E">
        <w:rPr>
          <w:sz w:val="20"/>
          <w:szCs w:val="20"/>
        </w:rPr>
        <w:t xml:space="preserve"> alone</w:t>
      </w:r>
    </w:p>
    <w:tbl>
      <w:tblPr>
        <w:tblpPr w:leftFromText="180" w:rightFromText="180" w:vertAnchor="text" w:horzAnchor="margin" w:tblpXSpec="center" w:tblpY="176"/>
        <w:tblW w:w="8931" w:type="dxa"/>
        <w:jc w:val="center"/>
        <w:tblBorders>
          <w:top w:val="nil"/>
          <w:left w:val="nil"/>
          <w:bottom w:val="nil"/>
          <w:right w:val="nil"/>
        </w:tblBorders>
        <w:tblLayout w:type="fixed"/>
        <w:tblLook w:val="0000" w:firstRow="0" w:lastRow="0" w:firstColumn="0" w:lastColumn="0" w:noHBand="0" w:noVBand="0"/>
      </w:tblPr>
      <w:tblGrid>
        <w:gridCol w:w="2336"/>
        <w:gridCol w:w="3193"/>
        <w:gridCol w:w="3402"/>
      </w:tblGrid>
      <w:tr w:rsidR="0013332C" w:rsidRPr="00F91701" w14:paraId="5F62C51A" w14:textId="77777777" w:rsidTr="00E71C0E">
        <w:trPr>
          <w:trHeight w:val="163"/>
          <w:jc w:val="center"/>
        </w:trPr>
        <w:tc>
          <w:tcPr>
            <w:tcW w:w="2336" w:type="dxa"/>
            <w:tcBorders>
              <w:top w:val="single" w:sz="6" w:space="0" w:color="auto"/>
              <w:left w:val="single" w:sz="4" w:space="0" w:color="000000"/>
              <w:bottom w:val="single" w:sz="4" w:space="0" w:color="auto"/>
              <w:right w:val="single" w:sz="4" w:space="0" w:color="auto"/>
            </w:tcBorders>
            <w:shd w:val="clear" w:color="auto" w:fill="auto"/>
            <w:vAlign w:val="center"/>
          </w:tcPr>
          <w:p w14:paraId="17CBCA49" w14:textId="77777777" w:rsidR="0013332C" w:rsidRPr="00230F2E" w:rsidRDefault="0013332C" w:rsidP="00E71C0E">
            <w:pPr>
              <w:spacing w:after="0"/>
              <w:jc w:val="center"/>
              <w:rPr>
                <w:b/>
                <w:sz w:val="20"/>
                <w:szCs w:val="20"/>
              </w:rPr>
            </w:pPr>
            <w:r w:rsidRPr="00230F2E">
              <w:rPr>
                <w:b/>
                <w:sz w:val="20"/>
                <w:szCs w:val="20"/>
              </w:rPr>
              <w:t>Treatment Regimen</w:t>
            </w:r>
          </w:p>
        </w:tc>
        <w:tc>
          <w:tcPr>
            <w:tcW w:w="3193" w:type="dxa"/>
            <w:tcBorders>
              <w:top w:val="single" w:sz="6" w:space="0" w:color="auto"/>
              <w:left w:val="single" w:sz="4" w:space="0" w:color="auto"/>
              <w:bottom w:val="single" w:sz="4" w:space="0" w:color="auto"/>
              <w:right w:val="single" w:sz="6" w:space="0" w:color="auto"/>
            </w:tcBorders>
            <w:shd w:val="clear" w:color="auto" w:fill="auto"/>
            <w:vAlign w:val="center"/>
          </w:tcPr>
          <w:p w14:paraId="001C01E1" w14:textId="77777777" w:rsidR="0013332C" w:rsidRPr="00230F2E" w:rsidRDefault="0013332C" w:rsidP="00E71C0E">
            <w:pPr>
              <w:spacing w:after="0"/>
              <w:jc w:val="center"/>
              <w:rPr>
                <w:b/>
                <w:sz w:val="20"/>
                <w:szCs w:val="20"/>
              </w:rPr>
            </w:pPr>
            <w:r w:rsidRPr="00230F2E">
              <w:rPr>
                <w:b/>
                <w:sz w:val="20"/>
                <w:szCs w:val="20"/>
              </w:rPr>
              <w:t>Day 1</w:t>
            </w:r>
          </w:p>
        </w:tc>
        <w:tc>
          <w:tcPr>
            <w:tcW w:w="3402" w:type="dxa"/>
            <w:tcBorders>
              <w:top w:val="single" w:sz="6" w:space="0" w:color="auto"/>
              <w:left w:val="single" w:sz="6" w:space="0" w:color="auto"/>
              <w:bottom w:val="single" w:sz="4" w:space="0" w:color="auto"/>
              <w:right w:val="single" w:sz="6" w:space="0" w:color="auto"/>
            </w:tcBorders>
            <w:shd w:val="clear" w:color="auto" w:fill="auto"/>
            <w:vAlign w:val="center"/>
          </w:tcPr>
          <w:p w14:paraId="4D80C06C" w14:textId="77777777" w:rsidR="0013332C" w:rsidRPr="00230F2E" w:rsidRDefault="0013332C" w:rsidP="00E71C0E">
            <w:pPr>
              <w:spacing w:after="0"/>
              <w:jc w:val="center"/>
              <w:rPr>
                <w:b/>
                <w:sz w:val="20"/>
                <w:szCs w:val="20"/>
              </w:rPr>
            </w:pPr>
            <w:r w:rsidRPr="00230F2E">
              <w:rPr>
                <w:b/>
                <w:sz w:val="20"/>
                <w:szCs w:val="20"/>
              </w:rPr>
              <w:t>Days 2 to 4</w:t>
            </w:r>
          </w:p>
        </w:tc>
      </w:tr>
      <w:tr w:rsidR="0013332C" w:rsidRPr="00F91701" w14:paraId="2C1D80F4" w14:textId="77777777" w:rsidTr="00E71C0E">
        <w:trPr>
          <w:trHeight w:val="432"/>
          <w:jc w:val="center"/>
        </w:trPr>
        <w:tc>
          <w:tcPr>
            <w:tcW w:w="2336" w:type="dxa"/>
            <w:tcBorders>
              <w:top w:val="single" w:sz="4" w:space="0" w:color="auto"/>
              <w:left w:val="single" w:sz="4" w:space="0" w:color="000000"/>
              <w:bottom w:val="single" w:sz="4" w:space="0" w:color="000000"/>
              <w:right w:val="single" w:sz="4" w:space="0" w:color="auto"/>
            </w:tcBorders>
            <w:vAlign w:val="center"/>
          </w:tcPr>
          <w:p w14:paraId="6B3064D0" w14:textId="2337F875" w:rsidR="0013332C" w:rsidRPr="001A7530" w:rsidRDefault="0013332C" w:rsidP="00E71C0E">
            <w:pPr>
              <w:spacing w:after="0" w:line="360" w:lineRule="auto"/>
              <w:jc w:val="center"/>
              <w:rPr>
                <w:sz w:val="20"/>
                <w:szCs w:val="20"/>
                <w:lang w:val="fr-CI"/>
              </w:rPr>
            </w:pPr>
            <w:proofErr w:type="spellStart"/>
            <w:r w:rsidRPr="00DF329C">
              <w:rPr>
                <w:sz w:val="20"/>
                <w:szCs w:val="20"/>
                <w:lang w:val="fr-CI"/>
              </w:rPr>
              <w:t>Netupitant</w:t>
            </w:r>
            <w:proofErr w:type="spellEnd"/>
            <w:r w:rsidRPr="00DF329C">
              <w:rPr>
                <w:sz w:val="20"/>
                <w:szCs w:val="20"/>
                <w:lang w:val="fr-CI"/>
              </w:rPr>
              <w:t xml:space="preserve"> 300 mg plus </w:t>
            </w:r>
            <w:proofErr w:type="spellStart"/>
            <w:r w:rsidRPr="00DF329C">
              <w:rPr>
                <w:sz w:val="20"/>
                <w:szCs w:val="20"/>
                <w:lang w:val="fr-CI"/>
              </w:rPr>
              <w:t>palonosetron</w:t>
            </w:r>
            <w:proofErr w:type="spellEnd"/>
            <w:r w:rsidRPr="00DF329C">
              <w:rPr>
                <w:sz w:val="20"/>
                <w:szCs w:val="20"/>
                <w:lang w:val="fr-CI"/>
              </w:rPr>
              <w:t xml:space="preserve"> 500 </w:t>
            </w:r>
            <w:proofErr w:type="spellStart"/>
            <w:r w:rsidR="005B32CA" w:rsidRPr="001A7530">
              <w:rPr>
                <w:sz w:val="20"/>
                <w:szCs w:val="20"/>
                <w:lang w:val="fr-CI"/>
              </w:rPr>
              <w:t>microgram</w:t>
            </w:r>
            <w:r w:rsidR="0029674A">
              <w:rPr>
                <w:sz w:val="20"/>
                <w:szCs w:val="20"/>
                <w:lang w:val="fr-CI"/>
              </w:rPr>
              <w:t>s</w:t>
            </w:r>
            <w:proofErr w:type="spellEnd"/>
          </w:p>
        </w:tc>
        <w:tc>
          <w:tcPr>
            <w:tcW w:w="3193" w:type="dxa"/>
            <w:tcBorders>
              <w:top w:val="single" w:sz="4" w:space="0" w:color="auto"/>
              <w:left w:val="single" w:sz="4" w:space="0" w:color="auto"/>
              <w:bottom w:val="single" w:sz="4" w:space="0" w:color="000000"/>
              <w:right w:val="single" w:sz="6" w:space="0" w:color="auto"/>
            </w:tcBorders>
            <w:vAlign w:val="center"/>
          </w:tcPr>
          <w:p w14:paraId="3A986EC2" w14:textId="77777777" w:rsidR="0013332C" w:rsidRPr="00230F2E" w:rsidRDefault="0013332C" w:rsidP="00E71C0E">
            <w:pPr>
              <w:spacing w:after="0" w:line="360" w:lineRule="auto"/>
              <w:jc w:val="center"/>
              <w:rPr>
                <w:sz w:val="20"/>
                <w:szCs w:val="20"/>
                <w:lang w:val="it-CH"/>
              </w:rPr>
            </w:pPr>
            <w:r w:rsidRPr="00230F2E">
              <w:rPr>
                <w:sz w:val="20"/>
                <w:szCs w:val="20"/>
                <w:lang w:val="it-CH"/>
              </w:rPr>
              <w:t>Netupitant 300 mg PO</w:t>
            </w:r>
          </w:p>
          <w:p w14:paraId="04DDD13C" w14:textId="354354E1" w:rsidR="0013332C" w:rsidRPr="00230F2E" w:rsidRDefault="0013332C" w:rsidP="00E71C0E">
            <w:pPr>
              <w:spacing w:after="0" w:line="360" w:lineRule="auto"/>
              <w:jc w:val="center"/>
              <w:rPr>
                <w:sz w:val="20"/>
                <w:szCs w:val="20"/>
                <w:lang w:val="it-CH"/>
              </w:rPr>
            </w:pPr>
            <w:r w:rsidRPr="00230F2E">
              <w:rPr>
                <w:sz w:val="20"/>
                <w:szCs w:val="20"/>
                <w:lang w:val="it-CH"/>
              </w:rPr>
              <w:t xml:space="preserve">Palonosetron 500 </w:t>
            </w:r>
            <w:r w:rsidR="005B32CA">
              <w:rPr>
                <w:sz w:val="20"/>
                <w:szCs w:val="20"/>
                <w:lang w:val="it-CH"/>
              </w:rPr>
              <w:t>microgram</w:t>
            </w:r>
            <w:r w:rsidR="005B32CA" w:rsidRPr="00230F2E">
              <w:rPr>
                <w:sz w:val="20"/>
                <w:szCs w:val="20"/>
                <w:lang w:val="it-CH"/>
              </w:rPr>
              <w:t xml:space="preserve"> </w:t>
            </w:r>
            <w:r w:rsidRPr="00230F2E">
              <w:rPr>
                <w:sz w:val="20"/>
                <w:szCs w:val="20"/>
                <w:lang w:val="it-CH"/>
              </w:rPr>
              <w:t>PO</w:t>
            </w:r>
          </w:p>
          <w:p w14:paraId="4CB0AC95" w14:textId="77777777" w:rsidR="0013332C" w:rsidRPr="00230F2E" w:rsidRDefault="0013332C" w:rsidP="00E71C0E">
            <w:pPr>
              <w:spacing w:after="0" w:line="360" w:lineRule="auto"/>
              <w:jc w:val="center"/>
              <w:rPr>
                <w:sz w:val="20"/>
                <w:szCs w:val="20"/>
                <w:lang w:val="it-CH"/>
              </w:rPr>
            </w:pPr>
            <w:r w:rsidRPr="00230F2E">
              <w:rPr>
                <w:sz w:val="20"/>
                <w:szCs w:val="20"/>
                <w:lang w:val="it-CH"/>
              </w:rPr>
              <w:t>Dexamethasone* 12 mg PO</w:t>
            </w:r>
          </w:p>
        </w:tc>
        <w:tc>
          <w:tcPr>
            <w:tcW w:w="3402" w:type="dxa"/>
            <w:tcBorders>
              <w:top w:val="single" w:sz="4" w:space="0" w:color="auto"/>
              <w:left w:val="single" w:sz="6" w:space="0" w:color="auto"/>
              <w:bottom w:val="single" w:sz="4" w:space="0" w:color="000000"/>
              <w:right w:val="single" w:sz="6" w:space="0" w:color="auto"/>
            </w:tcBorders>
            <w:vAlign w:val="center"/>
          </w:tcPr>
          <w:p w14:paraId="30D9BC67" w14:textId="77777777" w:rsidR="0013332C" w:rsidRPr="00230F2E" w:rsidRDefault="0013332C" w:rsidP="00E71C0E">
            <w:pPr>
              <w:spacing w:after="0" w:line="360" w:lineRule="auto"/>
              <w:jc w:val="center"/>
              <w:rPr>
                <w:sz w:val="20"/>
                <w:szCs w:val="20"/>
              </w:rPr>
            </w:pPr>
            <w:r w:rsidRPr="00230F2E">
              <w:rPr>
                <w:sz w:val="20"/>
                <w:szCs w:val="20"/>
              </w:rPr>
              <w:t>Dexamethasone* 8 mg PO</w:t>
            </w:r>
          </w:p>
        </w:tc>
      </w:tr>
      <w:tr w:rsidR="0013332C" w:rsidRPr="00F91701" w14:paraId="02693FD6" w14:textId="77777777" w:rsidTr="00E71C0E">
        <w:trPr>
          <w:trHeight w:val="310"/>
          <w:jc w:val="center"/>
        </w:trPr>
        <w:tc>
          <w:tcPr>
            <w:tcW w:w="2336" w:type="dxa"/>
            <w:tcBorders>
              <w:top w:val="single" w:sz="4" w:space="0" w:color="000000"/>
              <w:left w:val="single" w:sz="4" w:space="0" w:color="000000"/>
              <w:bottom w:val="single" w:sz="6" w:space="0" w:color="000000"/>
              <w:right w:val="single" w:sz="4" w:space="0" w:color="auto"/>
            </w:tcBorders>
            <w:vAlign w:val="center"/>
          </w:tcPr>
          <w:p w14:paraId="02E8D9B3" w14:textId="77777777" w:rsidR="0013332C" w:rsidRPr="006970EC" w:rsidRDefault="0013332C" w:rsidP="00E71C0E">
            <w:pPr>
              <w:spacing w:after="0" w:line="360" w:lineRule="auto"/>
              <w:jc w:val="center"/>
              <w:rPr>
                <w:sz w:val="20"/>
                <w:szCs w:val="20"/>
              </w:rPr>
            </w:pPr>
            <w:proofErr w:type="spellStart"/>
            <w:r w:rsidRPr="00DF329C">
              <w:rPr>
                <w:sz w:val="20"/>
                <w:szCs w:val="20"/>
              </w:rPr>
              <w:t>Palonosetron</w:t>
            </w:r>
            <w:proofErr w:type="spellEnd"/>
          </w:p>
        </w:tc>
        <w:tc>
          <w:tcPr>
            <w:tcW w:w="3193" w:type="dxa"/>
            <w:tcBorders>
              <w:top w:val="single" w:sz="4" w:space="0" w:color="000000"/>
              <w:left w:val="single" w:sz="4" w:space="0" w:color="auto"/>
              <w:bottom w:val="single" w:sz="6" w:space="0" w:color="000000"/>
              <w:right w:val="single" w:sz="6" w:space="0" w:color="auto"/>
            </w:tcBorders>
            <w:vAlign w:val="center"/>
          </w:tcPr>
          <w:p w14:paraId="39F45F53" w14:textId="731C144D" w:rsidR="0013332C" w:rsidRPr="00230F2E" w:rsidRDefault="0013332C" w:rsidP="00E71C0E">
            <w:pPr>
              <w:spacing w:after="0" w:line="360" w:lineRule="auto"/>
              <w:jc w:val="center"/>
              <w:rPr>
                <w:sz w:val="20"/>
                <w:szCs w:val="20"/>
                <w:lang w:val="it-CH"/>
              </w:rPr>
            </w:pPr>
            <w:r w:rsidRPr="00230F2E">
              <w:rPr>
                <w:sz w:val="20"/>
                <w:szCs w:val="20"/>
                <w:lang w:val="it-CH"/>
              </w:rPr>
              <w:t xml:space="preserve">Palonosetron 500 </w:t>
            </w:r>
            <w:r w:rsidR="005B32CA">
              <w:rPr>
                <w:sz w:val="20"/>
                <w:szCs w:val="20"/>
                <w:lang w:val="it-CH"/>
              </w:rPr>
              <w:t>microgram</w:t>
            </w:r>
            <w:r w:rsidR="005B32CA" w:rsidRPr="00230F2E">
              <w:rPr>
                <w:sz w:val="20"/>
                <w:szCs w:val="20"/>
                <w:lang w:val="it-CH"/>
              </w:rPr>
              <w:t xml:space="preserve"> </w:t>
            </w:r>
            <w:r w:rsidRPr="00230F2E">
              <w:rPr>
                <w:sz w:val="20"/>
                <w:szCs w:val="20"/>
                <w:lang w:val="it-CH"/>
              </w:rPr>
              <w:t>PO</w:t>
            </w:r>
          </w:p>
          <w:p w14:paraId="6EF9CEF0" w14:textId="77777777" w:rsidR="0013332C" w:rsidRPr="00230F2E" w:rsidRDefault="0013332C" w:rsidP="00E71C0E">
            <w:pPr>
              <w:spacing w:after="0" w:line="360" w:lineRule="auto"/>
              <w:jc w:val="center"/>
              <w:rPr>
                <w:sz w:val="20"/>
                <w:szCs w:val="20"/>
                <w:lang w:val="it-CH"/>
              </w:rPr>
            </w:pPr>
            <w:r w:rsidRPr="00230F2E">
              <w:rPr>
                <w:sz w:val="20"/>
                <w:szCs w:val="20"/>
                <w:lang w:val="it-CH"/>
              </w:rPr>
              <w:t>Dexamethasone 20 mg PO</w:t>
            </w:r>
          </w:p>
        </w:tc>
        <w:tc>
          <w:tcPr>
            <w:tcW w:w="3402" w:type="dxa"/>
            <w:tcBorders>
              <w:top w:val="single" w:sz="4" w:space="0" w:color="000000"/>
              <w:left w:val="single" w:sz="6" w:space="0" w:color="auto"/>
              <w:bottom w:val="single" w:sz="6" w:space="0" w:color="000000"/>
              <w:right w:val="single" w:sz="6" w:space="0" w:color="auto"/>
            </w:tcBorders>
            <w:vAlign w:val="center"/>
          </w:tcPr>
          <w:p w14:paraId="0084D197" w14:textId="77777777" w:rsidR="0013332C" w:rsidRPr="00230F2E" w:rsidRDefault="0013332C" w:rsidP="00E71C0E">
            <w:pPr>
              <w:spacing w:after="0" w:line="360" w:lineRule="auto"/>
              <w:jc w:val="center"/>
              <w:rPr>
                <w:sz w:val="20"/>
                <w:szCs w:val="20"/>
              </w:rPr>
            </w:pPr>
            <w:r w:rsidRPr="00230F2E">
              <w:rPr>
                <w:sz w:val="20"/>
                <w:szCs w:val="20"/>
              </w:rPr>
              <w:t>Dexamethasone 16 mg PO</w:t>
            </w:r>
          </w:p>
        </w:tc>
      </w:tr>
    </w:tbl>
    <w:p w14:paraId="1AC2AE24" w14:textId="77777777" w:rsidR="0013332C" w:rsidRPr="002D6C7F" w:rsidRDefault="0013332C" w:rsidP="0013332C">
      <w:pPr>
        <w:spacing w:before="240"/>
        <w:rPr>
          <w:sz w:val="20"/>
          <w:szCs w:val="20"/>
        </w:rPr>
      </w:pPr>
      <w:r w:rsidRPr="00CA2D75">
        <w:rPr>
          <w:sz w:val="20"/>
          <w:szCs w:val="20"/>
        </w:rPr>
        <w:t xml:space="preserve">*Dexamethasone should be administered 30 minutes prior to chemotherapy treatment on Day 1 and in the morning on Days 2 through 4. The dose of dexamethasone </w:t>
      </w:r>
      <w:r>
        <w:rPr>
          <w:sz w:val="20"/>
          <w:szCs w:val="20"/>
        </w:rPr>
        <w:t>accounts for drug interactions.</w:t>
      </w:r>
    </w:p>
    <w:p w14:paraId="399F5F4C" w14:textId="77777777" w:rsidR="0013332C" w:rsidRPr="002D6C7F" w:rsidRDefault="0013332C" w:rsidP="0013332C">
      <w:pPr>
        <w:rPr>
          <w:color w:val="000000"/>
        </w:rPr>
      </w:pPr>
      <w:r w:rsidRPr="002608BB">
        <w:t xml:space="preserve">Of the 135 patients who received </w:t>
      </w:r>
      <w:proofErr w:type="spellStart"/>
      <w:r>
        <w:rPr>
          <w:color w:val="000000"/>
        </w:rPr>
        <w:t>netupitant</w:t>
      </w:r>
      <w:proofErr w:type="spellEnd"/>
      <w:r>
        <w:rPr>
          <w:color w:val="000000"/>
        </w:rPr>
        <w:t xml:space="preserve"> 300 mg plus </w:t>
      </w:r>
      <w:proofErr w:type="spellStart"/>
      <w:r>
        <w:rPr>
          <w:color w:val="000000"/>
        </w:rPr>
        <w:t>palonosetron</w:t>
      </w:r>
      <w:proofErr w:type="spellEnd"/>
      <w:r>
        <w:rPr>
          <w:color w:val="000000"/>
        </w:rPr>
        <w:t xml:space="preserve"> 500 microgram</w:t>
      </w:r>
      <w:r w:rsidRPr="002608BB">
        <w:t xml:space="preserve">, 43% were women, and all patients were White. The age ranged from 19 to 77 years, with a mean age of 53 years. </w:t>
      </w:r>
      <w:r w:rsidRPr="002608BB">
        <w:rPr>
          <w:color w:val="000000"/>
        </w:rPr>
        <w:t xml:space="preserve">During the study 86% of the 135 treated patients in the </w:t>
      </w:r>
      <w:proofErr w:type="spellStart"/>
      <w:r>
        <w:rPr>
          <w:color w:val="000000"/>
        </w:rPr>
        <w:t>netupitant</w:t>
      </w:r>
      <w:proofErr w:type="spellEnd"/>
      <w:r>
        <w:rPr>
          <w:color w:val="000000"/>
        </w:rPr>
        <w:t xml:space="preserve"> 300 mg plus </w:t>
      </w:r>
      <w:proofErr w:type="spellStart"/>
      <w:r>
        <w:rPr>
          <w:color w:val="000000"/>
        </w:rPr>
        <w:t>palonosetron</w:t>
      </w:r>
      <w:proofErr w:type="spellEnd"/>
      <w:r>
        <w:rPr>
          <w:color w:val="000000"/>
        </w:rPr>
        <w:t xml:space="preserve"> 500 microgram </w:t>
      </w:r>
      <w:r w:rsidRPr="002608BB">
        <w:rPr>
          <w:color w:val="000000"/>
        </w:rPr>
        <w:t>arm received a concomitant chemotherapeutic agent in addition to protocol-mandated cisplatin. The most common chemotherapeutic agents and the proportion of patients exposed were cyclophosphamide (34%), fluorouracil (24%), etoposi</w:t>
      </w:r>
      <w:r>
        <w:rPr>
          <w:color w:val="000000"/>
        </w:rPr>
        <w:t>de (21%) and doxorubicin (16%).</w:t>
      </w:r>
    </w:p>
    <w:p w14:paraId="3217CB5A" w14:textId="77777777" w:rsidR="0013332C" w:rsidRPr="002608BB" w:rsidRDefault="0013332C" w:rsidP="0013332C">
      <w:r w:rsidRPr="002608BB">
        <w:t xml:space="preserve">The primary efficacy endpoint was complete response (CR) rate (defined as no emetic episodes, no rescue medication) within 120 hours (overall phase) after the start of the highly </w:t>
      </w:r>
      <w:proofErr w:type="spellStart"/>
      <w:r w:rsidRPr="002608BB">
        <w:t>emetogenic</w:t>
      </w:r>
      <w:proofErr w:type="spellEnd"/>
      <w:r w:rsidRPr="002608BB">
        <w:t xml:space="preserve"> chemotherapy administration.</w:t>
      </w:r>
    </w:p>
    <w:p w14:paraId="55E10AAB" w14:textId="77777777" w:rsidR="0013332C" w:rsidRPr="002608BB" w:rsidRDefault="0013332C" w:rsidP="0035369C">
      <w:pPr>
        <w:pageBreakBefore/>
      </w:pPr>
      <w:r w:rsidRPr="002608BB">
        <w:lastRenderedPageBreak/>
        <w:t>Major secondary efficacy endpoints included:</w:t>
      </w:r>
    </w:p>
    <w:p w14:paraId="35632D32" w14:textId="1743C2A4" w:rsidR="0013332C" w:rsidRDefault="0013332C" w:rsidP="00E71C0E">
      <w:pPr>
        <w:pStyle w:val="ListParagraph"/>
        <w:numPr>
          <w:ilvl w:val="0"/>
          <w:numId w:val="8"/>
        </w:numPr>
      </w:pPr>
      <w:r w:rsidRPr="002608BB">
        <w:t>CR for the 0-</w:t>
      </w:r>
      <w:r w:rsidR="0029674A" w:rsidRPr="002608BB">
        <w:t>24-hour</w:t>
      </w:r>
      <w:r w:rsidRPr="002608BB">
        <w:t xml:space="preserve"> interval (acute phase) and for the 25</w:t>
      </w:r>
      <w:r w:rsidRPr="002608BB">
        <w:noBreakHyphen/>
        <w:t>120 hour interval (delayed phase);</w:t>
      </w:r>
    </w:p>
    <w:p w14:paraId="38C9A04B" w14:textId="77777777" w:rsidR="0013332C" w:rsidRDefault="0013332C" w:rsidP="00E71C0E">
      <w:pPr>
        <w:pStyle w:val="ListParagraph"/>
        <w:numPr>
          <w:ilvl w:val="0"/>
          <w:numId w:val="8"/>
        </w:numPr>
      </w:pPr>
      <w:r w:rsidRPr="002608BB">
        <w:t>Complete protection (defined as no emesis, no rescue therapy, no significant nausea) for the overall, acute and delayed phases.</w:t>
      </w:r>
    </w:p>
    <w:p w14:paraId="2A1741E0" w14:textId="77777777" w:rsidR="0013332C" w:rsidRDefault="0013332C" w:rsidP="00E71C0E">
      <w:pPr>
        <w:pStyle w:val="ListParagraph"/>
        <w:numPr>
          <w:ilvl w:val="0"/>
          <w:numId w:val="8"/>
        </w:numPr>
      </w:pPr>
      <w:r w:rsidRPr="002608BB">
        <w:t>No emesis for the overall, acute and delayed phases.</w:t>
      </w:r>
    </w:p>
    <w:p w14:paraId="5947060A" w14:textId="77777777" w:rsidR="0013332C" w:rsidRPr="002D6C7F" w:rsidRDefault="0013332C" w:rsidP="00E71C0E">
      <w:pPr>
        <w:pStyle w:val="ListParagraph"/>
        <w:numPr>
          <w:ilvl w:val="0"/>
          <w:numId w:val="8"/>
        </w:numPr>
      </w:pPr>
      <w:r w:rsidRPr="002608BB">
        <w:t>No significant nausea (maximum VAS &lt;25 mm) and no nausea (maximum VAS &lt;5 mm) for the overall, acute and delayed phases.</w:t>
      </w:r>
    </w:p>
    <w:p w14:paraId="14BF9B68" w14:textId="1D8EBA03" w:rsidR="0013332C" w:rsidRPr="002D6C7F" w:rsidRDefault="0013332C" w:rsidP="0013332C">
      <w:r w:rsidRPr="002608BB">
        <w:t>A summary of the key results fro</w:t>
      </w:r>
      <w:r>
        <w:t xml:space="preserve">m this study is shown </w:t>
      </w:r>
      <w:r w:rsidRPr="00230F2E">
        <w:t xml:space="preserve">in </w:t>
      </w:r>
      <w:r w:rsidRPr="00E71C0E">
        <w:t xml:space="preserve">Table </w:t>
      </w:r>
      <w:r w:rsidR="00833CEC">
        <w:t>4</w:t>
      </w:r>
      <w:r w:rsidRPr="00F825C0">
        <w:t>.</w:t>
      </w:r>
    </w:p>
    <w:p w14:paraId="15B99C3B" w14:textId="77777777" w:rsidR="0013332C" w:rsidRPr="00594C18" w:rsidRDefault="0013332C" w:rsidP="0013332C">
      <w:r w:rsidRPr="002608BB">
        <w:t>The proportion of patients with CR in the overall phase was 13.2% (</w:t>
      </w:r>
      <w:r>
        <w:t>95% CI: 4.4 to 21.9%) higher (p-</w:t>
      </w:r>
      <w:r w:rsidRPr="002608BB">
        <w:t xml:space="preserve">value = 0.004) in the </w:t>
      </w:r>
      <w:proofErr w:type="spellStart"/>
      <w:r>
        <w:rPr>
          <w:color w:val="000000"/>
        </w:rPr>
        <w:t>netupitant</w:t>
      </w:r>
      <w:proofErr w:type="spellEnd"/>
      <w:r>
        <w:rPr>
          <w:color w:val="000000"/>
        </w:rPr>
        <w:t xml:space="preserve"> 300 mg plus </w:t>
      </w:r>
      <w:proofErr w:type="spellStart"/>
      <w:r>
        <w:rPr>
          <w:color w:val="000000"/>
        </w:rPr>
        <w:t>palonosetron</w:t>
      </w:r>
      <w:proofErr w:type="spellEnd"/>
      <w:r>
        <w:rPr>
          <w:color w:val="000000"/>
        </w:rPr>
        <w:t xml:space="preserve"> 500 microgram</w:t>
      </w:r>
      <w:r w:rsidRPr="002608BB">
        <w:t xml:space="preserve"> group (89.6%) than in the </w:t>
      </w:r>
      <w:proofErr w:type="spellStart"/>
      <w:r w:rsidRPr="002608BB">
        <w:t>palonosetron</w:t>
      </w:r>
      <w:proofErr w:type="spellEnd"/>
      <w:r w:rsidRPr="002608BB">
        <w:t xml:space="preserve"> group (76.5%). In the acute phase, the proportion of patients with CR was 8.8% higher (p</w:t>
      </w:r>
      <w:r>
        <w:t>-</w:t>
      </w:r>
      <w:r w:rsidRPr="002608BB">
        <w:t xml:space="preserve">value=0.007) in the </w:t>
      </w:r>
      <w:proofErr w:type="spellStart"/>
      <w:r>
        <w:rPr>
          <w:color w:val="000000"/>
        </w:rPr>
        <w:t>netupitant</w:t>
      </w:r>
      <w:proofErr w:type="spellEnd"/>
      <w:r>
        <w:rPr>
          <w:color w:val="000000"/>
        </w:rPr>
        <w:t xml:space="preserve"> 300 mg plus </w:t>
      </w:r>
      <w:proofErr w:type="spellStart"/>
      <w:r>
        <w:rPr>
          <w:color w:val="000000"/>
        </w:rPr>
        <w:t>palonosetron</w:t>
      </w:r>
      <w:proofErr w:type="spellEnd"/>
      <w:r>
        <w:rPr>
          <w:color w:val="000000"/>
        </w:rPr>
        <w:t xml:space="preserve"> 500 microgram</w:t>
      </w:r>
      <w:r w:rsidRPr="002608BB">
        <w:t xml:space="preserve"> group (98.5%) than in the </w:t>
      </w:r>
      <w:proofErr w:type="spellStart"/>
      <w:r w:rsidRPr="002608BB">
        <w:t>palonosetron</w:t>
      </w:r>
      <w:proofErr w:type="spellEnd"/>
      <w:r w:rsidRPr="002608BB">
        <w:t xml:space="preserve"> group (89.7%). In the delayed phase, the proportion of patients with CR was 10.2% higher (p</w:t>
      </w:r>
      <w:r>
        <w:t>-</w:t>
      </w:r>
      <w:r w:rsidRPr="002608BB">
        <w:t xml:space="preserve">value = 0.018) in the </w:t>
      </w:r>
      <w:proofErr w:type="spellStart"/>
      <w:r>
        <w:rPr>
          <w:color w:val="000000"/>
        </w:rPr>
        <w:t>netupitant</w:t>
      </w:r>
      <w:proofErr w:type="spellEnd"/>
      <w:r>
        <w:rPr>
          <w:color w:val="000000"/>
        </w:rPr>
        <w:t xml:space="preserve"> 300 mg plus </w:t>
      </w:r>
      <w:proofErr w:type="spellStart"/>
      <w:r>
        <w:rPr>
          <w:color w:val="000000"/>
        </w:rPr>
        <w:t>palonosetron</w:t>
      </w:r>
      <w:proofErr w:type="spellEnd"/>
      <w:r>
        <w:rPr>
          <w:color w:val="000000"/>
        </w:rPr>
        <w:t xml:space="preserve"> 500 microgram </w:t>
      </w:r>
      <w:r w:rsidRPr="002608BB">
        <w:t xml:space="preserve">group (90.4%) than in the </w:t>
      </w:r>
      <w:proofErr w:type="spellStart"/>
      <w:r w:rsidRPr="002608BB">
        <w:t>palonosetron</w:t>
      </w:r>
      <w:proofErr w:type="spellEnd"/>
      <w:r w:rsidRPr="002608BB">
        <w:t xml:space="preserve"> group (80.1%)</w:t>
      </w:r>
      <w:r>
        <w:t>.</w:t>
      </w:r>
    </w:p>
    <w:p w14:paraId="0CAB46CC" w14:textId="0782D3EB" w:rsidR="0013332C" w:rsidRPr="00256780" w:rsidRDefault="0013332C" w:rsidP="0035369C">
      <w:pPr>
        <w:rPr>
          <w:color w:val="000000"/>
          <w:sz w:val="20"/>
          <w:szCs w:val="20"/>
        </w:rPr>
      </w:pPr>
      <w:r w:rsidRPr="00F825C0">
        <w:rPr>
          <w:b/>
          <w:bCs/>
          <w:color w:val="000000"/>
          <w:sz w:val="20"/>
          <w:szCs w:val="20"/>
        </w:rPr>
        <w:t xml:space="preserve">Table </w:t>
      </w:r>
      <w:r w:rsidR="00833CEC">
        <w:rPr>
          <w:b/>
          <w:bCs/>
          <w:color w:val="000000"/>
          <w:sz w:val="20"/>
          <w:szCs w:val="20"/>
        </w:rPr>
        <w:t>4</w:t>
      </w:r>
      <w:r w:rsidRPr="00256780">
        <w:rPr>
          <w:bCs/>
          <w:color w:val="000000"/>
          <w:sz w:val="20"/>
          <w:szCs w:val="20"/>
        </w:rPr>
        <w:t>: Proportion of Patients Receiving Cisplatin Chemotherapy Responding by Treatment Group and Phase</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689"/>
        <w:gridCol w:w="2427"/>
        <w:gridCol w:w="2402"/>
        <w:gridCol w:w="1426"/>
      </w:tblGrid>
      <w:tr w:rsidR="0032736E" w:rsidRPr="00F91701" w14:paraId="2564D5C0" w14:textId="77777777" w:rsidTr="0035369C">
        <w:trPr>
          <w:trHeight w:val="1122"/>
          <w:tblHeader/>
        </w:trPr>
        <w:tc>
          <w:tcPr>
            <w:tcW w:w="2689" w:type="dxa"/>
            <w:shd w:val="clear" w:color="auto" w:fill="FFFFFF"/>
            <w:tcMar>
              <w:top w:w="13" w:type="dxa"/>
              <w:left w:w="13" w:type="dxa"/>
              <w:bottom w:w="0" w:type="dxa"/>
              <w:right w:w="13" w:type="dxa"/>
            </w:tcMar>
            <w:vAlign w:val="bottom"/>
          </w:tcPr>
          <w:p w14:paraId="21C7BEE7" w14:textId="77777777" w:rsidR="0032736E" w:rsidRPr="00230F2E" w:rsidRDefault="0032736E" w:rsidP="00E71C0E">
            <w:pPr>
              <w:spacing w:after="0" w:line="240" w:lineRule="auto"/>
              <w:rPr>
                <w:sz w:val="20"/>
                <w:szCs w:val="20"/>
              </w:rPr>
            </w:pPr>
          </w:p>
        </w:tc>
        <w:tc>
          <w:tcPr>
            <w:tcW w:w="2427" w:type="dxa"/>
            <w:shd w:val="clear" w:color="auto" w:fill="FFFFFF"/>
            <w:tcMar>
              <w:top w:w="13" w:type="dxa"/>
              <w:left w:w="13" w:type="dxa"/>
              <w:bottom w:w="0" w:type="dxa"/>
              <w:right w:w="13" w:type="dxa"/>
            </w:tcMar>
            <w:vAlign w:val="center"/>
          </w:tcPr>
          <w:p w14:paraId="7292DE35" w14:textId="5852C3BE" w:rsidR="0032736E" w:rsidRPr="00DF329C" w:rsidRDefault="0032736E" w:rsidP="00E71C0E">
            <w:pPr>
              <w:spacing w:after="0" w:line="240" w:lineRule="auto"/>
              <w:jc w:val="center"/>
              <w:rPr>
                <w:b/>
                <w:sz w:val="20"/>
                <w:szCs w:val="20"/>
                <w:lang w:val="fr-CI"/>
              </w:rPr>
            </w:pPr>
            <w:proofErr w:type="spellStart"/>
            <w:r w:rsidRPr="00E71C0E">
              <w:rPr>
                <w:b/>
                <w:color w:val="000000"/>
                <w:sz w:val="20"/>
                <w:szCs w:val="20"/>
                <w:lang w:val="fr-CI"/>
              </w:rPr>
              <w:t>Netupitant</w:t>
            </w:r>
            <w:proofErr w:type="spellEnd"/>
            <w:r w:rsidRPr="00E71C0E">
              <w:rPr>
                <w:b/>
                <w:color w:val="000000"/>
                <w:sz w:val="20"/>
                <w:szCs w:val="20"/>
                <w:lang w:val="fr-CI"/>
              </w:rPr>
              <w:t xml:space="preserve"> 300 mg </w:t>
            </w:r>
            <w:proofErr w:type="spellStart"/>
            <w:r w:rsidRPr="00DF329C">
              <w:rPr>
                <w:b/>
                <w:color w:val="000000"/>
                <w:sz w:val="20"/>
                <w:szCs w:val="20"/>
                <w:lang w:val="fr-CI"/>
              </w:rPr>
              <w:t>P</w:t>
            </w:r>
            <w:r w:rsidRPr="00E71C0E">
              <w:rPr>
                <w:b/>
                <w:color w:val="000000"/>
                <w:sz w:val="20"/>
                <w:szCs w:val="20"/>
                <w:lang w:val="fr-CI"/>
              </w:rPr>
              <w:t>alonosetron</w:t>
            </w:r>
            <w:proofErr w:type="spellEnd"/>
            <w:r w:rsidRPr="00E71C0E">
              <w:rPr>
                <w:b/>
                <w:color w:val="000000"/>
                <w:sz w:val="20"/>
                <w:szCs w:val="20"/>
                <w:lang w:val="fr-CI"/>
              </w:rPr>
              <w:t xml:space="preserve"> 500 µg</w:t>
            </w:r>
            <w:r w:rsidR="0035369C">
              <w:rPr>
                <w:b/>
                <w:color w:val="000000"/>
                <w:sz w:val="20"/>
                <w:szCs w:val="20"/>
                <w:lang w:val="fr-CI"/>
              </w:rPr>
              <w:t xml:space="preserve"> </w:t>
            </w:r>
          </w:p>
          <w:p w14:paraId="06F35FA4" w14:textId="31E0E546" w:rsidR="0032736E" w:rsidRPr="00E71C0E" w:rsidRDefault="0032736E" w:rsidP="0035369C">
            <w:pPr>
              <w:spacing w:after="0" w:line="240" w:lineRule="auto"/>
              <w:jc w:val="center"/>
              <w:rPr>
                <w:b/>
                <w:sz w:val="20"/>
                <w:szCs w:val="20"/>
                <w:lang w:val="fr-CI"/>
              </w:rPr>
            </w:pPr>
            <w:r w:rsidRPr="00E71C0E">
              <w:rPr>
                <w:b/>
                <w:bCs/>
                <w:sz w:val="20"/>
                <w:szCs w:val="20"/>
              </w:rPr>
              <w:t>n =135</w:t>
            </w:r>
            <w:r w:rsidR="0035369C">
              <w:rPr>
                <w:b/>
                <w:bCs/>
                <w:sz w:val="20"/>
                <w:szCs w:val="20"/>
              </w:rPr>
              <w:t xml:space="preserve"> </w:t>
            </w:r>
            <w:r w:rsidRPr="00E71C0E">
              <w:rPr>
                <w:b/>
                <w:bCs/>
                <w:sz w:val="20"/>
                <w:szCs w:val="20"/>
              </w:rPr>
              <w:t>(%)</w:t>
            </w:r>
          </w:p>
        </w:tc>
        <w:tc>
          <w:tcPr>
            <w:tcW w:w="2402" w:type="dxa"/>
            <w:shd w:val="clear" w:color="auto" w:fill="FFFFFF"/>
            <w:tcMar>
              <w:top w:w="13" w:type="dxa"/>
              <w:left w:w="13" w:type="dxa"/>
              <w:bottom w:w="0" w:type="dxa"/>
              <w:right w:w="13" w:type="dxa"/>
            </w:tcMar>
            <w:vAlign w:val="center"/>
          </w:tcPr>
          <w:p w14:paraId="17674763" w14:textId="0B2FA300" w:rsidR="0032736E" w:rsidRPr="00DF329C" w:rsidRDefault="0032736E" w:rsidP="00E71C0E">
            <w:pPr>
              <w:spacing w:after="0" w:line="240" w:lineRule="auto"/>
              <w:jc w:val="center"/>
              <w:rPr>
                <w:b/>
                <w:sz w:val="20"/>
                <w:szCs w:val="20"/>
              </w:rPr>
            </w:pPr>
            <w:r w:rsidRPr="00E71C0E">
              <w:rPr>
                <w:b/>
                <w:bCs/>
                <w:sz w:val="20"/>
                <w:szCs w:val="20"/>
              </w:rPr>
              <w:t xml:space="preserve">Palonosetron500 µg </w:t>
            </w:r>
          </w:p>
          <w:p w14:paraId="02063C27" w14:textId="7C97F0F1" w:rsidR="0032736E" w:rsidRPr="00E71C0E" w:rsidRDefault="0032736E" w:rsidP="0035369C">
            <w:pPr>
              <w:spacing w:after="0" w:line="240" w:lineRule="auto"/>
              <w:jc w:val="center"/>
              <w:rPr>
                <w:b/>
                <w:sz w:val="20"/>
                <w:szCs w:val="20"/>
              </w:rPr>
            </w:pPr>
            <w:r w:rsidRPr="00E71C0E">
              <w:rPr>
                <w:b/>
                <w:bCs/>
                <w:sz w:val="20"/>
                <w:szCs w:val="20"/>
              </w:rPr>
              <w:t>n =136</w:t>
            </w:r>
            <w:r w:rsidR="0035369C">
              <w:rPr>
                <w:b/>
                <w:bCs/>
                <w:sz w:val="20"/>
                <w:szCs w:val="20"/>
              </w:rPr>
              <w:t xml:space="preserve"> </w:t>
            </w:r>
            <w:r w:rsidRPr="00E71C0E">
              <w:rPr>
                <w:b/>
                <w:bCs/>
                <w:sz w:val="20"/>
                <w:szCs w:val="20"/>
              </w:rPr>
              <w:t>(%)</w:t>
            </w:r>
          </w:p>
        </w:tc>
        <w:tc>
          <w:tcPr>
            <w:tcW w:w="1426" w:type="dxa"/>
            <w:shd w:val="clear" w:color="auto" w:fill="FFFFFF"/>
            <w:tcMar>
              <w:top w:w="13" w:type="dxa"/>
              <w:left w:w="13" w:type="dxa"/>
              <w:bottom w:w="0" w:type="dxa"/>
              <w:right w:w="13" w:type="dxa"/>
            </w:tcMar>
            <w:vAlign w:val="center"/>
          </w:tcPr>
          <w:p w14:paraId="443E4EE1" w14:textId="6C4FB17F" w:rsidR="0032736E" w:rsidRPr="00E71C0E" w:rsidRDefault="0032736E" w:rsidP="0035369C">
            <w:pPr>
              <w:spacing w:after="0" w:line="240" w:lineRule="auto"/>
              <w:jc w:val="center"/>
              <w:rPr>
                <w:b/>
                <w:sz w:val="20"/>
                <w:szCs w:val="20"/>
              </w:rPr>
            </w:pPr>
            <w:r w:rsidRPr="00E71C0E">
              <w:rPr>
                <w:b/>
                <w:sz w:val="20"/>
                <w:szCs w:val="20"/>
              </w:rPr>
              <w:t>p-value</w:t>
            </w:r>
          </w:p>
        </w:tc>
      </w:tr>
      <w:tr w:rsidR="0032736E" w:rsidRPr="00F91701" w14:paraId="51ECF031" w14:textId="77777777" w:rsidTr="00FA3E07">
        <w:trPr>
          <w:trHeight w:val="349"/>
        </w:trPr>
        <w:tc>
          <w:tcPr>
            <w:tcW w:w="8944" w:type="dxa"/>
            <w:gridSpan w:val="4"/>
            <w:shd w:val="clear" w:color="auto" w:fill="FFFFFF"/>
            <w:tcMar>
              <w:top w:w="13" w:type="dxa"/>
              <w:left w:w="13" w:type="dxa"/>
              <w:bottom w:w="0" w:type="dxa"/>
              <w:right w:w="13" w:type="dxa"/>
            </w:tcMar>
            <w:vAlign w:val="center"/>
          </w:tcPr>
          <w:p w14:paraId="4D625F40" w14:textId="6D505FC8" w:rsidR="0032736E" w:rsidRPr="00230F2E" w:rsidRDefault="0032736E" w:rsidP="000448DD">
            <w:pPr>
              <w:spacing w:line="240" w:lineRule="auto"/>
              <w:rPr>
                <w:sz w:val="20"/>
                <w:szCs w:val="20"/>
              </w:rPr>
            </w:pPr>
            <w:r w:rsidRPr="00E71C0E">
              <w:rPr>
                <w:b/>
                <w:bCs/>
                <w:sz w:val="20"/>
                <w:szCs w:val="20"/>
              </w:rPr>
              <w:t>PRIMARY ENDPOINT</w:t>
            </w:r>
          </w:p>
        </w:tc>
      </w:tr>
      <w:tr w:rsidR="0032736E" w:rsidRPr="00F91701" w14:paraId="42D73B2A" w14:textId="77777777" w:rsidTr="00FA3E07">
        <w:trPr>
          <w:trHeight w:val="349"/>
        </w:trPr>
        <w:tc>
          <w:tcPr>
            <w:tcW w:w="8944" w:type="dxa"/>
            <w:gridSpan w:val="4"/>
            <w:shd w:val="clear" w:color="auto" w:fill="FFFFFF"/>
            <w:tcMar>
              <w:top w:w="13" w:type="dxa"/>
              <w:left w:w="13" w:type="dxa"/>
              <w:bottom w:w="0" w:type="dxa"/>
              <w:right w:w="13" w:type="dxa"/>
            </w:tcMar>
            <w:vAlign w:val="center"/>
          </w:tcPr>
          <w:p w14:paraId="36B1174A" w14:textId="6440F516" w:rsidR="0032736E" w:rsidRPr="00230F2E" w:rsidRDefault="0032736E" w:rsidP="000448DD">
            <w:pPr>
              <w:spacing w:line="240" w:lineRule="auto"/>
              <w:rPr>
                <w:sz w:val="20"/>
                <w:szCs w:val="20"/>
              </w:rPr>
            </w:pPr>
            <w:r w:rsidRPr="00E71C0E">
              <w:rPr>
                <w:b/>
                <w:bCs/>
                <w:sz w:val="20"/>
                <w:szCs w:val="20"/>
              </w:rPr>
              <w:t>COMPLETE RESPONSE</w:t>
            </w:r>
          </w:p>
        </w:tc>
      </w:tr>
      <w:tr w:rsidR="0013332C" w:rsidRPr="00F91701" w14:paraId="4ABF28F3" w14:textId="77777777" w:rsidTr="0035369C">
        <w:trPr>
          <w:trHeight w:val="349"/>
        </w:trPr>
        <w:tc>
          <w:tcPr>
            <w:tcW w:w="2689" w:type="dxa"/>
            <w:shd w:val="clear" w:color="auto" w:fill="FFFFFF"/>
            <w:tcMar>
              <w:top w:w="13" w:type="dxa"/>
              <w:left w:w="13" w:type="dxa"/>
              <w:bottom w:w="0" w:type="dxa"/>
              <w:right w:w="13" w:type="dxa"/>
            </w:tcMar>
            <w:vAlign w:val="center"/>
          </w:tcPr>
          <w:p w14:paraId="56058675" w14:textId="77777777" w:rsidR="0013332C" w:rsidRPr="00230F2E" w:rsidRDefault="0013332C" w:rsidP="000448DD">
            <w:pPr>
              <w:spacing w:line="240" w:lineRule="auto"/>
              <w:rPr>
                <w:sz w:val="20"/>
                <w:szCs w:val="20"/>
              </w:rPr>
            </w:pPr>
            <w:r w:rsidRPr="00230F2E">
              <w:rPr>
                <w:bCs/>
                <w:sz w:val="20"/>
                <w:szCs w:val="20"/>
              </w:rPr>
              <w:t xml:space="preserve">  Overall Phase</w:t>
            </w:r>
            <w:r w:rsidRPr="00230F2E">
              <w:rPr>
                <w:bCs/>
                <w:sz w:val="20"/>
                <w:szCs w:val="20"/>
                <w:vertAlign w:val="superscript"/>
              </w:rPr>
              <w:t>§</w:t>
            </w:r>
          </w:p>
        </w:tc>
        <w:tc>
          <w:tcPr>
            <w:tcW w:w="2427" w:type="dxa"/>
            <w:shd w:val="clear" w:color="auto" w:fill="FFFFFF"/>
            <w:tcMar>
              <w:top w:w="13" w:type="dxa"/>
              <w:left w:w="13" w:type="dxa"/>
              <w:bottom w:w="0" w:type="dxa"/>
              <w:right w:w="13" w:type="dxa"/>
            </w:tcMar>
            <w:vAlign w:val="center"/>
          </w:tcPr>
          <w:p w14:paraId="2D042C4B" w14:textId="77777777" w:rsidR="0013332C" w:rsidRPr="00230F2E" w:rsidRDefault="0013332C" w:rsidP="00E71C0E">
            <w:pPr>
              <w:spacing w:line="240" w:lineRule="auto"/>
              <w:jc w:val="center"/>
              <w:rPr>
                <w:sz w:val="20"/>
                <w:szCs w:val="20"/>
              </w:rPr>
            </w:pPr>
            <w:r w:rsidRPr="00230F2E">
              <w:rPr>
                <w:bCs/>
                <w:sz w:val="20"/>
                <w:szCs w:val="20"/>
              </w:rPr>
              <w:t>89.6</w:t>
            </w:r>
          </w:p>
        </w:tc>
        <w:tc>
          <w:tcPr>
            <w:tcW w:w="2402" w:type="dxa"/>
            <w:shd w:val="clear" w:color="auto" w:fill="FFFFFF"/>
            <w:tcMar>
              <w:top w:w="13" w:type="dxa"/>
              <w:left w:w="13" w:type="dxa"/>
              <w:bottom w:w="0" w:type="dxa"/>
              <w:right w:w="13" w:type="dxa"/>
            </w:tcMar>
            <w:vAlign w:val="center"/>
          </w:tcPr>
          <w:p w14:paraId="14240168" w14:textId="77777777" w:rsidR="0013332C" w:rsidRPr="00230F2E" w:rsidRDefault="0013332C" w:rsidP="00E71C0E">
            <w:pPr>
              <w:spacing w:line="240" w:lineRule="auto"/>
              <w:jc w:val="center"/>
              <w:rPr>
                <w:sz w:val="20"/>
                <w:szCs w:val="20"/>
              </w:rPr>
            </w:pPr>
            <w:r w:rsidRPr="00230F2E">
              <w:rPr>
                <w:bCs/>
                <w:sz w:val="20"/>
                <w:szCs w:val="20"/>
              </w:rPr>
              <w:t>76.5</w:t>
            </w:r>
          </w:p>
        </w:tc>
        <w:tc>
          <w:tcPr>
            <w:tcW w:w="1426" w:type="dxa"/>
            <w:shd w:val="clear" w:color="auto" w:fill="FFFFFF"/>
            <w:tcMar>
              <w:top w:w="13" w:type="dxa"/>
              <w:left w:w="13" w:type="dxa"/>
              <w:bottom w:w="0" w:type="dxa"/>
              <w:right w:w="13" w:type="dxa"/>
            </w:tcMar>
            <w:vAlign w:val="center"/>
          </w:tcPr>
          <w:p w14:paraId="4456A32F" w14:textId="77777777" w:rsidR="0013332C" w:rsidRPr="00230F2E" w:rsidRDefault="0013332C" w:rsidP="00E71C0E">
            <w:pPr>
              <w:spacing w:line="240" w:lineRule="auto"/>
              <w:jc w:val="center"/>
              <w:rPr>
                <w:sz w:val="20"/>
                <w:szCs w:val="20"/>
              </w:rPr>
            </w:pPr>
            <w:r w:rsidRPr="00230F2E">
              <w:rPr>
                <w:bCs/>
                <w:sz w:val="20"/>
                <w:szCs w:val="20"/>
              </w:rPr>
              <w:t>0.004</w:t>
            </w:r>
          </w:p>
        </w:tc>
      </w:tr>
      <w:tr w:rsidR="001402D8" w:rsidRPr="00F91701" w14:paraId="015BDE1B" w14:textId="77777777" w:rsidTr="004C0D58">
        <w:trPr>
          <w:trHeight w:val="385"/>
        </w:trPr>
        <w:tc>
          <w:tcPr>
            <w:tcW w:w="8944" w:type="dxa"/>
            <w:gridSpan w:val="4"/>
            <w:shd w:val="clear" w:color="auto" w:fill="FFFFFF"/>
            <w:tcMar>
              <w:top w:w="13" w:type="dxa"/>
              <w:left w:w="13" w:type="dxa"/>
              <w:bottom w:w="0" w:type="dxa"/>
              <w:right w:w="13" w:type="dxa"/>
            </w:tcMar>
            <w:vAlign w:val="center"/>
          </w:tcPr>
          <w:p w14:paraId="6E27A117" w14:textId="0FE75EAC" w:rsidR="001402D8" w:rsidRPr="00230F2E" w:rsidRDefault="001402D8" w:rsidP="001402D8">
            <w:pPr>
              <w:spacing w:line="240" w:lineRule="auto"/>
              <w:rPr>
                <w:sz w:val="20"/>
                <w:szCs w:val="20"/>
              </w:rPr>
            </w:pPr>
            <w:r w:rsidRPr="00E71C0E">
              <w:rPr>
                <w:b/>
                <w:bCs/>
                <w:sz w:val="20"/>
                <w:szCs w:val="20"/>
              </w:rPr>
              <w:t>MAJOR SECONDARY ENDPOINTS</w:t>
            </w:r>
          </w:p>
        </w:tc>
      </w:tr>
      <w:tr w:rsidR="001402D8" w:rsidRPr="00F91701" w14:paraId="55E192F1" w14:textId="77777777" w:rsidTr="00077BB2">
        <w:trPr>
          <w:trHeight w:val="349"/>
        </w:trPr>
        <w:tc>
          <w:tcPr>
            <w:tcW w:w="8944" w:type="dxa"/>
            <w:gridSpan w:val="4"/>
            <w:shd w:val="clear" w:color="auto" w:fill="FFFFFF"/>
            <w:tcMar>
              <w:top w:w="13" w:type="dxa"/>
              <w:left w:w="13" w:type="dxa"/>
              <w:bottom w:w="0" w:type="dxa"/>
              <w:right w:w="13" w:type="dxa"/>
            </w:tcMar>
            <w:vAlign w:val="center"/>
          </w:tcPr>
          <w:p w14:paraId="5B11D33C" w14:textId="40A4BBEE" w:rsidR="001402D8" w:rsidRPr="00230F2E" w:rsidRDefault="001402D8" w:rsidP="001402D8">
            <w:pPr>
              <w:spacing w:line="240" w:lineRule="auto"/>
              <w:rPr>
                <w:sz w:val="20"/>
                <w:szCs w:val="20"/>
              </w:rPr>
            </w:pPr>
            <w:r w:rsidRPr="00E71C0E">
              <w:rPr>
                <w:b/>
                <w:bCs/>
                <w:sz w:val="20"/>
                <w:szCs w:val="20"/>
              </w:rPr>
              <w:t>COMPLETE RESPONSE</w:t>
            </w:r>
          </w:p>
        </w:tc>
      </w:tr>
      <w:tr w:rsidR="0013332C" w:rsidRPr="00F91701" w14:paraId="1228B98E" w14:textId="77777777" w:rsidTr="0035369C">
        <w:trPr>
          <w:trHeight w:val="349"/>
        </w:trPr>
        <w:tc>
          <w:tcPr>
            <w:tcW w:w="2689" w:type="dxa"/>
            <w:shd w:val="clear" w:color="auto" w:fill="FFFFFF"/>
            <w:tcMar>
              <w:top w:w="13" w:type="dxa"/>
              <w:left w:w="13" w:type="dxa"/>
              <w:bottom w:w="0" w:type="dxa"/>
              <w:right w:w="13" w:type="dxa"/>
            </w:tcMar>
            <w:vAlign w:val="center"/>
          </w:tcPr>
          <w:p w14:paraId="49CF01D7" w14:textId="77777777" w:rsidR="0013332C" w:rsidRPr="00230F2E" w:rsidRDefault="0013332C" w:rsidP="000448DD">
            <w:pPr>
              <w:spacing w:line="240" w:lineRule="auto"/>
              <w:rPr>
                <w:sz w:val="20"/>
                <w:szCs w:val="20"/>
              </w:rPr>
            </w:pPr>
            <w:r w:rsidRPr="00230F2E">
              <w:rPr>
                <w:bCs/>
                <w:sz w:val="20"/>
                <w:szCs w:val="20"/>
              </w:rPr>
              <w:t xml:space="preserve">  Acute Phase</w:t>
            </w:r>
            <w:r w:rsidRPr="00230F2E">
              <w:rPr>
                <w:bCs/>
                <w:sz w:val="20"/>
                <w:szCs w:val="20"/>
                <w:vertAlign w:val="superscript"/>
              </w:rPr>
              <w:t>‡</w:t>
            </w:r>
          </w:p>
        </w:tc>
        <w:tc>
          <w:tcPr>
            <w:tcW w:w="2427" w:type="dxa"/>
            <w:shd w:val="clear" w:color="auto" w:fill="FFFFFF"/>
            <w:tcMar>
              <w:top w:w="13" w:type="dxa"/>
              <w:left w:w="13" w:type="dxa"/>
              <w:bottom w:w="0" w:type="dxa"/>
              <w:right w:w="13" w:type="dxa"/>
            </w:tcMar>
            <w:vAlign w:val="center"/>
          </w:tcPr>
          <w:p w14:paraId="25866A3A" w14:textId="77777777" w:rsidR="0013332C" w:rsidRPr="00230F2E" w:rsidRDefault="0013332C" w:rsidP="00E71C0E">
            <w:pPr>
              <w:spacing w:line="240" w:lineRule="auto"/>
              <w:jc w:val="center"/>
              <w:rPr>
                <w:sz w:val="20"/>
                <w:szCs w:val="20"/>
              </w:rPr>
            </w:pPr>
            <w:r w:rsidRPr="00230F2E">
              <w:rPr>
                <w:bCs/>
                <w:sz w:val="20"/>
                <w:szCs w:val="20"/>
              </w:rPr>
              <w:t>98.5</w:t>
            </w:r>
          </w:p>
        </w:tc>
        <w:tc>
          <w:tcPr>
            <w:tcW w:w="2402" w:type="dxa"/>
            <w:shd w:val="clear" w:color="auto" w:fill="FFFFFF"/>
            <w:tcMar>
              <w:top w:w="13" w:type="dxa"/>
              <w:left w:w="13" w:type="dxa"/>
              <w:bottom w:w="0" w:type="dxa"/>
              <w:right w:w="13" w:type="dxa"/>
            </w:tcMar>
            <w:vAlign w:val="center"/>
          </w:tcPr>
          <w:p w14:paraId="30A5F3BC" w14:textId="77777777" w:rsidR="0013332C" w:rsidRPr="00230F2E" w:rsidRDefault="0013332C" w:rsidP="00E71C0E">
            <w:pPr>
              <w:spacing w:line="240" w:lineRule="auto"/>
              <w:jc w:val="center"/>
              <w:rPr>
                <w:sz w:val="20"/>
                <w:szCs w:val="20"/>
              </w:rPr>
            </w:pPr>
            <w:r w:rsidRPr="00230F2E">
              <w:rPr>
                <w:bCs/>
                <w:sz w:val="20"/>
                <w:szCs w:val="20"/>
              </w:rPr>
              <w:t>89.7</w:t>
            </w:r>
          </w:p>
        </w:tc>
        <w:tc>
          <w:tcPr>
            <w:tcW w:w="1426" w:type="dxa"/>
            <w:shd w:val="clear" w:color="auto" w:fill="FFFFFF"/>
            <w:tcMar>
              <w:top w:w="13" w:type="dxa"/>
              <w:left w:w="13" w:type="dxa"/>
              <w:bottom w:w="0" w:type="dxa"/>
              <w:right w:w="13" w:type="dxa"/>
            </w:tcMar>
            <w:vAlign w:val="center"/>
          </w:tcPr>
          <w:p w14:paraId="698443C5" w14:textId="77777777" w:rsidR="0013332C" w:rsidRPr="00230F2E" w:rsidRDefault="0013332C" w:rsidP="00E71C0E">
            <w:pPr>
              <w:spacing w:line="240" w:lineRule="auto"/>
              <w:jc w:val="center"/>
              <w:rPr>
                <w:sz w:val="20"/>
                <w:szCs w:val="20"/>
              </w:rPr>
            </w:pPr>
            <w:r w:rsidRPr="00230F2E">
              <w:rPr>
                <w:bCs/>
                <w:sz w:val="20"/>
                <w:szCs w:val="20"/>
              </w:rPr>
              <w:t>0.007</w:t>
            </w:r>
          </w:p>
        </w:tc>
      </w:tr>
      <w:tr w:rsidR="0013332C" w:rsidRPr="00F91701" w14:paraId="56782D5B" w14:textId="77777777" w:rsidTr="0035369C">
        <w:trPr>
          <w:trHeight w:val="349"/>
        </w:trPr>
        <w:tc>
          <w:tcPr>
            <w:tcW w:w="2689" w:type="dxa"/>
            <w:shd w:val="clear" w:color="auto" w:fill="FFFFFF"/>
            <w:tcMar>
              <w:top w:w="13" w:type="dxa"/>
              <w:left w:w="13" w:type="dxa"/>
              <w:bottom w:w="0" w:type="dxa"/>
              <w:right w:w="13" w:type="dxa"/>
            </w:tcMar>
            <w:vAlign w:val="center"/>
          </w:tcPr>
          <w:p w14:paraId="3F634006" w14:textId="77777777" w:rsidR="0013332C" w:rsidRPr="00230F2E" w:rsidRDefault="0013332C" w:rsidP="000448DD">
            <w:pPr>
              <w:spacing w:line="240" w:lineRule="auto"/>
              <w:rPr>
                <w:sz w:val="20"/>
                <w:szCs w:val="20"/>
              </w:rPr>
            </w:pPr>
            <w:r w:rsidRPr="00230F2E">
              <w:rPr>
                <w:bCs/>
                <w:sz w:val="20"/>
                <w:szCs w:val="20"/>
              </w:rPr>
              <w:t xml:space="preserve">  Delayed Phase</w:t>
            </w:r>
            <w:r w:rsidRPr="00230F2E">
              <w:rPr>
                <w:bCs/>
                <w:sz w:val="20"/>
                <w:szCs w:val="20"/>
                <w:vertAlign w:val="superscript"/>
              </w:rPr>
              <w:t>†</w:t>
            </w:r>
          </w:p>
        </w:tc>
        <w:tc>
          <w:tcPr>
            <w:tcW w:w="2427" w:type="dxa"/>
            <w:shd w:val="clear" w:color="auto" w:fill="FFFFFF"/>
            <w:tcMar>
              <w:top w:w="13" w:type="dxa"/>
              <w:left w:w="13" w:type="dxa"/>
              <w:bottom w:w="0" w:type="dxa"/>
              <w:right w:w="13" w:type="dxa"/>
            </w:tcMar>
            <w:vAlign w:val="center"/>
          </w:tcPr>
          <w:p w14:paraId="5D9BEBF0" w14:textId="77777777" w:rsidR="0013332C" w:rsidRPr="00230F2E" w:rsidRDefault="0013332C" w:rsidP="00E71C0E">
            <w:pPr>
              <w:spacing w:line="240" w:lineRule="auto"/>
              <w:jc w:val="center"/>
              <w:rPr>
                <w:sz w:val="20"/>
                <w:szCs w:val="20"/>
              </w:rPr>
            </w:pPr>
            <w:r w:rsidRPr="00230F2E">
              <w:rPr>
                <w:bCs/>
                <w:sz w:val="20"/>
                <w:szCs w:val="20"/>
              </w:rPr>
              <w:t>90.4</w:t>
            </w:r>
          </w:p>
        </w:tc>
        <w:tc>
          <w:tcPr>
            <w:tcW w:w="2402" w:type="dxa"/>
            <w:shd w:val="clear" w:color="auto" w:fill="FFFFFF"/>
            <w:tcMar>
              <w:top w:w="13" w:type="dxa"/>
              <w:left w:w="13" w:type="dxa"/>
              <w:bottom w:w="0" w:type="dxa"/>
              <w:right w:w="13" w:type="dxa"/>
            </w:tcMar>
            <w:vAlign w:val="center"/>
          </w:tcPr>
          <w:p w14:paraId="41B73426" w14:textId="77777777" w:rsidR="0013332C" w:rsidRPr="00230F2E" w:rsidRDefault="0013332C" w:rsidP="00E71C0E">
            <w:pPr>
              <w:spacing w:line="240" w:lineRule="auto"/>
              <w:jc w:val="center"/>
              <w:rPr>
                <w:sz w:val="20"/>
                <w:szCs w:val="20"/>
              </w:rPr>
            </w:pPr>
            <w:r w:rsidRPr="00230F2E">
              <w:rPr>
                <w:bCs/>
                <w:sz w:val="20"/>
                <w:szCs w:val="20"/>
              </w:rPr>
              <w:t>80.1</w:t>
            </w:r>
          </w:p>
        </w:tc>
        <w:tc>
          <w:tcPr>
            <w:tcW w:w="1426" w:type="dxa"/>
            <w:shd w:val="clear" w:color="auto" w:fill="FFFFFF"/>
            <w:tcMar>
              <w:top w:w="13" w:type="dxa"/>
              <w:left w:w="13" w:type="dxa"/>
              <w:bottom w:w="0" w:type="dxa"/>
              <w:right w:w="13" w:type="dxa"/>
            </w:tcMar>
            <w:vAlign w:val="center"/>
          </w:tcPr>
          <w:p w14:paraId="2C58671A" w14:textId="77777777" w:rsidR="0013332C" w:rsidRPr="00230F2E" w:rsidRDefault="0013332C" w:rsidP="00E71C0E">
            <w:pPr>
              <w:spacing w:line="240" w:lineRule="auto"/>
              <w:jc w:val="center"/>
              <w:rPr>
                <w:sz w:val="20"/>
                <w:szCs w:val="20"/>
              </w:rPr>
            </w:pPr>
            <w:r w:rsidRPr="00230F2E">
              <w:rPr>
                <w:bCs/>
                <w:sz w:val="20"/>
                <w:szCs w:val="20"/>
              </w:rPr>
              <w:t>0.018</w:t>
            </w:r>
          </w:p>
        </w:tc>
      </w:tr>
      <w:tr w:rsidR="001402D8" w:rsidRPr="00F91701" w14:paraId="08A76DC1" w14:textId="77777777" w:rsidTr="00D32CB2">
        <w:trPr>
          <w:trHeight w:val="349"/>
        </w:trPr>
        <w:tc>
          <w:tcPr>
            <w:tcW w:w="8944" w:type="dxa"/>
            <w:gridSpan w:val="4"/>
            <w:shd w:val="clear" w:color="auto" w:fill="FFFFFF"/>
            <w:tcMar>
              <w:top w:w="13" w:type="dxa"/>
              <w:left w:w="13" w:type="dxa"/>
              <w:bottom w:w="0" w:type="dxa"/>
              <w:right w:w="13" w:type="dxa"/>
            </w:tcMar>
            <w:vAlign w:val="center"/>
          </w:tcPr>
          <w:p w14:paraId="66D4B16C" w14:textId="538176D8" w:rsidR="001402D8" w:rsidRPr="00230F2E" w:rsidRDefault="001402D8" w:rsidP="001402D8">
            <w:pPr>
              <w:spacing w:line="240" w:lineRule="auto"/>
              <w:rPr>
                <w:sz w:val="20"/>
                <w:szCs w:val="20"/>
              </w:rPr>
            </w:pPr>
            <w:r w:rsidRPr="00E71C0E">
              <w:rPr>
                <w:b/>
                <w:bCs/>
                <w:sz w:val="20"/>
                <w:szCs w:val="20"/>
              </w:rPr>
              <w:t>COMPLETE PROTECTION</w:t>
            </w:r>
          </w:p>
        </w:tc>
      </w:tr>
      <w:tr w:rsidR="0013332C" w:rsidRPr="00F91701" w14:paraId="75A12F07" w14:textId="77777777" w:rsidTr="0035369C">
        <w:trPr>
          <w:trHeight w:val="349"/>
        </w:trPr>
        <w:tc>
          <w:tcPr>
            <w:tcW w:w="2689" w:type="dxa"/>
            <w:shd w:val="clear" w:color="auto" w:fill="FFFFFF"/>
            <w:tcMar>
              <w:top w:w="13" w:type="dxa"/>
              <w:left w:w="13" w:type="dxa"/>
              <w:bottom w:w="0" w:type="dxa"/>
              <w:right w:w="13" w:type="dxa"/>
            </w:tcMar>
            <w:vAlign w:val="center"/>
          </w:tcPr>
          <w:p w14:paraId="1A2A3FB6" w14:textId="77777777" w:rsidR="0013332C" w:rsidRPr="00230F2E" w:rsidRDefault="0013332C" w:rsidP="000448DD">
            <w:pPr>
              <w:spacing w:line="240" w:lineRule="auto"/>
              <w:rPr>
                <w:sz w:val="20"/>
                <w:szCs w:val="20"/>
              </w:rPr>
            </w:pPr>
            <w:r w:rsidRPr="00230F2E">
              <w:rPr>
                <w:bCs/>
                <w:sz w:val="20"/>
                <w:szCs w:val="20"/>
              </w:rPr>
              <w:t xml:space="preserve">  Acute Phase</w:t>
            </w:r>
          </w:p>
        </w:tc>
        <w:tc>
          <w:tcPr>
            <w:tcW w:w="2427" w:type="dxa"/>
            <w:shd w:val="clear" w:color="auto" w:fill="FFFFFF"/>
            <w:tcMar>
              <w:top w:w="13" w:type="dxa"/>
              <w:left w:w="13" w:type="dxa"/>
              <w:bottom w:w="0" w:type="dxa"/>
              <w:right w:w="13" w:type="dxa"/>
            </w:tcMar>
            <w:vAlign w:val="center"/>
          </w:tcPr>
          <w:p w14:paraId="61DADE3D" w14:textId="77777777" w:rsidR="0013332C" w:rsidRPr="00230F2E" w:rsidRDefault="0013332C" w:rsidP="00E71C0E">
            <w:pPr>
              <w:spacing w:line="240" w:lineRule="auto"/>
              <w:jc w:val="center"/>
              <w:rPr>
                <w:sz w:val="20"/>
                <w:szCs w:val="20"/>
              </w:rPr>
            </w:pPr>
            <w:r w:rsidRPr="00230F2E">
              <w:rPr>
                <w:bCs/>
                <w:sz w:val="20"/>
                <w:szCs w:val="20"/>
              </w:rPr>
              <w:t>97.0</w:t>
            </w:r>
          </w:p>
        </w:tc>
        <w:tc>
          <w:tcPr>
            <w:tcW w:w="2402" w:type="dxa"/>
            <w:shd w:val="clear" w:color="auto" w:fill="FFFFFF"/>
            <w:tcMar>
              <w:top w:w="13" w:type="dxa"/>
              <w:left w:w="13" w:type="dxa"/>
              <w:bottom w:w="0" w:type="dxa"/>
              <w:right w:w="13" w:type="dxa"/>
            </w:tcMar>
            <w:vAlign w:val="center"/>
          </w:tcPr>
          <w:p w14:paraId="248CC20C" w14:textId="77777777" w:rsidR="0013332C" w:rsidRPr="00230F2E" w:rsidRDefault="0013332C" w:rsidP="00E71C0E">
            <w:pPr>
              <w:spacing w:line="240" w:lineRule="auto"/>
              <w:jc w:val="center"/>
              <w:rPr>
                <w:sz w:val="20"/>
                <w:szCs w:val="20"/>
              </w:rPr>
            </w:pPr>
            <w:r w:rsidRPr="00230F2E">
              <w:rPr>
                <w:bCs/>
                <w:sz w:val="20"/>
                <w:szCs w:val="20"/>
              </w:rPr>
              <w:t>87.5</w:t>
            </w:r>
          </w:p>
        </w:tc>
        <w:tc>
          <w:tcPr>
            <w:tcW w:w="1426" w:type="dxa"/>
            <w:shd w:val="clear" w:color="auto" w:fill="FFFFFF"/>
            <w:tcMar>
              <w:top w:w="13" w:type="dxa"/>
              <w:left w:w="13" w:type="dxa"/>
              <w:bottom w:w="0" w:type="dxa"/>
              <w:right w:w="13" w:type="dxa"/>
            </w:tcMar>
            <w:vAlign w:val="center"/>
          </w:tcPr>
          <w:p w14:paraId="46FD11D0" w14:textId="77777777" w:rsidR="0013332C" w:rsidRPr="00230F2E" w:rsidRDefault="0013332C" w:rsidP="00E71C0E">
            <w:pPr>
              <w:spacing w:line="240" w:lineRule="auto"/>
              <w:jc w:val="center"/>
              <w:rPr>
                <w:sz w:val="20"/>
                <w:szCs w:val="20"/>
              </w:rPr>
            </w:pPr>
            <w:r w:rsidRPr="00230F2E">
              <w:rPr>
                <w:bCs/>
                <w:sz w:val="20"/>
                <w:szCs w:val="20"/>
              </w:rPr>
              <w:t>0.006</w:t>
            </w:r>
          </w:p>
        </w:tc>
      </w:tr>
      <w:tr w:rsidR="0013332C" w:rsidRPr="00F91701" w14:paraId="56EFCFC6" w14:textId="77777777" w:rsidTr="0035369C">
        <w:trPr>
          <w:trHeight w:val="349"/>
        </w:trPr>
        <w:tc>
          <w:tcPr>
            <w:tcW w:w="2689" w:type="dxa"/>
            <w:shd w:val="clear" w:color="auto" w:fill="FFFFFF"/>
            <w:tcMar>
              <w:top w:w="13" w:type="dxa"/>
              <w:left w:w="13" w:type="dxa"/>
              <w:bottom w:w="0" w:type="dxa"/>
              <w:right w:w="13" w:type="dxa"/>
            </w:tcMar>
            <w:vAlign w:val="center"/>
          </w:tcPr>
          <w:p w14:paraId="439610E9" w14:textId="77777777" w:rsidR="0013332C" w:rsidRPr="00230F2E" w:rsidRDefault="0013332C" w:rsidP="000448DD">
            <w:pPr>
              <w:spacing w:line="240" w:lineRule="auto"/>
              <w:rPr>
                <w:sz w:val="20"/>
                <w:szCs w:val="20"/>
              </w:rPr>
            </w:pPr>
            <w:r w:rsidRPr="00230F2E">
              <w:rPr>
                <w:bCs/>
                <w:sz w:val="20"/>
                <w:szCs w:val="20"/>
              </w:rPr>
              <w:t xml:space="preserve">  Delayed Phase</w:t>
            </w:r>
          </w:p>
        </w:tc>
        <w:tc>
          <w:tcPr>
            <w:tcW w:w="2427" w:type="dxa"/>
            <w:shd w:val="clear" w:color="auto" w:fill="FFFFFF"/>
            <w:tcMar>
              <w:top w:w="13" w:type="dxa"/>
              <w:left w:w="13" w:type="dxa"/>
              <w:bottom w:w="0" w:type="dxa"/>
              <w:right w:w="13" w:type="dxa"/>
            </w:tcMar>
            <w:vAlign w:val="center"/>
          </w:tcPr>
          <w:p w14:paraId="6F138DBD" w14:textId="77777777" w:rsidR="0013332C" w:rsidRPr="00230F2E" w:rsidRDefault="0013332C" w:rsidP="00E71C0E">
            <w:pPr>
              <w:spacing w:line="240" w:lineRule="auto"/>
              <w:jc w:val="center"/>
              <w:rPr>
                <w:sz w:val="20"/>
                <w:szCs w:val="20"/>
              </w:rPr>
            </w:pPr>
            <w:r w:rsidRPr="00230F2E">
              <w:rPr>
                <w:bCs/>
                <w:sz w:val="20"/>
                <w:szCs w:val="20"/>
              </w:rPr>
              <w:t>84.4</w:t>
            </w:r>
          </w:p>
        </w:tc>
        <w:tc>
          <w:tcPr>
            <w:tcW w:w="2402" w:type="dxa"/>
            <w:shd w:val="clear" w:color="auto" w:fill="FFFFFF"/>
            <w:tcMar>
              <w:top w:w="13" w:type="dxa"/>
              <w:left w:w="13" w:type="dxa"/>
              <w:bottom w:w="0" w:type="dxa"/>
              <w:right w:w="13" w:type="dxa"/>
            </w:tcMar>
            <w:vAlign w:val="center"/>
          </w:tcPr>
          <w:p w14:paraId="5C31765B" w14:textId="77777777" w:rsidR="0013332C" w:rsidRPr="00230F2E" w:rsidRDefault="0013332C" w:rsidP="00E71C0E">
            <w:pPr>
              <w:spacing w:line="240" w:lineRule="auto"/>
              <w:jc w:val="center"/>
              <w:rPr>
                <w:sz w:val="20"/>
                <w:szCs w:val="20"/>
              </w:rPr>
            </w:pPr>
            <w:r w:rsidRPr="00230F2E">
              <w:rPr>
                <w:bCs/>
                <w:sz w:val="20"/>
                <w:szCs w:val="20"/>
              </w:rPr>
              <w:t>73.5</w:t>
            </w:r>
          </w:p>
        </w:tc>
        <w:tc>
          <w:tcPr>
            <w:tcW w:w="1426" w:type="dxa"/>
            <w:shd w:val="clear" w:color="auto" w:fill="FFFFFF"/>
            <w:tcMar>
              <w:top w:w="13" w:type="dxa"/>
              <w:left w:w="13" w:type="dxa"/>
              <w:bottom w:w="0" w:type="dxa"/>
              <w:right w:w="13" w:type="dxa"/>
            </w:tcMar>
            <w:vAlign w:val="center"/>
          </w:tcPr>
          <w:p w14:paraId="70967412" w14:textId="77777777" w:rsidR="0013332C" w:rsidRPr="00230F2E" w:rsidRDefault="0013332C" w:rsidP="00E71C0E">
            <w:pPr>
              <w:spacing w:line="240" w:lineRule="auto"/>
              <w:jc w:val="center"/>
              <w:rPr>
                <w:sz w:val="20"/>
                <w:szCs w:val="20"/>
              </w:rPr>
            </w:pPr>
            <w:r w:rsidRPr="00230F2E">
              <w:rPr>
                <w:bCs/>
                <w:sz w:val="20"/>
                <w:szCs w:val="20"/>
              </w:rPr>
              <w:t>0.027</w:t>
            </w:r>
          </w:p>
        </w:tc>
      </w:tr>
      <w:tr w:rsidR="0013332C" w:rsidRPr="00F91701" w14:paraId="6E58AB57" w14:textId="77777777" w:rsidTr="0035369C">
        <w:trPr>
          <w:trHeight w:val="349"/>
        </w:trPr>
        <w:tc>
          <w:tcPr>
            <w:tcW w:w="2689" w:type="dxa"/>
            <w:shd w:val="clear" w:color="auto" w:fill="FFFFFF"/>
            <w:tcMar>
              <w:top w:w="13" w:type="dxa"/>
              <w:left w:w="13" w:type="dxa"/>
              <w:bottom w:w="0" w:type="dxa"/>
              <w:right w:w="13" w:type="dxa"/>
            </w:tcMar>
            <w:vAlign w:val="center"/>
          </w:tcPr>
          <w:p w14:paraId="4902B4DF" w14:textId="77777777" w:rsidR="0013332C" w:rsidRPr="00230F2E" w:rsidRDefault="0013332C" w:rsidP="000448DD">
            <w:pPr>
              <w:spacing w:line="240" w:lineRule="auto"/>
              <w:rPr>
                <w:sz w:val="20"/>
                <w:szCs w:val="20"/>
              </w:rPr>
            </w:pPr>
            <w:r w:rsidRPr="00230F2E">
              <w:rPr>
                <w:bCs/>
                <w:sz w:val="20"/>
                <w:szCs w:val="20"/>
              </w:rPr>
              <w:t xml:space="preserve">  Overall Phase</w:t>
            </w:r>
          </w:p>
        </w:tc>
        <w:tc>
          <w:tcPr>
            <w:tcW w:w="2427" w:type="dxa"/>
            <w:shd w:val="clear" w:color="auto" w:fill="FFFFFF"/>
            <w:tcMar>
              <w:top w:w="13" w:type="dxa"/>
              <w:left w:w="13" w:type="dxa"/>
              <w:bottom w:w="0" w:type="dxa"/>
              <w:right w:w="13" w:type="dxa"/>
            </w:tcMar>
            <w:vAlign w:val="center"/>
          </w:tcPr>
          <w:p w14:paraId="07E1B5F8" w14:textId="77777777" w:rsidR="0013332C" w:rsidRPr="00230F2E" w:rsidRDefault="0013332C" w:rsidP="00E71C0E">
            <w:pPr>
              <w:spacing w:line="240" w:lineRule="auto"/>
              <w:jc w:val="center"/>
              <w:rPr>
                <w:sz w:val="20"/>
                <w:szCs w:val="20"/>
              </w:rPr>
            </w:pPr>
            <w:r w:rsidRPr="00230F2E">
              <w:rPr>
                <w:bCs/>
                <w:sz w:val="20"/>
                <w:szCs w:val="20"/>
              </w:rPr>
              <w:t>83.0</w:t>
            </w:r>
          </w:p>
        </w:tc>
        <w:tc>
          <w:tcPr>
            <w:tcW w:w="2402" w:type="dxa"/>
            <w:shd w:val="clear" w:color="auto" w:fill="FFFFFF"/>
            <w:tcMar>
              <w:top w:w="13" w:type="dxa"/>
              <w:left w:w="13" w:type="dxa"/>
              <w:bottom w:w="0" w:type="dxa"/>
              <w:right w:w="13" w:type="dxa"/>
            </w:tcMar>
            <w:vAlign w:val="center"/>
          </w:tcPr>
          <w:p w14:paraId="790E8E3B" w14:textId="77777777" w:rsidR="0013332C" w:rsidRPr="00230F2E" w:rsidRDefault="0013332C" w:rsidP="00E71C0E">
            <w:pPr>
              <w:spacing w:line="240" w:lineRule="auto"/>
              <w:jc w:val="center"/>
              <w:rPr>
                <w:sz w:val="20"/>
                <w:szCs w:val="20"/>
              </w:rPr>
            </w:pPr>
            <w:r w:rsidRPr="00230F2E">
              <w:rPr>
                <w:bCs/>
                <w:sz w:val="20"/>
                <w:szCs w:val="20"/>
              </w:rPr>
              <w:t>69.9</w:t>
            </w:r>
          </w:p>
        </w:tc>
        <w:tc>
          <w:tcPr>
            <w:tcW w:w="1426" w:type="dxa"/>
            <w:shd w:val="clear" w:color="auto" w:fill="FFFFFF"/>
            <w:tcMar>
              <w:top w:w="13" w:type="dxa"/>
              <w:left w:w="13" w:type="dxa"/>
              <w:bottom w:w="0" w:type="dxa"/>
              <w:right w:w="13" w:type="dxa"/>
            </w:tcMar>
            <w:vAlign w:val="center"/>
          </w:tcPr>
          <w:p w14:paraId="3E7374E8" w14:textId="77777777" w:rsidR="0013332C" w:rsidRPr="00230F2E" w:rsidRDefault="0013332C" w:rsidP="00E71C0E">
            <w:pPr>
              <w:spacing w:line="240" w:lineRule="auto"/>
              <w:jc w:val="center"/>
              <w:rPr>
                <w:sz w:val="20"/>
                <w:szCs w:val="20"/>
              </w:rPr>
            </w:pPr>
            <w:r w:rsidRPr="00230F2E">
              <w:rPr>
                <w:bCs/>
                <w:sz w:val="20"/>
                <w:szCs w:val="20"/>
              </w:rPr>
              <w:t>0.010</w:t>
            </w:r>
          </w:p>
        </w:tc>
      </w:tr>
      <w:tr w:rsidR="001402D8" w:rsidRPr="00F91701" w14:paraId="11575C4C" w14:textId="77777777" w:rsidTr="00EF62D2">
        <w:trPr>
          <w:trHeight w:val="349"/>
        </w:trPr>
        <w:tc>
          <w:tcPr>
            <w:tcW w:w="8944" w:type="dxa"/>
            <w:gridSpan w:val="4"/>
            <w:shd w:val="clear" w:color="auto" w:fill="FFFFFF"/>
            <w:tcMar>
              <w:top w:w="13" w:type="dxa"/>
              <w:left w:w="13" w:type="dxa"/>
              <w:bottom w:w="0" w:type="dxa"/>
              <w:right w:w="13" w:type="dxa"/>
            </w:tcMar>
            <w:vAlign w:val="center"/>
          </w:tcPr>
          <w:p w14:paraId="25D256C4" w14:textId="51ED830A" w:rsidR="001402D8" w:rsidRPr="00230F2E" w:rsidRDefault="001402D8" w:rsidP="001402D8">
            <w:pPr>
              <w:spacing w:line="240" w:lineRule="auto"/>
              <w:rPr>
                <w:sz w:val="20"/>
                <w:szCs w:val="20"/>
              </w:rPr>
            </w:pPr>
            <w:r w:rsidRPr="00E71C0E">
              <w:rPr>
                <w:b/>
                <w:bCs/>
                <w:sz w:val="20"/>
                <w:szCs w:val="20"/>
              </w:rPr>
              <w:t>NO EMESIS</w:t>
            </w:r>
          </w:p>
        </w:tc>
      </w:tr>
      <w:tr w:rsidR="0013332C" w:rsidRPr="00F91701" w14:paraId="649FF096" w14:textId="77777777" w:rsidTr="0035369C">
        <w:trPr>
          <w:trHeight w:val="349"/>
        </w:trPr>
        <w:tc>
          <w:tcPr>
            <w:tcW w:w="2689" w:type="dxa"/>
            <w:shd w:val="clear" w:color="auto" w:fill="FFFFFF"/>
            <w:tcMar>
              <w:top w:w="13" w:type="dxa"/>
              <w:left w:w="13" w:type="dxa"/>
              <w:bottom w:w="0" w:type="dxa"/>
              <w:right w:w="13" w:type="dxa"/>
            </w:tcMar>
            <w:vAlign w:val="center"/>
          </w:tcPr>
          <w:p w14:paraId="5F7C80D6" w14:textId="77777777" w:rsidR="0013332C" w:rsidRPr="00230F2E" w:rsidRDefault="0013332C" w:rsidP="000448DD">
            <w:pPr>
              <w:spacing w:line="240" w:lineRule="auto"/>
              <w:rPr>
                <w:sz w:val="20"/>
                <w:szCs w:val="20"/>
              </w:rPr>
            </w:pPr>
            <w:r w:rsidRPr="00230F2E">
              <w:rPr>
                <w:bCs/>
                <w:sz w:val="20"/>
                <w:szCs w:val="20"/>
              </w:rPr>
              <w:lastRenderedPageBreak/>
              <w:t xml:space="preserve">  Acute Phase</w:t>
            </w:r>
          </w:p>
        </w:tc>
        <w:tc>
          <w:tcPr>
            <w:tcW w:w="2427" w:type="dxa"/>
            <w:shd w:val="clear" w:color="auto" w:fill="FFFFFF"/>
            <w:tcMar>
              <w:top w:w="13" w:type="dxa"/>
              <w:left w:w="13" w:type="dxa"/>
              <w:bottom w:w="0" w:type="dxa"/>
              <w:right w:w="13" w:type="dxa"/>
            </w:tcMar>
            <w:vAlign w:val="center"/>
          </w:tcPr>
          <w:p w14:paraId="4667788B" w14:textId="77777777" w:rsidR="0013332C" w:rsidRPr="00230F2E" w:rsidRDefault="0013332C" w:rsidP="00E71C0E">
            <w:pPr>
              <w:spacing w:line="240" w:lineRule="auto"/>
              <w:jc w:val="center"/>
              <w:rPr>
                <w:sz w:val="20"/>
                <w:szCs w:val="20"/>
              </w:rPr>
            </w:pPr>
            <w:r w:rsidRPr="00230F2E">
              <w:rPr>
                <w:bCs/>
                <w:sz w:val="20"/>
                <w:szCs w:val="20"/>
              </w:rPr>
              <w:t>98.5</w:t>
            </w:r>
          </w:p>
        </w:tc>
        <w:tc>
          <w:tcPr>
            <w:tcW w:w="2402" w:type="dxa"/>
            <w:shd w:val="clear" w:color="auto" w:fill="FFFFFF"/>
            <w:tcMar>
              <w:top w:w="13" w:type="dxa"/>
              <w:left w:w="13" w:type="dxa"/>
              <w:bottom w:w="0" w:type="dxa"/>
              <w:right w:w="13" w:type="dxa"/>
            </w:tcMar>
            <w:vAlign w:val="center"/>
          </w:tcPr>
          <w:p w14:paraId="0A884E6E" w14:textId="77777777" w:rsidR="0013332C" w:rsidRPr="00230F2E" w:rsidRDefault="0013332C" w:rsidP="00E71C0E">
            <w:pPr>
              <w:spacing w:line="240" w:lineRule="auto"/>
              <w:jc w:val="center"/>
              <w:rPr>
                <w:sz w:val="20"/>
                <w:szCs w:val="20"/>
              </w:rPr>
            </w:pPr>
            <w:r w:rsidRPr="00230F2E">
              <w:rPr>
                <w:bCs/>
                <w:sz w:val="20"/>
                <w:szCs w:val="20"/>
              </w:rPr>
              <w:t>89.7</w:t>
            </w:r>
          </w:p>
        </w:tc>
        <w:tc>
          <w:tcPr>
            <w:tcW w:w="1426" w:type="dxa"/>
            <w:shd w:val="clear" w:color="auto" w:fill="FFFFFF"/>
            <w:tcMar>
              <w:top w:w="13" w:type="dxa"/>
              <w:left w:w="13" w:type="dxa"/>
              <w:bottom w:w="0" w:type="dxa"/>
              <w:right w:w="13" w:type="dxa"/>
            </w:tcMar>
            <w:vAlign w:val="center"/>
          </w:tcPr>
          <w:p w14:paraId="2A3594F3" w14:textId="77777777" w:rsidR="0013332C" w:rsidRPr="00230F2E" w:rsidRDefault="0013332C" w:rsidP="00E71C0E">
            <w:pPr>
              <w:spacing w:line="240" w:lineRule="auto"/>
              <w:jc w:val="center"/>
              <w:rPr>
                <w:sz w:val="20"/>
                <w:szCs w:val="20"/>
              </w:rPr>
            </w:pPr>
            <w:r w:rsidRPr="00230F2E">
              <w:rPr>
                <w:bCs/>
                <w:sz w:val="20"/>
                <w:szCs w:val="20"/>
              </w:rPr>
              <w:t>0.007</w:t>
            </w:r>
          </w:p>
        </w:tc>
      </w:tr>
      <w:tr w:rsidR="0013332C" w:rsidRPr="00F91701" w14:paraId="606F7027" w14:textId="77777777" w:rsidTr="0035369C">
        <w:trPr>
          <w:trHeight w:val="349"/>
        </w:trPr>
        <w:tc>
          <w:tcPr>
            <w:tcW w:w="2689" w:type="dxa"/>
            <w:shd w:val="clear" w:color="auto" w:fill="FFFFFF"/>
            <w:tcMar>
              <w:top w:w="13" w:type="dxa"/>
              <w:left w:w="13" w:type="dxa"/>
              <w:bottom w:w="0" w:type="dxa"/>
              <w:right w:w="13" w:type="dxa"/>
            </w:tcMar>
            <w:vAlign w:val="center"/>
          </w:tcPr>
          <w:p w14:paraId="66DDA12D" w14:textId="77777777" w:rsidR="0013332C" w:rsidRPr="00230F2E" w:rsidRDefault="0013332C" w:rsidP="000448DD">
            <w:pPr>
              <w:spacing w:line="240" w:lineRule="auto"/>
              <w:rPr>
                <w:sz w:val="20"/>
                <w:szCs w:val="20"/>
              </w:rPr>
            </w:pPr>
            <w:r w:rsidRPr="00230F2E">
              <w:rPr>
                <w:bCs/>
                <w:sz w:val="20"/>
                <w:szCs w:val="20"/>
              </w:rPr>
              <w:t xml:space="preserve">  Delayed Phase</w:t>
            </w:r>
          </w:p>
        </w:tc>
        <w:tc>
          <w:tcPr>
            <w:tcW w:w="2427" w:type="dxa"/>
            <w:shd w:val="clear" w:color="auto" w:fill="FFFFFF"/>
            <w:tcMar>
              <w:top w:w="13" w:type="dxa"/>
              <w:left w:w="13" w:type="dxa"/>
              <w:bottom w:w="0" w:type="dxa"/>
              <w:right w:w="13" w:type="dxa"/>
            </w:tcMar>
            <w:vAlign w:val="center"/>
          </w:tcPr>
          <w:p w14:paraId="5F7D30C2" w14:textId="77777777" w:rsidR="0013332C" w:rsidRPr="00230F2E" w:rsidRDefault="0013332C" w:rsidP="00E71C0E">
            <w:pPr>
              <w:spacing w:line="240" w:lineRule="auto"/>
              <w:jc w:val="center"/>
              <w:rPr>
                <w:sz w:val="20"/>
                <w:szCs w:val="20"/>
              </w:rPr>
            </w:pPr>
            <w:r w:rsidRPr="00230F2E">
              <w:rPr>
                <w:bCs/>
                <w:sz w:val="20"/>
                <w:szCs w:val="20"/>
              </w:rPr>
              <w:t>91.9</w:t>
            </w:r>
          </w:p>
        </w:tc>
        <w:tc>
          <w:tcPr>
            <w:tcW w:w="2402" w:type="dxa"/>
            <w:shd w:val="clear" w:color="auto" w:fill="FFFFFF"/>
            <w:tcMar>
              <w:top w:w="13" w:type="dxa"/>
              <w:left w:w="13" w:type="dxa"/>
              <w:bottom w:w="0" w:type="dxa"/>
              <w:right w:w="13" w:type="dxa"/>
            </w:tcMar>
            <w:vAlign w:val="center"/>
          </w:tcPr>
          <w:p w14:paraId="60C47484" w14:textId="77777777" w:rsidR="0013332C" w:rsidRPr="00230F2E" w:rsidRDefault="0013332C" w:rsidP="00E71C0E">
            <w:pPr>
              <w:spacing w:line="240" w:lineRule="auto"/>
              <w:jc w:val="center"/>
              <w:rPr>
                <w:sz w:val="20"/>
                <w:szCs w:val="20"/>
              </w:rPr>
            </w:pPr>
            <w:r w:rsidRPr="00230F2E">
              <w:rPr>
                <w:bCs/>
                <w:sz w:val="20"/>
                <w:szCs w:val="20"/>
              </w:rPr>
              <w:t>80.1</w:t>
            </w:r>
          </w:p>
        </w:tc>
        <w:tc>
          <w:tcPr>
            <w:tcW w:w="1426" w:type="dxa"/>
            <w:shd w:val="clear" w:color="auto" w:fill="FFFFFF"/>
            <w:tcMar>
              <w:top w:w="13" w:type="dxa"/>
              <w:left w:w="13" w:type="dxa"/>
              <w:bottom w:w="0" w:type="dxa"/>
              <w:right w:w="13" w:type="dxa"/>
            </w:tcMar>
            <w:vAlign w:val="center"/>
          </w:tcPr>
          <w:p w14:paraId="6BB6D753" w14:textId="77777777" w:rsidR="0013332C" w:rsidRPr="00230F2E" w:rsidRDefault="0013332C" w:rsidP="00E71C0E">
            <w:pPr>
              <w:spacing w:line="240" w:lineRule="auto"/>
              <w:jc w:val="center"/>
              <w:rPr>
                <w:sz w:val="20"/>
                <w:szCs w:val="20"/>
              </w:rPr>
            </w:pPr>
            <w:r w:rsidRPr="00230F2E">
              <w:rPr>
                <w:bCs/>
                <w:sz w:val="20"/>
                <w:szCs w:val="20"/>
              </w:rPr>
              <w:t>0.006</w:t>
            </w:r>
          </w:p>
        </w:tc>
      </w:tr>
      <w:tr w:rsidR="0013332C" w:rsidRPr="00F91701" w14:paraId="38CFED37" w14:textId="77777777" w:rsidTr="0035369C">
        <w:trPr>
          <w:trHeight w:val="349"/>
        </w:trPr>
        <w:tc>
          <w:tcPr>
            <w:tcW w:w="2689" w:type="dxa"/>
            <w:shd w:val="clear" w:color="auto" w:fill="FFFFFF"/>
            <w:tcMar>
              <w:top w:w="13" w:type="dxa"/>
              <w:left w:w="13" w:type="dxa"/>
              <w:bottom w:w="0" w:type="dxa"/>
              <w:right w:w="13" w:type="dxa"/>
            </w:tcMar>
            <w:vAlign w:val="center"/>
          </w:tcPr>
          <w:p w14:paraId="2E2E82AD" w14:textId="77777777" w:rsidR="0013332C" w:rsidRPr="00230F2E" w:rsidRDefault="0013332C" w:rsidP="000448DD">
            <w:pPr>
              <w:spacing w:line="240" w:lineRule="auto"/>
              <w:rPr>
                <w:sz w:val="20"/>
                <w:szCs w:val="20"/>
              </w:rPr>
            </w:pPr>
            <w:r w:rsidRPr="00230F2E">
              <w:rPr>
                <w:bCs/>
                <w:sz w:val="20"/>
                <w:szCs w:val="20"/>
              </w:rPr>
              <w:t xml:space="preserve">  Overall Phase</w:t>
            </w:r>
          </w:p>
        </w:tc>
        <w:tc>
          <w:tcPr>
            <w:tcW w:w="2427" w:type="dxa"/>
            <w:shd w:val="clear" w:color="auto" w:fill="FFFFFF"/>
            <w:tcMar>
              <w:top w:w="13" w:type="dxa"/>
              <w:left w:w="13" w:type="dxa"/>
              <w:bottom w:w="0" w:type="dxa"/>
              <w:right w:w="13" w:type="dxa"/>
            </w:tcMar>
            <w:vAlign w:val="center"/>
          </w:tcPr>
          <w:p w14:paraId="49580003" w14:textId="77777777" w:rsidR="0013332C" w:rsidRPr="00230F2E" w:rsidRDefault="0013332C" w:rsidP="00E71C0E">
            <w:pPr>
              <w:spacing w:line="240" w:lineRule="auto"/>
              <w:jc w:val="center"/>
              <w:rPr>
                <w:sz w:val="20"/>
                <w:szCs w:val="20"/>
              </w:rPr>
            </w:pPr>
            <w:r w:rsidRPr="00230F2E">
              <w:rPr>
                <w:bCs/>
                <w:sz w:val="20"/>
                <w:szCs w:val="20"/>
              </w:rPr>
              <w:t>91.1</w:t>
            </w:r>
          </w:p>
        </w:tc>
        <w:tc>
          <w:tcPr>
            <w:tcW w:w="2402" w:type="dxa"/>
            <w:shd w:val="clear" w:color="auto" w:fill="FFFFFF"/>
            <w:tcMar>
              <w:top w:w="13" w:type="dxa"/>
              <w:left w:w="13" w:type="dxa"/>
              <w:bottom w:w="0" w:type="dxa"/>
              <w:right w:w="13" w:type="dxa"/>
            </w:tcMar>
            <w:vAlign w:val="center"/>
          </w:tcPr>
          <w:p w14:paraId="500552C6" w14:textId="77777777" w:rsidR="0013332C" w:rsidRPr="00230F2E" w:rsidRDefault="0013332C" w:rsidP="00E71C0E">
            <w:pPr>
              <w:spacing w:line="240" w:lineRule="auto"/>
              <w:jc w:val="center"/>
              <w:rPr>
                <w:sz w:val="20"/>
                <w:szCs w:val="20"/>
              </w:rPr>
            </w:pPr>
            <w:r w:rsidRPr="00230F2E">
              <w:rPr>
                <w:bCs/>
                <w:sz w:val="20"/>
                <w:szCs w:val="20"/>
              </w:rPr>
              <w:t>76.5</w:t>
            </w:r>
          </w:p>
        </w:tc>
        <w:tc>
          <w:tcPr>
            <w:tcW w:w="1426" w:type="dxa"/>
            <w:shd w:val="clear" w:color="auto" w:fill="FFFFFF"/>
            <w:tcMar>
              <w:top w:w="13" w:type="dxa"/>
              <w:left w:w="13" w:type="dxa"/>
              <w:bottom w:w="0" w:type="dxa"/>
              <w:right w:w="13" w:type="dxa"/>
            </w:tcMar>
            <w:vAlign w:val="center"/>
          </w:tcPr>
          <w:p w14:paraId="77454E0B" w14:textId="77777777" w:rsidR="0013332C" w:rsidRPr="00230F2E" w:rsidRDefault="0013332C" w:rsidP="00E71C0E">
            <w:pPr>
              <w:spacing w:line="240" w:lineRule="auto"/>
              <w:jc w:val="center"/>
              <w:rPr>
                <w:sz w:val="20"/>
                <w:szCs w:val="20"/>
              </w:rPr>
            </w:pPr>
            <w:r w:rsidRPr="00230F2E">
              <w:rPr>
                <w:bCs/>
                <w:sz w:val="20"/>
                <w:szCs w:val="20"/>
              </w:rPr>
              <w:t>0.001</w:t>
            </w:r>
          </w:p>
        </w:tc>
      </w:tr>
      <w:tr w:rsidR="001402D8" w:rsidRPr="00F91701" w14:paraId="078484AE" w14:textId="77777777" w:rsidTr="00CF018B">
        <w:trPr>
          <w:trHeight w:val="349"/>
        </w:trPr>
        <w:tc>
          <w:tcPr>
            <w:tcW w:w="8944" w:type="dxa"/>
            <w:gridSpan w:val="4"/>
            <w:shd w:val="clear" w:color="auto" w:fill="FFFFFF"/>
            <w:tcMar>
              <w:top w:w="13" w:type="dxa"/>
              <w:left w:w="13" w:type="dxa"/>
              <w:bottom w:w="0" w:type="dxa"/>
              <w:right w:w="13" w:type="dxa"/>
            </w:tcMar>
            <w:vAlign w:val="center"/>
          </w:tcPr>
          <w:p w14:paraId="6E1DC7BD" w14:textId="70AFFF7F" w:rsidR="001402D8" w:rsidRPr="00230F2E" w:rsidRDefault="001402D8" w:rsidP="001402D8">
            <w:pPr>
              <w:spacing w:line="240" w:lineRule="auto"/>
              <w:rPr>
                <w:sz w:val="20"/>
                <w:szCs w:val="20"/>
              </w:rPr>
            </w:pPr>
            <w:r w:rsidRPr="00E71C0E">
              <w:rPr>
                <w:b/>
                <w:bCs/>
                <w:sz w:val="20"/>
                <w:szCs w:val="20"/>
              </w:rPr>
              <w:t>NO SIGNIFICANT NAUSEA</w:t>
            </w:r>
          </w:p>
        </w:tc>
      </w:tr>
      <w:tr w:rsidR="0013332C" w:rsidRPr="00F91701" w14:paraId="5898CC94" w14:textId="77777777" w:rsidTr="0035369C">
        <w:trPr>
          <w:trHeight w:val="349"/>
        </w:trPr>
        <w:tc>
          <w:tcPr>
            <w:tcW w:w="2689" w:type="dxa"/>
            <w:shd w:val="clear" w:color="auto" w:fill="FFFFFF"/>
            <w:tcMar>
              <w:top w:w="13" w:type="dxa"/>
              <w:left w:w="13" w:type="dxa"/>
              <w:bottom w:w="0" w:type="dxa"/>
              <w:right w:w="13" w:type="dxa"/>
            </w:tcMar>
            <w:vAlign w:val="center"/>
          </w:tcPr>
          <w:p w14:paraId="01E2C87A" w14:textId="77777777" w:rsidR="0013332C" w:rsidRPr="00230F2E" w:rsidRDefault="0013332C" w:rsidP="000448DD">
            <w:pPr>
              <w:spacing w:line="240" w:lineRule="auto"/>
              <w:rPr>
                <w:sz w:val="20"/>
                <w:szCs w:val="20"/>
              </w:rPr>
            </w:pPr>
            <w:r w:rsidRPr="00230F2E">
              <w:rPr>
                <w:bCs/>
                <w:sz w:val="20"/>
                <w:szCs w:val="20"/>
              </w:rPr>
              <w:t xml:space="preserve">  Acute Phase</w:t>
            </w:r>
          </w:p>
        </w:tc>
        <w:tc>
          <w:tcPr>
            <w:tcW w:w="2427" w:type="dxa"/>
            <w:shd w:val="clear" w:color="auto" w:fill="FFFFFF"/>
            <w:tcMar>
              <w:top w:w="13" w:type="dxa"/>
              <w:left w:w="13" w:type="dxa"/>
              <w:bottom w:w="0" w:type="dxa"/>
              <w:right w:w="13" w:type="dxa"/>
            </w:tcMar>
            <w:vAlign w:val="center"/>
          </w:tcPr>
          <w:p w14:paraId="7431ABCF" w14:textId="77777777" w:rsidR="0013332C" w:rsidRPr="00230F2E" w:rsidRDefault="0013332C" w:rsidP="00E71C0E">
            <w:pPr>
              <w:spacing w:line="240" w:lineRule="auto"/>
              <w:jc w:val="center"/>
              <w:rPr>
                <w:sz w:val="20"/>
                <w:szCs w:val="20"/>
              </w:rPr>
            </w:pPr>
            <w:r w:rsidRPr="00230F2E">
              <w:rPr>
                <w:bCs/>
                <w:sz w:val="20"/>
                <w:szCs w:val="20"/>
              </w:rPr>
              <w:t>98.5</w:t>
            </w:r>
          </w:p>
        </w:tc>
        <w:tc>
          <w:tcPr>
            <w:tcW w:w="2402" w:type="dxa"/>
            <w:shd w:val="clear" w:color="auto" w:fill="FFFFFF"/>
            <w:tcMar>
              <w:top w:w="13" w:type="dxa"/>
              <w:left w:w="13" w:type="dxa"/>
              <w:bottom w:w="0" w:type="dxa"/>
              <w:right w:w="13" w:type="dxa"/>
            </w:tcMar>
            <w:vAlign w:val="center"/>
          </w:tcPr>
          <w:p w14:paraId="30992CF2" w14:textId="77777777" w:rsidR="0013332C" w:rsidRPr="00230F2E" w:rsidRDefault="0013332C" w:rsidP="00E71C0E">
            <w:pPr>
              <w:spacing w:line="240" w:lineRule="auto"/>
              <w:jc w:val="center"/>
              <w:rPr>
                <w:sz w:val="20"/>
                <w:szCs w:val="20"/>
              </w:rPr>
            </w:pPr>
            <w:r w:rsidRPr="00230F2E">
              <w:rPr>
                <w:bCs/>
                <w:sz w:val="20"/>
                <w:szCs w:val="20"/>
              </w:rPr>
              <w:t>93.4</w:t>
            </w:r>
          </w:p>
        </w:tc>
        <w:tc>
          <w:tcPr>
            <w:tcW w:w="1426" w:type="dxa"/>
            <w:shd w:val="clear" w:color="auto" w:fill="FFFFFF"/>
            <w:tcMar>
              <w:top w:w="13" w:type="dxa"/>
              <w:left w:w="13" w:type="dxa"/>
              <w:bottom w:w="0" w:type="dxa"/>
              <w:right w:w="13" w:type="dxa"/>
            </w:tcMar>
            <w:vAlign w:val="center"/>
          </w:tcPr>
          <w:p w14:paraId="7F5E1D59" w14:textId="77777777" w:rsidR="0013332C" w:rsidRPr="00230F2E" w:rsidRDefault="0013332C" w:rsidP="00E71C0E">
            <w:pPr>
              <w:spacing w:line="240" w:lineRule="auto"/>
              <w:jc w:val="center"/>
              <w:rPr>
                <w:sz w:val="20"/>
                <w:szCs w:val="20"/>
              </w:rPr>
            </w:pPr>
            <w:r w:rsidRPr="00230F2E">
              <w:rPr>
                <w:bCs/>
                <w:sz w:val="20"/>
                <w:szCs w:val="20"/>
              </w:rPr>
              <w:t>0.050</w:t>
            </w:r>
          </w:p>
        </w:tc>
      </w:tr>
      <w:tr w:rsidR="0013332C" w:rsidRPr="00F91701" w14:paraId="3BE7E607" w14:textId="77777777" w:rsidTr="0035369C">
        <w:trPr>
          <w:trHeight w:val="349"/>
        </w:trPr>
        <w:tc>
          <w:tcPr>
            <w:tcW w:w="2689" w:type="dxa"/>
            <w:shd w:val="clear" w:color="auto" w:fill="FFFFFF"/>
            <w:tcMar>
              <w:top w:w="13" w:type="dxa"/>
              <w:left w:w="13" w:type="dxa"/>
              <w:bottom w:w="0" w:type="dxa"/>
              <w:right w:w="13" w:type="dxa"/>
            </w:tcMar>
            <w:vAlign w:val="center"/>
          </w:tcPr>
          <w:p w14:paraId="78ED1D4F" w14:textId="77777777" w:rsidR="0013332C" w:rsidRPr="00230F2E" w:rsidRDefault="0013332C" w:rsidP="000448DD">
            <w:pPr>
              <w:spacing w:line="240" w:lineRule="auto"/>
              <w:rPr>
                <w:sz w:val="20"/>
                <w:szCs w:val="20"/>
              </w:rPr>
            </w:pPr>
            <w:r w:rsidRPr="00230F2E">
              <w:rPr>
                <w:bCs/>
                <w:sz w:val="20"/>
                <w:szCs w:val="20"/>
              </w:rPr>
              <w:t xml:space="preserve">  Delayed Phase</w:t>
            </w:r>
          </w:p>
        </w:tc>
        <w:tc>
          <w:tcPr>
            <w:tcW w:w="2427" w:type="dxa"/>
            <w:shd w:val="clear" w:color="auto" w:fill="FFFFFF"/>
            <w:tcMar>
              <w:top w:w="13" w:type="dxa"/>
              <w:left w:w="13" w:type="dxa"/>
              <w:bottom w:w="0" w:type="dxa"/>
              <w:right w:w="13" w:type="dxa"/>
            </w:tcMar>
            <w:vAlign w:val="center"/>
          </w:tcPr>
          <w:p w14:paraId="3B8A4DD8" w14:textId="77777777" w:rsidR="0013332C" w:rsidRPr="00230F2E" w:rsidRDefault="0013332C" w:rsidP="00E71C0E">
            <w:pPr>
              <w:spacing w:line="240" w:lineRule="auto"/>
              <w:jc w:val="center"/>
              <w:rPr>
                <w:sz w:val="20"/>
                <w:szCs w:val="20"/>
              </w:rPr>
            </w:pPr>
            <w:r w:rsidRPr="00230F2E">
              <w:rPr>
                <w:bCs/>
                <w:sz w:val="20"/>
                <w:szCs w:val="20"/>
              </w:rPr>
              <w:t>90.4</w:t>
            </w:r>
          </w:p>
        </w:tc>
        <w:tc>
          <w:tcPr>
            <w:tcW w:w="2402" w:type="dxa"/>
            <w:shd w:val="clear" w:color="auto" w:fill="FFFFFF"/>
            <w:tcMar>
              <w:top w:w="13" w:type="dxa"/>
              <w:left w:w="13" w:type="dxa"/>
              <w:bottom w:w="0" w:type="dxa"/>
              <w:right w:w="13" w:type="dxa"/>
            </w:tcMar>
            <w:vAlign w:val="center"/>
          </w:tcPr>
          <w:p w14:paraId="43D931E8" w14:textId="77777777" w:rsidR="0013332C" w:rsidRPr="00230F2E" w:rsidRDefault="0013332C" w:rsidP="00E71C0E">
            <w:pPr>
              <w:spacing w:line="240" w:lineRule="auto"/>
              <w:jc w:val="center"/>
              <w:rPr>
                <w:sz w:val="20"/>
                <w:szCs w:val="20"/>
              </w:rPr>
            </w:pPr>
            <w:r w:rsidRPr="00230F2E">
              <w:rPr>
                <w:bCs/>
                <w:sz w:val="20"/>
                <w:szCs w:val="20"/>
              </w:rPr>
              <w:t>80.9</w:t>
            </w:r>
          </w:p>
        </w:tc>
        <w:tc>
          <w:tcPr>
            <w:tcW w:w="1426" w:type="dxa"/>
            <w:shd w:val="clear" w:color="auto" w:fill="FFFFFF"/>
            <w:tcMar>
              <w:top w:w="13" w:type="dxa"/>
              <w:left w:w="13" w:type="dxa"/>
              <w:bottom w:w="0" w:type="dxa"/>
              <w:right w:w="13" w:type="dxa"/>
            </w:tcMar>
            <w:vAlign w:val="center"/>
          </w:tcPr>
          <w:p w14:paraId="7E5C7455" w14:textId="77777777" w:rsidR="0013332C" w:rsidRPr="00230F2E" w:rsidRDefault="0013332C" w:rsidP="00E71C0E">
            <w:pPr>
              <w:spacing w:line="240" w:lineRule="auto"/>
              <w:jc w:val="center"/>
              <w:rPr>
                <w:sz w:val="20"/>
                <w:szCs w:val="20"/>
              </w:rPr>
            </w:pPr>
            <w:r w:rsidRPr="00230F2E">
              <w:rPr>
                <w:bCs/>
                <w:sz w:val="20"/>
                <w:szCs w:val="20"/>
              </w:rPr>
              <w:t>0.004</w:t>
            </w:r>
          </w:p>
        </w:tc>
      </w:tr>
      <w:tr w:rsidR="0013332C" w:rsidRPr="00F91701" w14:paraId="1E96D8CB" w14:textId="77777777" w:rsidTr="0035369C">
        <w:trPr>
          <w:trHeight w:val="349"/>
        </w:trPr>
        <w:tc>
          <w:tcPr>
            <w:tcW w:w="2689" w:type="dxa"/>
            <w:shd w:val="clear" w:color="auto" w:fill="FFFFFF"/>
            <w:tcMar>
              <w:top w:w="13" w:type="dxa"/>
              <w:left w:w="13" w:type="dxa"/>
              <w:bottom w:w="0" w:type="dxa"/>
              <w:right w:w="13" w:type="dxa"/>
            </w:tcMar>
            <w:vAlign w:val="center"/>
          </w:tcPr>
          <w:p w14:paraId="4A706BD7" w14:textId="77777777" w:rsidR="0013332C" w:rsidRPr="00230F2E" w:rsidRDefault="0013332C" w:rsidP="000448DD">
            <w:pPr>
              <w:spacing w:line="240" w:lineRule="auto"/>
              <w:rPr>
                <w:sz w:val="20"/>
                <w:szCs w:val="20"/>
              </w:rPr>
            </w:pPr>
            <w:r w:rsidRPr="00230F2E">
              <w:rPr>
                <w:bCs/>
                <w:sz w:val="20"/>
                <w:szCs w:val="20"/>
              </w:rPr>
              <w:t xml:space="preserve"> Overall Phase</w:t>
            </w:r>
          </w:p>
        </w:tc>
        <w:tc>
          <w:tcPr>
            <w:tcW w:w="2427" w:type="dxa"/>
            <w:shd w:val="clear" w:color="auto" w:fill="FFFFFF"/>
            <w:tcMar>
              <w:top w:w="13" w:type="dxa"/>
              <w:left w:w="13" w:type="dxa"/>
              <w:bottom w:w="0" w:type="dxa"/>
              <w:right w:w="13" w:type="dxa"/>
            </w:tcMar>
            <w:vAlign w:val="center"/>
          </w:tcPr>
          <w:p w14:paraId="55E5F404" w14:textId="3106CC75" w:rsidR="0013332C" w:rsidRPr="00230F2E" w:rsidRDefault="00A938B9" w:rsidP="00E71C0E">
            <w:pPr>
              <w:spacing w:line="240" w:lineRule="auto"/>
              <w:jc w:val="center"/>
              <w:rPr>
                <w:sz w:val="20"/>
                <w:szCs w:val="20"/>
              </w:rPr>
            </w:pPr>
            <w:r>
              <w:rPr>
                <w:bCs/>
                <w:sz w:val="20"/>
                <w:szCs w:val="20"/>
              </w:rPr>
              <w:t>89.6</w:t>
            </w:r>
          </w:p>
        </w:tc>
        <w:tc>
          <w:tcPr>
            <w:tcW w:w="2402" w:type="dxa"/>
            <w:shd w:val="clear" w:color="auto" w:fill="FFFFFF"/>
            <w:tcMar>
              <w:top w:w="13" w:type="dxa"/>
              <w:left w:w="13" w:type="dxa"/>
              <w:bottom w:w="0" w:type="dxa"/>
              <w:right w:w="13" w:type="dxa"/>
            </w:tcMar>
            <w:vAlign w:val="center"/>
          </w:tcPr>
          <w:p w14:paraId="71CF2048" w14:textId="6CDE853C" w:rsidR="0013332C" w:rsidRPr="00230F2E" w:rsidRDefault="00A938B9" w:rsidP="00E71C0E">
            <w:pPr>
              <w:spacing w:line="240" w:lineRule="auto"/>
              <w:jc w:val="center"/>
              <w:rPr>
                <w:sz w:val="20"/>
                <w:szCs w:val="20"/>
              </w:rPr>
            </w:pPr>
            <w:r>
              <w:rPr>
                <w:bCs/>
                <w:sz w:val="20"/>
                <w:szCs w:val="20"/>
              </w:rPr>
              <w:t>79.4</w:t>
            </w:r>
          </w:p>
        </w:tc>
        <w:tc>
          <w:tcPr>
            <w:tcW w:w="1426" w:type="dxa"/>
            <w:shd w:val="clear" w:color="auto" w:fill="FFFFFF"/>
            <w:tcMar>
              <w:top w:w="13" w:type="dxa"/>
              <w:left w:w="13" w:type="dxa"/>
              <w:bottom w:w="0" w:type="dxa"/>
              <w:right w:w="13" w:type="dxa"/>
            </w:tcMar>
            <w:vAlign w:val="center"/>
          </w:tcPr>
          <w:p w14:paraId="32165A66" w14:textId="77777777" w:rsidR="0013332C" w:rsidRPr="00230F2E" w:rsidRDefault="0013332C" w:rsidP="00E71C0E">
            <w:pPr>
              <w:spacing w:line="240" w:lineRule="auto"/>
              <w:jc w:val="center"/>
              <w:rPr>
                <w:sz w:val="20"/>
                <w:szCs w:val="20"/>
              </w:rPr>
            </w:pPr>
            <w:r w:rsidRPr="00230F2E">
              <w:rPr>
                <w:bCs/>
                <w:sz w:val="20"/>
                <w:szCs w:val="20"/>
              </w:rPr>
              <w:t>0.021</w:t>
            </w:r>
          </w:p>
        </w:tc>
      </w:tr>
      <w:tr w:rsidR="001402D8" w:rsidRPr="00F91701" w14:paraId="00C2D026" w14:textId="77777777" w:rsidTr="00777B7B">
        <w:trPr>
          <w:trHeight w:val="349"/>
        </w:trPr>
        <w:tc>
          <w:tcPr>
            <w:tcW w:w="8944" w:type="dxa"/>
            <w:gridSpan w:val="4"/>
            <w:shd w:val="clear" w:color="auto" w:fill="FFFFFF"/>
            <w:tcMar>
              <w:top w:w="13" w:type="dxa"/>
              <w:left w:w="13" w:type="dxa"/>
              <w:bottom w:w="0" w:type="dxa"/>
              <w:right w:w="13" w:type="dxa"/>
            </w:tcMar>
            <w:vAlign w:val="center"/>
          </w:tcPr>
          <w:p w14:paraId="28EBFFD8" w14:textId="744C0AD5" w:rsidR="001402D8" w:rsidRPr="00230F2E" w:rsidRDefault="001402D8" w:rsidP="001402D8">
            <w:pPr>
              <w:spacing w:line="240" w:lineRule="auto"/>
              <w:rPr>
                <w:bCs/>
                <w:sz w:val="20"/>
                <w:szCs w:val="20"/>
              </w:rPr>
            </w:pPr>
            <w:r w:rsidRPr="00E71C0E">
              <w:rPr>
                <w:b/>
                <w:bCs/>
                <w:sz w:val="20"/>
                <w:szCs w:val="20"/>
              </w:rPr>
              <w:t>NO NAUSEA</w:t>
            </w:r>
          </w:p>
        </w:tc>
      </w:tr>
      <w:tr w:rsidR="0013332C" w:rsidRPr="00F91701" w14:paraId="0E11595B" w14:textId="77777777" w:rsidTr="0035369C">
        <w:trPr>
          <w:trHeight w:val="349"/>
        </w:trPr>
        <w:tc>
          <w:tcPr>
            <w:tcW w:w="2689" w:type="dxa"/>
            <w:shd w:val="clear" w:color="auto" w:fill="FFFFFF"/>
            <w:tcMar>
              <w:top w:w="13" w:type="dxa"/>
              <w:left w:w="13" w:type="dxa"/>
              <w:bottom w:w="0" w:type="dxa"/>
              <w:right w:w="13" w:type="dxa"/>
            </w:tcMar>
            <w:vAlign w:val="center"/>
          </w:tcPr>
          <w:p w14:paraId="4CB7EAA4" w14:textId="77777777" w:rsidR="0013332C" w:rsidRPr="00230F2E" w:rsidRDefault="0013332C" w:rsidP="000448DD">
            <w:pPr>
              <w:spacing w:line="240" w:lineRule="auto"/>
              <w:rPr>
                <w:bCs/>
                <w:sz w:val="20"/>
                <w:szCs w:val="20"/>
              </w:rPr>
            </w:pPr>
            <w:r w:rsidRPr="00230F2E">
              <w:rPr>
                <w:bCs/>
                <w:sz w:val="20"/>
                <w:szCs w:val="20"/>
              </w:rPr>
              <w:t xml:space="preserve">  Acute Phase</w:t>
            </w:r>
          </w:p>
        </w:tc>
        <w:tc>
          <w:tcPr>
            <w:tcW w:w="2427" w:type="dxa"/>
            <w:shd w:val="clear" w:color="auto" w:fill="FFFFFF"/>
            <w:tcMar>
              <w:top w:w="13" w:type="dxa"/>
              <w:left w:w="13" w:type="dxa"/>
              <w:bottom w:w="0" w:type="dxa"/>
              <w:right w:w="13" w:type="dxa"/>
            </w:tcMar>
            <w:vAlign w:val="center"/>
          </w:tcPr>
          <w:p w14:paraId="46B16F32" w14:textId="77777777" w:rsidR="0013332C" w:rsidRPr="00230F2E" w:rsidRDefault="0013332C" w:rsidP="00E71C0E">
            <w:pPr>
              <w:spacing w:line="240" w:lineRule="auto"/>
              <w:jc w:val="center"/>
              <w:rPr>
                <w:bCs/>
                <w:sz w:val="20"/>
                <w:szCs w:val="20"/>
              </w:rPr>
            </w:pPr>
            <w:r w:rsidRPr="00230F2E">
              <w:rPr>
                <w:bCs/>
                <w:sz w:val="20"/>
                <w:szCs w:val="20"/>
              </w:rPr>
              <w:t>80.0</w:t>
            </w:r>
          </w:p>
        </w:tc>
        <w:tc>
          <w:tcPr>
            <w:tcW w:w="2402" w:type="dxa"/>
            <w:shd w:val="clear" w:color="auto" w:fill="FFFFFF"/>
            <w:tcMar>
              <w:top w:w="13" w:type="dxa"/>
              <w:left w:w="13" w:type="dxa"/>
              <w:bottom w:w="0" w:type="dxa"/>
              <w:right w:w="13" w:type="dxa"/>
            </w:tcMar>
            <w:vAlign w:val="center"/>
          </w:tcPr>
          <w:p w14:paraId="20039966" w14:textId="77777777" w:rsidR="0013332C" w:rsidRPr="00230F2E" w:rsidRDefault="0013332C" w:rsidP="00E71C0E">
            <w:pPr>
              <w:spacing w:line="240" w:lineRule="auto"/>
              <w:jc w:val="center"/>
              <w:rPr>
                <w:bCs/>
                <w:sz w:val="20"/>
                <w:szCs w:val="20"/>
              </w:rPr>
            </w:pPr>
            <w:r w:rsidRPr="00230F2E">
              <w:rPr>
                <w:bCs/>
                <w:sz w:val="20"/>
                <w:szCs w:val="20"/>
              </w:rPr>
              <w:t>75.0</w:t>
            </w:r>
          </w:p>
        </w:tc>
        <w:tc>
          <w:tcPr>
            <w:tcW w:w="1426" w:type="dxa"/>
            <w:shd w:val="clear" w:color="auto" w:fill="FFFFFF"/>
            <w:tcMar>
              <w:top w:w="13" w:type="dxa"/>
              <w:left w:w="13" w:type="dxa"/>
              <w:bottom w:w="0" w:type="dxa"/>
              <w:right w:w="13" w:type="dxa"/>
            </w:tcMar>
            <w:vAlign w:val="center"/>
          </w:tcPr>
          <w:p w14:paraId="4520956D" w14:textId="77777777" w:rsidR="0013332C" w:rsidRPr="00230F2E" w:rsidRDefault="0013332C" w:rsidP="00E71C0E">
            <w:pPr>
              <w:spacing w:line="240" w:lineRule="auto"/>
              <w:jc w:val="center"/>
              <w:rPr>
                <w:bCs/>
                <w:sz w:val="20"/>
                <w:szCs w:val="20"/>
              </w:rPr>
            </w:pPr>
            <w:r w:rsidRPr="00230F2E">
              <w:rPr>
                <w:bCs/>
                <w:sz w:val="20"/>
                <w:szCs w:val="20"/>
              </w:rPr>
              <w:t>N.S.</w:t>
            </w:r>
          </w:p>
        </w:tc>
      </w:tr>
      <w:tr w:rsidR="0013332C" w:rsidRPr="00F91701" w14:paraId="5E1EC68F" w14:textId="77777777" w:rsidTr="0035369C">
        <w:trPr>
          <w:trHeight w:val="349"/>
        </w:trPr>
        <w:tc>
          <w:tcPr>
            <w:tcW w:w="2689" w:type="dxa"/>
            <w:shd w:val="clear" w:color="auto" w:fill="FFFFFF"/>
            <w:tcMar>
              <w:top w:w="13" w:type="dxa"/>
              <w:left w:w="13" w:type="dxa"/>
              <w:bottom w:w="0" w:type="dxa"/>
              <w:right w:w="13" w:type="dxa"/>
            </w:tcMar>
            <w:vAlign w:val="center"/>
          </w:tcPr>
          <w:p w14:paraId="4A9DBAF8" w14:textId="77777777" w:rsidR="0013332C" w:rsidRPr="00230F2E" w:rsidRDefault="0013332C" w:rsidP="000448DD">
            <w:pPr>
              <w:spacing w:line="240" w:lineRule="auto"/>
              <w:rPr>
                <w:bCs/>
                <w:sz w:val="20"/>
                <w:szCs w:val="20"/>
              </w:rPr>
            </w:pPr>
            <w:r w:rsidRPr="00230F2E">
              <w:rPr>
                <w:bCs/>
                <w:sz w:val="20"/>
                <w:szCs w:val="20"/>
              </w:rPr>
              <w:t xml:space="preserve">  Delayed Phase</w:t>
            </w:r>
          </w:p>
        </w:tc>
        <w:tc>
          <w:tcPr>
            <w:tcW w:w="2427" w:type="dxa"/>
            <w:shd w:val="clear" w:color="auto" w:fill="FFFFFF"/>
            <w:tcMar>
              <w:top w:w="13" w:type="dxa"/>
              <w:left w:w="13" w:type="dxa"/>
              <w:bottom w:w="0" w:type="dxa"/>
              <w:right w:w="13" w:type="dxa"/>
            </w:tcMar>
            <w:vAlign w:val="center"/>
          </w:tcPr>
          <w:p w14:paraId="201A9DCD" w14:textId="77777777" w:rsidR="0013332C" w:rsidRPr="00230F2E" w:rsidRDefault="0013332C" w:rsidP="00E71C0E">
            <w:pPr>
              <w:spacing w:line="240" w:lineRule="auto"/>
              <w:jc w:val="center"/>
              <w:rPr>
                <w:bCs/>
                <w:sz w:val="20"/>
                <w:szCs w:val="20"/>
              </w:rPr>
            </w:pPr>
            <w:r w:rsidRPr="00230F2E">
              <w:rPr>
                <w:bCs/>
                <w:sz w:val="20"/>
                <w:szCs w:val="20"/>
              </w:rPr>
              <w:t>68.1</w:t>
            </w:r>
          </w:p>
        </w:tc>
        <w:tc>
          <w:tcPr>
            <w:tcW w:w="2402" w:type="dxa"/>
            <w:shd w:val="clear" w:color="auto" w:fill="FFFFFF"/>
            <w:tcMar>
              <w:top w:w="13" w:type="dxa"/>
              <w:left w:w="13" w:type="dxa"/>
              <w:bottom w:w="0" w:type="dxa"/>
              <w:right w:w="13" w:type="dxa"/>
            </w:tcMar>
            <w:vAlign w:val="center"/>
          </w:tcPr>
          <w:p w14:paraId="382495EB" w14:textId="77777777" w:rsidR="0013332C" w:rsidRPr="00230F2E" w:rsidRDefault="0013332C" w:rsidP="00E71C0E">
            <w:pPr>
              <w:spacing w:line="240" w:lineRule="auto"/>
              <w:jc w:val="center"/>
              <w:rPr>
                <w:bCs/>
                <w:sz w:val="20"/>
                <w:szCs w:val="20"/>
              </w:rPr>
            </w:pPr>
            <w:r w:rsidRPr="00230F2E">
              <w:rPr>
                <w:bCs/>
                <w:sz w:val="20"/>
                <w:szCs w:val="20"/>
              </w:rPr>
              <w:t>53.7</w:t>
            </w:r>
          </w:p>
        </w:tc>
        <w:tc>
          <w:tcPr>
            <w:tcW w:w="1426" w:type="dxa"/>
            <w:shd w:val="clear" w:color="auto" w:fill="FFFFFF"/>
            <w:tcMar>
              <w:top w:w="13" w:type="dxa"/>
              <w:left w:w="13" w:type="dxa"/>
              <w:bottom w:w="0" w:type="dxa"/>
              <w:right w:w="13" w:type="dxa"/>
            </w:tcMar>
            <w:vAlign w:val="center"/>
          </w:tcPr>
          <w:p w14:paraId="6E98270B" w14:textId="77777777" w:rsidR="0013332C" w:rsidRPr="00230F2E" w:rsidRDefault="0013332C" w:rsidP="00E71C0E">
            <w:pPr>
              <w:spacing w:line="240" w:lineRule="auto"/>
              <w:jc w:val="center"/>
              <w:rPr>
                <w:bCs/>
                <w:sz w:val="20"/>
                <w:szCs w:val="20"/>
              </w:rPr>
            </w:pPr>
            <w:r w:rsidRPr="00230F2E">
              <w:rPr>
                <w:bCs/>
                <w:sz w:val="20"/>
                <w:szCs w:val="20"/>
              </w:rPr>
              <w:t>0.014</w:t>
            </w:r>
          </w:p>
        </w:tc>
      </w:tr>
      <w:tr w:rsidR="0013332C" w:rsidRPr="00F91701" w14:paraId="2316CFE0" w14:textId="77777777" w:rsidTr="0035369C">
        <w:trPr>
          <w:trHeight w:val="349"/>
        </w:trPr>
        <w:tc>
          <w:tcPr>
            <w:tcW w:w="2689" w:type="dxa"/>
            <w:shd w:val="clear" w:color="auto" w:fill="FFFFFF"/>
            <w:tcMar>
              <w:top w:w="13" w:type="dxa"/>
              <w:left w:w="13" w:type="dxa"/>
              <w:bottom w:w="0" w:type="dxa"/>
              <w:right w:w="13" w:type="dxa"/>
            </w:tcMar>
            <w:vAlign w:val="center"/>
          </w:tcPr>
          <w:p w14:paraId="5DB435A3" w14:textId="77777777" w:rsidR="0013332C" w:rsidRPr="00230F2E" w:rsidRDefault="0013332C" w:rsidP="000448DD">
            <w:pPr>
              <w:spacing w:line="240" w:lineRule="auto"/>
              <w:rPr>
                <w:bCs/>
                <w:sz w:val="20"/>
                <w:szCs w:val="20"/>
              </w:rPr>
            </w:pPr>
            <w:r w:rsidRPr="00230F2E">
              <w:rPr>
                <w:bCs/>
                <w:sz w:val="20"/>
                <w:szCs w:val="20"/>
              </w:rPr>
              <w:t xml:space="preserve">  Overall Phase</w:t>
            </w:r>
          </w:p>
        </w:tc>
        <w:tc>
          <w:tcPr>
            <w:tcW w:w="2427" w:type="dxa"/>
            <w:shd w:val="clear" w:color="auto" w:fill="FFFFFF"/>
            <w:tcMar>
              <w:top w:w="13" w:type="dxa"/>
              <w:left w:w="13" w:type="dxa"/>
              <w:bottom w:w="0" w:type="dxa"/>
              <w:right w:w="13" w:type="dxa"/>
            </w:tcMar>
            <w:vAlign w:val="center"/>
          </w:tcPr>
          <w:p w14:paraId="657A9850" w14:textId="77777777" w:rsidR="0013332C" w:rsidRPr="00230F2E" w:rsidRDefault="0013332C" w:rsidP="00E71C0E">
            <w:pPr>
              <w:spacing w:line="240" w:lineRule="auto"/>
              <w:jc w:val="center"/>
              <w:rPr>
                <w:bCs/>
                <w:sz w:val="20"/>
                <w:szCs w:val="20"/>
              </w:rPr>
            </w:pPr>
            <w:r w:rsidRPr="00230F2E">
              <w:rPr>
                <w:bCs/>
                <w:sz w:val="20"/>
                <w:szCs w:val="20"/>
              </w:rPr>
              <w:t>61.5</w:t>
            </w:r>
          </w:p>
        </w:tc>
        <w:tc>
          <w:tcPr>
            <w:tcW w:w="2402" w:type="dxa"/>
            <w:shd w:val="clear" w:color="auto" w:fill="FFFFFF"/>
            <w:tcMar>
              <w:top w:w="13" w:type="dxa"/>
              <w:left w:w="13" w:type="dxa"/>
              <w:bottom w:w="0" w:type="dxa"/>
              <w:right w:w="13" w:type="dxa"/>
            </w:tcMar>
            <w:vAlign w:val="center"/>
          </w:tcPr>
          <w:p w14:paraId="2B3216B2" w14:textId="77777777" w:rsidR="0013332C" w:rsidRPr="00230F2E" w:rsidRDefault="0013332C" w:rsidP="00E71C0E">
            <w:pPr>
              <w:spacing w:line="240" w:lineRule="auto"/>
              <w:jc w:val="center"/>
              <w:rPr>
                <w:bCs/>
                <w:sz w:val="20"/>
                <w:szCs w:val="20"/>
              </w:rPr>
            </w:pPr>
            <w:r w:rsidRPr="00230F2E">
              <w:rPr>
                <w:bCs/>
                <w:sz w:val="20"/>
                <w:szCs w:val="20"/>
              </w:rPr>
              <w:t>50.7</w:t>
            </w:r>
          </w:p>
        </w:tc>
        <w:tc>
          <w:tcPr>
            <w:tcW w:w="1426" w:type="dxa"/>
            <w:shd w:val="clear" w:color="auto" w:fill="FFFFFF"/>
            <w:tcMar>
              <w:top w:w="13" w:type="dxa"/>
              <w:left w:w="13" w:type="dxa"/>
              <w:bottom w:w="0" w:type="dxa"/>
              <w:right w:w="13" w:type="dxa"/>
            </w:tcMar>
            <w:vAlign w:val="center"/>
          </w:tcPr>
          <w:p w14:paraId="3B9D7824" w14:textId="77777777" w:rsidR="0013332C" w:rsidRPr="00230F2E" w:rsidRDefault="0013332C" w:rsidP="00E71C0E">
            <w:pPr>
              <w:spacing w:line="240" w:lineRule="auto"/>
              <w:jc w:val="center"/>
              <w:rPr>
                <w:bCs/>
                <w:sz w:val="20"/>
                <w:szCs w:val="20"/>
              </w:rPr>
            </w:pPr>
            <w:r w:rsidRPr="00230F2E">
              <w:rPr>
                <w:bCs/>
                <w:sz w:val="20"/>
                <w:szCs w:val="20"/>
              </w:rPr>
              <w:t>N.S.</w:t>
            </w:r>
          </w:p>
        </w:tc>
      </w:tr>
    </w:tbl>
    <w:p w14:paraId="6BD3D5A7" w14:textId="77777777" w:rsidR="0032736E" w:rsidRDefault="0032736E" w:rsidP="00E71C0E">
      <w:pPr>
        <w:spacing w:after="0"/>
        <w:rPr>
          <w:bCs/>
          <w:sz w:val="20"/>
          <w:szCs w:val="20"/>
          <w:vertAlign w:val="superscript"/>
        </w:rPr>
      </w:pPr>
    </w:p>
    <w:p w14:paraId="3D319333" w14:textId="2FAA3BBE" w:rsidR="0013332C" w:rsidRPr="00230F2E" w:rsidRDefault="0013332C" w:rsidP="00E71C0E">
      <w:pPr>
        <w:spacing w:after="0"/>
        <w:rPr>
          <w:color w:val="000000"/>
          <w:sz w:val="20"/>
          <w:szCs w:val="20"/>
        </w:rPr>
      </w:pPr>
      <w:r w:rsidRPr="00230F2E">
        <w:rPr>
          <w:bCs/>
          <w:sz w:val="20"/>
          <w:szCs w:val="20"/>
          <w:vertAlign w:val="superscript"/>
        </w:rPr>
        <w:t>‡</w:t>
      </w:r>
      <w:r w:rsidRPr="00230F2E">
        <w:rPr>
          <w:color w:val="000000"/>
          <w:sz w:val="20"/>
          <w:szCs w:val="20"/>
        </w:rPr>
        <w:t xml:space="preserve">Acute phase: 0 to 24 </w:t>
      </w:r>
      <w:r w:rsidR="0029674A">
        <w:rPr>
          <w:color w:val="000000"/>
          <w:sz w:val="20"/>
          <w:szCs w:val="20"/>
        </w:rPr>
        <w:t>hours</w:t>
      </w:r>
      <w:r w:rsidRPr="00230F2E">
        <w:rPr>
          <w:color w:val="000000"/>
          <w:sz w:val="20"/>
          <w:szCs w:val="20"/>
        </w:rPr>
        <w:t xml:space="preserve"> post-cisplatin treatment.</w:t>
      </w:r>
    </w:p>
    <w:p w14:paraId="31E8E8AA" w14:textId="30C2C60F" w:rsidR="0013332C" w:rsidRPr="00230F2E" w:rsidRDefault="0013332C" w:rsidP="00E71C0E">
      <w:pPr>
        <w:spacing w:after="0"/>
        <w:rPr>
          <w:color w:val="000000"/>
          <w:sz w:val="20"/>
          <w:szCs w:val="20"/>
        </w:rPr>
      </w:pPr>
      <w:r w:rsidRPr="00230F2E">
        <w:rPr>
          <w:bCs/>
          <w:sz w:val="20"/>
          <w:szCs w:val="20"/>
          <w:vertAlign w:val="superscript"/>
        </w:rPr>
        <w:t>†</w:t>
      </w:r>
      <w:r w:rsidRPr="00230F2E">
        <w:rPr>
          <w:color w:val="000000"/>
          <w:sz w:val="20"/>
          <w:szCs w:val="20"/>
        </w:rPr>
        <w:t xml:space="preserve">Delayed phase: 25 to 120 </w:t>
      </w:r>
      <w:r w:rsidR="0029674A" w:rsidRPr="00230F2E">
        <w:rPr>
          <w:color w:val="000000"/>
          <w:sz w:val="20"/>
          <w:szCs w:val="20"/>
        </w:rPr>
        <w:t>hours</w:t>
      </w:r>
      <w:r w:rsidRPr="00230F2E">
        <w:rPr>
          <w:color w:val="000000"/>
          <w:sz w:val="20"/>
          <w:szCs w:val="20"/>
        </w:rPr>
        <w:t xml:space="preserve"> post-cisplatin treatment.</w:t>
      </w:r>
    </w:p>
    <w:p w14:paraId="4F329321" w14:textId="6241B1D4" w:rsidR="0013332C" w:rsidRDefault="0013332C" w:rsidP="00E71C0E">
      <w:pPr>
        <w:spacing w:after="0"/>
        <w:rPr>
          <w:color w:val="000000"/>
          <w:sz w:val="20"/>
          <w:szCs w:val="20"/>
        </w:rPr>
      </w:pPr>
      <w:r w:rsidRPr="00230F2E">
        <w:rPr>
          <w:bCs/>
          <w:sz w:val="20"/>
          <w:szCs w:val="20"/>
          <w:vertAlign w:val="superscript"/>
        </w:rPr>
        <w:t>§</w:t>
      </w:r>
      <w:r w:rsidRPr="00230F2E">
        <w:rPr>
          <w:color w:val="000000"/>
          <w:sz w:val="20"/>
          <w:szCs w:val="20"/>
        </w:rPr>
        <w:t>Overall: 0 to 120 hours post-cisplatin treatment.</w:t>
      </w:r>
    </w:p>
    <w:p w14:paraId="0D4FEB2F" w14:textId="77777777" w:rsidR="00962ED4" w:rsidRPr="00230F2E" w:rsidRDefault="00962ED4" w:rsidP="00E71C0E">
      <w:pPr>
        <w:spacing w:after="0"/>
        <w:rPr>
          <w:color w:val="000000"/>
          <w:sz w:val="20"/>
          <w:szCs w:val="20"/>
        </w:rPr>
      </w:pPr>
    </w:p>
    <w:p w14:paraId="62433CDE" w14:textId="6D41FF49" w:rsidR="0013332C" w:rsidRPr="00230F2E" w:rsidRDefault="0013332C" w:rsidP="0013332C">
      <w:pPr>
        <w:pStyle w:val="Heading4"/>
      </w:pPr>
      <w:r w:rsidRPr="00230F2E">
        <w:t xml:space="preserve">Moderately </w:t>
      </w:r>
      <w:proofErr w:type="spellStart"/>
      <w:r w:rsidRPr="00230F2E">
        <w:t>Emetogenic</w:t>
      </w:r>
      <w:proofErr w:type="spellEnd"/>
      <w:r w:rsidRPr="00230F2E">
        <w:t xml:space="preserve"> Chemotherapy (MEC)</w:t>
      </w:r>
      <w:r w:rsidRPr="002B2AB0">
        <w:rPr>
          <w:rStyle w:val="FootnoteReference"/>
        </w:rPr>
        <w:footnoteReference w:id="1"/>
      </w:r>
      <w:r w:rsidRPr="00230F2E">
        <w:t xml:space="preserve"> study</w:t>
      </w:r>
    </w:p>
    <w:p w14:paraId="4882EF5C" w14:textId="32910C1A" w:rsidR="0013332C" w:rsidRDefault="0013332C" w:rsidP="0013332C">
      <w:r>
        <w:t>In a multicent</w:t>
      </w:r>
      <w:r w:rsidRPr="002608BB">
        <w:t>r</w:t>
      </w:r>
      <w:r>
        <w:t>e</w:t>
      </w:r>
      <w:r w:rsidRPr="002608BB">
        <w:t>, randomi</w:t>
      </w:r>
      <w:r>
        <w:t>s</w:t>
      </w:r>
      <w:r w:rsidRPr="002608BB">
        <w:t>ed, parallel, double-blind, active-</w:t>
      </w:r>
      <w:r>
        <w:t xml:space="preserve">controlled, superiority study, </w:t>
      </w:r>
      <w:r w:rsidRPr="002608BB">
        <w:t xml:space="preserve">the efficacy and safety of a single oral dose of </w:t>
      </w:r>
      <w:r>
        <w:t>AKYNZEO</w:t>
      </w:r>
      <w:r w:rsidRPr="002608BB">
        <w:t xml:space="preserve"> was compared with a single oral dose of </w:t>
      </w:r>
      <w:proofErr w:type="spellStart"/>
      <w:r w:rsidRPr="002608BB">
        <w:t>palonosetron</w:t>
      </w:r>
      <w:proofErr w:type="spellEnd"/>
      <w:r w:rsidRPr="002608BB">
        <w:t xml:space="preserve"> </w:t>
      </w:r>
      <w:r>
        <w:t>500 microgram</w:t>
      </w:r>
      <w:r w:rsidRPr="002608BB">
        <w:t xml:space="preserve"> in cancer patients scheduled to receive the first cycle of an </w:t>
      </w:r>
      <w:proofErr w:type="spellStart"/>
      <w:r w:rsidRPr="002608BB">
        <w:t>anthracycline</w:t>
      </w:r>
      <w:proofErr w:type="spellEnd"/>
      <w:r w:rsidRPr="002608BB">
        <w:t xml:space="preserve"> and cyclophosphamide regimen for the treatment of a solid malignant tumour.</w:t>
      </w:r>
    </w:p>
    <w:p w14:paraId="622566AD" w14:textId="77777777" w:rsidR="0013332C" w:rsidRPr="00623A59" w:rsidRDefault="0013332C" w:rsidP="0013332C">
      <w:r w:rsidRPr="00623A59">
        <w:t>Almost all patients (97%) had breast cancer, which was metastatic in 16% of cases.</w:t>
      </w:r>
    </w:p>
    <w:p w14:paraId="4FE0D4E9" w14:textId="77777777" w:rsidR="0013332C" w:rsidRDefault="0013332C" w:rsidP="0013332C">
      <w:r w:rsidRPr="00623A59">
        <w:t xml:space="preserve">At the time of the study, </w:t>
      </w:r>
      <w:proofErr w:type="spellStart"/>
      <w:r w:rsidRPr="00623A59">
        <w:t>anthracycline</w:t>
      </w:r>
      <w:proofErr w:type="spellEnd"/>
      <w:r w:rsidRPr="00623A59">
        <w:t xml:space="preserve">-cyclophosphamide containing chemotherapy regimens were considered to be moderately </w:t>
      </w:r>
      <w:proofErr w:type="spellStart"/>
      <w:r w:rsidRPr="00623A59">
        <w:t>emetogenic</w:t>
      </w:r>
      <w:proofErr w:type="spellEnd"/>
      <w:r w:rsidRPr="00623A59">
        <w:t xml:space="preserve">. Recent </w:t>
      </w:r>
      <w:r>
        <w:t>guidelines have</w:t>
      </w:r>
      <w:r w:rsidRPr="00623A59">
        <w:t xml:space="preserve"> updated these</w:t>
      </w:r>
      <w:r>
        <w:t xml:space="preserve"> regimens to highly </w:t>
      </w:r>
      <w:proofErr w:type="spellStart"/>
      <w:r>
        <w:t>emetogenic</w:t>
      </w:r>
      <w:proofErr w:type="spellEnd"/>
      <w:r>
        <w:t>.</w:t>
      </w:r>
    </w:p>
    <w:p w14:paraId="7F54D538" w14:textId="77777777" w:rsidR="0013332C" w:rsidRPr="002D6C7F" w:rsidRDefault="0013332C" w:rsidP="0013332C">
      <w:r w:rsidRPr="002608BB">
        <w:t>All patients received a single oral dose of dexamethasone.</w:t>
      </w:r>
    </w:p>
    <w:p w14:paraId="7484B8BB" w14:textId="596934EF" w:rsidR="0013332C" w:rsidRDefault="0013332C" w:rsidP="0013332C">
      <w:r w:rsidRPr="002608BB">
        <w:lastRenderedPageBreak/>
        <w:t xml:space="preserve">The treatment regimens for the </w:t>
      </w:r>
      <w:r w:rsidR="008448A0">
        <w:t xml:space="preserve">oral </w:t>
      </w:r>
      <w:r>
        <w:t>AKYNZEO</w:t>
      </w:r>
      <w:r w:rsidRPr="002608BB">
        <w:t xml:space="preserve"> and the </w:t>
      </w:r>
      <w:proofErr w:type="spellStart"/>
      <w:r w:rsidRPr="002608BB">
        <w:t>palonosetron</w:t>
      </w:r>
      <w:proofErr w:type="spellEnd"/>
      <w:r w:rsidRPr="002608BB">
        <w:t xml:space="preserve"> </w:t>
      </w:r>
      <w:r>
        <w:t>500 microgram</w:t>
      </w:r>
      <w:r w:rsidRPr="002608BB">
        <w:t xml:space="preserve"> PO arms are displayed</w:t>
      </w:r>
      <w:r>
        <w:t xml:space="preserve"> in the following </w:t>
      </w:r>
      <w:r w:rsidRPr="009E550B">
        <w:t>table (</w:t>
      </w:r>
      <w:r w:rsidRPr="00E71C0E">
        <w:t xml:space="preserve">Table </w:t>
      </w:r>
      <w:r w:rsidR="00833CEC">
        <w:t>5</w:t>
      </w:r>
      <w:r w:rsidRPr="009E550B">
        <w:t>).</w:t>
      </w:r>
    </w:p>
    <w:p w14:paraId="22AFD3A6" w14:textId="34209615" w:rsidR="0013332C" w:rsidRPr="009E3587" w:rsidRDefault="0013332C" w:rsidP="0013332C">
      <w:pPr>
        <w:jc w:val="center"/>
        <w:rPr>
          <w:b/>
          <w:sz w:val="20"/>
          <w:szCs w:val="20"/>
        </w:rPr>
      </w:pPr>
      <w:r w:rsidRPr="00E71C0E">
        <w:rPr>
          <w:b/>
          <w:sz w:val="20"/>
          <w:szCs w:val="20"/>
        </w:rPr>
        <w:t xml:space="preserve">Table </w:t>
      </w:r>
      <w:r w:rsidR="00833CEC">
        <w:rPr>
          <w:b/>
          <w:sz w:val="20"/>
          <w:szCs w:val="20"/>
        </w:rPr>
        <w:t>5</w:t>
      </w:r>
      <w:r w:rsidR="006F1A9C">
        <w:rPr>
          <w:b/>
          <w:sz w:val="20"/>
          <w:szCs w:val="20"/>
        </w:rPr>
        <w:t xml:space="preserve">: </w:t>
      </w:r>
      <w:r w:rsidR="00D21D91" w:rsidRPr="00E71C0E">
        <w:rPr>
          <w:sz w:val="20"/>
          <w:szCs w:val="20"/>
        </w:rPr>
        <w:t xml:space="preserve">Treatment regimens for oral AKYNZEO and </w:t>
      </w:r>
      <w:proofErr w:type="spellStart"/>
      <w:r w:rsidR="00D21D91" w:rsidRPr="00E71C0E">
        <w:rPr>
          <w:sz w:val="20"/>
          <w:szCs w:val="20"/>
        </w:rPr>
        <w:t>palonosetron</w:t>
      </w:r>
      <w:proofErr w:type="spellEnd"/>
      <w:r w:rsidR="00D21D91">
        <w:rPr>
          <w:b/>
          <w:sz w:val="20"/>
          <w:szCs w:val="20"/>
        </w:rPr>
        <w:t xml:space="preserve"> </w:t>
      </w:r>
    </w:p>
    <w:tbl>
      <w:tblPr>
        <w:tblW w:w="8967" w:type="dxa"/>
        <w:jc w:val="center"/>
        <w:tblBorders>
          <w:top w:val="nil"/>
          <w:left w:val="nil"/>
          <w:bottom w:val="nil"/>
          <w:right w:val="nil"/>
        </w:tblBorders>
        <w:tblLayout w:type="fixed"/>
        <w:tblLook w:val="0000" w:firstRow="0" w:lastRow="0" w:firstColumn="0" w:lastColumn="0" w:noHBand="0" w:noVBand="0"/>
      </w:tblPr>
      <w:tblGrid>
        <w:gridCol w:w="2460"/>
        <w:gridCol w:w="3317"/>
        <w:gridCol w:w="3190"/>
      </w:tblGrid>
      <w:tr w:rsidR="0013332C" w:rsidRPr="00F91701" w14:paraId="357F46D1" w14:textId="77777777" w:rsidTr="00E71C0E">
        <w:trPr>
          <w:trHeight w:val="163"/>
          <w:jc w:val="center"/>
        </w:trPr>
        <w:tc>
          <w:tcPr>
            <w:tcW w:w="2460" w:type="dxa"/>
            <w:tcBorders>
              <w:top w:val="single" w:sz="6" w:space="0" w:color="auto"/>
              <w:left w:val="single" w:sz="4" w:space="0" w:color="000000"/>
              <w:bottom w:val="single" w:sz="4" w:space="0" w:color="auto"/>
              <w:right w:val="single" w:sz="4" w:space="0" w:color="auto"/>
            </w:tcBorders>
            <w:shd w:val="clear" w:color="auto" w:fill="auto"/>
            <w:vAlign w:val="center"/>
          </w:tcPr>
          <w:p w14:paraId="4E574891" w14:textId="77777777" w:rsidR="0013332C" w:rsidRPr="007349BA" w:rsidRDefault="0013332C" w:rsidP="00E71C0E">
            <w:pPr>
              <w:spacing w:after="0"/>
              <w:jc w:val="center"/>
              <w:rPr>
                <w:b/>
                <w:sz w:val="20"/>
                <w:szCs w:val="20"/>
              </w:rPr>
            </w:pPr>
            <w:r w:rsidRPr="007349BA">
              <w:rPr>
                <w:b/>
                <w:sz w:val="20"/>
                <w:szCs w:val="20"/>
              </w:rPr>
              <w:t>Treatment Regimen</w:t>
            </w:r>
          </w:p>
        </w:tc>
        <w:tc>
          <w:tcPr>
            <w:tcW w:w="3317" w:type="dxa"/>
            <w:tcBorders>
              <w:top w:val="single" w:sz="6" w:space="0" w:color="auto"/>
              <w:left w:val="single" w:sz="4" w:space="0" w:color="auto"/>
              <w:bottom w:val="single" w:sz="4" w:space="0" w:color="auto"/>
              <w:right w:val="single" w:sz="6" w:space="0" w:color="auto"/>
            </w:tcBorders>
            <w:shd w:val="clear" w:color="auto" w:fill="auto"/>
            <w:vAlign w:val="center"/>
          </w:tcPr>
          <w:p w14:paraId="0587C489" w14:textId="77777777" w:rsidR="0013332C" w:rsidRPr="007349BA" w:rsidRDefault="0013332C" w:rsidP="00E71C0E">
            <w:pPr>
              <w:spacing w:after="0"/>
              <w:jc w:val="center"/>
              <w:rPr>
                <w:b/>
                <w:sz w:val="20"/>
                <w:szCs w:val="20"/>
              </w:rPr>
            </w:pPr>
            <w:r w:rsidRPr="007349BA">
              <w:rPr>
                <w:b/>
                <w:sz w:val="20"/>
                <w:szCs w:val="20"/>
              </w:rPr>
              <w:t>Day 1</w:t>
            </w:r>
          </w:p>
        </w:tc>
        <w:tc>
          <w:tcPr>
            <w:tcW w:w="3190" w:type="dxa"/>
            <w:tcBorders>
              <w:top w:val="single" w:sz="6" w:space="0" w:color="auto"/>
              <w:left w:val="single" w:sz="6" w:space="0" w:color="auto"/>
              <w:bottom w:val="single" w:sz="4" w:space="0" w:color="auto"/>
              <w:right w:val="single" w:sz="6" w:space="0" w:color="auto"/>
            </w:tcBorders>
            <w:shd w:val="clear" w:color="auto" w:fill="auto"/>
            <w:vAlign w:val="center"/>
          </w:tcPr>
          <w:p w14:paraId="448B77CA" w14:textId="77777777" w:rsidR="0013332C" w:rsidRPr="007349BA" w:rsidRDefault="0013332C" w:rsidP="00E71C0E">
            <w:pPr>
              <w:spacing w:after="0"/>
              <w:jc w:val="center"/>
              <w:rPr>
                <w:b/>
                <w:sz w:val="20"/>
                <w:szCs w:val="20"/>
              </w:rPr>
            </w:pPr>
            <w:r w:rsidRPr="007349BA">
              <w:rPr>
                <w:b/>
                <w:sz w:val="20"/>
                <w:szCs w:val="20"/>
              </w:rPr>
              <w:t>Days 2 to 3</w:t>
            </w:r>
          </w:p>
        </w:tc>
      </w:tr>
      <w:tr w:rsidR="0013332C" w:rsidRPr="00F91701" w14:paraId="2AC86037" w14:textId="77777777" w:rsidTr="00E71C0E">
        <w:trPr>
          <w:trHeight w:val="432"/>
          <w:jc w:val="center"/>
        </w:trPr>
        <w:tc>
          <w:tcPr>
            <w:tcW w:w="2460" w:type="dxa"/>
            <w:tcBorders>
              <w:top w:val="single" w:sz="4" w:space="0" w:color="auto"/>
              <w:left w:val="single" w:sz="4" w:space="0" w:color="000000"/>
              <w:bottom w:val="single" w:sz="4" w:space="0" w:color="000000"/>
              <w:right w:val="single" w:sz="4" w:space="0" w:color="auto"/>
            </w:tcBorders>
            <w:vAlign w:val="center"/>
          </w:tcPr>
          <w:p w14:paraId="6ECC8FDF" w14:textId="77777777" w:rsidR="0013332C" w:rsidRPr="007349BA" w:rsidRDefault="0013332C" w:rsidP="00E71C0E">
            <w:pPr>
              <w:spacing w:after="0" w:line="360" w:lineRule="auto"/>
              <w:jc w:val="center"/>
              <w:rPr>
                <w:sz w:val="20"/>
                <w:szCs w:val="20"/>
              </w:rPr>
            </w:pPr>
            <w:r w:rsidRPr="007349BA">
              <w:rPr>
                <w:sz w:val="20"/>
                <w:szCs w:val="20"/>
              </w:rPr>
              <w:t>AKYNZEO</w:t>
            </w:r>
          </w:p>
        </w:tc>
        <w:tc>
          <w:tcPr>
            <w:tcW w:w="3317" w:type="dxa"/>
            <w:tcBorders>
              <w:top w:val="single" w:sz="4" w:space="0" w:color="auto"/>
              <w:left w:val="single" w:sz="4" w:space="0" w:color="auto"/>
              <w:bottom w:val="single" w:sz="4" w:space="0" w:color="000000"/>
              <w:right w:val="single" w:sz="6" w:space="0" w:color="auto"/>
            </w:tcBorders>
            <w:vAlign w:val="center"/>
          </w:tcPr>
          <w:p w14:paraId="38B856F2" w14:textId="77777777" w:rsidR="0013332C" w:rsidRPr="007349BA" w:rsidRDefault="0013332C" w:rsidP="00E71C0E">
            <w:pPr>
              <w:spacing w:after="0" w:line="360" w:lineRule="auto"/>
              <w:jc w:val="center"/>
              <w:rPr>
                <w:sz w:val="20"/>
                <w:szCs w:val="20"/>
                <w:lang w:val="it-CH"/>
              </w:rPr>
            </w:pPr>
            <w:r w:rsidRPr="007349BA">
              <w:rPr>
                <w:sz w:val="20"/>
                <w:szCs w:val="20"/>
                <w:lang w:val="it-CH"/>
              </w:rPr>
              <w:t>Netupitant 300 mg PO</w:t>
            </w:r>
          </w:p>
          <w:p w14:paraId="12EC625A" w14:textId="77777777" w:rsidR="0013332C" w:rsidRPr="007349BA" w:rsidRDefault="0013332C" w:rsidP="00E71C0E">
            <w:pPr>
              <w:spacing w:after="0" w:line="360" w:lineRule="auto"/>
              <w:jc w:val="center"/>
              <w:rPr>
                <w:sz w:val="20"/>
                <w:szCs w:val="20"/>
                <w:lang w:val="it-CH"/>
              </w:rPr>
            </w:pPr>
            <w:r w:rsidRPr="007349BA">
              <w:rPr>
                <w:sz w:val="20"/>
                <w:szCs w:val="20"/>
                <w:lang w:val="it-CH"/>
              </w:rPr>
              <w:t>Palonosetron 500 µg PO</w:t>
            </w:r>
          </w:p>
          <w:p w14:paraId="1185C168" w14:textId="77777777" w:rsidR="0013332C" w:rsidRPr="007349BA" w:rsidRDefault="0013332C" w:rsidP="00E71C0E">
            <w:pPr>
              <w:spacing w:after="0" w:line="360" w:lineRule="auto"/>
              <w:jc w:val="center"/>
              <w:rPr>
                <w:sz w:val="20"/>
                <w:szCs w:val="20"/>
                <w:lang w:val="it-CH"/>
              </w:rPr>
            </w:pPr>
            <w:r w:rsidRPr="007349BA">
              <w:rPr>
                <w:sz w:val="20"/>
                <w:szCs w:val="20"/>
                <w:lang w:val="it-CH"/>
              </w:rPr>
              <w:t>Dexamethasone* 12 mg PO</w:t>
            </w:r>
          </w:p>
        </w:tc>
        <w:tc>
          <w:tcPr>
            <w:tcW w:w="3190" w:type="dxa"/>
            <w:tcBorders>
              <w:top w:val="single" w:sz="4" w:space="0" w:color="auto"/>
              <w:left w:val="single" w:sz="6" w:space="0" w:color="auto"/>
              <w:bottom w:val="single" w:sz="4" w:space="0" w:color="000000"/>
              <w:right w:val="single" w:sz="6" w:space="0" w:color="auto"/>
            </w:tcBorders>
            <w:vAlign w:val="center"/>
          </w:tcPr>
          <w:p w14:paraId="53597AC9" w14:textId="77777777" w:rsidR="0013332C" w:rsidRPr="007349BA" w:rsidRDefault="0013332C" w:rsidP="00E71C0E">
            <w:pPr>
              <w:spacing w:after="0" w:line="360" w:lineRule="auto"/>
              <w:jc w:val="center"/>
              <w:rPr>
                <w:sz w:val="20"/>
                <w:szCs w:val="20"/>
              </w:rPr>
            </w:pPr>
            <w:r w:rsidRPr="007349BA">
              <w:rPr>
                <w:sz w:val="20"/>
                <w:szCs w:val="20"/>
              </w:rPr>
              <w:t>No antiemetic treatment</w:t>
            </w:r>
          </w:p>
        </w:tc>
      </w:tr>
      <w:tr w:rsidR="0013332C" w:rsidRPr="00F91701" w14:paraId="67234F03" w14:textId="77777777" w:rsidTr="00E71C0E">
        <w:trPr>
          <w:trHeight w:val="310"/>
          <w:jc w:val="center"/>
        </w:trPr>
        <w:tc>
          <w:tcPr>
            <w:tcW w:w="2460" w:type="dxa"/>
            <w:tcBorders>
              <w:top w:val="single" w:sz="4" w:space="0" w:color="000000"/>
              <w:left w:val="single" w:sz="4" w:space="0" w:color="000000"/>
              <w:bottom w:val="single" w:sz="6" w:space="0" w:color="000000"/>
              <w:right w:val="single" w:sz="4" w:space="0" w:color="auto"/>
            </w:tcBorders>
            <w:vAlign w:val="center"/>
          </w:tcPr>
          <w:p w14:paraId="641FE6BC" w14:textId="77777777" w:rsidR="0013332C" w:rsidRPr="007349BA" w:rsidRDefault="0013332C" w:rsidP="00E71C0E">
            <w:pPr>
              <w:spacing w:after="0" w:line="360" w:lineRule="auto"/>
              <w:jc w:val="center"/>
              <w:rPr>
                <w:sz w:val="20"/>
                <w:szCs w:val="20"/>
              </w:rPr>
            </w:pPr>
            <w:proofErr w:type="spellStart"/>
            <w:r w:rsidRPr="007349BA">
              <w:rPr>
                <w:sz w:val="20"/>
                <w:szCs w:val="20"/>
              </w:rPr>
              <w:t>Palonosetron</w:t>
            </w:r>
            <w:proofErr w:type="spellEnd"/>
          </w:p>
        </w:tc>
        <w:tc>
          <w:tcPr>
            <w:tcW w:w="3317" w:type="dxa"/>
            <w:tcBorders>
              <w:top w:val="single" w:sz="4" w:space="0" w:color="000000"/>
              <w:left w:val="single" w:sz="4" w:space="0" w:color="auto"/>
              <w:bottom w:val="single" w:sz="6" w:space="0" w:color="000000"/>
              <w:right w:val="single" w:sz="6" w:space="0" w:color="auto"/>
            </w:tcBorders>
            <w:vAlign w:val="center"/>
          </w:tcPr>
          <w:p w14:paraId="36E3A273" w14:textId="77777777" w:rsidR="0013332C" w:rsidRPr="007349BA" w:rsidRDefault="0013332C" w:rsidP="00E71C0E">
            <w:pPr>
              <w:spacing w:after="0" w:line="360" w:lineRule="auto"/>
              <w:jc w:val="center"/>
              <w:rPr>
                <w:sz w:val="20"/>
                <w:szCs w:val="20"/>
                <w:lang w:val="it-CH"/>
              </w:rPr>
            </w:pPr>
            <w:r w:rsidRPr="007349BA">
              <w:rPr>
                <w:sz w:val="20"/>
                <w:szCs w:val="20"/>
                <w:lang w:val="it-CH"/>
              </w:rPr>
              <w:t>Palonosetron 500 µg PO</w:t>
            </w:r>
          </w:p>
          <w:p w14:paraId="55DBDBAF" w14:textId="77777777" w:rsidR="0013332C" w:rsidRPr="007349BA" w:rsidRDefault="0013332C" w:rsidP="00E71C0E">
            <w:pPr>
              <w:spacing w:after="0" w:line="360" w:lineRule="auto"/>
              <w:jc w:val="center"/>
              <w:rPr>
                <w:sz w:val="20"/>
                <w:szCs w:val="20"/>
                <w:lang w:val="it-CH"/>
              </w:rPr>
            </w:pPr>
            <w:r w:rsidRPr="007349BA">
              <w:rPr>
                <w:sz w:val="20"/>
                <w:szCs w:val="20"/>
                <w:lang w:val="it-CH"/>
              </w:rPr>
              <w:t>Dexamethasone 20 mg PO</w:t>
            </w:r>
          </w:p>
        </w:tc>
        <w:tc>
          <w:tcPr>
            <w:tcW w:w="3190" w:type="dxa"/>
            <w:tcBorders>
              <w:top w:val="single" w:sz="4" w:space="0" w:color="000000"/>
              <w:left w:val="single" w:sz="6" w:space="0" w:color="auto"/>
              <w:bottom w:val="single" w:sz="6" w:space="0" w:color="000000"/>
              <w:right w:val="single" w:sz="6" w:space="0" w:color="auto"/>
            </w:tcBorders>
            <w:vAlign w:val="center"/>
          </w:tcPr>
          <w:p w14:paraId="6E87B478" w14:textId="77777777" w:rsidR="0013332C" w:rsidRPr="007349BA" w:rsidRDefault="0013332C" w:rsidP="00E71C0E">
            <w:pPr>
              <w:spacing w:after="0" w:line="360" w:lineRule="auto"/>
              <w:jc w:val="center"/>
              <w:rPr>
                <w:sz w:val="20"/>
                <w:szCs w:val="20"/>
              </w:rPr>
            </w:pPr>
            <w:r w:rsidRPr="007349BA">
              <w:rPr>
                <w:sz w:val="20"/>
                <w:szCs w:val="20"/>
              </w:rPr>
              <w:t>No antiemetic treatment</w:t>
            </w:r>
          </w:p>
        </w:tc>
      </w:tr>
    </w:tbl>
    <w:p w14:paraId="509B03D3" w14:textId="77777777" w:rsidR="0013332C" w:rsidRPr="002D6C7F" w:rsidRDefault="0013332C" w:rsidP="0013332C">
      <w:pPr>
        <w:spacing w:before="240"/>
        <w:rPr>
          <w:sz w:val="20"/>
          <w:szCs w:val="20"/>
        </w:rPr>
      </w:pPr>
      <w:r w:rsidRPr="00CA2D75">
        <w:rPr>
          <w:sz w:val="20"/>
          <w:szCs w:val="20"/>
        </w:rPr>
        <w:t xml:space="preserve">*Dexamethasone should be administered 30 minutes prior to chemotherapy treatment on Day 1. The dose of dexamethasone </w:t>
      </w:r>
      <w:r>
        <w:rPr>
          <w:sz w:val="20"/>
          <w:szCs w:val="20"/>
        </w:rPr>
        <w:t>accounts for drug interactions.</w:t>
      </w:r>
    </w:p>
    <w:p w14:paraId="65EE9868" w14:textId="1F7DC94D" w:rsidR="0013332C" w:rsidRPr="002608BB" w:rsidRDefault="0013332C" w:rsidP="0013332C">
      <w:r w:rsidRPr="002608BB">
        <w:t>After completion of cycle 1, patients had the option to participate in a multiple-cycle extension, receiving the same treatment as assigned in cycle 1.  There was no pre-specified limit of the number of repeat consecutive cycles for any patient. A total of 1450 patients (</w:t>
      </w:r>
      <w:r>
        <w:t>AKYNZEO</w:t>
      </w:r>
      <w:r w:rsidRPr="002608BB">
        <w:t xml:space="preserve"> n=725; </w:t>
      </w:r>
      <w:proofErr w:type="spellStart"/>
      <w:r w:rsidRPr="002608BB">
        <w:t>Palonosetron</w:t>
      </w:r>
      <w:proofErr w:type="spellEnd"/>
      <w:r w:rsidRPr="002608BB">
        <w:t xml:space="preserve"> n=725) actually received s</w:t>
      </w:r>
      <w:r>
        <w:t xml:space="preserve">tudy medication: of these, 1438 </w:t>
      </w:r>
      <w:r w:rsidRPr="002608BB">
        <w:t>p</w:t>
      </w:r>
      <w:r>
        <w:t xml:space="preserve">atients (98.8%) completed cycle 1 and 1286 </w:t>
      </w:r>
      <w:r w:rsidRPr="002608BB">
        <w:t>patients (88.4%) continued treatment in the multiple</w:t>
      </w:r>
      <w:r w:rsidRPr="002608BB">
        <w:noBreakHyphen/>
        <w:t>cycle extension. A total of 907 patients (62.3%) completed the multiple</w:t>
      </w:r>
      <w:r w:rsidRPr="002608BB">
        <w:noBreakHyphen/>
        <w:t>cycle extension up to a maximum of eight treatment cycles.</w:t>
      </w:r>
      <w:r w:rsidR="00514F51">
        <w:t xml:space="preserve"> </w:t>
      </w:r>
    </w:p>
    <w:p w14:paraId="0D59B70F" w14:textId="77777777" w:rsidR="0013332C" w:rsidRPr="002D6C7F" w:rsidRDefault="0013332C" w:rsidP="0013332C">
      <w:r w:rsidRPr="002608BB">
        <w:t xml:space="preserve">Of the 725 patients who received </w:t>
      </w:r>
      <w:r>
        <w:t>AKYNZEO</w:t>
      </w:r>
      <w:r w:rsidRPr="002608BB">
        <w:t xml:space="preserve"> study medication, 711 (98%) were women; 79% were White, 14% Asian, 6% Hispanic, and &lt;1% were Black or Other. Age ranged from 22 to 79 years, with a median age of 54 years. A total of 724 patients (99.9%) were treated with cyclophosphamide. All patients were additionally treated with either doxorubicin</w:t>
      </w:r>
      <w:r>
        <w:t xml:space="preserve"> (68.0%) or </w:t>
      </w:r>
      <w:proofErr w:type="spellStart"/>
      <w:r>
        <w:t>epirubicin</w:t>
      </w:r>
      <w:proofErr w:type="spellEnd"/>
      <w:r>
        <w:t xml:space="preserve"> (32.0%).</w:t>
      </w:r>
    </w:p>
    <w:p w14:paraId="45D075CB" w14:textId="77777777" w:rsidR="0013332C" w:rsidRPr="002D6C7F" w:rsidRDefault="0013332C" w:rsidP="0013332C">
      <w:pPr>
        <w:rPr>
          <w:lang w:val="en-US"/>
        </w:rPr>
      </w:pPr>
      <w:r w:rsidRPr="002608BB">
        <w:rPr>
          <w:lang w:val="en-US"/>
        </w:rPr>
        <w:t xml:space="preserve">During the first cycle, 32% of the 725 patients treated with </w:t>
      </w:r>
      <w:r>
        <w:rPr>
          <w:lang w:val="en-US"/>
        </w:rPr>
        <w:t>AKYNZEO</w:t>
      </w:r>
      <w:r w:rsidRPr="002608BB">
        <w:rPr>
          <w:lang w:val="en-US"/>
        </w:rPr>
        <w:t xml:space="preserve"> received a concomitant chemotherapeutic agent in addition to protocol-mandated regimens, with the most common chemotherapeutic being fluorouraci</w:t>
      </w:r>
      <w:r>
        <w:rPr>
          <w:lang w:val="en-US"/>
        </w:rPr>
        <w:t>l (28.3%) and docetaxel (2.6%).</w:t>
      </w:r>
    </w:p>
    <w:p w14:paraId="6943C130" w14:textId="77777777" w:rsidR="0013332C" w:rsidRPr="002608BB" w:rsidRDefault="0013332C" w:rsidP="0013332C">
      <w:r w:rsidRPr="002608BB">
        <w:t>The primary efficacy endpoint was the CR rate in the delayed phase, 25-120 hours after the start of the chemotherapy administration. Major secondary efficacy endpoints included:</w:t>
      </w:r>
    </w:p>
    <w:p w14:paraId="67574379" w14:textId="77777777" w:rsidR="0013332C" w:rsidRPr="00424046" w:rsidRDefault="0013332C" w:rsidP="00E71C0E">
      <w:pPr>
        <w:pStyle w:val="ListParagraph"/>
        <w:numPr>
          <w:ilvl w:val="0"/>
          <w:numId w:val="9"/>
        </w:numPr>
      </w:pPr>
      <w:r w:rsidRPr="00424046">
        <w:t>CR for the acute and the overall phase;</w:t>
      </w:r>
    </w:p>
    <w:p w14:paraId="19C46E86" w14:textId="77777777" w:rsidR="0013332C" w:rsidRPr="00424046" w:rsidRDefault="0013332C" w:rsidP="00E71C0E">
      <w:pPr>
        <w:pStyle w:val="ListParagraph"/>
        <w:numPr>
          <w:ilvl w:val="0"/>
          <w:numId w:val="9"/>
        </w:numPr>
      </w:pPr>
      <w:r w:rsidRPr="00424046">
        <w:t>Complete protection (defined as no emesis, no rescue therapy, no significant nausea) for the delayed, the acute and the overall phase;</w:t>
      </w:r>
    </w:p>
    <w:p w14:paraId="1FD0BDEF" w14:textId="77777777" w:rsidR="0013332C" w:rsidRPr="00424046" w:rsidRDefault="0013332C" w:rsidP="00E71C0E">
      <w:pPr>
        <w:pStyle w:val="ListParagraph"/>
        <w:numPr>
          <w:ilvl w:val="0"/>
          <w:numId w:val="9"/>
        </w:numPr>
      </w:pPr>
      <w:r w:rsidRPr="00424046">
        <w:t>No emesis for the delayed, the acute and the overall phase;</w:t>
      </w:r>
    </w:p>
    <w:p w14:paraId="26133698" w14:textId="77777777" w:rsidR="0013332C" w:rsidRPr="002D6C7F" w:rsidRDefault="0013332C" w:rsidP="00E71C0E">
      <w:pPr>
        <w:pStyle w:val="ListParagraph"/>
        <w:numPr>
          <w:ilvl w:val="0"/>
          <w:numId w:val="9"/>
        </w:numPr>
      </w:pPr>
      <w:r w:rsidRPr="00424046">
        <w:t>No significant nausea (maximum VAS &lt;25 mm) and no nausea (maximum VAS &lt;5 mm) for the delayed, t</w:t>
      </w:r>
      <w:r>
        <w:t>he acute and the overall phase.</w:t>
      </w:r>
    </w:p>
    <w:p w14:paraId="4A22249C" w14:textId="612A74A0" w:rsidR="0013332C" w:rsidRPr="002D6C7F" w:rsidRDefault="0013332C" w:rsidP="0013332C">
      <w:pPr>
        <w:rPr>
          <w:color w:val="000000"/>
        </w:rPr>
      </w:pPr>
      <w:r w:rsidRPr="002608BB">
        <w:rPr>
          <w:color w:val="000000"/>
        </w:rPr>
        <w:t xml:space="preserve">A summary of the key results </w:t>
      </w:r>
      <w:r>
        <w:rPr>
          <w:color w:val="000000"/>
        </w:rPr>
        <w:t xml:space="preserve">from Study 2 is shown in </w:t>
      </w:r>
      <w:r w:rsidRPr="00E71C0E">
        <w:rPr>
          <w:color w:val="000000"/>
        </w:rPr>
        <w:t xml:space="preserve">Table </w:t>
      </w:r>
      <w:r w:rsidR="00833CEC">
        <w:rPr>
          <w:color w:val="000000"/>
        </w:rPr>
        <w:t>6</w:t>
      </w:r>
      <w:r w:rsidRPr="009E550B">
        <w:rPr>
          <w:color w:val="000000"/>
        </w:rPr>
        <w:t>.</w:t>
      </w:r>
    </w:p>
    <w:p w14:paraId="1AE341C7" w14:textId="34C90587" w:rsidR="0013332C" w:rsidRPr="009E3587" w:rsidRDefault="0013332C" w:rsidP="0035369C">
      <w:pPr>
        <w:rPr>
          <w:sz w:val="20"/>
          <w:szCs w:val="20"/>
        </w:rPr>
      </w:pPr>
      <w:r w:rsidRPr="00E71C0E">
        <w:rPr>
          <w:b/>
          <w:sz w:val="20"/>
          <w:szCs w:val="20"/>
        </w:rPr>
        <w:t xml:space="preserve">Table </w:t>
      </w:r>
      <w:r w:rsidR="00833CEC">
        <w:rPr>
          <w:b/>
          <w:sz w:val="20"/>
          <w:szCs w:val="20"/>
        </w:rPr>
        <w:t>6</w:t>
      </w:r>
      <w:r w:rsidRPr="00E71C0E">
        <w:rPr>
          <w:b/>
          <w:sz w:val="20"/>
          <w:szCs w:val="20"/>
        </w:rPr>
        <w:t>:</w:t>
      </w:r>
      <w:r w:rsidRPr="009E3587">
        <w:rPr>
          <w:b/>
          <w:sz w:val="20"/>
          <w:szCs w:val="20"/>
        </w:rPr>
        <w:t xml:space="preserve"> </w:t>
      </w:r>
      <w:r w:rsidRPr="009E3587">
        <w:rPr>
          <w:sz w:val="20"/>
          <w:szCs w:val="20"/>
        </w:rPr>
        <w:t xml:space="preserve"> Proportion of Patients Receiving </w:t>
      </w:r>
      <w:proofErr w:type="spellStart"/>
      <w:r w:rsidRPr="009E3587">
        <w:rPr>
          <w:sz w:val="20"/>
          <w:szCs w:val="20"/>
        </w:rPr>
        <w:t>Anthracycline</w:t>
      </w:r>
      <w:proofErr w:type="spellEnd"/>
      <w:r w:rsidRPr="009E3587">
        <w:rPr>
          <w:sz w:val="20"/>
          <w:szCs w:val="20"/>
        </w:rPr>
        <w:t xml:space="preserve"> and Cyclophosphamide Chemotherapy Responding by Treatment Group and Phase – Cycle 1</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28"/>
        <w:gridCol w:w="1624"/>
        <w:gridCol w:w="1624"/>
        <w:gridCol w:w="2309"/>
      </w:tblGrid>
      <w:tr w:rsidR="00507F41" w:rsidRPr="00F91701" w14:paraId="6E1788C7" w14:textId="77777777" w:rsidTr="00FA3E07">
        <w:trPr>
          <w:trHeight w:val="841"/>
        </w:trPr>
        <w:tc>
          <w:tcPr>
            <w:tcW w:w="3528" w:type="dxa"/>
            <w:shd w:val="clear" w:color="auto" w:fill="auto"/>
            <w:tcMar>
              <w:top w:w="13" w:type="dxa"/>
              <w:left w:w="13" w:type="dxa"/>
              <w:bottom w:w="0" w:type="dxa"/>
              <w:right w:w="13" w:type="dxa"/>
            </w:tcMar>
            <w:vAlign w:val="center"/>
          </w:tcPr>
          <w:p w14:paraId="1B5F1F40" w14:textId="77777777" w:rsidR="00507F41" w:rsidRPr="00D64A5C" w:rsidRDefault="00507F41" w:rsidP="00E71C0E">
            <w:pPr>
              <w:spacing w:after="0"/>
              <w:jc w:val="center"/>
              <w:rPr>
                <w:sz w:val="20"/>
                <w:szCs w:val="20"/>
              </w:rPr>
            </w:pPr>
          </w:p>
        </w:tc>
        <w:tc>
          <w:tcPr>
            <w:tcW w:w="1624" w:type="dxa"/>
            <w:shd w:val="clear" w:color="auto" w:fill="auto"/>
            <w:tcMar>
              <w:top w:w="13" w:type="dxa"/>
              <w:left w:w="13" w:type="dxa"/>
              <w:bottom w:w="0" w:type="dxa"/>
              <w:right w:w="13" w:type="dxa"/>
            </w:tcMar>
            <w:vAlign w:val="center"/>
          </w:tcPr>
          <w:p w14:paraId="7239BF20" w14:textId="77777777" w:rsidR="00507F41" w:rsidRPr="00E71C0E" w:rsidRDefault="00507F41" w:rsidP="00E71C0E">
            <w:pPr>
              <w:spacing w:after="0" w:line="240" w:lineRule="auto"/>
              <w:jc w:val="center"/>
              <w:rPr>
                <w:b/>
                <w:sz w:val="20"/>
                <w:szCs w:val="20"/>
              </w:rPr>
            </w:pPr>
            <w:r w:rsidRPr="00E71C0E">
              <w:rPr>
                <w:b/>
                <w:sz w:val="20"/>
                <w:szCs w:val="20"/>
              </w:rPr>
              <w:t>AKYNZEO</w:t>
            </w:r>
          </w:p>
          <w:p w14:paraId="2C6615A7" w14:textId="77777777" w:rsidR="00507F41" w:rsidRPr="00E71C0E" w:rsidRDefault="00507F41" w:rsidP="00E71C0E">
            <w:pPr>
              <w:spacing w:after="0" w:line="240" w:lineRule="auto"/>
              <w:jc w:val="center"/>
              <w:rPr>
                <w:b/>
                <w:sz w:val="20"/>
                <w:szCs w:val="20"/>
              </w:rPr>
            </w:pPr>
            <w:r w:rsidRPr="00E71C0E">
              <w:rPr>
                <w:b/>
                <w:sz w:val="20"/>
                <w:szCs w:val="20"/>
              </w:rPr>
              <w:t>N=724</w:t>
            </w:r>
          </w:p>
          <w:p w14:paraId="2B3E9751" w14:textId="63597837" w:rsidR="00507F41" w:rsidRPr="00E71C0E" w:rsidRDefault="00507F41" w:rsidP="00E71C0E">
            <w:pPr>
              <w:spacing w:after="0" w:line="240" w:lineRule="auto"/>
              <w:jc w:val="center"/>
              <w:rPr>
                <w:b/>
                <w:sz w:val="20"/>
                <w:szCs w:val="20"/>
              </w:rPr>
            </w:pPr>
            <w:r w:rsidRPr="00E71C0E">
              <w:rPr>
                <w:b/>
                <w:sz w:val="20"/>
                <w:szCs w:val="20"/>
              </w:rPr>
              <w:t>%</w:t>
            </w:r>
          </w:p>
        </w:tc>
        <w:tc>
          <w:tcPr>
            <w:tcW w:w="1624" w:type="dxa"/>
            <w:shd w:val="clear" w:color="auto" w:fill="auto"/>
            <w:tcMar>
              <w:top w:w="13" w:type="dxa"/>
              <w:left w:w="13" w:type="dxa"/>
              <w:bottom w:w="0" w:type="dxa"/>
              <w:right w:w="13" w:type="dxa"/>
            </w:tcMar>
            <w:vAlign w:val="center"/>
          </w:tcPr>
          <w:p w14:paraId="1B3FD9B1" w14:textId="77777777" w:rsidR="00507F41" w:rsidRPr="00E71C0E" w:rsidRDefault="00507F41" w:rsidP="00E71C0E">
            <w:pPr>
              <w:spacing w:after="0" w:line="240" w:lineRule="auto"/>
              <w:jc w:val="center"/>
              <w:rPr>
                <w:b/>
                <w:sz w:val="20"/>
                <w:szCs w:val="20"/>
              </w:rPr>
            </w:pPr>
            <w:proofErr w:type="spellStart"/>
            <w:r w:rsidRPr="00E71C0E">
              <w:rPr>
                <w:b/>
                <w:sz w:val="20"/>
                <w:szCs w:val="20"/>
              </w:rPr>
              <w:t>Palonosetron</w:t>
            </w:r>
            <w:proofErr w:type="spellEnd"/>
          </w:p>
          <w:p w14:paraId="2AF57F20" w14:textId="77777777" w:rsidR="00507F41" w:rsidRPr="00E71C0E" w:rsidRDefault="00507F41" w:rsidP="00E71C0E">
            <w:pPr>
              <w:spacing w:after="0" w:line="240" w:lineRule="auto"/>
              <w:jc w:val="center"/>
              <w:rPr>
                <w:b/>
                <w:sz w:val="20"/>
                <w:szCs w:val="20"/>
              </w:rPr>
            </w:pPr>
            <w:r w:rsidRPr="00E71C0E">
              <w:rPr>
                <w:b/>
                <w:sz w:val="20"/>
                <w:szCs w:val="20"/>
              </w:rPr>
              <w:t>500 µg PO</w:t>
            </w:r>
          </w:p>
          <w:p w14:paraId="271AC9F7" w14:textId="77777777" w:rsidR="00507F41" w:rsidRPr="00E71C0E" w:rsidRDefault="00507F41" w:rsidP="00E71C0E">
            <w:pPr>
              <w:spacing w:after="0" w:line="240" w:lineRule="auto"/>
              <w:jc w:val="center"/>
              <w:rPr>
                <w:b/>
                <w:sz w:val="20"/>
                <w:szCs w:val="20"/>
              </w:rPr>
            </w:pPr>
            <w:r w:rsidRPr="00E71C0E">
              <w:rPr>
                <w:b/>
                <w:sz w:val="20"/>
                <w:szCs w:val="20"/>
              </w:rPr>
              <w:t>N=725</w:t>
            </w:r>
          </w:p>
          <w:p w14:paraId="7B8F17EA" w14:textId="49C2CC51" w:rsidR="00507F41" w:rsidRPr="00E71C0E" w:rsidRDefault="00507F41" w:rsidP="00E71C0E">
            <w:pPr>
              <w:spacing w:after="0" w:line="240" w:lineRule="auto"/>
              <w:jc w:val="center"/>
              <w:rPr>
                <w:b/>
                <w:sz w:val="20"/>
                <w:szCs w:val="20"/>
              </w:rPr>
            </w:pPr>
            <w:r w:rsidRPr="00E71C0E">
              <w:rPr>
                <w:b/>
                <w:sz w:val="20"/>
                <w:szCs w:val="20"/>
              </w:rPr>
              <w:t>%</w:t>
            </w:r>
          </w:p>
        </w:tc>
        <w:tc>
          <w:tcPr>
            <w:tcW w:w="2309" w:type="dxa"/>
            <w:shd w:val="clear" w:color="auto" w:fill="auto"/>
            <w:tcMar>
              <w:top w:w="13" w:type="dxa"/>
              <w:left w:w="13" w:type="dxa"/>
              <w:bottom w:w="0" w:type="dxa"/>
              <w:right w:w="13" w:type="dxa"/>
            </w:tcMar>
            <w:vAlign w:val="center"/>
          </w:tcPr>
          <w:p w14:paraId="3B956A30" w14:textId="104C4843" w:rsidR="00507F41" w:rsidRPr="00E71C0E" w:rsidRDefault="00507F41" w:rsidP="00E71C0E">
            <w:pPr>
              <w:spacing w:after="0" w:line="240" w:lineRule="auto"/>
              <w:jc w:val="center"/>
              <w:rPr>
                <w:b/>
                <w:sz w:val="20"/>
                <w:szCs w:val="20"/>
              </w:rPr>
            </w:pPr>
            <w:r w:rsidRPr="00E71C0E">
              <w:rPr>
                <w:b/>
                <w:sz w:val="20"/>
                <w:szCs w:val="20"/>
              </w:rPr>
              <w:t>p-value*</w:t>
            </w:r>
          </w:p>
        </w:tc>
      </w:tr>
      <w:tr w:rsidR="00D6618B" w:rsidRPr="00F91701" w14:paraId="42775DA2" w14:textId="77777777" w:rsidTr="00C82913">
        <w:trPr>
          <w:trHeight w:hRule="exact" w:val="340"/>
        </w:trPr>
        <w:tc>
          <w:tcPr>
            <w:tcW w:w="9085" w:type="dxa"/>
            <w:gridSpan w:val="4"/>
            <w:shd w:val="clear" w:color="auto" w:fill="auto"/>
            <w:tcMar>
              <w:top w:w="13" w:type="dxa"/>
              <w:left w:w="13" w:type="dxa"/>
              <w:bottom w:w="0" w:type="dxa"/>
              <w:right w:w="13" w:type="dxa"/>
            </w:tcMar>
            <w:vAlign w:val="center"/>
          </w:tcPr>
          <w:p w14:paraId="695D7C53" w14:textId="668A1614" w:rsidR="00D6618B" w:rsidRPr="00D64A5C" w:rsidRDefault="00D6618B" w:rsidP="00D6618B">
            <w:pPr>
              <w:rPr>
                <w:sz w:val="20"/>
                <w:szCs w:val="20"/>
              </w:rPr>
            </w:pPr>
            <w:r w:rsidRPr="00E71C0E">
              <w:rPr>
                <w:b/>
                <w:sz w:val="20"/>
                <w:szCs w:val="20"/>
              </w:rPr>
              <w:t>PRIMARY ENDPOINT</w:t>
            </w:r>
          </w:p>
        </w:tc>
      </w:tr>
      <w:tr w:rsidR="00D6618B" w:rsidRPr="00F91701" w14:paraId="40A62BA7" w14:textId="77777777" w:rsidTr="00EE691B">
        <w:trPr>
          <w:trHeight w:hRule="exact" w:val="340"/>
        </w:trPr>
        <w:tc>
          <w:tcPr>
            <w:tcW w:w="9085" w:type="dxa"/>
            <w:gridSpan w:val="4"/>
            <w:shd w:val="clear" w:color="auto" w:fill="auto"/>
            <w:tcMar>
              <w:top w:w="13" w:type="dxa"/>
              <w:left w:w="13" w:type="dxa"/>
              <w:bottom w:w="0" w:type="dxa"/>
              <w:right w:w="13" w:type="dxa"/>
            </w:tcMar>
            <w:vAlign w:val="center"/>
          </w:tcPr>
          <w:p w14:paraId="1A336493" w14:textId="061EFF12" w:rsidR="00D6618B" w:rsidRPr="00D64A5C" w:rsidRDefault="00D6618B" w:rsidP="00D6618B">
            <w:pPr>
              <w:rPr>
                <w:sz w:val="20"/>
                <w:szCs w:val="20"/>
              </w:rPr>
            </w:pPr>
            <w:r w:rsidRPr="00E71C0E">
              <w:rPr>
                <w:b/>
                <w:sz w:val="20"/>
                <w:szCs w:val="20"/>
              </w:rPr>
              <w:t>COMPLETE RESPONSE</w:t>
            </w:r>
          </w:p>
        </w:tc>
      </w:tr>
      <w:tr w:rsidR="0013332C" w:rsidRPr="00F91701" w14:paraId="01575362" w14:textId="77777777" w:rsidTr="00FA3E07">
        <w:trPr>
          <w:trHeight w:hRule="exact" w:val="340"/>
        </w:trPr>
        <w:tc>
          <w:tcPr>
            <w:tcW w:w="3528" w:type="dxa"/>
            <w:shd w:val="clear" w:color="auto" w:fill="auto"/>
            <w:tcMar>
              <w:top w:w="13" w:type="dxa"/>
              <w:left w:w="13" w:type="dxa"/>
              <w:bottom w:w="0" w:type="dxa"/>
              <w:right w:w="13" w:type="dxa"/>
            </w:tcMar>
            <w:vAlign w:val="center"/>
          </w:tcPr>
          <w:p w14:paraId="41E56DC0" w14:textId="32AA7B7C" w:rsidR="0013332C" w:rsidRPr="00D64A5C" w:rsidRDefault="0013332C" w:rsidP="00E71C0E">
            <w:pPr>
              <w:jc w:val="center"/>
              <w:rPr>
                <w:sz w:val="20"/>
                <w:szCs w:val="20"/>
              </w:rPr>
            </w:pPr>
            <w:r w:rsidRPr="00D64A5C">
              <w:rPr>
                <w:sz w:val="20"/>
                <w:szCs w:val="20"/>
              </w:rPr>
              <w:t>Delayed Phase</w:t>
            </w:r>
            <w:r w:rsidRPr="00D64A5C">
              <w:rPr>
                <w:sz w:val="20"/>
                <w:szCs w:val="20"/>
                <w:vertAlign w:val="superscript"/>
              </w:rPr>
              <w:t>†</w:t>
            </w:r>
          </w:p>
        </w:tc>
        <w:tc>
          <w:tcPr>
            <w:tcW w:w="1624" w:type="dxa"/>
            <w:shd w:val="clear" w:color="auto" w:fill="auto"/>
            <w:tcMar>
              <w:top w:w="13" w:type="dxa"/>
              <w:left w:w="13" w:type="dxa"/>
              <w:bottom w:w="0" w:type="dxa"/>
              <w:right w:w="13" w:type="dxa"/>
            </w:tcMar>
            <w:vAlign w:val="center"/>
          </w:tcPr>
          <w:p w14:paraId="19B02E8D" w14:textId="77777777" w:rsidR="0013332C" w:rsidRPr="00D64A5C" w:rsidRDefault="0013332C" w:rsidP="00E71C0E">
            <w:pPr>
              <w:jc w:val="center"/>
              <w:rPr>
                <w:sz w:val="20"/>
                <w:szCs w:val="20"/>
              </w:rPr>
            </w:pPr>
            <w:r w:rsidRPr="00D64A5C">
              <w:rPr>
                <w:sz w:val="20"/>
                <w:szCs w:val="20"/>
              </w:rPr>
              <w:t>76.9</w:t>
            </w:r>
          </w:p>
        </w:tc>
        <w:tc>
          <w:tcPr>
            <w:tcW w:w="1624" w:type="dxa"/>
            <w:shd w:val="clear" w:color="auto" w:fill="auto"/>
            <w:tcMar>
              <w:top w:w="13" w:type="dxa"/>
              <w:left w:w="13" w:type="dxa"/>
              <w:bottom w:w="0" w:type="dxa"/>
              <w:right w:w="13" w:type="dxa"/>
            </w:tcMar>
            <w:vAlign w:val="center"/>
          </w:tcPr>
          <w:p w14:paraId="16F69BDC" w14:textId="77777777" w:rsidR="0013332C" w:rsidRPr="00D64A5C" w:rsidRDefault="0013332C" w:rsidP="00E71C0E">
            <w:pPr>
              <w:jc w:val="center"/>
              <w:rPr>
                <w:sz w:val="20"/>
                <w:szCs w:val="20"/>
              </w:rPr>
            </w:pPr>
            <w:r w:rsidRPr="00D64A5C">
              <w:rPr>
                <w:sz w:val="20"/>
                <w:szCs w:val="20"/>
              </w:rPr>
              <w:t>69.5</w:t>
            </w:r>
          </w:p>
        </w:tc>
        <w:tc>
          <w:tcPr>
            <w:tcW w:w="2309" w:type="dxa"/>
            <w:shd w:val="clear" w:color="auto" w:fill="auto"/>
            <w:tcMar>
              <w:top w:w="13" w:type="dxa"/>
              <w:left w:w="13" w:type="dxa"/>
              <w:bottom w:w="0" w:type="dxa"/>
              <w:right w:w="13" w:type="dxa"/>
            </w:tcMar>
            <w:vAlign w:val="center"/>
          </w:tcPr>
          <w:p w14:paraId="0DC60916" w14:textId="77777777" w:rsidR="0013332C" w:rsidRPr="00D64A5C" w:rsidRDefault="0013332C" w:rsidP="00E71C0E">
            <w:pPr>
              <w:jc w:val="center"/>
              <w:rPr>
                <w:sz w:val="20"/>
                <w:szCs w:val="20"/>
              </w:rPr>
            </w:pPr>
            <w:r w:rsidRPr="00D64A5C">
              <w:rPr>
                <w:sz w:val="20"/>
                <w:szCs w:val="20"/>
              </w:rPr>
              <w:t>0.001</w:t>
            </w:r>
          </w:p>
        </w:tc>
      </w:tr>
      <w:tr w:rsidR="00D6618B" w:rsidRPr="00F91701" w14:paraId="221EA814" w14:textId="77777777" w:rsidTr="00906D5D">
        <w:trPr>
          <w:trHeight w:hRule="exact" w:val="566"/>
        </w:trPr>
        <w:tc>
          <w:tcPr>
            <w:tcW w:w="9085" w:type="dxa"/>
            <w:gridSpan w:val="4"/>
            <w:shd w:val="clear" w:color="auto" w:fill="auto"/>
            <w:tcMar>
              <w:top w:w="13" w:type="dxa"/>
              <w:left w:w="13" w:type="dxa"/>
              <w:bottom w:w="0" w:type="dxa"/>
              <w:right w:w="13" w:type="dxa"/>
            </w:tcMar>
            <w:vAlign w:val="center"/>
          </w:tcPr>
          <w:p w14:paraId="42F09205" w14:textId="69637C1F" w:rsidR="00D6618B" w:rsidRPr="00D64A5C" w:rsidRDefault="00D6618B" w:rsidP="00D6618B">
            <w:pPr>
              <w:rPr>
                <w:sz w:val="20"/>
                <w:szCs w:val="20"/>
              </w:rPr>
            </w:pPr>
            <w:r w:rsidRPr="00E71C0E">
              <w:rPr>
                <w:b/>
                <w:sz w:val="20"/>
                <w:szCs w:val="20"/>
              </w:rPr>
              <w:t>MAJOR SECONDARY ENDPOINTS</w:t>
            </w:r>
          </w:p>
        </w:tc>
      </w:tr>
      <w:tr w:rsidR="00D6618B" w:rsidRPr="00F91701" w14:paraId="07AA432B" w14:textId="77777777" w:rsidTr="0097050C">
        <w:trPr>
          <w:trHeight w:hRule="exact" w:val="340"/>
        </w:trPr>
        <w:tc>
          <w:tcPr>
            <w:tcW w:w="9085" w:type="dxa"/>
            <w:gridSpan w:val="4"/>
            <w:shd w:val="clear" w:color="auto" w:fill="auto"/>
            <w:tcMar>
              <w:top w:w="13" w:type="dxa"/>
              <w:left w:w="13" w:type="dxa"/>
              <w:bottom w:w="0" w:type="dxa"/>
              <w:right w:w="13" w:type="dxa"/>
            </w:tcMar>
            <w:vAlign w:val="center"/>
          </w:tcPr>
          <w:p w14:paraId="5F4225A0" w14:textId="50884EF1" w:rsidR="00D6618B" w:rsidRPr="00D64A5C" w:rsidRDefault="00D6618B" w:rsidP="00D6618B">
            <w:pPr>
              <w:rPr>
                <w:sz w:val="20"/>
                <w:szCs w:val="20"/>
              </w:rPr>
            </w:pPr>
            <w:r w:rsidRPr="00E71C0E">
              <w:rPr>
                <w:b/>
                <w:sz w:val="20"/>
                <w:szCs w:val="20"/>
              </w:rPr>
              <w:t>COMPLETE RESPONSE</w:t>
            </w:r>
          </w:p>
        </w:tc>
      </w:tr>
      <w:tr w:rsidR="0013332C" w:rsidRPr="00F91701" w14:paraId="4DEEFA4E" w14:textId="77777777" w:rsidTr="00FA3E07">
        <w:trPr>
          <w:trHeight w:hRule="exact" w:val="340"/>
        </w:trPr>
        <w:tc>
          <w:tcPr>
            <w:tcW w:w="3528" w:type="dxa"/>
            <w:shd w:val="clear" w:color="auto" w:fill="auto"/>
            <w:tcMar>
              <w:top w:w="13" w:type="dxa"/>
              <w:left w:w="13" w:type="dxa"/>
              <w:bottom w:w="0" w:type="dxa"/>
              <w:right w:w="13" w:type="dxa"/>
            </w:tcMar>
            <w:vAlign w:val="center"/>
          </w:tcPr>
          <w:p w14:paraId="29DF8C82" w14:textId="51500B01" w:rsidR="0013332C" w:rsidRPr="00D64A5C" w:rsidRDefault="0013332C" w:rsidP="00E71C0E">
            <w:pPr>
              <w:jc w:val="center"/>
              <w:rPr>
                <w:sz w:val="20"/>
                <w:szCs w:val="20"/>
              </w:rPr>
            </w:pPr>
            <w:r w:rsidRPr="00D64A5C">
              <w:rPr>
                <w:sz w:val="20"/>
                <w:szCs w:val="20"/>
              </w:rPr>
              <w:t>Acute Phase</w:t>
            </w:r>
            <w:r w:rsidRPr="00D64A5C">
              <w:rPr>
                <w:sz w:val="20"/>
                <w:szCs w:val="20"/>
                <w:vertAlign w:val="superscript"/>
              </w:rPr>
              <w:t>‡</w:t>
            </w:r>
          </w:p>
        </w:tc>
        <w:tc>
          <w:tcPr>
            <w:tcW w:w="1624" w:type="dxa"/>
            <w:shd w:val="clear" w:color="auto" w:fill="auto"/>
            <w:tcMar>
              <w:top w:w="13" w:type="dxa"/>
              <w:left w:w="13" w:type="dxa"/>
              <w:bottom w:w="0" w:type="dxa"/>
              <w:right w:w="13" w:type="dxa"/>
            </w:tcMar>
            <w:vAlign w:val="center"/>
          </w:tcPr>
          <w:p w14:paraId="001E2070" w14:textId="77777777" w:rsidR="0013332C" w:rsidRPr="00D64A5C" w:rsidRDefault="0013332C" w:rsidP="00E71C0E">
            <w:pPr>
              <w:jc w:val="center"/>
              <w:rPr>
                <w:sz w:val="20"/>
                <w:szCs w:val="20"/>
              </w:rPr>
            </w:pPr>
            <w:r w:rsidRPr="00D64A5C">
              <w:rPr>
                <w:sz w:val="20"/>
                <w:szCs w:val="20"/>
              </w:rPr>
              <w:t>88.4</w:t>
            </w:r>
          </w:p>
        </w:tc>
        <w:tc>
          <w:tcPr>
            <w:tcW w:w="1624" w:type="dxa"/>
            <w:shd w:val="clear" w:color="auto" w:fill="auto"/>
            <w:tcMar>
              <w:top w:w="13" w:type="dxa"/>
              <w:left w:w="13" w:type="dxa"/>
              <w:bottom w:w="0" w:type="dxa"/>
              <w:right w:w="13" w:type="dxa"/>
            </w:tcMar>
            <w:vAlign w:val="center"/>
          </w:tcPr>
          <w:p w14:paraId="1ECF078F" w14:textId="77777777" w:rsidR="0013332C" w:rsidRPr="00D64A5C" w:rsidRDefault="0013332C" w:rsidP="00E71C0E">
            <w:pPr>
              <w:jc w:val="center"/>
              <w:rPr>
                <w:sz w:val="20"/>
                <w:szCs w:val="20"/>
              </w:rPr>
            </w:pPr>
            <w:r w:rsidRPr="00D64A5C">
              <w:rPr>
                <w:sz w:val="20"/>
                <w:szCs w:val="20"/>
              </w:rPr>
              <w:t>85.0</w:t>
            </w:r>
          </w:p>
        </w:tc>
        <w:tc>
          <w:tcPr>
            <w:tcW w:w="2309" w:type="dxa"/>
            <w:shd w:val="clear" w:color="auto" w:fill="auto"/>
            <w:tcMar>
              <w:top w:w="13" w:type="dxa"/>
              <w:left w:w="13" w:type="dxa"/>
              <w:bottom w:w="0" w:type="dxa"/>
              <w:right w:w="13" w:type="dxa"/>
            </w:tcMar>
            <w:vAlign w:val="center"/>
          </w:tcPr>
          <w:p w14:paraId="0761CC80" w14:textId="77777777" w:rsidR="0013332C" w:rsidRPr="00D64A5C" w:rsidRDefault="0013332C" w:rsidP="00E71C0E">
            <w:pPr>
              <w:jc w:val="center"/>
              <w:rPr>
                <w:sz w:val="20"/>
                <w:szCs w:val="20"/>
              </w:rPr>
            </w:pPr>
            <w:r w:rsidRPr="00D64A5C">
              <w:rPr>
                <w:sz w:val="20"/>
                <w:szCs w:val="20"/>
              </w:rPr>
              <w:t>0.047</w:t>
            </w:r>
          </w:p>
        </w:tc>
      </w:tr>
      <w:tr w:rsidR="0013332C" w:rsidRPr="00F91701" w14:paraId="4479DF2F" w14:textId="77777777" w:rsidTr="00FA3E07">
        <w:trPr>
          <w:trHeight w:hRule="exact" w:val="340"/>
        </w:trPr>
        <w:tc>
          <w:tcPr>
            <w:tcW w:w="3528" w:type="dxa"/>
            <w:shd w:val="clear" w:color="auto" w:fill="auto"/>
            <w:tcMar>
              <w:top w:w="13" w:type="dxa"/>
              <w:left w:w="13" w:type="dxa"/>
              <w:bottom w:w="0" w:type="dxa"/>
              <w:right w:w="13" w:type="dxa"/>
            </w:tcMar>
            <w:vAlign w:val="center"/>
          </w:tcPr>
          <w:p w14:paraId="640557D4" w14:textId="06C2FFBB" w:rsidR="0013332C" w:rsidRPr="00D64A5C" w:rsidRDefault="0013332C" w:rsidP="00E71C0E">
            <w:pPr>
              <w:jc w:val="center"/>
              <w:rPr>
                <w:sz w:val="20"/>
                <w:szCs w:val="20"/>
              </w:rPr>
            </w:pPr>
            <w:r w:rsidRPr="00D64A5C">
              <w:rPr>
                <w:sz w:val="20"/>
                <w:szCs w:val="20"/>
              </w:rPr>
              <w:t>Overall Phase</w:t>
            </w:r>
            <w:r w:rsidRPr="00D64A5C">
              <w:rPr>
                <w:sz w:val="20"/>
                <w:szCs w:val="20"/>
                <w:vertAlign w:val="superscript"/>
              </w:rPr>
              <w:t>§</w:t>
            </w:r>
          </w:p>
        </w:tc>
        <w:tc>
          <w:tcPr>
            <w:tcW w:w="1624" w:type="dxa"/>
            <w:shd w:val="clear" w:color="auto" w:fill="auto"/>
            <w:tcMar>
              <w:top w:w="13" w:type="dxa"/>
              <w:left w:w="13" w:type="dxa"/>
              <w:bottom w:w="0" w:type="dxa"/>
              <w:right w:w="13" w:type="dxa"/>
            </w:tcMar>
            <w:vAlign w:val="center"/>
          </w:tcPr>
          <w:p w14:paraId="3C074385" w14:textId="77777777" w:rsidR="0013332C" w:rsidRPr="00D64A5C" w:rsidRDefault="0013332C" w:rsidP="00E71C0E">
            <w:pPr>
              <w:jc w:val="center"/>
              <w:rPr>
                <w:sz w:val="20"/>
                <w:szCs w:val="20"/>
              </w:rPr>
            </w:pPr>
            <w:r w:rsidRPr="00D64A5C">
              <w:rPr>
                <w:sz w:val="20"/>
                <w:szCs w:val="20"/>
              </w:rPr>
              <w:t>74.3</w:t>
            </w:r>
          </w:p>
        </w:tc>
        <w:tc>
          <w:tcPr>
            <w:tcW w:w="1624" w:type="dxa"/>
            <w:shd w:val="clear" w:color="auto" w:fill="auto"/>
            <w:tcMar>
              <w:top w:w="13" w:type="dxa"/>
              <w:left w:w="13" w:type="dxa"/>
              <w:bottom w:w="0" w:type="dxa"/>
              <w:right w:w="13" w:type="dxa"/>
            </w:tcMar>
            <w:vAlign w:val="center"/>
          </w:tcPr>
          <w:p w14:paraId="7DB6278B" w14:textId="77777777" w:rsidR="0013332C" w:rsidRPr="00D64A5C" w:rsidRDefault="0013332C" w:rsidP="00E71C0E">
            <w:pPr>
              <w:jc w:val="center"/>
              <w:rPr>
                <w:sz w:val="20"/>
                <w:szCs w:val="20"/>
              </w:rPr>
            </w:pPr>
            <w:r w:rsidRPr="00D64A5C">
              <w:rPr>
                <w:sz w:val="20"/>
                <w:szCs w:val="20"/>
              </w:rPr>
              <w:t>66.6</w:t>
            </w:r>
          </w:p>
        </w:tc>
        <w:tc>
          <w:tcPr>
            <w:tcW w:w="2309" w:type="dxa"/>
            <w:shd w:val="clear" w:color="auto" w:fill="auto"/>
            <w:tcMar>
              <w:top w:w="13" w:type="dxa"/>
              <w:left w:w="13" w:type="dxa"/>
              <w:bottom w:w="0" w:type="dxa"/>
              <w:right w:w="13" w:type="dxa"/>
            </w:tcMar>
            <w:vAlign w:val="center"/>
          </w:tcPr>
          <w:p w14:paraId="501804B8" w14:textId="77777777" w:rsidR="0013332C" w:rsidRPr="00D64A5C" w:rsidRDefault="0013332C" w:rsidP="00E71C0E">
            <w:pPr>
              <w:jc w:val="center"/>
              <w:rPr>
                <w:sz w:val="20"/>
                <w:szCs w:val="20"/>
              </w:rPr>
            </w:pPr>
            <w:r w:rsidRPr="00D64A5C">
              <w:rPr>
                <w:sz w:val="20"/>
                <w:szCs w:val="20"/>
              </w:rPr>
              <w:t>0.001</w:t>
            </w:r>
          </w:p>
        </w:tc>
      </w:tr>
      <w:tr w:rsidR="00D6618B" w:rsidRPr="00F91701" w14:paraId="412640E3" w14:textId="77777777" w:rsidTr="00005FF0">
        <w:trPr>
          <w:trHeight w:hRule="exact" w:val="340"/>
        </w:trPr>
        <w:tc>
          <w:tcPr>
            <w:tcW w:w="9085" w:type="dxa"/>
            <w:gridSpan w:val="4"/>
            <w:shd w:val="clear" w:color="auto" w:fill="auto"/>
            <w:tcMar>
              <w:top w:w="13" w:type="dxa"/>
              <w:left w:w="13" w:type="dxa"/>
              <w:bottom w:w="0" w:type="dxa"/>
              <w:right w:w="13" w:type="dxa"/>
            </w:tcMar>
            <w:vAlign w:val="center"/>
          </w:tcPr>
          <w:p w14:paraId="620A5330" w14:textId="5684C1A3" w:rsidR="00D6618B" w:rsidRPr="00D64A5C" w:rsidRDefault="00D6618B" w:rsidP="00D6618B">
            <w:pPr>
              <w:rPr>
                <w:sz w:val="20"/>
                <w:szCs w:val="20"/>
              </w:rPr>
            </w:pPr>
            <w:r w:rsidRPr="00E71C0E">
              <w:rPr>
                <w:b/>
                <w:sz w:val="20"/>
                <w:szCs w:val="20"/>
              </w:rPr>
              <w:t>COMPLETE PROTECTION</w:t>
            </w:r>
          </w:p>
        </w:tc>
      </w:tr>
      <w:tr w:rsidR="0013332C" w:rsidRPr="00F91701" w14:paraId="13CB9B7E" w14:textId="77777777" w:rsidTr="00FA3E07">
        <w:trPr>
          <w:trHeight w:hRule="exact" w:val="340"/>
        </w:trPr>
        <w:tc>
          <w:tcPr>
            <w:tcW w:w="3528" w:type="dxa"/>
            <w:shd w:val="clear" w:color="auto" w:fill="auto"/>
            <w:tcMar>
              <w:top w:w="13" w:type="dxa"/>
              <w:left w:w="13" w:type="dxa"/>
              <w:bottom w:w="0" w:type="dxa"/>
              <w:right w:w="13" w:type="dxa"/>
            </w:tcMar>
            <w:vAlign w:val="center"/>
          </w:tcPr>
          <w:p w14:paraId="7394263E" w14:textId="01D95EA9" w:rsidR="0013332C" w:rsidRPr="00D64A5C" w:rsidRDefault="0013332C" w:rsidP="00E71C0E">
            <w:pPr>
              <w:jc w:val="center"/>
              <w:rPr>
                <w:sz w:val="20"/>
                <w:szCs w:val="20"/>
              </w:rPr>
            </w:pPr>
            <w:r w:rsidRPr="00D64A5C">
              <w:rPr>
                <w:sz w:val="20"/>
                <w:szCs w:val="20"/>
              </w:rPr>
              <w:t>Acute Phase</w:t>
            </w:r>
          </w:p>
        </w:tc>
        <w:tc>
          <w:tcPr>
            <w:tcW w:w="1624" w:type="dxa"/>
            <w:shd w:val="clear" w:color="auto" w:fill="auto"/>
            <w:tcMar>
              <w:top w:w="13" w:type="dxa"/>
              <w:left w:w="13" w:type="dxa"/>
              <w:bottom w:w="0" w:type="dxa"/>
              <w:right w:w="13" w:type="dxa"/>
            </w:tcMar>
            <w:vAlign w:val="center"/>
          </w:tcPr>
          <w:p w14:paraId="158C1A4D" w14:textId="77777777" w:rsidR="0013332C" w:rsidRPr="00D64A5C" w:rsidRDefault="0013332C" w:rsidP="00E71C0E">
            <w:pPr>
              <w:jc w:val="center"/>
              <w:rPr>
                <w:sz w:val="20"/>
                <w:szCs w:val="20"/>
              </w:rPr>
            </w:pPr>
            <w:r w:rsidRPr="00D64A5C">
              <w:rPr>
                <w:sz w:val="20"/>
                <w:szCs w:val="20"/>
              </w:rPr>
              <w:t>82.3</w:t>
            </w:r>
          </w:p>
        </w:tc>
        <w:tc>
          <w:tcPr>
            <w:tcW w:w="1624" w:type="dxa"/>
            <w:shd w:val="clear" w:color="auto" w:fill="auto"/>
            <w:tcMar>
              <w:top w:w="13" w:type="dxa"/>
              <w:left w:w="13" w:type="dxa"/>
              <w:bottom w:w="0" w:type="dxa"/>
              <w:right w:w="13" w:type="dxa"/>
            </w:tcMar>
            <w:vAlign w:val="center"/>
          </w:tcPr>
          <w:p w14:paraId="3AD9C687" w14:textId="77777777" w:rsidR="0013332C" w:rsidRPr="00D64A5C" w:rsidRDefault="0013332C" w:rsidP="00E71C0E">
            <w:pPr>
              <w:jc w:val="center"/>
              <w:rPr>
                <w:sz w:val="20"/>
                <w:szCs w:val="20"/>
              </w:rPr>
            </w:pPr>
            <w:r w:rsidRPr="00D64A5C">
              <w:rPr>
                <w:sz w:val="20"/>
                <w:szCs w:val="20"/>
              </w:rPr>
              <w:t>81.1</w:t>
            </w:r>
          </w:p>
        </w:tc>
        <w:tc>
          <w:tcPr>
            <w:tcW w:w="2309" w:type="dxa"/>
            <w:shd w:val="clear" w:color="auto" w:fill="auto"/>
            <w:tcMar>
              <w:top w:w="13" w:type="dxa"/>
              <w:left w:w="13" w:type="dxa"/>
              <w:bottom w:w="0" w:type="dxa"/>
              <w:right w:w="13" w:type="dxa"/>
            </w:tcMar>
            <w:vAlign w:val="center"/>
          </w:tcPr>
          <w:p w14:paraId="4FA1F89E" w14:textId="77777777" w:rsidR="0013332C" w:rsidRPr="00D64A5C" w:rsidRDefault="0013332C" w:rsidP="00E71C0E">
            <w:pPr>
              <w:jc w:val="center"/>
              <w:rPr>
                <w:sz w:val="20"/>
                <w:szCs w:val="20"/>
              </w:rPr>
            </w:pPr>
            <w:r w:rsidRPr="00D64A5C">
              <w:rPr>
                <w:sz w:val="20"/>
                <w:szCs w:val="20"/>
              </w:rPr>
              <w:t>N.S.</w:t>
            </w:r>
          </w:p>
        </w:tc>
      </w:tr>
      <w:tr w:rsidR="0013332C" w:rsidRPr="00F91701" w14:paraId="4E4C1B28" w14:textId="77777777" w:rsidTr="00FA3E07">
        <w:trPr>
          <w:trHeight w:hRule="exact" w:val="340"/>
        </w:trPr>
        <w:tc>
          <w:tcPr>
            <w:tcW w:w="3528" w:type="dxa"/>
            <w:shd w:val="clear" w:color="auto" w:fill="auto"/>
            <w:tcMar>
              <w:top w:w="13" w:type="dxa"/>
              <w:left w:w="13" w:type="dxa"/>
              <w:bottom w:w="0" w:type="dxa"/>
              <w:right w:w="13" w:type="dxa"/>
            </w:tcMar>
            <w:vAlign w:val="center"/>
          </w:tcPr>
          <w:p w14:paraId="0518FF4D" w14:textId="0B1135F1" w:rsidR="0013332C" w:rsidRPr="00D64A5C" w:rsidRDefault="0013332C" w:rsidP="00E71C0E">
            <w:pPr>
              <w:jc w:val="center"/>
              <w:rPr>
                <w:sz w:val="20"/>
                <w:szCs w:val="20"/>
              </w:rPr>
            </w:pPr>
            <w:r w:rsidRPr="00D64A5C">
              <w:rPr>
                <w:sz w:val="20"/>
                <w:szCs w:val="20"/>
              </w:rPr>
              <w:t>Delayed Phase</w:t>
            </w:r>
          </w:p>
        </w:tc>
        <w:tc>
          <w:tcPr>
            <w:tcW w:w="1624" w:type="dxa"/>
            <w:shd w:val="clear" w:color="auto" w:fill="auto"/>
            <w:tcMar>
              <w:top w:w="13" w:type="dxa"/>
              <w:left w:w="13" w:type="dxa"/>
              <w:bottom w:w="0" w:type="dxa"/>
              <w:right w:w="13" w:type="dxa"/>
            </w:tcMar>
            <w:vAlign w:val="center"/>
          </w:tcPr>
          <w:p w14:paraId="2B06EE3D" w14:textId="77777777" w:rsidR="0013332C" w:rsidRPr="00D64A5C" w:rsidRDefault="0013332C" w:rsidP="00E71C0E">
            <w:pPr>
              <w:jc w:val="center"/>
              <w:rPr>
                <w:sz w:val="20"/>
                <w:szCs w:val="20"/>
              </w:rPr>
            </w:pPr>
            <w:r w:rsidRPr="00D64A5C">
              <w:rPr>
                <w:sz w:val="20"/>
                <w:szCs w:val="20"/>
              </w:rPr>
              <w:t>67.3</w:t>
            </w:r>
          </w:p>
        </w:tc>
        <w:tc>
          <w:tcPr>
            <w:tcW w:w="1624" w:type="dxa"/>
            <w:shd w:val="clear" w:color="auto" w:fill="auto"/>
            <w:tcMar>
              <w:top w:w="13" w:type="dxa"/>
              <w:left w:w="13" w:type="dxa"/>
              <w:bottom w:w="0" w:type="dxa"/>
              <w:right w:w="13" w:type="dxa"/>
            </w:tcMar>
            <w:vAlign w:val="center"/>
          </w:tcPr>
          <w:p w14:paraId="43EE55A7" w14:textId="77777777" w:rsidR="0013332C" w:rsidRPr="00D64A5C" w:rsidRDefault="0013332C" w:rsidP="00E71C0E">
            <w:pPr>
              <w:jc w:val="center"/>
              <w:rPr>
                <w:sz w:val="20"/>
                <w:szCs w:val="20"/>
              </w:rPr>
            </w:pPr>
            <w:r w:rsidRPr="00D64A5C">
              <w:rPr>
                <w:sz w:val="20"/>
                <w:szCs w:val="20"/>
              </w:rPr>
              <w:t>60.3</w:t>
            </w:r>
          </w:p>
        </w:tc>
        <w:tc>
          <w:tcPr>
            <w:tcW w:w="2309" w:type="dxa"/>
            <w:shd w:val="clear" w:color="auto" w:fill="auto"/>
            <w:tcMar>
              <w:top w:w="13" w:type="dxa"/>
              <w:left w:w="13" w:type="dxa"/>
              <w:bottom w:w="0" w:type="dxa"/>
              <w:right w:w="13" w:type="dxa"/>
            </w:tcMar>
            <w:vAlign w:val="center"/>
          </w:tcPr>
          <w:p w14:paraId="2958CA0D" w14:textId="77777777" w:rsidR="0013332C" w:rsidRPr="00D64A5C" w:rsidRDefault="0013332C" w:rsidP="00E71C0E">
            <w:pPr>
              <w:jc w:val="center"/>
              <w:rPr>
                <w:sz w:val="20"/>
                <w:szCs w:val="20"/>
              </w:rPr>
            </w:pPr>
            <w:r w:rsidRPr="00D64A5C">
              <w:rPr>
                <w:sz w:val="20"/>
                <w:szCs w:val="20"/>
              </w:rPr>
              <w:t>0.005</w:t>
            </w:r>
          </w:p>
        </w:tc>
      </w:tr>
      <w:tr w:rsidR="0013332C" w:rsidRPr="00F91701" w14:paraId="427F1F8D" w14:textId="77777777" w:rsidTr="00FA3E07">
        <w:trPr>
          <w:trHeight w:hRule="exact" w:val="340"/>
        </w:trPr>
        <w:tc>
          <w:tcPr>
            <w:tcW w:w="3528" w:type="dxa"/>
            <w:shd w:val="clear" w:color="auto" w:fill="auto"/>
            <w:tcMar>
              <w:top w:w="13" w:type="dxa"/>
              <w:left w:w="13" w:type="dxa"/>
              <w:bottom w:w="0" w:type="dxa"/>
              <w:right w:w="13" w:type="dxa"/>
            </w:tcMar>
            <w:vAlign w:val="center"/>
          </w:tcPr>
          <w:p w14:paraId="58BA9D7B" w14:textId="2E4F090A" w:rsidR="0013332C" w:rsidRPr="00D64A5C" w:rsidRDefault="0013332C" w:rsidP="00E71C0E">
            <w:pPr>
              <w:jc w:val="center"/>
              <w:rPr>
                <w:sz w:val="20"/>
                <w:szCs w:val="20"/>
              </w:rPr>
            </w:pPr>
            <w:r w:rsidRPr="00D64A5C">
              <w:rPr>
                <w:sz w:val="20"/>
                <w:szCs w:val="20"/>
              </w:rPr>
              <w:t>Overall Phase</w:t>
            </w:r>
          </w:p>
        </w:tc>
        <w:tc>
          <w:tcPr>
            <w:tcW w:w="1624" w:type="dxa"/>
            <w:shd w:val="clear" w:color="auto" w:fill="auto"/>
            <w:tcMar>
              <w:top w:w="13" w:type="dxa"/>
              <w:left w:w="13" w:type="dxa"/>
              <w:bottom w:w="0" w:type="dxa"/>
              <w:right w:w="13" w:type="dxa"/>
            </w:tcMar>
            <w:vAlign w:val="center"/>
          </w:tcPr>
          <w:p w14:paraId="0A384A42" w14:textId="77777777" w:rsidR="0013332C" w:rsidRPr="00D64A5C" w:rsidRDefault="0013332C" w:rsidP="00E71C0E">
            <w:pPr>
              <w:jc w:val="center"/>
              <w:rPr>
                <w:sz w:val="20"/>
                <w:szCs w:val="20"/>
              </w:rPr>
            </w:pPr>
            <w:r w:rsidRPr="00D64A5C">
              <w:rPr>
                <w:sz w:val="20"/>
                <w:szCs w:val="20"/>
              </w:rPr>
              <w:t>63.8</w:t>
            </w:r>
          </w:p>
        </w:tc>
        <w:tc>
          <w:tcPr>
            <w:tcW w:w="1624" w:type="dxa"/>
            <w:shd w:val="clear" w:color="auto" w:fill="auto"/>
            <w:tcMar>
              <w:top w:w="13" w:type="dxa"/>
              <w:left w:w="13" w:type="dxa"/>
              <w:bottom w:w="0" w:type="dxa"/>
              <w:right w:w="13" w:type="dxa"/>
            </w:tcMar>
            <w:vAlign w:val="center"/>
          </w:tcPr>
          <w:p w14:paraId="2C857FE6" w14:textId="77777777" w:rsidR="0013332C" w:rsidRPr="00D64A5C" w:rsidRDefault="0013332C" w:rsidP="00E71C0E">
            <w:pPr>
              <w:jc w:val="center"/>
              <w:rPr>
                <w:sz w:val="20"/>
                <w:szCs w:val="20"/>
              </w:rPr>
            </w:pPr>
            <w:r w:rsidRPr="00D64A5C">
              <w:rPr>
                <w:sz w:val="20"/>
                <w:szCs w:val="20"/>
              </w:rPr>
              <w:t>57.9</w:t>
            </w:r>
          </w:p>
        </w:tc>
        <w:tc>
          <w:tcPr>
            <w:tcW w:w="2309" w:type="dxa"/>
            <w:shd w:val="clear" w:color="auto" w:fill="auto"/>
            <w:tcMar>
              <w:top w:w="13" w:type="dxa"/>
              <w:left w:w="13" w:type="dxa"/>
              <w:bottom w:w="0" w:type="dxa"/>
              <w:right w:w="13" w:type="dxa"/>
            </w:tcMar>
            <w:vAlign w:val="center"/>
          </w:tcPr>
          <w:p w14:paraId="18885DB1" w14:textId="77777777" w:rsidR="0013332C" w:rsidRPr="00D64A5C" w:rsidRDefault="0013332C" w:rsidP="00E71C0E">
            <w:pPr>
              <w:jc w:val="center"/>
              <w:rPr>
                <w:sz w:val="20"/>
                <w:szCs w:val="20"/>
              </w:rPr>
            </w:pPr>
            <w:r w:rsidRPr="00D64A5C">
              <w:rPr>
                <w:sz w:val="20"/>
                <w:szCs w:val="20"/>
              </w:rPr>
              <w:t>0.020</w:t>
            </w:r>
          </w:p>
        </w:tc>
      </w:tr>
      <w:tr w:rsidR="00D6618B" w:rsidRPr="00F91701" w14:paraId="36A20762" w14:textId="77777777" w:rsidTr="00A978E7">
        <w:trPr>
          <w:trHeight w:hRule="exact" w:val="340"/>
        </w:trPr>
        <w:tc>
          <w:tcPr>
            <w:tcW w:w="9085" w:type="dxa"/>
            <w:gridSpan w:val="4"/>
            <w:shd w:val="clear" w:color="auto" w:fill="auto"/>
            <w:tcMar>
              <w:top w:w="13" w:type="dxa"/>
              <w:left w:w="13" w:type="dxa"/>
              <w:bottom w:w="0" w:type="dxa"/>
              <w:right w:w="13" w:type="dxa"/>
            </w:tcMar>
            <w:vAlign w:val="center"/>
          </w:tcPr>
          <w:p w14:paraId="59C6B1DB" w14:textId="7B0B7909" w:rsidR="00D6618B" w:rsidRPr="00D64A5C" w:rsidRDefault="00D6618B" w:rsidP="00D6618B">
            <w:pPr>
              <w:rPr>
                <w:sz w:val="20"/>
                <w:szCs w:val="20"/>
              </w:rPr>
            </w:pPr>
            <w:r w:rsidRPr="00E71C0E">
              <w:rPr>
                <w:b/>
                <w:sz w:val="20"/>
                <w:szCs w:val="20"/>
              </w:rPr>
              <w:t>NO EMESIS</w:t>
            </w:r>
          </w:p>
        </w:tc>
      </w:tr>
      <w:tr w:rsidR="0013332C" w:rsidRPr="00F91701" w14:paraId="30A9E4F0" w14:textId="77777777" w:rsidTr="00FA3E07">
        <w:trPr>
          <w:trHeight w:hRule="exact" w:val="340"/>
        </w:trPr>
        <w:tc>
          <w:tcPr>
            <w:tcW w:w="3528" w:type="dxa"/>
            <w:shd w:val="clear" w:color="auto" w:fill="auto"/>
            <w:tcMar>
              <w:top w:w="13" w:type="dxa"/>
              <w:left w:w="13" w:type="dxa"/>
              <w:bottom w:w="0" w:type="dxa"/>
              <w:right w:w="13" w:type="dxa"/>
            </w:tcMar>
            <w:vAlign w:val="center"/>
          </w:tcPr>
          <w:p w14:paraId="010218DE" w14:textId="291A8EBB" w:rsidR="0013332C" w:rsidRPr="00D64A5C" w:rsidRDefault="0013332C" w:rsidP="00E71C0E">
            <w:pPr>
              <w:jc w:val="center"/>
              <w:rPr>
                <w:sz w:val="20"/>
                <w:szCs w:val="20"/>
              </w:rPr>
            </w:pPr>
            <w:r w:rsidRPr="00D64A5C">
              <w:rPr>
                <w:sz w:val="20"/>
                <w:szCs w:val="20"/>
              </w:rPr>
              <w:t>Acute Phase</w:t>
            </w:r>
          </w:p>
        </w:tc>
        <w:tc>
          <w:tcPr>
            <w:tcW w:w="1624" w:type="dxa"/>
            <w:shd w:val="clear" w:color="auto" w:fill="auto"/>
            <w:tcMar>
              <w:top w:w="13" w:type="dxa"/>
              <w:left w:w="13" w:type="dxa"/>
              <w:bottom w:w="0" w:type="dxa"/>
              <w:right w:w="13" w:type="dxa"/>
            </w:tcMar>
            <w:vAlign w:val="center"/>
          </w:tcPr>
          <w:p w14:paraId="48809D18" w14:textId="77777777" w:rsidR="0013332C" w:rsidRPr="00D64A5C" w:rsidRDefault="0013332C" w:rsidP="00E71C0E">
            <w:pPr>
              <w:jc w:val="center"/>
              <w:rPr>
                <w:sz w:val="20"/>
                <w:szCs w:val="20"/>
              </w:rPr>
            </w:pPr>
            <w:r w:rsidRPr="00D64A5C">
              <w:rPr>
                <w:sz w:val="20"/>
                <w:szCs w:val="20"/>
              </w:rPr>
              <w:t>90.9</w:t>
            </w:r>
          </w:p>
        </w:tc>
        <w:tc>
          <w:tcPr>
            <w:tcW w:w="1624" w:type="dxa"/>
            <w:shd w:val="clear" w:color="auto" w:fill="auto"/>
            <w:tcMar>
              <w:top w:w="13" w:type="dxa"/>
              <w:left w:w="13" w:type="dxa"/>
              <w:bottom w:w="0" w:type="dxa"/>
              <w:right w:w="13" w:type="dxa"/>
            </w:tcMar>
            <w:vAlign w:val="center"/>
          </w:tcPr>
          <w:p w14:paraId="09176E27" w14:textId="77777777" w:rsidR="0013332C" w:rsidRPr="00D64A5C" w:rsidRDefault="0013332C" w:rsidP="00E71C0E">
            <w:pPr>
              <w:jc w:val="center"/>
              <w:rPr>
                <w:sz w:val="20"/>
                <w:szCs w:val="20"/>
              </w:rPr>
            </w:pPr>
            <w:r w:rsidRPr="00D64A5C">
              <w:rPr>
                <w:sz w:val="20"/>
                <w:szCs w:val="20"/>
              </w:rPr>
              <w:t>87.3</w:t>
            </w:r>
          </w:p>
        </w:tc>
        <w:tc>
          <w:tcPr>
            <w:tcW w:w="2309" w:type="dxa"/>
            <w:shd w:val="clear" w:color="auto" w:fill="auto"/>
            <w:tcMar>
              <w:top w:w="13" w:type="dxa"/>
              <w:left w:w="13" w:type="dxa"/>
              <w:bottom w:w="0" w:type="dxa"/>
              <w:right w:w="13" w:type="dxa"/>
            </w:tcMar>
            <w:vAlign w:val="center"/>
          </w:tcPr>
          <w:p w14:paraId="62E9713C" w14:textId="77777777" w:rsidR="0013332C" w:rsidRPr="00D64A5C" w:rsidRDefault="0013332C" w:rsidP="00E71C0E">
            <w:pPr>
              <w:jc w:val="center"/>
              <w:rPr>
                <w:sz w:val="20"/>
                <w:szCs w:val="20"/>
              </w:rPr>
            </w:pPr>
            <w:r w:rsidRPr="00D64A5C">
              <w:rPr>
                <w:sz w:val="20"/>
                <w:szCs w:val="20"/>
              </w:rPr>
              <w:t>0.025</w:t>
            </w:r>
          </w:p>
        </w:tc>
      </w:tr>
      <w:tr w:rsidR="0013332C" w:rsidRPr="00F91701" w14:paraId="1BAA0B9E" w14:textId="77777777" w:rsidTr="00FA3E07">
        <w:trPr>
          <w:trHeight w:hRule="exact" w:val="340"/>
        </w:trPr>
        <w:tc>
          <w:tcPr>
            <w:tcW w:w="3528" w:type="dxa"/>
            <w:shd w:val="clear" w:color="auto" w:fill="auto"/>
            <w:tcMar>
              <w:top w:w="13" w:type="dxa"/>
              <w:left w:w="13" w:type="dxa"/>
              <w:bottom w:w="0" w:type="dxa"/>
              <w:right w:w="13" w:type="dxa"/>
            </w:tcMar>
            <w:vAlign w:val="center"/>
          </w:tcPr>
          <w:p w14:paraId="00C09260" w14:textId="7AE258CF" w:rsidR="0013332C" w:rsidRPr="00D64A5C" w:rsidRDefault="0013332C" w:rsidP="00E71C0E">
            <w:pPr>
              <w:jc w:val="center"/>
              <w:rPr>
                <w:sz w:val="20"/>
                <w:szCs w:val="20"/>
              </w:rPr>
            </w:pPr>
            <w:r w:rsidRPr="00D64A5C">
              <w:rPr>
                <w:sz w:val="20"/>
                <w:szCs w:val="20"/>
              </w:rPr>
              <w:t>Delayed Phase</w:t>
            </w:r>
          </w:p>
        </w:tc>
        <w:tc>
          <w:tcPr>
            <w:tcW w:w="1624" w:type="dxa"/>
            <w:shd w:val="clear" w:color="auto" w:fill="auto"/>
            <w:tcMar>
              <w:top w:w="13" w:type="dxa"/>
              <w:left w:w="13" w:type="dxa"/>
              <w:bottom w:w="0" w:type="dxa"/>
              <w:right w:w="13" w:type="dxa"/>
            </w:tcMar>
            <w:vAlign w:val="center"/>
          </w:tcPr>
          <w:p w14:paraId="76BC0F6A" w14:textId="77777777" w:rsidR="0013332C" w:rsidRPr="00D64A5C" w:rsidRDefault="0013332C" w:rsidP="00E71C0E">
            <w:pPr>
              <w:jc w:val="center"/>
              <w:rPr>
                <w:sz w:val="20"/>
                <w:szCs w:val="20"/>
              </w:rPr>
            </w:pPr>
            <w:r w:rsidRPr="00D64A5C">
              <w:rPr>
                <w:sz w:val="20"/>
                <w:szCs w:val="20"/>
              </w:rPr>
              <w:t>81.8</w:t>
            </w:r>
          </w:p>
        </w:tc>
        <w:tc>
          <w:tcPr>
            <w:tcW w:w="1624" w:type="dxa"/>
            <w:shd w:val="clear" w:color="auto" w:fill="auto"/>
            <w:tcMar>
              <w:top w:w="13" w:type="dxa"/>
              <w:left w:w="13" w:type="dxa"/>
              <w:bottom w:w="0" w:type="dxa"/>
              <w:right w:w="13" w:type="dxa"/>
            </w:tcMar>
            <w:vAlign w:val="center"/>
          </w:tcPr>
          <w:p w14:paraId="27A84B99" w14:textId="77777777" w:rsidR="0013332C" w:rsidRPr="00D64A5C" w:rsidRDefault="0013332C" w:rsidP="00E71C0E">
            <w:pPr>
              <w:jc w:val="center"/>
              <w:rPr>
                <w:sz w:val="20"/>
                <w:szCs w:val="20"/>
              </w:rPr>
            </w:pPr>
            <w:r w:rsidRPr="00D64A5C">
              <w:rPr>
                <w:sz w:val="20"/>
                <w:szCs w:val="20"/>
              </w:rPr>
              <w:t>75.6</w:t>
            </w:r>
          </w:p>
        </w:tc>
        <w:tc>
          <w:tcPr>
            <w:tcW w:w="2309" w:type="dxa"/>
            <w:shd w:val="clear" w:color="auto" w:fill="auto"/>
            <w:tcMar>
              <w:top w:w="13" w:type="dxa"/>
              <w:left w:w="13" w:type="dxa"/>
              <w:bottom w:w="0" w:type="dxa"/>
              <w:right w:w="13" w:type="dxa"/>
            </w:tcMar>
            <w:vAlign w:val="center"/>
          </w:tcPr>
          <w:p w14:paraId="7E68F5C9" w14:textId="77777777" w:rsidR="0013332C" w:rsidRPr="00D64A5C" w:rsidRDefault="0013332C" w:rsidP="00E71C0E">
            <w:pPr>
              <w:jc w:val="center"/>
              <w:rPr>
                <w:sz w:val="20"/>
                <w:szCs w:val="20"/>
              </w:rPr>
            </w:pPr>
            <w:r w:rsidRPr="00D64A5C">
              <w:rPr>
                <w:sz w:val="20"/>
                <w:szCs w:val="20"/>
              </w:rPr>
              <w:t>0.004</w:t>
            </w:r>
          </w:p>
        </w:tc>
      </w:tr>
      <w:tr w:rsidR="0013332C" w:rsidRPr="00F91701" w14:paraId="0369C682" w14:textId="77777777" w:rsidTr="00FA3E07">
        <w:trPr>
          <w:trHeight w:hRule="exact" w:val="340"/>
        </w:trPr>
        <w:tc>
          <w:tcPr>
            <w:tcW w:w="3528" w:type="dxa"/>
            <w:shd w:val="clear" w:color="auto" w:fill="auto"/>
            <w:tcMar>
              <w:top w:w="13" w:type="dxa"/>
              <w:left w:w="13" w:type="dxa"/>
              <w:bottom w:w="0" w:type="dxa"/>
              <w:right w:w="13" w:type="dxa"/>
            </w:tcMar>
            <w:vAlign w:val="center"/>
          </w:tcPr>
          <w:p w14:paraId="658C7FF1" w14:textId="58760096" w:rsidR="0013332C" w:rsidRPr="00D64A5C" w:rsidRDefault="0013332C" w:rsidP="00E71C0E">
            <w:pPr>
              <w:jc w:val="center"/>
              <w:rPr>
                <w:sz w:val="20"/>
                <w:szCs w:val="20"/>
              </w:rPr>
            </w:pPr>
            <w:r w:rsidRPr="00D64A5C">
              <w:rPr>
                <w:sz w:val="20"/>
                <w:szCs w:val="20"/>
              </w:rPr>
              <w:t>Overall Phase</w:t>
            </w:r>
          </w:p>
        </w:tc>
        <w:tc>
          <w:tcPr>
            <w:tcW w:w="1624" w:type="dxa"/>
            <w:shd w:val="clear" w:color="auto" w:fill="auto"/>
            <w:tcMar>
              <w:top w:w="13" w:type="dxa"/>
              <w:left w:w="13" w:type="dxa"/>
              <w:bottom w:w="0" w:type="dxa"/>
              <w:right w:w="13" w:type="dxa"/>
            </w:tcMar>
            <w:vAlign w:val="center"/>
          </w:tcPr>
          <w:p w14:paraId="5A152EB2" w14:textId="77777777" w:rsidR="0013332C" w:rsidRPr="00D64A5C" w:rsidRDefault="0013332C" w:rsidP="00E71C0E">
            <w:pPr>
              <w:jc w:val="center"/>
              <w:rPr>
                <w:sz w:val="20"/>
                <w:szCs w:val="20"/>
              </w:rPr>
            </w:pPr>
            <w:r w:rsidRPr="00D64A5C">
              <w:rPr>
                <w:sz w:val="20"/>
                <w:szCs w:val="20"/>
              </w:rPr>
              <w:t>79.8</w:t>
            </w:r>
          </w:p>
        </w:tc>
        <w:tc>
          <w:tcPr>
            <w:tcW w:w="1624" w:type="dxa"/>
            <w:shd w:val="clear" w:color="auto" w:fill="auto"/>
            <w:tcMar>
              <w:top w:w="13" w:type="dxa"/>
              <w:left w:w="13" w:type="dxa"/>
              <w:bottom w:w="0" w:type="dxa"/>
              <w:right w:w="13" w:type="dxa"/>
            </w:tcMar>
            <w:vAlign w:val="center"/>
          </w:tcPr>
          <w:p w14:paraId="79AD3CF3" w14:textId="77777777" w:rsidR="0013332C" w:rsidRPr="00D64A5C" w:rsidRDefault="0013332C" w:rsidP="00E71C0E">
            <w:pPr>
              <w:jc w:val="center"/>
              <w:rPr>
                <w:sz w:val="20"/>
                <w:szCs w:val="20"/>
              </w:rPr>
            </w:pPr>
            <w:r w:rsidRPr="00D64A5C">
              <w:rPr>
                <w:sz w:val="20"/>
                <w:szCs w:val="20"/>
              </w:rPr>
              <w:t>72.1</w:t>
            </w:r>
          </w:p>
        </w:tc>
        <w:tc>
          <w:tcPr>
            <w:tcW w:w="2309" w:type="dxa"/>
            <w:shd w:val="clear" w:color="auto" w:fill="auto"/>
            <w:tcMar>
              <w:top w:w="13" w:type="dxa"/>
              <w:left w:w="13" w:type="dxa"/>
              <w:bottom w:w="0" w:type="dxa"/>
              <w:right w:w="13" w:type="dxa"/>
            </w:tcMar>
            <w:vAlign w:val="center"/>
          </w:tcPr>
          <w:p w14:paraId="060831C3" w14:textId="77777777" w:rsidR="0013332C" w:rsidRPr="00D64A5C" w:rsidRDefault="0013332C" w:rsidP="00E71C0E">
            <w:pPr>
              <w:jc w:val="center"/>
              <w:rPr>
                <w:sz w:val="20"/>
                <w:szCs w:val="20"/>
              </w:rPr>
            </w:pPr>
            <w:r w:rsidRPr="00D64A5C">
              <w:rPr>
                <w:sz w:val="20"/>
                <w:szCs w:val="20"/>
              </w:rPr>
              <w:t>&lt;0.001</w:t>
            </w:r>
          </w:p>
        </w:tc>
      </w:tr>
      <w:tr w:rsidR="00D6618B" w:rsidRPr="00F91701" w14:paraId="76B00086" w14:textId="77777777" w:rsidTr="00611D54">
        <w:trPr>
          <w:trHeight w:hRule="exact" w:val="340"/>
        </w:trPr>
        <w:tc>
          <w:tcPr>
            <w:tcW w:w="9085" w:type="dxa"/>
            <w:gridSpan w:val="4"/>
            <w:shd w:val="clear" w:color="auto" w:fill="auto"/>
            <w:tcMar>
              <w:top w:w="13" w:type="dxa"/>
              <w:left w:w="13" w:type="dxa"/>
              <w:bottom w:w="0" w:type="dxa"/>
              <w:right w:w="13" w:type="dxa"/>
            </w:tcMar>
            <w:vAlign w:val="center"/>
          </w:tcPr>
          <w:p w14:paraId="6C6841C4" w14:textId="5100029D" w:rsidR="00D6618B" w:rsidRPr="00D64A5C" w:rsidRDefault="00D6618B" w:rsidP="00D6618B">
            <w:pPr>
              <w:rPr>
                <w:sz w:val="20"/>
                <w:szCs w:val="20"/>
              </w:rPr>
            </w:pPr>
            <w:r w:rsidRPr="00E71C0E">
              <w:rPr>
                <w:b/>
                <w:sz w:val="20"/>
                <w:szCs w:val="20"/>
              </w:rPr>
              <w:t>NO SIGNIFICANT NAUSEA</w:t>
            </w:r>
          </w:p>
        </w:tc>
      </w:tr>
      <w:tr w:rsidR="0013332C" w:rsidRPr="00F91701" w14:paraId="10E11FD3" w14:textId="77777777" w:rsidTr="00FA3E07">
        <w:trPr>
          <w:trHeight w:hRule="exact" w:val="340"/>
        </w:trPr>
        <w:tc>
          <w:tcPr>
            <w:tcW w:w="3528" w:type="dxa"/>
            <w:shd w:val="clear" w:color="auto" w:fill="auto"/>
            <w:tcMar>
              <w:top w:w="13" w:type="dxa"/>
              <w:left w:w="13" w:type="dxa"/>
              <w:bottom w:w="0" w:type="dxa"/>
              <w:right w:w="13" w:type="dxa"/>
            </w:tcMar>
            <w:vAlign w:val="center"/>
          </w:tcPr>
          <w:p w14:paraId="59110C7D" w14:textId="420154A2" w:rsidR="0013332C" w:rsidRPr="00D64A5C" w:rsidRDefault="0013332C" w:rsidP="00E71C0E">
            <w:pPr>
              <w:jc w:val="center"/>
              <w:rPr>
                <w:sz w:val="20"/>
                <w:szCs w:val="20"/>
              </w:rPr>
            </w:pPr>
            <w:r w:rsidRPr="00D64A5C">
              <w:rPr>
                <w:sz w:val="20"/>
                <w:szCs w:val="20"/>
              </w:rPr>
              <w:t>Acute Phase</w:t>
            </w:r>
          </w:p>
        </w:tc>
        <w:tc>
          <w:tcPr>
            <w:tcW w:w="1624" w:type="dxa"/>
            <w:shd w:val="clear" w:color="auto" w:fill="auto"/>
            <w:tcMar>
              <w:top w:w="13" w:type="dxa"/>
              <w:left w:w="13" w:type="dxa"/>
              <w:bottom w:w="0" w:type="dxa"/>
              <w:right w:w="13" w:type="dxa"/>
            </w:tcMar>
            <w:vAlign w:val="center"/>
          </w:tcPr>
          <w:p w14:paraId="7E190254" w14:textId="77777777" w:rsidR="0013332C" w:rsidRPr="00D64A5C" w:rsidRDefault="0013332C" w:rsidP="00E71C0E">
            <w:pPr>
              <w:jc w:val="center"/>
              <w:rPr>
                <w:sz w:val="20"/>
                <w:szCs w:val="20"/>
              </w:rPr>
            </w:pPr>
            <w:r w:rsidRPr="00D64A5C">
              <w:rPr>
                <w:sz w:val="20"/>
                <w:szCs w:val="20"/>
              </w:rPr>
              <w:t>87.3</w:t>
            </w:r>
          </w:p>
        </w:tc>
        <w:tc>
          <w:tcPr>
            <w:tcW w:w="1624" w:type="dxa"/>
            <w:shd w:val="clear" w:color="auto" w:fill="auto"/>
            <w:tcMar>
              <w:top w:w="13" w:type="dxa"/>
              <w:left w:w="13" w:type="dxa"/>
              <w:bottom w:w="0" w:type="dxa"/>
              <w:right w:w="13" w:type="dxa"/>
            </w:tcMar>
            <w:vAlign w:val="center"/>
          </w:tcPr>
          <w:p w14:paraId="207B5870" w14:textId="77777777" w:rsidR="0013332C" w:rsidRPr="00D64A5C" w:rsidRDefault="0013332C" w:rsidP="00E71C0E">
            <w:pPr>
              <w:jc w:val="center"/>
              <w:rPr>
                <w:sz w:val="20"/>
                <w:szCs w:val="20"/>
              </w:rPr>
            </w:pPr>
            <w:r w:rsidRPr="00D64A5C">
              <w:rPr>
                <w:sz w:val="20"/>
                <w:szCs w:val="20"/>
              </w:rPr>
              <w:t>87.9</w:t>
            </w:r>
          </w:p>
        </w:tc>
        <w:tc>
          <w:tcPr>
            <w:tcW w:w="2309" w:type="dxa"/>
            <w:shd w:val="clear" w:color="auto" w:fill="auto"/>
            <w:tcMar>
              <w:top w:w="13" w:type="dxa"/>
              <w:left w:w="13" w:type="dxa"/>
              <w:bottom w:w="0" w:type="dxa"/>
              <w:right w:w="13" w:type="dxa"/>
            </w:tcMar>
            <w:vAlign w:val="center"/>
          </w:tcPr>
          <w:p w14:paraId="36FC8759" w14:textId="77777777" w:rsidR="0013332C" w:rsidRPr="00D64A5C" w:rsidRDefault="0013332C" w:rsidP="00E71C0E">
            <w:pPr>
              <w:jc w:val="center"/>
              <w:rPr>
                <w:sz w:val="20"/>
                <w:szCs w:val="20"/>
              </w:rPr>
            </w:pPr>
            <w:r w:rsidRPr="00D64A5C">
              <w:rPr>
                <w:sz w:val="20"/>
                <w:szCs w:val="20"/>
              </w:rPr>
              <w:t>N.S.</w:t>
            </w:r>
          </w:p>
        </w:tc>
      </w:tr>
      <w:tr w:rsidR="0013332C" w:rsidRPr="00F91701" w14:paraId="0F6EA7E4" w14:textId="77777777" w:rsidTr="00FA3E07">
        <w:trPr>
          <w:trHeight w:hRule="exact" w:val="340"/>
        </w:trPr>
        <w:tc>
          <w:tcPr>
            <w:tcW w:w="3528" w:type="dxa"/>
            <w:shd w:val="clear" w:color="auto" w:fill="auto"/>
            <w:tcMar>
              <w:top w:w="13" w:type="dxa"/>
              <w:left w:w="13" w:type="dxa"/>
              <w:bottom w:w="0" w:type="dxa"/>
              <w:right w:w="13" w:type="dxa"/>
            </w:tcMar>
            <w:vAlign w:val="center"/>
          </w:tcPr>
          <w:p w14:paraId="278EA7DD" w14:textId="48189209" w:rsidR="0013332C" w:rsidRPr="00D64A5C" w:rsidRDefault="0013332C" w:rsidP="00E71C0E">
            <w:pPr>
              <w:jc w:val="center"/>
              <w:rPr>
                <w:sz w:val="20"/>
                <w:szCs w:val="20"/>
              </w:rPr>
            </w:pPr>
            <w:r w:rsidRPr="00D64A5C">
              <w:rPr>
                <w:sz w:val="20"/>
                <w:szCs w:val="20"/>
              </w:rPr>
              <w:t>Delayed Phase</w:t>
            </w:r>
          </w:p>
        </w:tc>
        <w:tc>
          <w:tcPr>
            <w:tcW w:w="1624" w:type="dxa"/>
            <w:shd w:val="clear" w:color="auto" w:fill="auto"/>
            <w:tcMar>
              <w:top w:w="13" w:type="dxa"/>
              <w:left w:w="13" w:type="dxa"/>
              <w:bottom w:w="0" w:type="dxa"/>
              <w:right w:w="13" w:type="dxa"/>
            </w:tcMar>
            <w:vAlign w:val="center"/>
          </w:tcPr>
          <w:p w14:paraId="26CA8455" w14:textId="77777777" w:rsidR="0013332C" w:rsidRPr="00D64A5C" w:rsidRDefault="0013332C" w:rsidP="00E71C0E">
            <w:pPr>
              <w:jc w:val="center"/>
              <w:rPr>
                <w:sz w:val="20"/>
                <w:szCs w:val="20"/>
              </w:rPr>
            </w:pPr>
            <w:r w:rsidRPr="00D64A5C">
              <w:rPr>
                <w:sz w:val="20"/>
                <w:szCs w:val="20"/>
              </w:rPr>
              <w:t>76.9</w:t>
            </w:r>
          </w:p>
        </w:tc>
        <w:tc>
          <w:tcPr>
            <w:tcW w:w="1624" w:type="dxa"/>
            <w:shd w:val="clear" w:color="auto" w:fill="auto"/>
            <w:tcMar>
              <w:top w:w="13" w:type="dxa"/>
              <w:left w:w="13" w:type="dxa"/>
              <w:bottom w:w="0" w:type="dxa"/>
              <w:right w:w="13" w:type="dxa"/>
            </w:tcMar>
            <w:vAlign w:val="center"/>
          </w:tcPr>
          <w:p w14:paraId="42436973" w14:textId="77777777" w:rsidR="0013332C" w:rsidRPr="00D64A5C" w:rsidRDefault="0013332C" w:rsidP="00E71C0E">
            <w:pPr>
              <w:jc w:val="center"/>
              <w:rPr>
                <w:sz w:val="20"/>
                <w:szCs w:val="20"/>
              </w:rPr>
            </w:pPr>
            <w:r w:rsidRPr="00D64A5C">
              <w:rPr>
                <w:sz w:val="20"/>
                <w:szCs w:val="20"/>
              </w:rPr>
              <w:t>71.3</w:t>
            </w:r>
          </w:p>
        </w:tc>
        <w:tc>
          <w:tcPr>
            <w:tcW w:w="2309" w:type="dxa"/>
            <w:shd w:val="clear" w:color="auto" w:fill="auto"/>
            <w:tcMar>
              <w:top w:w="13" w:type="dxa"/>
              <w:left w:w="13" w:type="dxa"/>
              <w:bottom w:w="0" w:type="dxa"/>
              <w:right w:w="13" w:type="dxa"/>
            </w:tcMar>
            <w:vAlign w:val="center"/>
          </w:tcPr>
          <w:p w14:paraId="2F313FF0" w14:textId="77777777" w:rsidR="0013332C" w:rsidRPr="00D64A5C" w:rsidRDefault="0013332C" w:rsidP="00E71C0E">
            <w:pPr>
              <w:jc w:val="center"/>
              <w:rPr>
                <w:sz w:val="20"/>
                <w:szCs w:val="20"/>
              </w:rPr>
            </w:pPr>
            <w:r w:rsidRPr="00D64A5C">
              <w:rPr>
                <w:sz w:val="20"/>
                <w:szCs w:val="20"/>
              </w:rPr>
              <w:t>0.014</w:t>
            </w:r>
          </w:p>
        </w:tc>
      </w:tr>
      <w:tr w:rsidR="0013332C" w:rsidRPr="00F91701" w14:paraId="46196CA4" w14:textId="77777777" w:rsidTr="00FA3E07">
        <w:trPr>
          <w:trHeight w:hRule="exact" w:val="340"/>
        </w:trPr>
        <w:tc>
          <w:tcPr>
            <w:tcW w:w="3528" w:type="dxa"/>
            <w:shd w:val="clear" w:color="auto" w:fill="auto"/>
            <w:tcMar>
              <w:top w:w="13" w:type="dxa"/>
              <w:left w:w="13" w:type="dxa"/>
              <w:bottom w:w="0" w:type="dxa"/>
              <w:right w:w="13" w:type="dxa"/>
            </w:tcMar>
            <w:vAlign w:val="center"/>
          </w:tcPr>
          <w:p w14:paraId="232B972B" w14:textId="71A72C2C" w:rsidR="0013332C" w:rsidRPr="00D64A5C" w:rsidRDefault="0013332C" w:rsidP="00E71C0E">
            <w:pPr>
              <w:jc w:val="center"/>
              <w:rPr>
                <w:sz w:val="20"/>
                <w:szCs w:val="20"/>
              </w:rPr>
            </w:pPr>
            <w:r w:rsidRPr="00D64A5C">
              <w:rPr>
                <w:sz w:val="20"/>
                <w:szCs w:val="20"/>
              </w:rPr>
              <w:t>Overall Phase</w:t>
            </w:r>
          </w:p>
        </w:tc>
        <w:tc>
          <w:tcPr>
            <w:tcW w:w="1624" w:type="dxa"/>
            <w:shd w:val="clear" w:color="auto" w:fill="auto"/>
            <w:tcMar>
              <w:top w:w="13" w:type="dxa"/>
              <w:left w:w="13" w:type="dxa"/>
              <w:bottom w:w="0" w:type="dxa"/>
              <w:right w:w="13" w:type="dxa"/>
            </w:tcMar>
            <w:vAlign w:val="center"/>
          </w:tcPr>
          <w:p w14:paraId="5A530F15" w14:textId="77777777" w:rsidR="0013332C" w:rsidRPr="00D64A5C" w:rsidRDefault="0013332C" w:rsidP="00E71C0E">
            <w:pPr>
              <w:jc w:val="center"/>
              <w:rPr>
                <w:sz w:val="20"/>
                <w:szCs w:val="20"/>
              </w:rPr>
            </w:pPr>
            <w:r w:rsidRPr="00D64A5C">
              <w:rPr>
                <w:sz w:val="20"/>
                <w:szCs w:val="20"/>
              </w:rPr>
              <w:t>74.6</w:t>
            </w:r>
          </w:p>
        </w:tc>
        <w:tc>
          <w:tcPr>
            <w:tcW w:w="1624" w:type="dxa"/>
            <w:shd w:val="clear" w:color="auto" w:fill="auto"/>
            <w:tcMar>
              <w:top w:w="13" w:type="dxa"/>
              <w:left w:w="13" w:type="dxa"/>
              <w:bottom w:w="0" w:type="dxa"/>
              <w:right w:w="13" w:type="dxa"/>
            </w:tcMar>
            <w:vAlign w:val="center"/>
          </w:tcPr>
          <w:p w14:paraId="3F7676E4" w14:textId="77777777" w:rsidR="0013332C" w:rsidRPr="00D64A5C" w:rsidRDefault="0013332C" w:rsidP="00E71C0E">
            <w:pPr>
              <w:jc w:val="center"/>
              <w:rPr>
                <w:sz w:val="20"/>
                <w:szCs w:val="20"/>
              </w:rPr>
            </w:pPr>
            <w:r w:rsidRPr="00D64A5C">
              <w:rPr>
                <w:sz w:val="20"/>
                <w:szCs w:val="20"/>
              </w:rPr>
              <w:t>69.1</w:t>
            </w:r>
          </w:p>
        </w:tc>
        <w:tc>
          <w:tcPr>
            <w:tcW w:w="2309" w:type="dxa"/>
            <w:shd w:val="clear" w:color="auto" w:fill="auto"/>
            <w:tcMar>
              <w:top w:w="13" w:type="dxa"/>
              <w:left w:w="13" w:type="dxa"/>
              <w:bottom w:w="0" w:type="dxa"/>
              <w:right w:w="13" w:type="dxa"/>
            </w:tcMar>
            <w:vAlign w:val="center"/>
          </w:tcPr>
          <w:p w14:paraId="3EBBCFA3" w14:textId="77777777" w:rsidR="0013332C" w:rsidRPr="00D64A5C" w:rsidRDefault="0013332C" w:rsidP="00E71C0E">
            <w:pPr>
              <w:jc w:val="center"/>
              <w:rPr>
                <w:sz w:val="20"/>
                <w:szCs w:val="20"/>
              </w:rPr>
            </w:pPr>
            <w:r w:rsidRPr="00D64A5C">
              <w:rPr>
                <w:sz w:val="20"/>
                <w:szCs w:val="20"/>
              </w:rPr>
              <w:t>0.020</w:t>
            </w:r>
          </w:p>
        </w:tc>
      </w:tr>
      <w:tr w:rsidR="00D6618B" w:rsidRPr="00F91701" w14:paraId="5C9773B6" w14:textId="77777777" w:rsidTr="00D7620F">
        <w:trPr>
          <w:trHeight w:hRule="exact" w:val="340"/>
        </w:trPr>
        <w:tc>
          <w:tcPr>
            <w:tcW w:w="9085" w:type="dxa"/>
            <w:gridSpan w:val="4"/>
            <w:shd w:val="clear" w:color="auto" w:fill="auto"/>
            <w:tcMar>
              <w:top w:w="13" w:type="dxa"/>
              <w:left w:w="13" w:type="dxa"/>
              <w:bottom w:w="0" w:type="dxa"/>
              <w:right w:w="13" w:type="dxa"/>
            </w:tcMar>
            <w:vAlign w:val="center"/>
          </w:tcPr>
          <w:p w14:paraId="1185FF15" w14:textId="197891BD" w:rsidR="00D6618B" w:rsidRPr="00D64A5C" w:rsidRDefault="00D6618B" w:rsidP="00D6618B">
            <w:pPr>
              <w:rPr>
                <w:sz w:val="20"/>
                <w:szCs w:val="20"/>
              </w:rPr>
            </w:pPr>
            <w:r w:rsidRPr="00E71C0E">
              <w:rPr>
                <w:b/>
                <w:sz w:val="20"/>
                <w:szCs w:val="20"/>
              </w:rPr>
              <w:t>NO NAUSEA</w:t>
            </w:r>
          </w:p>
        </w:tc>
      </w:tr>
      <w:tr w:rsidR="0013332C" w:rsidRPr="00F91701" w14:paraId="5D5A687A" w14:textId="77777777" w:rsidTr="00FA3E07">
        <w:trPr>
          <w:trHeight w:hRule="exact" w:val="340"/>
        </w:trPr>
        <w:tc>
          <w:tcPr>
            <w:tcW w:w="3528" w:type="dxa"/>
            <w:shd w:val="clear" w:color="auto" w:fill="auto"/>
            <w:tcMar>
              <w:top w:w="13" w:type="dxa"/>
              <w:left w:w="13" w:type="dxa"/>
              <w:bottom w:w="0" w:type="dxa"/>
              <w:right w:w="13" w:type="dxa"/>
            </w:tcMar>
            <w:vAlign w:val="center"/>
          </w:tcPr>
          <w:p w14:paraId="393EF7F7" w14:textId="35568A13" w:rsidR="0013332C" w:rsidRPr="00D64A5C" w:rsidRDefault="0013332C" w:rsidP="00E71C0E">
            <w:pPr>
              <w:jc w:val="center"/>
              <w:rPr>
                <w:sz w:val="20"/>
                <w:szCs w:val="20"/>
              </w:rPr>
            </w:pPr>
            <w:r w:rsidRPr="00D64A5C">
              <w:rPr>
                <w:sz w:val="20"/>
                <w:szCs w:val="20"/>
              </w:rPr>
              <w:t>Acute Phase</w:t>
            </w:r>
          </w:p>
        </w:tc>
        <w:tc>
          <w:tcPr>
            <w:tcW w:w="1624" w:type="dxa"/>
            <w:shd w:val="clear" w:color="auto" w:fill="auto"/>
            <w:tcMar>
              <w:top w:w="13" w:type="dxa"/>
              <w:left w:w="13" w:type="dxa"/>
              <w:bottom w:w="0" w:type="dxa"/>
              <w:right w:w="13" w:type="dxa"/>
            </w:tcMar>
            <w:vAlign w:val="center"/>
          </w:tcPr>
          <w:p w14:paraId="3FBB9952" w14:textId="77777777" w:rsidR="0013332C" w:rsidRPr="00D64A5C" w:rsidRDefault="0013332C" w:rsidP="00E71C0E">
            <w:pPr>
              <w:jc w:val="center"/>
              <w:rPr>
                <w:sz w:val="20"/>
                <w:szCs w:val="20"/>
              </w:rPr>
            </w:pPr>
            <w:r w:rsidRPr="00D64A5C">
              <w:rPr>
                <w:sz w:val="20"/>
                <w:szCs w:val="20"/>
              </w:rPr>
              <w:t>70.4</w:t>
            </w:r>
          </w:p>
        </w:tc>
        <w:tc>
          <w:tcPr>
            <w:tcW w:w="1624" w:type="dxa"/>
            <w:shd w:val="clear" w:color="auto" w:fill="auto"/>
            <w:tcMar>
              <w:top w:w="13" w:type="dxa"/>
              <w:left w:w="13" w:type="dxa"/>
              <w:bottom w:w="0" w:type="dxa"/>
              <w:right w:w="13" w:type="dxa"/>
            </w:tcMar>
            <w:vAlign w:val="center"/>
          </w:tcPr>
          <w:p w14:paraId="1AF5A96C" w14:textId="77777777" w:rsidR="0013332C" w:rsidRPr="00D64A5C" w:rsidRDefault="0013332C" w:rsidP="00E71C0E">
            <w:pPr>
              <w:jc w:val="center"/>
              <w:rPr>
                <w:sz w:val="20"/>
                <w:szCs w:val="20"/>
              </w:rPr>
            </w:pPr>
            <w:r w:rsidRPr="00D64A5C">
              <w:rPr>
                <w:sz w:val="20"/>
                <w:szCs w:val="20"/>
              </w:rPr>
              <w:t>70.1</w:t>
            </w:r>
          </w:p>
        </w:tc>
        <w:tc>
          <w:tcPr>
            <w:tcW w:w="2309" w:type="dxa"/>
            <w:shd w:val="clear" w:color="auto" w:fill="auto"/>
            <w:tcMar>
              <w:top w:w="13" w:type="dxa"/>
              <w:left w:w="13" w:type="dxa"/>
              <w:bottom w:w="0" w:type="dxa"/>
              <w:right w:w="13" w:type="dxa"/>
            </w:tcMar>
            <w:vAlign w:val="center"/>
          </w:tcPr>
          <w:p w14:paraId="5D714469" w14:textId="77777777" w:rsidR="0013332C" w:rsidRPr="00D64A5C" w:rsidRDefault="0013332C" w:rsidP="00E71C0E">
            <w:pPr>
              <w:jc w:val="center"/>
              <w:rPr>
                <w:sz w:val="20"/>
                <w:szCs w:val="20"/>
              </w:rPr>
            </w:pPr>
            <w:r w:rsidRPr="00D64A5C">
              <w:rPr>
                <w:sz w:val="20"/>
                <w:szCs w:val="20"/>
              </w:rPr>
              <w:t>N.S.</w:t>
            </w:r>
          </w:p>
        </w:tc>
      </w:tr>
      <w:tr w:rsidR="0013332C" w:rsidRPr="00F91701" w14:paraId="7823E238" w14:textId="77777777" w:rsidTr="00FA3E07">
        <w:trPr>
          <w:trHeight w:hRule="exact" w:val="340"/>
        </w:trPr>
        <w:tc>
          <w:tcPr>
            <w:tcW w:w="3528" w:type="dxa"/>
            <w:shd w:val="clear" w:color="auto" w:fill="auto"/>
            <w:tcMar>
              <w:top w:w="13" w:type="dxa"/>
              <w:left w:w="13" w:type="dxa"/>
              <w:bottom w:w="0" w:type="dxa"/>
              <w:right w:w="13" w:type="dxa"/>
            </w:tcMar>
            <w:vAlign w:val="center"/>
          </w:tcPr>
          <w:p w14:paraId="70670595" w14:textId="53FBB891" w:rsidR="0013332C" w:rsidRPr="00D64A5C" w:rsidRDefault="0013332C" w:rsidP="00E71C0E">
            <w:pPr>
              <w:jc w:val="center"/>
              <w:rPr>
                <w:sz w:val="20"/>
                <w:szCs w:val="20"/>
              </w:rPr>
            </w:pPr>
            <w:r w:rsidRPr="00D64A5C">
              <w:rPr>
                <w:sz w:val="20"/>
                <w:szCs w:val="20"/>
              </w:rPr>
              <w:t>Delayed Phase</w:t>
            </w:r>
          </w:p>
        </w:tc>
        <w:tc>
          <w:tcPr>
            <w:tcW w:w="1624" w:type="dxa"/>
            <w:shd w:val="clear" w:color="auto" w:fill="auto"/>
            <w:tcMar>
              <w:top w:w="13" w:type="dxa"/>
              <w:left w:w="13" w:type="dxa"/>
              <w:bottom w:w="0" w:type="dxa"/>
              <w:right w:w="13" w:type="dxa"/>
            </w:tcMar>
            <w:vAlign w:val="center"/>
          </w:tcPr>
          <w:p w14:paraId="3B4E093C" w14:textId="77777777" w:rsidR="0013332C" w:rsidRPr="00D64A5C" w:rsidRDefault="0013332C" w:rsidP="00E71C0E">
            <w:pPr>
              <w:jc w:val="center"/>
              <w:rPr>
                <w:sz w:val="20"/>
                <w:szCs w:val="20"/>
              </w:rPr>
            </w:pPr>
            <w:r w:rsidRPr="00D64A5C">
              <w:rPr>
                <w:sz w:val="20"/>
                <w:szCs w:val="20"/>
              </w:rPr>
              <w:t>53.3</w:t>
            </w:r>
          </w:p>
        </w:tc>
        <w:tc>
          <w:tcPr>
            <w:tcW w:w="1624" w:type="dxa"/>
            <w:shd w:val="clear" w:color="auto" w:fill="auto"/>
            <w:tcMar>
              <w:top w:w="13" w:type="dxa"/>
              <w:left w:w="13" w:type="dxa"/>
              <w:bottom w:w="0" w:type="dxa"/>
              <w:right w:w="13" w:type="dxa"/>
            </w:tcMar>
            <w:vAlign w:val="center"/>
          </w:tcPr>
          <w:p w14:paraId="3BC5100C" w14:textId="77777777" w:rsidR="0013332C" w:rsidRPr="00D64A5C" w:rsidRDefault="0013332C" w:rsidP="00E71C0E">
            <w:pPr>
              <w:jc w:val="center"/>
              <w:rPr>
                <w:sz w:val="20"/>
                <w:szCs w:val="20"/>
              </w:rPr>
            </w:pPr>
            <w:r w:rsidRPr="00D64A5C">
              <w:rPr>
                <w:sz w:val="20"/>
                <w:szCs w:val="20"/>
              </w:rPr>
              <w:t>49.5</w:t>
            </w:r>
          </w:p>
        </w:tc>
        <w:tc>
          <w:tcPr>
            <w:tcW w:w="2309" w:type="dxa"/>
            <w:shd w:val="clear" w:color="auto" w:fill="auto"/>
            <w:tcMar>
              <w:top w:w="13" w:type="dxa"/>
              <w:left w:w="13" w:type="dxa"/>
              <w:bottom w:w="0" w:type="dxa"/>
              <w:right w:w="13" w:type="dxa"/>
            </w:tcMar>
            <w:vAlign w:val="center"/>
          </w:tcPr>
          <w:p w14:paraId="1205809E" w14:textId="77777777" w:rsidR="0013332C" w:rsidRPr="00D64A5C" w:rsidRDefault="0013332C" w:rsidP="00E71C0E">
            <w:pPr>
              <w:jc w:val="center"/>
              <w:rPr>
                <w:sz w:val="20"/>
                <w:szCs w:val="20"/>
              </w:rPr>
            </w:pPr>
            <w:r w:rsidRPr="00D64A5C">
              <w:rPr>
                <w:sz w:val="20"/>
                <w:szCs w:val="20"/>
              </w:rPr>
              <w:t>N.S.</w:t>
            </w:r>
          </w:p>
        </w:tc>
      </w:tr>
      <w:tr w:rsidR="0013332C" w:rsidRPr="00F91701" w14:paraId="3F2858B2" w14:textId="77777777" w:rsidTr="00FA3E07">
        <w:trPr>
          <w:trHeight w:hRule="exact" w:val="340"/>
        </w:trPr>
        <w:tc>
          <w:tcPr>
            <w:tcW w:w="3528" w:type="dxa"/>
            <w:shd w:val="clear" w:color="auto" w:fill="auto"/>
            <w:tcMar>
              <w:top w:w="13" w:type="dxa"/>
              <w:left w:w="13" w:type="dxa"/>
              <w:bottom w:w="0" w:type="dxa"/>
              <w:right w:w="13" w:type="dxa"/>
            </w:tcMar>
            <w:vAlign w:val="center"/>
          </w:tcPr>
          <w:p w14:paraId="13AA80B9" w14:textId="7AE47F52" w:rsidR="0013332C" w:rsidRPr="00D64A5C" w:rsidRDefault="0013332C" w:rsidP="00E71C0E">
            <w:pPr>
              <w:jc w:val="center"/>
              <w:rPr>
                <w:sz w:val="20"/>
                <w:szCs w:val="20"/>
              </w:rPr>
            </w:pPr>
            <w:r w:rsidRPr="00D64A5C">
              <w:rPr>
                <w:sz w:val="20"/>
                <w:szCs w:val="20"/>
              </w:rPr>
              <w:t>Overall Phase</w:t>
            </w:r>
          </w:p>
        </w:tc>
        <w:tc>
          <w:tcPr>
            <w:tcW w:w="1624" w:type="dxa"/>
            <w:shd w:val="clear" w:color="auto" w:fill="auto"/>
            <w:tcMar>
              <w:top w:w="13" w:type="dxa"/>
              <w:left w:w="13" w:type="dxa"/>
              <w:bottom w:w="0" w:type="dxa"/>
              <w:right w:w="13" w:type="dxa"/>
            </w:tcMar>
            <w:vAlign w:val="center"/>
          </w:tcPr>
          <w:p w14:paraId="0F18EEC9" w14:textId="77777777" w:rsidR="0013332C" w:rsidRPr="00D64A5C" w:rsidRDefault="0013332C" w:rsidP="00E71C0E">
            <w:pPr>
              <w:jc w:val="center"/>
              <w:rPr>
                <w:sz w:val="20"/>
                <w:szCs w:val="20"/>
              </w:rPr>
            </w:pPr>
            <w:r w:rsidRPr="00D64A5C">
              <w:rPr>
                <w:sz w:val="20"/>
                <w:szCs w:val="20"/>
              </w:rPr>
              <w:t>50.3</w:t>
            </w:r>
          </w:p>
        </w:tc>
        <w:tc>
          <w:tcPr>
            <w:tcW w:w="1624" w:type="dxa"/>
            <w:shd w:val="clear" w:color="auto" w:fill="auto"/>
            <w:tcMar>
              <w:top w:w="13" w:type="dxa"/>
              <w:left w:w="13" w:type="dxa"/>
              <w:bottom w:w="0" w:type="dxa"/>
              <w:right w:w="13" w:type="dxa"/>
            </w:tcMar>
            <w:vAlign w:val="center"/>
          </w:tcPr>
          <w:p w14:paraId="4A8D43A0" w14:textId="77777777" w:rsidR="0013332C" w:rsidRPr="00D64A5C" w:rsidRDefault="0013332C" w:rsidP="00E71C0E">
            <w:pPr>
              <w:jc w:val="center"/>
              <w:rPr>
                <w:sz w:val="20"/>
                <w:szCs w:val="20"/>
              </w:rPr>
            </w:pPr>
            <w:r w:rsidRPr="00D64A5C">
              <w:rPr>
                <w:sz w:val="20"/>
                <w:szCs w:val="20"/>
              </w:rPr>
              <w:t>47.2</w:t>
            </w:r>
          </w:p>
        </w:tc>
        <w:tc>
          <w:tcPr>
            <w:tcW w:w="2309" w:type="dxa"/>
            <w:shd w:val="clear" w:color="auto" w:fill="auto"/>
            <w:tcMar>
              <w:top w:w="13" w:type="dxa"/>
              <w:left w:w="13" w:type="dxa"/>
              <w:bottom w:w="0" w:type="dxa"/>
              <w:right w:w="13" w:type="dxa"/>
            </w:tcMar>
            <w:vAlign w:val="center"/>
          </w:tcPr>
          <w:p w14:paraId="28682A37" w14:textId="77777777" w:rsidR="0013332C" w:rsidRPr="00D64A5C" w:rsidRDefault="0013332C" w:rsidP="00E71C0E">
            <w:pPr>
              <w:jc w:val="center"/>
              <w:rPr>
                <w:sz w:val="20"/>
                <w:szCs w:val="20"/>
              </w:rPr>
            </w:pPr>
            <w:r w:rsidRPr="00D64A5C">
              <w:rPr>
                <w:sz w:val="20"/>
                <w:szCs w:val="20"/>
              </w:rPr>
              <w:t>N.S.</w:t>
            </w:r>
          </w:p>
        </w:tc>
      </w:tr>
    </w:tbl>
    <w:p w14:paraId="09DF80E8" w14:textId="77777777" w:rsidR="0013332C" w:rsidRPr="00D64A5C" w:rsidRDefault="0013332C" w:rsidP="00E71C0E">
      <w:pPr>
        <w:spacing w:before="240" w:after="0" w:line="240" w:lineRule="auto"/>
        <w:rPr>
          <w:i/>
          <w:sz w:val="20"/>
          <w:szCs w:val="20"/>
        </w:rPr>
      </w:pPr>
      <w:r w:rsidRPr="00D64A5C">
        <w:rPr>
          <w:sz w:val="20"/>
          <w:szCs w:val="20"/>
        </w:rPr>
        <w:t xml:space="preserve">* </w:t>
      </w:r>
      <w:r w:rsidRPr="00D64A5C">
        <w:rPr>
          <w:i/>
          <w:sz w:val="20"/>
          <w:szCs w:val="20"/>
        </w:rPr>
        <w:t>p</w:t>
      </w:r>
      <w:r w:rsidRPr="00D64A5C">
        <w:rPr>
          <w:i/>
          <w:sz w:val="20"/>
          <w:szCs w:val="20"/>
        </w:rPr>
        <w:noBreakHyphen/>
        <w:t>value from Cochran</w:t>
      </w:r>
      <w:r w:rsidRPr="00D64A5C">
        <w:rPr>
          <w:i/>
          <w:sz w:val="20"/>
          <w:szCs w:val="20"/>
        </w:rPr>
        <w:noBreakHyphen/>
        <w:t>Mantel</w:t>
      </w:r>
      <w:r w:rsidRPr="00D64A5C">
        <w:rPr>
          <w:i/>
          <w:sz w:val="20"/>
          <w:szCs w:val="20"/>
        </w:rPr>
        <w:noBreakHyphen/>
      </w:r>
      <w:proofErr w:type="spellStart"/>
      <w:r w:rsidRPr="00D64A5C">
        <w:rPr>
          <w:i/>
          <w:sz w:val="20"/>
          <w:szCs w:val="20"/>
        </w:rPr>
        <w:t>Haenszel</w:t>
      </w:r>
      <w:proofErr w:type="spellEnd"/>
      <w:r w:rsidRPr="00D64A5C">
        <w:rPr>
          <w:i/>
          <w:sz w:val="20"/>
          <w:szCs w:val="20"/>
        </w:rPr>
        <w:t xml:space="preserve"> test, stratified by age class and region.</w:t>
      </w:r>
    </w:p>
    <w:p w14:paraId="5E60E865" w14:textId="77777777" w:rsidR="0013332C" w:rsidRPr="00D64A5C" w:rsidRDefault="0013332C" w:rsidP="00E71C0E">
      <w:pPr>
        <w:spacing w:after="0" w:line="240" w:lineRule="auto"/>
        <w:rPr>
          <w:sz w:val="20"/>
          <w:szCs w:val="20"/>
        </w:rPr>
      </w:pPr>
      <w:r w:rsidRPr="00D64A5C">
        <w:rPr>
          <w:sz w:val="20"/>
          <w:szCs w:val="20"/>
          <w:vertAlign w:val="superscript"/>
        </w:rPr>
        <w:t>‡</w:t>
      </w:r>
      <w:r w:rsidRPr="00D64A5C">
        <w:rPr>
          <w:sz w:val="20"/>
          <w:szCs w:val="20"/>
        </w:rPr>
        <w:t xml:space="preserve">Acute phase: 0 to 24 hours after </w:t>
      </w:r>
      <w:proofErr w:type="spellStart"/>
      <w:r w:rsidRPr="00D64A5C">
        <w:rPr>
          <w:sz w:val="20"/>
          <w:szCs w:val="20"/>
        </w:rPr>
        <w:t>anthracycline</w:t>
      </w:r>
      <w:proofErr w:type="spellEnd"/>
      <w:r w:rsidRPr="00D64A5C">
        <w:rPr>
          <w:sz w:val="20"/>
          <w:szCs w:val="20"/>
        </w:rPr>
        <w:t xml:space="preserve"> and cyclophosphamide regimen</w:t>
      </w:r>
    </w:p>
    <w:p w14:paraId="46C059A9" w14:textId="77777777" w:rsidR="0013332C" w:rsidRPr="00D64A5C" w:rsidRDefault="0013332C" w:rsidP="00E71C0E">
      <w:pPr>
        <w:spacing w:after="0" w:line="240" w:lineRule="auto"/>
        <w:rPr>
          <w:sz w:val="20"/>
          <w:szCs w:val="20"/>
        </w:rPr>
      </w:pPr>
      <w:r w:rsidRPr="00D64A5C">
        <w:rPr>
          <w:sz w:val="20"/>
          <w:szCs w:val="20"/>
          <w:vertAlign w:val="superscript"/>
        </w:rPr>
        <w:t>†</w:t>
      </w:r>
      <w:r w:rsidRPr="00D64A5C">
        <w:rPr>
          <w:sz w:val="20"/>
          <w:szCs w:val="20"/>
        </w:rPr>
        <w:t xml:space="preserve">Delayed phase: 25 to 120 hours after </w:t>
      </w:r>
      <w:proofErr w:type="spellStart"/>
      <w:r w:rsidRPr="00D64A5C">
        <w:rPr>
          <w:sz w:val="20"/>
          <w:szCs w:val="20"/>
        </w:rPr>
        <w:t>anthracycline</w:t>
      </w:r>
      <w:proofErr w:type="spellEnd"/>
      <w:r w:rsidRPr="00D64A5C">
        <w:rPr>
          <w:sz w:val="20"/>
          <w:szCs w:val="20"/>
        </w:rPr>
        <w:t xml:space="preserve"> and cyclophosphamide regimen</w:t>
      </w:r>
    </w:p>
    <w:p w14:paraId="5C3C829B" w14:textId="1CA10D2F" w:rsidR="0013332C" w:rsidRDefault="0013332C" w:rsidP="00E71C0E">
      <w:pPr>
        <w:spacing w:after="0" w:line="240" w:lineRule="auto"/>
        <w:rPr>
          <w:sz w:val="20"/>
          <w:szCs w:val="20"/>
        </w:rPr>
      </w:pPr>
      <w:r w:rsidRPr="00D64A5C">
        <w:rPr>
          <w:sz w:val="20"/>
          <w:szCs w:val="20"/>
          <w:vertAlign w:val="superscript"/>
        </w:rPr>
        <w:t>§</w:t>
      </w:r>
      <w:r w:rsidRPr="00D64A5C">
        <w:rPr>
          <w:sz w:val="20"/>
          <w:szCs w:val="20"/>
        </w:rPr>
        <w:t xml:space="preserve">Overall: 0 to 120 hours after </w:t>
      </w:r>
      <w:proofErr w:type="spellStart"/>
      <w:r w:rsidRPr="00D64A5C">
        <w:rPr>
          <w:sz w:val="20"/>
          <w:szCs w:val="20"/>
        </w:rPr>
        <w:t>anthracycline</w:t>
      </w:r>
      <w:proofErr w:type="spellEnd"/>
      <w:r w:rsidRPr="00D64A5C">
        <w:rPr>
          <w:sz w:val="20"/>
          <w:szCs w:val="20"/>
        </w:rPr>
        <w:t xml:space="preserve"> and cyclophosphamide regimen</w:t>
      </w:r>
    </w:p>
    <w:p w14:paraId="69838722" w14:textId="77777777" w:rsidR="007D3D2E" w:rsidRPr="00D64A5C" w:rsidRDefault="007D3D2E" w:rsidP="00E71C0E">
      <w:pPr>
        <w:spacing w:after="0" w:line="240" w:lineRule="auto"/>
        <w:rPr>
          <w:sz w:val="20"/>
          <w:szCs w:val="20"/>
        </w:rPr>
      </w:pPr>
    </w:p>
    <w:p w14:paraId="186B68D3" w14:textId="77777777" w:rsidR="0013332C" w:rsidRPr="00054EC2" w:rsidRDefault="0013332C" w:rsidP="0013332C">
      <w:pPr>
        <w:pStyle w:val="Heading4"/>
      </w:pPr>
      <w:r w:rsidRPr="00054EC2">
        <w:t>Complete Response</w:t>
      </w:r>
    </w:p>
    <w:p w14:paraId="6BA12B6F" w14:textId="77777777" w:rsidR="0013332C" w:rsidRPr="00D805E3" w:rsidRDefault="0013332C" w:rsidP="0013332C">
      <w:r w:rsidRPr="002608BB">
        <w:t>The primary efficacy analysis was conducted in 1449 randomi</w:t>
      </w:r>
      <w:r>
        <w:t>s</w:t>
      </w:r>
      <w:r w:rsidRPr="002608BB">
        <w:t>ed patients who received the chemotherapy regimen and the study treatment. The proportion of patients with CR in the delayed phase was 7.4% (95% CI: 2.9 to 11.9%) higher (p</w:t>
      </w:r>
      <w:r>
        <w:t>-</w:t>
      </w:r>
      <w:r w:rsidRPr="002608BB">
        <w:t xml:space="preserve">value = 0.001) in the </w:t>
      </w:r>
      <w:r>
        <w:t>AKYNZEO</w:t>
      </w:r>
      <w:r w:rsidRPr="002608BB">
        <w:t xml:space="preserve"> group (76.9%) than in the </w:t>
      </w:r>
      <w:proofErr w:type="spellStart"/>
      <w:r w:rsidRPr="002608BB">
        <w:t>palonosetron</w:t>
      </w:r>
      <w:proofErr w:type="spellEnd"/>
      <w:r w:rsidRPr="002608BB">
        <w:t xml:space="preserve"> group (69.5%). In the acute phase, the proportion of patients with CR was 3.4% higher (p</w:t>
      </w:r>
      <w:r>
        <w:t>-</w:t>
      </w:r>
      <w:r w:rsidRPr="002608BB">
        <w:t xml:space="preserve">value=0.047) in the </w:t>
      </w:r>
      <w:r>
        <w:t>AKYNZEO</w:t>
      </w:r>
      <w:r w:rsidRPr="002608BB">
        <w:t xml:space="preserve"> group (88.4%) than in the </w:t>
      </w:r>
      <w:proofErr w:type="spellStart"/>
      <w:r w:rsidRPr="002608BB">
        <w:t>palonosetron</w:t>
      </w:r>
      <w:proofErr w:type="spellEnd"/>
      <w:r w:rsidRPr="002608BB">
        <w:t xml:space="preserve"> group (85.0%). In the overall phase, the proportion of patients with CR was 7.7% higher (p</w:t>
      </w:r>
      <w:r>
        <w:t>-</w:t>
      </w:r>
      <w:r w:rsidRPr="002608BB">
        <w:t xml:space="preserve">value = 0.001) in the </w:t>
      </w:r>
      <w:r>
        <w:t>AKYNZEO</w:t>
      </w:r>
      <w:r w:rsidRPr="002608BB">
        <w:t xml:space="preserve"> group (74.3%) than in the </w:t>
      </w:r>
      <w:proofErr w:type="spellStart"/>
      <w:r w:rsidRPr="002608BB">
        <w:t>palonosetron</w:t>
      </w:r>
      <w:proofErr w:type="spellEnd"/>
      <w:r w:rsidRPr="002608BB">
        <w:t xml:space="preserve"> group (66.6%).</w:t>
      </w:r>
    </w:p>
    <w:p w14:paraId="210C37CA" w14:textId="77777777" w:rsidR="0013332C" w:rsidRPr="00054EC2" w:rsidRDefault="0013332C" w:rsidP="0013332C">
      <w:pPr>
        <w:pStyle w:val="Heading4"/>
      </w:pPr>
      <w:r w:rsidRPr="00054EC2">
        <w:lastRenderedPageBreak/>
        <w:t>Multiple Cycles</w:t>
      </w:r>
    </w:p>
    <w:p w14:paraId="6CC4FA9A" w14:textId="09221F23" w:rsidR="0013332C" w:rsidRDefault="0013332C" w:rsidP="0013332C">
      <w:r w:rsidRPr="002608BB">
        <w:t>Patients continued into the Multiple-Cycle extension for up to 7 additional cycles of chemotherapy. The proportion of patients with complete response and no significant nausea in the delayed phase by treatment group at each cycle (</w:t>
      </w:r>
      <w:r>
        <w:t xml:space="preserve">cycles </w:t>
      </w:r>
      <w:r w:rsidRPr="002608BB">
        <w:t xml:space="preserve">2 to 6) is displayed in </w:t>
      </w:r>
      <w:r w:rsidRPr="00E71C0E">
        <w:t>Figure 1</w:t>
      </w:r>
      <w:r w:rsidRPr="009E550B">
        <w:t>.</w:t>
      </w:r>
      <w:r w:rsidRPr="002608BB">
        <w:t xml:space="preserve"> A limited number of patients received treatment beyond cycle 6. During all cycles the CR rate and the proportion of patients with no significant nausea rates in the delayed phase were higher for </w:t>
      </w:r>
      <w:r>
        <w:t>AKYNZEO</w:t>
      </w:r>
      <w:r w:rsidRPr="002608BB">
        <w:t xml:space="preserve"> than for </w:t>
      </w:r>
      <w:proofErr w:type="spellStart"/>
      <w:r w:rsidRPr="002608BB">
        <w:t>palonosetron</w:t>
      </w:r>
      <w:proofErr w:type="spellEnd"/>
      <w:r w:rsidRPr="002608BB">
        <w:t xml:space="preserve"> PO. Antiemetic activity of </w:t>
      </w:r>
      <w:r>
        <w:t>AKYNZEO</w:t>
      </w:r>
      <w:r w:rsidRPr="002608BB">
        <w:t xml:space="preserve"> was maintained throughout repeat cycles for those patients continuing in each of the multiple cycles.</w:t>
      </w:r>
    </w:p>
    <w:p w14:paraId="000B270E" w14:textId="77777777" w:rsidR="007D3D2E" w:rsidRPr="00031732" w:rsidRDefault="007D3D2E" w:rsidP="007D3D2E">
      <w:pPr>
        <w:rPr>
          <w:sz w:val="20"/>
          <w:szCs w:val="20"/>
        </w:rPr>
      </w:pPr>
      <w:r w:rsidRPr="00DC6B2B">
        <w:rPr>
          <w:b/>
          <w:bCs/>
          <w:color w:val="000000"/>
          <w:sz w:val="20"/>
          <w:szCs w:val="20"/>
        </w:rPr>
        <w:t>Figure 1</w:t>
      </w:r>
      <w:r w:rsidRPr="009E550B">
        <w:rPr>
          <w:bCs/>
          <w:color w:val="000000"/>
          <w:sz w:val="20"/>
          <w:szCs w:val="20"/>
        </w:rPr>
        <w:t>:</w:t>
      </w:r>
      <w:r w:rsidRPr="00570039">
        <w:rPr>
          <w:bCs/>
          <w:color w:val="000000"/>
          <w:sz w:val="20"/>
          <w:szCs w:val="20"/>
        </w:rPr>
        <w:t xml:space="preserve"> </w:t>
      </w:r>
      <w:r w:rsidRPr="00570039">
        <w:rPr>
          <w:sz w:val="20"/>
          <w:szCs w:val="20"/>
        </w:rPr>
        <w:t xml:space="preserve">Proportion of Patients Receiving </w:t>
      </w:r>
      <w:proofErr w:type="spellStart"/>
      <w:r w:rsidRPr="00570039">
        <w:rPr>
          <w:sz w:val="20"/>
          <w:szCs w:val="20"/>
        </w:rPr>
        <w:t>Anthracycline</w:t>
      </w:r>
      <w:proofErr w:type="spellEnd"/>
      <w:r w:rsidRPr="00570039">
        <w:rPr>
          <w:sz w:val="20"/>
          <w:szCs w:val="20"/>
        </w:rPr>
        <w:t xml:space="preserve"> and Cyclophosphamide Chemotherapy with Complete Response and No Significant Nausea by Treatment Group</w:t>
      </w:r>
      <w:r>
        <w:rPr>
          <w:sz w:val="20"/>
          <w:szCs w:val="20"/>
        </w:rPr>
        <w:t xml:space="preserve"> and Cycle in the Delayed Phase</w:t>
      </w:r>
    </w:p>
    <w:p w14:paraId="5BCEC4F4" w14:textId="77777777" w:rsidR="0013332C" w:rsidRPr="002608BB" w:rsidRDefault="0013332C" w:rsidP="0013332C">
      <w:pPr>
        <w:pStyle w:val="Text"/>
        <w:rPr>
          <w:rFonts w:ascii="Arial" w:hAnsi="Arial" w:cs="Arial"/>
          <w:sz w:val="22"/>
          <w:u w:val="single"/>
        </w:rPr>
      </w:pPr>
      <w:r>
        <w:rPr>
          <w:rFonts w:ascii="Arial" w:hAnsi="Arial" w:cs="Arial"/>
          <w:noProof/>
          <w:sz w:val="22"/>
          <w:u w:val="single"/>
          <w:lang w:val="en-AU" w:eastAsia="en-AU"/>
        </w:rPr>
        <w:drawing>
          <wp:inline distT="0" distB="0" distL="0" distR="0" wp14:anchorId="12824BE7" wp14:editId="2BA686BB">
            <wp:extent cx="5252245" cy="3200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t="18802"/>
                    <a:stretch>
                      <a:fillRect/>
                    </a:stretch>
                  </pic:blipFill>
                  <pic:spPr bwMode="auto">
                    <a:xfrm>
                      <a:off x="0" y="0"/>
                      <a:ext cx="5252245" cy="3200400"/>
                    </a:xfrm>
                    <a:prstGeom prst="rect">
                      <a:avLst/>
                    </a:prstGeom>
                    <a:noFill/>
                    <a:ln w="9525">
                      <a:noFill/>
                      <a:miter lim="800000"/>
                      <a:headEnd/>
                      <a:tailEnd/>
                    </a:ln>
                  </pic:spPr>
                </pic:pic>
              </a:graphicData>
            </a:graphic>
          </wp:inline>
        </w:drawing>
      </w:r>
    </w:p>
    <w:p w14:paraId="4BB21125" w14:textId="77777777" w:rsidR="0013332C" w:rsidRPr="00054EC2" w:rsidRDefault="0013332C" w:rsidP="0013332C">
      <w:pPr>
        <w:pStyle w:val="Heading4"/>
      </w:pPr>
      <w:r w:rsidRPr="00054EC2">
        <w:t>Patient Reported Outcomes</w:t>
      </w:r>
    </w:p>
    <w:p w14:paraId="0948A085" w14:textId="77777777" w:rsidR="0013332C" w:rsidRPr="00CF5FDA" w:rsidRDefault="0013332C" w:rsidP="0013332C">
      <w:r w:rsidRPr="00CF5FDA">
        <w:t>The impact of nausea and vomiting on patients’ daily lives was assessed using the Functional Living Index–Emesis (FLIE), a validated specific patient-reported outcome measure of the impact of nausea and vomiting on daily life. The proportion of patients with Overall no impact in daily life was 6.3% higher (p</w:t>
      </w:r>
      <w:r>
        <w:t>-</w:t>
      </w:r>
      <w:r w:rsidRPr="00CF5FDA">
        <w:t xml:space="preserve">value =0.005) in the AKYNZEO group (78.5%) than in the </w:t>
      </w:r>
      <w:proofErr w:type="spellStart"/>
      <w:r w:rsidRPr="00CF5FDA">
        <w:t>palonosetron</w:t>
      </w:r>
      <w:proofErr w:type="spellEnd"/>
      <w:r w:rsidRPr="00CF5FDA">
        <w:t xml:space="preserve"> group (72.1%).</w:t>
      </w:r>
    </w:p>
    <w:p w14:paraId="4242CD42" w14:textId="337F8593" w:rsidR="0013332C" w:rsidRDefault="0013332C" w:rsidP="0013332C">
      <w:r w:rsidRPr="00CF5FDA">
        <w:t>The proportion of patients with no impact in daily life of the Vomiting Domain was 5.6% higher (p</w:t>
      </w:r>
      <w:r>
        <w:t>-</w:t>
      </w:r>
      <w:r w:rsidRPr="00CF5FDA">
        <w:t xml:space="preserve">value =0.001) in the AKYNZEO group (90.1%) than in the </w:t>
      </w:r>
      <w:proofErr w:type="spellStart"/>
      <w:r w:rsidRPr="00CF5FDA">
        <w:t>palonosetron</w:t>
      </w:r>
      <w:proofErr w:type="spellEnd"/>
      <w:r w:rsidRPr="00CF5FDA">
        <w:t xml:space="preserve"> group (84.4%). The proportion of patients with no impact in daily life of the Nausea Domain was 5.8% higher (p</w:t>
      </w:r>
      <w:r>
        <w:t>-</w:t>
      </w:r>
      <w:r w:rsidRPr="00CF5FDA">
        <w:t xml:space="preserve">value =0.015) in the AKYNZEO group (71.5%) than in </w:t>
      </w:r>
      <w:r>
        <w:t xml:space="preserve">the </w:t>
      </w:r>
      <w:proofErr w:type="spellStart"/>
      <w:r>
        <w:t>palonosetron</w:t>
      </w:r>
      <w:proofErr w:type="spellEnd"/>
      <w:r>
        <w:t xml:space="preserve"> group (65.8%).</w:t>
      </w:r>
    </w:p>
    <w:p w14:paraId="3E342BF3" w14:textId="71CAD2FB" w:rsidR="00663E1A" w:rsidRPr="00D805E3" w:rsidRDefault="0029674A" w:rsidP="00E71C0E">
      <w:pPr>
        <w:pStyle w:val="Heading4"/>
      </w:pPr>
      <w:r>
        <w:t>Clinical</w:t>
      </w:r>
      <w:r w:rsidR="00663E1A">
        <w:t xml:space="preserve"> studies with AKYNZEO IV</w:t>
      </w:r>
    </w:p>
    <w:p w14:paraId="068EDB74" w14:textId="0404B48A" w:rsidR="00EC501D" w:rsidRDefault="00F5702D" w:rsidP="00E71C0E">
      <w:pPr>
        <w:pStyle w:val="SageBodyText"/>
        <w:spacing w:after="0" w:line="276" w:lineRule="auto"/>
        <w:jc w:val="left"/>
        <w:rPr>
          <w:rFonts w:asciiTheme="majorHAnsi" w:hAnsiTheme="majorHAnsi"/>
          <w:szCs w:val="22"/>
        </w:rPr>
      </w:pPr>
      <w:r>
        <w:rPr>
          <w:rFonts w:asciiTheme="majorHAnsi" w:hAnsiTheme="majorHAnsi"/>
          <w:szCs w:val="22"/>
        </w:rPr>
        <w:t xml:space="preserve">In </w:t>
      </w:r>
      <w:r w:rsidR="009E550B" w:rsidRPr="009E550B">
        <w:rPr>
          <w:rFonts w:asciiTheme="majorHAnsi" w:hAnsiTheme="majorHAnsi"/>
          <w:szCs w:val="22"/>
        </w:rPr>
        <w:t xml:space="preserve">a multicenter, multinational, </w:t>
      </w:r>
      <w:proofErr w:type="spellStart"/>
      <w:r w:rsidR="009E550B" w:rsidRPr="009E550B">
        <w:rPr>
          <w:rFonts w:asciiTheme="majorHAnsi" w:hAnsiTheme="majorHAnsi"/>
          <w:szCs w:val="22"/>
        </w:rPr>
        <w:t>rand</w:t>
      </w:r>
      <w:r w:rsidR="005C4E2C">
        <w:rPr>
          <w:rFonts w:asciiTheme="majorHAnsi" w:hAnsiTheme="majorHAnsi"/>
          <w:szCs w:val="22"/>
        </w:rPr>
        <w:t>omis</w:t>
      </w:r>
      <w:r w:rsidR="009E550B" w:rsidRPr="009E550B">
        <w:rPr>
          <w:rFonts w:asciiTheme="majorHAnsi" w:hAnsiTheme="majorHAnsi"/>
          <w:szCs w:val="22"/>
        </w:rPr>
        <w:t>ed</w:t>
      </w:r>
      <w:proofErr w:type="spellEnd"/>
      <w:r w:rsidR="009E550B" w:rsidRPr="009E550B">
        <w:rPr>
          <w:rFonts w:asciiTheme="majorHAnsi" w:hAnsiTheme="majorHAnsi"/>
          <w:szCs w:val="22"/>
        </w:rPr>
        <w:t>, active controlled, double blind, double dummy, parallel</w:t>
      </w:r>
      <w:r w:rsidR="009E550B">
        <w:rPr>
          <w:rFonts w:asciiTheme="majorHAnsi" w:hAnsiTheme="majorHAnsi"/>
          <w:szCs w:val="22"/>
        </w:rPr>
        <w:t xml:space="preserve"> </w:t>
      </w:r>
      <w:r w:rsidR="009E550B" w:rsidRPr="009E550B">
        <w:rPr>
          <w:rFonts w:asciiTheme="majorHAnsi" w:hAnsiTheme="majorHAnsi"/>
          <w:szCs w:val="22"/>
        </w:rPr>
        <w:t>group, clinical non-</w:t>
      </w:r>
      <w:r w:rsidR="005F4573">
        <w:rPr>
          <w:rFonts w:asciiTheme="majorHAnsi" w:hAnsiTheme="majorHAnsi"/>
          <w:szCs w:val="22"/>
        </w:rPr>
        <w:t xml:space="preserve">inferiority study, the efficacy </w:t>
      </w:r>
      <w:r w:rsidR="009E550B" w:rsidRPr="009E550B">
        <w:rPr>
          <w:rFonts w:asciiTheme="majorHAnsi" w:hAnsiTheme="majorHAnsi"/>
          <w:szCs w:val="22"/>
        </w:rPr>
        <w:t xml:space="preserve">of a single dose of intravenous </w:t>
      </w:r>
      <w:proofErr w:type="spellStart"/>
      <w:r w:rsidR="009E550B" w:rsidRPr="009E550B">
        <w:rPr>
          <w:rFonts w:asciiTheme="majorHAnsi" w:hAnsiTheme="majorHAnsi"/>
          <w:szCs w:val="22"/>
        </w:rPr>
        <w:t>palonosetron</w:t>
      </w:r>
      <w:proofErr w:type="spellEnd"/>
      <w:r w:rsidR="005C4E2C">
        <w:rPr>
          <w:rFonts w:asciiTheme="majorHAnsi" w:hAnsiTheme="majorHAnsi"/>
          <w:szCs w:val="22"/>
        </w:rPr>
        <w:t xml:space="preserve"> </w:t>
      </w:r>
      <w:r w:rsidR="002B6DC0">
        <w:rPr>
          <w:rFonts w:asciiTheme="majorHAnsi" w:hAnsiTheme="majorHAnsi"/>
          <w:szCs w:val="22"/>
        </w:rPr>
        <w:t>250 micrograms</w:t>
      </w:r>
      <w:r w:rsidR="009E550B" w:rsidRPr="009E550B">
        <w:rPr>
          <w:rFonts w:asciiTheme="majorHAnsi" w:hAnsiTheme="majorHAnsi"/>
          <w:szCs w:val="22"/>
        </w:rPr>
        <w:t xml:space="preserve"> administered </w:t>
      </w:r>
      <w:r w:rsidR="00EF0B97">
        <w:rPr>
          <w:rFonts w:asciiTheme="majorHAnsi" w:hAnsiTheme="majorHAnsi"/>
          <w:szCs w:val="22"/>
        </w:rPr>
        <w:t xml:space="preserve">as </w:t>
      </w:r>
      <w:r w:rsidR="006A17AB">
        <w:rPr>
          <w:rFonts w:asciiTheme="majorHAnsi" w:hAnsiTheme="majorHAnsi"/>
          <w:szCs w:val="22"/>
        </w:rPr>
        <w:t>a 30-</w:t>
      </w:r>
      <w:r w:rsidR="00EF0B97">
        <w:rPr>
          <w:rFonts w:asciiTheme="majorHAnsi" w:hAnsiTheme="majorHAnsi"/>
          <w:szCs w:val="22"/>
        </w:rPr>
        <w:t xml:space="preserve">minute </w:t>
      </w:r>
      <w:r w:rsidR="00C77CFB">
        <w:rPr>
          <w:rFonts w:asciiTheme="majorHAnsi" w:hAnsiTheme="majorHAnsi"/>
          <w:szCs w:val="22"/>
        </w:rPr>
        <w:t>IV</w:t>
      </w:r>
      <w:r w:rsidR="00EF0B97">
        <w:rPr>
          <w:rFonts w:asciiTheme="majorHAnsi" w:hAnsiTheme="majorHAnsi"/>
          <w:szCs w:val="22"/>
        </w:rPr>
        <w:t xml:space="preserve"> infusion</w:t>
      </w:r>
      <w:r w:rsidR="00B82BCC">
        <w:rPr>
          <w:rFonts w:asciiTheme="majorHAnsi" w:hAnsiTheme="majorHAnsi"/>
          <w:szCs w:val="22"/>
        </w:rPr>
        <w:t xml:space="preserve"> was compared to </w:t>
      </w:r>
      <w:proofErr w:type="spellStart"/>
      <w:r w:rsidR="009E550B" w:rsidRPr="009E550B">
        <w:rPr>
          <w:rFonts w:asciiTheme="majorHAnsi" w:hAnsiTheme="majorHAnsi"/>
          <w:szCs w:val="22"/>
        </w:rPr>
        <w:lastRenderedPageBreak/>
        <w:t>palonosetron</w:t>
      </w:r>
      <w:proofErr w:type="spellEnd"/>
      <w:r w:rsidR="009E550B" w:rsidRPr="009E550B">
        <w:rPr>
          <w:rFonts w:asciiTheme="majorHAnsi" w:hAnsiTheme="majorHAnsi"/>
          <w:szCs w:val="22"/>
        </w:rPr>
        <w:t xml:space="preserve"> </w:t>
      </w:r>
      <w:r w:rsidR="002B6DC0">
        <w:rPr>
          <w:rFonts w:asciiTheme="majorHAnsi" w:hAnsiTheme="majorHAnsi"/>
          <w:szCs w:val="22"/>
        </w:rPr>
        <w:t>250 micrograms</w:t>
      </w:r>
      <w:r w:rsidR="002B6DC0" w:rsidRPr="009E550B">
        <w:rPr>
          <w:rFonts w:asciiTheme="majorHAnsi" w:hAnsiTheme="majorHAnsi"/>
          <w:szCs w:val="22"/>
        </w:rPr>
        <w:t xml:space="preserve"> </w:t>
      </w:r>
      <w:r w:rsidR="005C4E2C">
        <w:rPr>
          <w:rFonts w:asciiTheme="majorHAnsi" w:hAnsiTheme="majorHAnsi"/>
          <w:szCs w:val="22"/>
        </w:rPr>
        <w:t xml:space="preserve">administered </w:t>
      </w:r>
      <w:r w:rsidR="000E71A9">
        <w:rPr>
          <w:rFonts w:asciiTheme="majorHAnsi" w:hAnsiTheme="majorHAnsi"/>
          <w:szCs w:val="22"/>
        </w:rPr>
        <w:t>as</w:t>
      </w:r>
      <w:r w:rsidR="006A17AB">
        <w:rPr>
          <w:rFonts w:asciiTheme="majorHAnsi" w:hAnsiTheme="majorHAnsi"/>
          <w:szCs w:val="22"/>
        </w:rPr>
        <w:t xml:space="preserve"> a 30-</w:t>
      </w:r>
      <w:r w:rsidR="000E71A9">
        <w:rPr>
          <w:rFonts w:asciiTheme="majorHAnsi" w:hAnsiTheme="majorHAnsi"/>
          <w:szCs w:val="22"/>
        </w:rPr>
        <w:t xml:space="preserve">second </w:t>
      </w:r>
      <w:r w:rsidR="00C77CFB">
        <w:rPr>
          <w:rFonts w:asciiTheme="majorHAnsi" w:hAnsiTheme="majorHAnsi"/>
          <w:szCs w:val="22"/>
        </w:rPr>
        <w:t>IV</w:t>
      </w:r>
      <w:r w:rsidR="000E71A9">
        <w:rPr>
          <w:rFonts w:asciiTheme="majorHAnsi" w:hAnsiTheme="majorHAnsi"/>
          <w:szCs w:val="22"/>
        </w:rPr>
        <w:t xml:space="preserve"> bolus</w:t>
      </w:r>
      <w:r w:rsidR="005C4E2C">
        <w:rPr>
          <w:rFonts w:asciiTheme="majorHAnsi" w:hAnsiTheme="majorHAnsi"/>
          <w:szCs w:val="22"/>
        </w:rPr>
        <w:t xml:space="preserve"> </w:t>
      </w:r>
      <w:r w:rsidR="004D0288">
        <w:rPr>
          <w:rFonts w:asciiTheme="majorHAnsi" w:hAnsiTheme="majorHAnsi"/>
          <w:szCs w:val="22"/>
        </w:rPr>
        <w:t xml:space="preserve">for the prevention of </w:t>
      </w:r>
      <w:r w:rsidR="00546715">
        <w:rPr>
          <w:rFonts w:asciiTheme="majorHAnsi" w:hAnsiTheme="majorHAnsi"/>
          <w:szCs w:val="22"/>
        </w:rPr>
        <w:t>CINV</w:t>
      </w:r>
      <w:r w:rsidR="009E550B" w:rsidRPr="009E550B">
        <w:rPr>
          <w:rFonts w:asciiTheme="majorHAnsi" w:hAnsiTheme="majorHAnsi"/>
          <w:szCs w:val="22"/>
        </w:rPr>
        <w:t xml:space="preserve"> in cancer pati</w:t>
      </w:r>
      <w:r w:rsidR="00732DB7">
        <w:rPr>
          <w:rFonts w:asciiTheme="majorHAnsi" w:hAnsiTheme="majorHAnsi"/>
          <w:szCs w:val="22"/>
        </w:rPr>
        <w:t>ents scheduled to receive a HEC</w:t>
      </w:r>
      <w:r w:rsidR="006D41E0">
        <w:rPr>
          <w:rFonts w:asciiTheme="majorHAnsi" w:hAnsiTheme="majorHAnsi"/>
          <w:szCs w:val="22"/>
        </w:rPr>
        <w:t xml:space="preserve"> </w:t>
      </w:r>
      <w:r w:rsidR="009E550B" w:rsidRPr="009E550B">
        <w:rPr>
          <w:rFonts w:asciiTheme="majorHAnsi" w:hAnsiTheme="majorHAnsi"/>
          <w:szCs w:val="22"/>
        </w:rPr>
        <w:t>regimen</w:t>
      </w:r>
      <w:r w:rsidR="004D0288">
        <w:rPr>
          <w:rFonts w:asciiTheme="majorHAnsi" w:hAnsiTheme="majorHAnsi"/>
          <w:szCs w:val="22"/>
        </w:rPr>
        <w:t xml:space="preserve">. HEC regimens </w:t>
      </w:r>
      <w:r w:rsidR="009E550B" w:rsidRPr="009E550B">
        <w:rPr>
          <w:rFonts w:asciiTheme="majorHAnsi" w:hAnsiTheme="majorHAnsi"/>
          <w:szCs w:val="22"/>
        </w:rPr>
        <w:t>included cisplatin administered a</w:t>
      </w:r>
      <w:r w:rsidR="00732DB7">
        <w:rPr>
          <w:rFonts w:asciiTheme="majorHAnsi" w:hAnsiTheme="majorHAnsi"/>
          <w:szCs w:val="22"/>
        </w:rPr>
        <w:t>s a single IV dose of 70 mg/m</w:t>
      </w:r>
      <w:r w:rsidR="00732DB7" w:rsidRPr="00E71C0E">
        <w:rPr>
          <w:rFonts w:asciiTheme="majorHAnsi" w:hAnsiTheme="majorHAnsi"/>
          <w:szCs w:val="22"/>
          <w:vertAlign w:val="superscript"/>
        </w:rPr>
        <w:t>2</w:t>
      </w:r>
      <w:r w:rsidR="00732DB7">
        <w:rPr>
          <w:rFonts w:asciiTheme="majorHAnsi" w:hAnsiTheme="majorHAnsi"/>
          <w:szCs w:val="22"/>
        </w:rPr>
        <w:t xml:space="preserve">, </w:t>
      </w:r>
      <w:r w:rsidR="009E550B" w:rsidRPr="009E550B">
        <w:rPr>
          <w:rFonts w:asciiTheme="majorHAnsi" w:hAnsiTheme="majorHAnsi"/>
          <w:szCs w:val="22"/>
        </w:rPr>
        <w:t>cyclophosphamide 1500 mg/m</w:t>
      </w:r>
      <w:r w:rsidR="009E550B" w:rsidRPr="00E71C0E">
        <w:rPr>
          <w:rFonts w:asciiTheme="majorHAnsi" w:hAnsiTheme="majorHAnsi"/>
          <w:szCs w:val="22"/>
          <w:vertAlign w:val="superscript"/>
        </w:rPr>
        <w:t>2</w:t>
      </w:r>
      <w:r w:rsidR="009E550B" w:rsidRPr="009E550B">
        <w:rPr>
          <w:rFonts w:asciiTheme="majorHAnsi" w:hAnsiTheme="majorHAnsi"/>
          <w:szCs w:val="22"/>
        </w:rPr>
        <w:t xml:space="preserve">, </w:t>
      </w:r>
      <w:proofErr w:type="spellStart"/>
      <w:r w:rsidR="009E550B" w:rsidRPr="009E550B">
        <w:rPr>
          <w:rFonts w:asciiTheme="majorHAnsi" w:hAnsiTheme="majorHAnsi"/>
          <w:szCs w:val="22"/>
        </w:rPr>
        <w:t>carmustine</w:t>
      </w:r>
      <w:proofErr w:type="spellEnd"/>
      <w:r w:rsidR="009E550B" w:rsidRPr="009E550B">
        <w:rPr>
          <w:rFonts w:asciiTheme="majorHAnsi" w:hAnsiTheme="majorHAnsi"/>
          <w:szCs w:val="22"/>
        </w:rPr>
        <w:t xml:space="preserve"> (BCNU) &gt;2</w:t>
      </w:r>
      <w:r w:rsidR="00732DB7">
        <w:rPr>
          <w:rFonts w:asciiTheme="majorHAnsi" w:hAnsiTheme="majorHAnsi"/>
          <w:szCs w:val="22"/>
        </w:rPr>
        <w:t>50mg/m</w:t>
      </w:r>
      <w:r w:rsidR="00732DB7" w:rsidRPr="00E71C0E">
        <w:rPr>
          <w:rFonts w:asciiTheme="majorHAnsi" w:hAnsiTheme="majorHAnsi"/>
          <w:szCs w:val="22"/>
          <w:vertAlign w:val="superscript"/>
        </w:rPr>
        <w:t>2</w:t>
      </w:r>
      <w:r w:rsidR="00732DB7">
        <w:rPr>
          <w:rFonts w:asciiTheme="majorHAnsi" w:hAnsiTheme="majorHAnsi"/>
          <w:szCs w:val="22"/>
        </w:rPr>
        <w:t xml:space="preserve">, </w:t>
      </w:r>
      <w:proofErr w:type="spellStart"/>
      <w:r w:rsidR="00732DB7">
        <w:rPr>
          <w:rFonts w:asciiTheme="majorHAnsi" w:hAnsiTheme="majorHAnsi"/>
          <w:szCs w:val="22"/>
        </w:rPr>
        <w:t>dacarbazine</w:t>
      </w:r>
      <w:proofErr w:type="spellEnd"/>
      <w:r w:rsidR="00732DB7">
        <w:rPr>
          <w:rFonts w:asciiTheme="majorHAnsi" w:hAnsiTheme="majorHAnsi"/>
          <w:szCs w:val="22"/>
        </w:rPr>
        <w:t xml:space="preserve"> (DTIC) and </w:t>
      </w:r>
      <w:proofErr w:type="spellStart"/>
      <w:r w:rsidR="009E550B" w:rsidRPr="009E550B">
        <w:rPr>
          <w:rFonts w:asciiTheme="majorHAnsi" w:hAnsiTheme="majorHAnsi"/>
          <w:szCs w:val="22"/>
        </w:rPr>
        <w:t>mechlore</w:t>
      </w:r>
      <w:r w:rsidR="00E07072">
        <w:rPr>
          <w:rFonts w:asciiTheme="majorHAnsi" w:hAnsiTheme="majorHAnsi"/>
          <w:szCs w:val="22"/>
        </w:rPr>
        <w:t>tamine</w:t>
      </w:r>
      <w:proofErr w:type="spellEnd"/>
      <w:r w:rsidR="00E07072">
        <w:rPr>
          <w:rFonts w:asciiTheme="majorHAnsi" w:hAnsiTheme="majorHAnsi"/>
          <w:szCs w:val="22"/>
        </w:rPr>
        <w:t xml:space="preserve"> (nitrogen mustard). </w:t>
      </w:r>
      <w:r w:rsidR="00732DB7">
        <w:rPr>
          <w:rFonts w:asciiTheme="majorHAnsi" w:hAnsiTheme="majorHAnsi"/>
          <w:szCs w:val="22"/>
        </w:rPr>
        <w:t xml:space="preserve">A total of </w:t>
      </w:r>
      <w:r w:rsidR="009E550B" w:rsidRPr="009E550B">
        <w:rPr>
          <w:rFonts w:asciiTheme="majorHAnsi" w:hAnsiTheme="majorHAnsi"/>
          <w:szCs w:val="22"/>
        </w:rPr>
        <w:t xml:space="preserve">440 patients (intravenous </w:t>
      </w:r>
      <w:proofErr w:type="spellStart"/>
      <w:r w:rsidR="009E550B" w:rsidRPr="009E550B">
        <w:rPr>
          <w:rFonts w:asciiTheme="majorHAnsi" w:hAnsiTheme="majorHAnsi"/>
          <w:szCs w:val="22"/>
        </w:rPr>
        <w:t>palonosetron</w:t>
      </w:r>
      <w:proofErr w:type="spellEnd"/>
      <w:r w:rsidR="009E550B" w:rsidRPr="009E550B">
        <w:rPr>
          <w:rFonts w:asciiTheme="majorHAnsi" w:hAnsiTheme="majorHAnsi"/>
          <w:szCs w:val="22"/>
        </w:rPr>
        <w:t xml:space="preserve"> infusion n</w:t>
      </w:r>
      <w:r w:rsidR="005748A8">
        <w:rPr>
          <w:rFonts w:asciiTheme="majorHAnsi" w:hAnsiTheme="majorHAnsi"/>
          <w:szCs w:val="22"/>
        </w:rPr>
        <w:t xml:space="preserve"> </w:t>
      </w:r>
      <w:r w:rsidR="009E550B" w:rsidRPr="009E550B">
        <w:rPr>
          <w:rFonts w:asciiTheme="majorHAnsi" w:hAnsiTheme="majorHAnsi"/>
          <w:szCs w:val="22"/>
        </w:rPr>
        <w:t>=</w:t>
      </w:r>
      <w:r w:rsidR="005748A8">
        <w:rPr>
          <w:rFonts w:asciiTheme="majorHAnsi" w:hAnsiTheme="majorHAnsi"/>
          <w:szCs w:val="22"/>
        </w:rPr>
        <w:t xml:space="preserve"> </w:t>
      </w:r>
      <w:r w:rsidR="009E550B" w:rsidRPr="009E550B">
        <w:rPr>
          <w:rFonts w:asciiTheme="majorHAnsi" w:hAnsiTheme="majorHAnsi"/>
          <w:szCs w:val="22"/>
        </w:rPr>
        <w:t xml:space="preserve">225; intravenous </w:t>
      </w:r>
      <w:proofErr w:type="spellStart"/>
      <w:r w:rsidR="009E550B" w:rsidRPr="009E550B">
        <w:rPr>
          <w:rFonts w:asciiTheme="majorHAnsi" w:hAnsiTheme="majorHAnsi"/>
          <w:szCs w:val="22"/>
        </w:rPr>
        <w:t>pal</w:t>
      </w:r>
      <w:r w:rsidR="00732DB7">
        <w:rPr>
          <w:rFonts w:asciiTheme="majorHAnsi" w:hAnsiTheme="majorHAnsi"/>
          <w:szCs w:val="22"/>
        </w:rPr>
        <w:t>onosetron</w:t>
      </w:r>
      <w:proofErr w:type="spellEnd"/>
      <w:r w:rsidR="00732DB7">
        <w:rPr>
          <w:rFonts w:asciiTheme="majorHAnsi" w:hAnsiTheme="majorHAnsi"/>
          <w:szCs w:val="22"/>
        </w:rPr>
        <w:t xml:space="preserve"> bolus n</w:t>
      </w:r>
      <w:r w:rsidR="005748A8">
        <w:rPr>
          <w:rFonts w:asciiTheme="majorHAnsi" w:hAnsiTheme="majorHAnsi"/>
          <w:szCs w:val="22"/>
        </w:rPr>
        <w:t xml:space="preserve"> </w:t>
      </w:r>
      <w:r w:rsidR="00732DB7">
        <w:rPr>
          <w:rFonts w:asciiTheme="majorHAnsi" w:hAnsiTheme="majorHAnsi"/>
          <w:szCs w:val="22"/>
        </w:rPr>
        <w:t>=</w:t>
      </w:r>
      <w:r w:rsidR="005748A8">
        <w:rPr>
          <w:rFonts w:asciiTheme="majorHAnsi" w:hAnsiTheme="majorHAnsi"/>
          <w:szCs w:val="22"/>
        </w:rPr>
        <w:t xml:space="preserve"> </w:t>
      </w:r>
      <w:r w:rsidR="00732DB7">
        <w:rPr>
          <w:rFonts w:asciiTheme="majorHAnsi" w:hAnsiTheme="majorHAnsi"/>
          <w:szCs w:val="22"/>
        </w:rPr>
        <w:t xml:space="preserve">215) received </w:t>
      </w:r>
      <w:r w:rsidR="005748A8">
        <w:rPr>
          <w:rFonts w:asciiTheme="majorHAnsi" w:hAnsiTheme="majorHAnsi"/>
          <w:szCs w:val="22"/>
        </w:rPr>
        <w:t>study medication and HEC.</w:t>
      </w:r>
      <w:r w:rsidR="00433EE6">
        <w:rPr>
          <w:rFonts w:asciiTheme="majorHAnsi" w:hAnsiTheme="majorHAnsi"/>
          <w:szCs w:val="22"/>
        </w:rPr>
        <w:t xml:space="preserve"> </w:t>
      </w:r>
    </w:p>
    <w:p w14:paraId="09F97694" w14:textId="438ED259" w:rsidR="00433EE6" w:rsidRPr="00E71C0E" w:rsidRDefault="009E550B" w:rsidP="00AA537D">
      <w:pPr>
        <w:pStyle w:val="SageBodyText"/>
        <w:spacing w:line="276" w:lineRule="auto"/>
        <w:jc w:val="left"/>
        <w:rPr>
          <w:rFonts w:asciiTheme="majorHAnsi" w:hAnsiTheme="majorHAnsi"/>
          <w:szCs w:val="22"/>
        </w:rPr>
      </w:pPr>
      <w:r w:rsidRPr="009E550B">
        <w:rPr>
          <w:rFonts w:asciiTheme="majorHAnsi" w:hAnsiTheme="majorHAnsi"/>
          <w:szCs w:val="22"/>
        </w:rPr>
        <w:t xml:space="preserve">The primary efficacy endpoint was complete response (CR defined as </w:t>
      </w:r>
      <w:r w:rsidR="00732DB7">
        <w:rPr>
          <w:rFonts w:asciiTheme="majorHAnsi" w:hAnsiTheme="majorHAnsi"/>
          <w:szCs w:val="22"/>
        </w:rPr>
        <w:t xml:space="preserve">no emetic episode and no use of </w:t>
      </w:r>
      <w:r w:rsidRPr="009E550B">
        <w:rPr>
          <w:rFonts w:asciiTheme="majorHAnsi" w:hAnsiTheme="majorHAnsi"/>
          <w:szCs w:val="22"/>
        </w:rPr>
        <w:t>rescue medication) in the 24 hours (acute phase) after the start of the</w:t>
      </w:r>
      <w:r w:rsidR="00732DB7">
        <w:rPr>
          <w:rFonts w:asciiTheme="majorHAnsi" w:hAnsiTheme="majorHAnsi"/>
          <w:szCs w:val="22"/>
        </w:rPr>
        <w:t xml:space="preserve"> scheduled chemotherapy. In the </w:t>
      </w:r>
      <w:r w:rsidR="0036147E">
        <w:rPr>
          <w:rFonts w:asciiTheme="majorHAnsi" w:hAnsiTheme="majorHAnsi"/>
          <w:szCs w:val="22"/>
        </w:rPr>
        <w:t>IV infusion</w:t>
      </w:r>
      <w:r w:rsidRPr="009E550B">
        <w:rPr>
          <w:rFonts w:asciiTheme="majorHAnsi" w:hAnsiTheme="majorHAnsi"/>
          <w:szCs w:val="22"/>
        </w:rPr>
        <w:t xml:space="preserve"> group, 82.7% of patients achieved CR</w:t>
      </w:r>
      <w:r w:rsidR="00732DB7">
        <w:rPr>
          <w:rFonts w:asciiTheme="majorHAnsi" w:hAnsiTheme="majorHAnsi"/>
          <w:szCs w:val="22"/>
        </w:rPr>
        <w:t xml:space="preserve"> in the acute phase compared to </w:t>
      </w:r>
      <w:r w:rsidRPr="009E550B">
        <w:rPr>
          <w:rFonts w:asciiTheme="majorHAnsi" w:hAnsiTheme="majorHAnsi"/>
          <w:szCs w:val="22"/>
        </w:rPr>
        <w:t xml:space="preserve">86.5% of patients in the </w:t>
      </w:r>
      <w:r w:rsidR="0036147E">
        <w:rPr>
          <w:rFonts w:asciiTheme="majorHAnsi" w:hAnsiTheme="majorHAnsi"/>
          <w:szCs w:val="22"/>
        </w:rPr>
        <w:t>IV bolus group</w:t>
      </w:r>
      <w:r w:rsidRPr="009E550B">
        <w:rPr>
          <w:rFonts w:asciiTheme="majorHAnsi" w:hAnsiTheme="majorHAnsi"/>
          <w:szCs w:val="22"/>
        </w:rPr>
        <w:t>, with a</w:t>
      </w:r>
      <w:r w:rsidR="00732DB7">
        <w:rPr>
          <w:rFonts w:asciiTheme="majorHAnsi" w:hAnsiTheme="majorHAnsi"/>
          <w:szCs w:val="22"/>
        </w:rPr>
        <w:t xml:space="preserve"> difference of -3.8% (99% CI: - </w:t>
      </w:r>
      <w:r w:rsidR="00CA35BE">
        <w:rPr>
          <w:rFonts w:asciiTheme="majorHAnsi" w:hAnsiTheme="majorHAnsi"/>
          <w:szCs w:val="22"/>
        </w:rPr>
        <w:t>12.2% to 4.7%).</w:t>
      </w:r>
      <w:r w:rsidR="000E7691">
        <w:rPr>
          <w:rFonts w:asciiTheme="majorHAnsi" w:hAnsiTheme="majorHAnsi"/>
          <w:szCs w:val="22"/>
        </w:rPr>
        <w:t xml:space="preserve"> Non-</w:t>
      </w:r>
      <w:r w:rsidRPr="009E550B">
        <w:rPr>
          <w:rFonts w:asciiTheme="majorHAnsi" w:hAnsiTheme="majorHAnsi"/>
          <w:szCs w:val="22"/>
        </w:rPr>
        <w:t xml:space="preserve">inferiority of </w:t>
      </w:r>
      <w:r w:rsidR="00805885">
        <w:rPr>
          <w:rFonts w:asciiTheme="majorHAnsi" w:hAnsiTheme="majorHAnsi"/>
          <w:szCs w:val="22"/>
        </w:rPr>
        <w:t>the IV infusion group</w:t>
      </w:r>
      <w:r w:rsidR="007E65E4">
        <w:rPr>
          <w:rFonts w:asciiTheme="majorHAnsi" w:hAnsiTheme="majorHAnsi"/>
          <w:szCs w:val="22"/>
        </w:rPr>
        <w:t xml:space="preserve"> versus</w:t>
      </w:r>
      <w:r w:rsidR="00732DB7">
        <w:rPr>
          <w:rFonts w:asciiTheme="majorHAnsi" w:hAnsiTheme="majorHAnsi"/>
          <w:szCs w:val="22"/>
        </w:rPr>
        <w:t xml:space="preserve"> </w:t>
      </w:r>
      <w:r w:rsidR="00917FE0">
        <w:rPr>
          <w:rFonts w:asciiTheme="majorHAnsi" w:hAnsiTheme="majorHAnsi"/>
          <w:szCs w:val="22"/>
        </w:rPr>
        <w:t xml:space="preserve">the </w:t>
      </w:r>
      <w:r w:rsidR="00805885">
        <w:rPr>
          <w:rFonts w:asciiTheme="majorHAnsi" w:hAnsiTheme="majorHAnsi"/>
          <w:szCs w:val="22"/>
        </w:rPr>
        <w:t>IV</w:t>
      </w:r>
      <w:r w:rsidR="007E65E4">
        <w:rPr>
          <w:rFonts w:asciiTheme="majorHAnsi" w:hAnsiTheme="majorHAnsi"/>
          <w:szCs w:val="22"/>
        </w:rPr>
        <w:t xml:space="preserve"> </w:t>
      </w:r>
      <w:r w:rsidRPr="009E550B">
        <w:rPr>
          <w:rFonts w:asciiTheme="majorHAnsi" w:hAnsiTheme="majorHAnsi"/>
          <w:szCs w:val="22"/>
        </w:rPr>
        <w:t>bolus</w:t>
      </w:r>
      <w:r w:rsidR="00917FE0">
        <w:rPr>
          <w:rFonts w:asciiTheme="majorHAnsi" w:hAnsiTheme="majorHAnsi"/>
          <w:szCs w:val="22"/>
        </w:rPr>
        <w:t xml:space="preserve"> </w:t>
      </w:r>
      <w:r w:rsidR="00805885">
        <w:rPr>
          <w:rFonts w:asciiTheme="majorHAnsi" w:hAnsiTheme="majorHAnsi"/>
          <w:szCs w:val="22"/>
        </w:rPr>
        <w:t xml:space="preserve">group </w:t>
      </w:r>
      <w:r w:rsidR="00546715">
        <w:rPr>
          <w:rFonts w:asciiTheme="majorHAnsi" w:hAnsiTheme="majorHAnsi"/>
          <w:szCs w:val="22"/>
        </w:rPr>
        <w:t xml:space="preserve">in the prevention of </w:t>
      </w:r>
      <w:r w:rsidR="00433EE6">
        <w:rPr>
          <w:rFonts w:asciiTheme="majorHAnsi" w:hAnsiTheme="majorHAnsi"/>
          <w:szCs w:val="22"/>
        </w:rPr>
        <w:t>CINV in cancer patients receiving HEC</w:t>
      </w:r>
      <w:r w:rsidR="00753CCE">
        <w:rPr>
          <w:rFonts w:asciiTheme="majorHAnsi" w:hAnsiTheme="majorHAnsi"/>
          <w:szCs w:val="22"/>
        </w:rPr>
        <w:t xml:space="preserve"> was demonstrated as</w:t>
      </w:r>
      <w:r w:rsidRPr="009E550B">
        <w:rPr>
          <w:rFonts w:asciiTheme="majorHAnsi" w:hAnsiTheme="majorHAnsi"/>
          <w:szCs w:val="22"/>
        </w:rPr>
        <w:t xml:space="preserve"> the lower limit of the two-sid</w:t>
      </w:r>
      <w:r w:rsidR="00732DB7">
        <w:rPr>
          <w:rFonts w:asciiTheme="majorHAnsi" w:hAnsiTheme="majorHAnsi"/>
          <w:szCs w:val="22"/>
        </w:rPr>
        <w:t xml:space="preserve">ed 99% CI for the difference in 22 </w:t>
      </w:r>
      <w:r w:rsidRPr="009E550B">
        <w:rPr>
          <w:rFonts w:asciiTheme="majorHAnsi" w:hAnsiTheme="majorHAnsi"/>
          <w:szCs w:val="22"/>
        </w:rPr>
        <w:t xml:space="preserve">proportions of patients with CR was greater (i.e., closer to zero) than </w:t>
      </w:r>
      <w:r w:rsidR="00732DB7">
        <w:rPr>
          <w:rFonts w:asciiTheme="majorHAnsi" w:hAnsiTheme="majorHAnsi"/>
          <w:szCs w:val="22"/>
        </w:rPr>
        <w:t xml:space="preserve">the pre-defined non inferiority </w:t>
      </w:r>
      <w:r w:rsidRPr="009E550B">
        <w:rPr>
          <w:rFonts w:asciiTheme="majorHAnsi" w:hAnsiTheme="majorHAnsi"/>
          <w:szCs w:val="22"/>
        </w:rPr>
        <w:t>margin set at 15%</w:t>
      </w:r>
      <w:r>
        <w:t>.</w:t>
      </w:r>
    </w:p>
    <w:p w14:paraId="7E6B2645" w14:textId="1AA9EE34" w:rsidR="0013332C" w:rsidRPr="00D61B4A" w:rsidRDefault="0013332C" w:rsidP="0013332C">
      <w:pPr>
        <w:pStyle w:val="Heading4"/>
      </w:pPr>
      <w:r w:rsidRPr="00D61B4A">
        <w:t>Paediatric Population</w:t>
      </w:r>
    </w:p>
    <w:p w14:paraId="6FA816A8" w14:textId="6D674F8E" w:rsidR="0013332C" w:rsidRPr="0000252E" w:rsidRDefault="0013332C" w:rsidP="0013332C">
      <w:pPr>
        <w:rPr>
          <w:lang w:val="en-US"/>
        </w:rPr>
      </w:pPr>
      <w:r w:rsidRPr="00CF5FDA">
        <w:rPr>
          <w:lang w:val="en-US"/>
        </w:rPr>
        <w:t>The safety and efficacy of AKYNZEO</w:t>
      </w:r>
      <w:r w:rsidR="006325C1">
        <w:rPr>
          <w:lang w:val="en-US"/>
        </w:rPr>
        <w:t xml:space="preserve"> IV</w:t>
      </w:r>
      <w:r w:rsidRPr="00CF5FDA">
        <w:rPr>
          <w:lang w:val="en-US"/>
        </w:rPr>
        <w:t xml:space="preserve"> in children have not been established. No data are available.</w:t>
      </w:r>
    </w:p>
    <w:p w14:paraId="1E7A12F6" w14:textId="77777777" w:rsidR="0013332C" w:rsidRPr="00D61B4A" w:rsidRDefault="0013332C" w:rsidP="0013332C">
      <w:pPr>
        <w:pStyle w:val="Heading2"/>
      </w:pPr>
      <w:r w:rsidRPr="00D61B4A">
        <w:t xml:space="preserve">Pharmacokinetic properties </w:t>
      </w:r>
    </w:p>
    <w:p w14:paraId="51416C1E" w14:textId="01A64633" w:rsidR="006970EC" w:rsidRDefault="006970EC" w:rsidP="0035369C">
      <w:pPr>
        <w:pStyle w:val="Heading3"/>
        <w:spacing w:before="120"/>
      </w:pPr>
      <w:r>
        <w:t xml:space="preserve">Absorption </w:t>
      </w:r>
    </w:p>
    <w:p w14:paraId="765E98BC" w14:textId="57CCC923" w:rsidR="00040E42" w:rsidRPr="00E71C0E" w:rsidRDefault="00DF2CBD" w:rsidP="00040E42">
      <w:r>
        <w:t xml:space="preserve">After single dose administration of AKYNZEO IV administered as a 30-minute infusion to cancer patients, </w:t>
      </w:r>
      <w:proofErr w:type="spellStart"/>
      <w:r>
        <w:t>fosnetupitant</w:t>
      </w:r>
      <w:proofErr w:type="spellEnd"/>
      <w:r>
        <w:t xml:space="preserve"> achieved </w:t>
      </w:r>
      <w:proofErr w:type="spellStart"/>
      <w:r>
        <w:t>C</w:t>
      </w:r>
      <w:r>
        <w:rPr>
          <w:vertAlign w:val="subscript"/>
        </w:rPr>
        <w:t>max</w:t>
      </w:r>
      <w:proofErr w:type="spellEnd"/>
      <w:r>
        <w:t xml:space="preserve"> at the end of the </w:t>
      </w:r>
      <w:r w:rsidR="0029674A">
        <w:t>infusion</w:t>
      </w:r>
      <w:r>
        <w:t xml:space="preserve"> and disappeared rapidly from the systemic circulation with an apparent terminal half-life lower than one hour. Within 30 minutes of infusion completion, </w:t>
      </w:r>
      <w:proofErr w:type="spellStart"/>
      <w:r>
        <w:t>fosnetupitant</w:t>
      </w:r>
      <w:proofErr w:type="spellEnd"/>
      <w:r>
        <w:t xml:space="preserve"> concentration decreased to less than 1% of </w:t>
      </w:r>
      <w:proofErr w:type="spellStart"/>
      <w:r>
        <w:t>C</w:t>
      </w:r>
      <w:r>
        <w:rPr>
          <w:vertAlign w:val="subscript"/>
        </w:rPr>
        <w:t>max</w:t>
      </w:r>
      <w:proofErr w:type="spellEnd"/>
      <w:r>
        <w:t xml:space="preserve">. </w:t>
      </w:r>
    </w:p>
    <w:p w14:paraId="261669F9" w14:textId="04241437" w:rsidR="00040E42" w:rsidRDefault="00833CEC" w:rsidP="0035369C">
      <w:pPr>
        <w:rPr>
          <w:b/>
        </w:rPr>
      </w:pPr>
      <w:r w:rsidRPr="00E71C0E">
        <w:rPr>
          <w:b/>
          <w:sz w:val="20"/>
          <w:szCs w:val="20"/>
        </w:rPr>
        <w:t xml:space="preserve">Table </w:t>
      </w:r>
      <w:r w:rsidR="00BE619D">
        <w:rPr>
          <w:b/>
          <w:sz w:val="20"/>
          <w:szCs w:val="20"/>
        </w:rPr>
        <w:t>7</w:t>
      </w:r>
      <w:r w:rsidRPr="00E71C0E">
        <w:rPr>
          <w:b/>
          <w:sz w:val="20"/>
          <w:szCs w:val="20"/>
        </w:rPr>
        <w:t xml:space="preserve">: </w:t>
      </w:r>
      <w:r w:rsidR="00040E42" w:rsidRPr="00E71C0E">
        <w:rPr>
          <w:sz w:val="20"/>
          <w:szCs w:val="20"/>
        </w:rPr>
        <w:t xml:space="preserve">PK Parameters (mean and CV%) After Single Dose Administration </w:t>
      </w:r>
      <w:r w:rsidR="00DF2CBD">
        <w:rPr>
          <w:sz w:val="20"/>
          <w:szCs w:val="20"/>
        </w:rPr>
        <w:t xml:space="preserve">of </w:t>
      </w:r>
      <w:r w:rsidR="006C7AC5">
        <w:rPr>
          <w:sz w:val="20"/>
          <w:szCs w:val="20"/>
        </w:rPr>
        <w:t>AKYNZEO IV</w:t>
      </w:r>
      <w:r w:rsidR="00040E42" w:rsidRPr="00E71C0E">
        <w:rPr>
          <w:sz w:val="20"/>
          <w:szCs w:val="20"/>
        </w:rPr>
        <w:t xml:space="preserve"> in</w:t>
      </w:r>
      <w:r w:rsidR="006C7AC5">
        <w:rPr>
          <w:sz w:val="20"/>
          <w:szCs w:val="20"/>
        </w:rPr>
        <w:t xml:space="preserve"> Cancer Patients, </w:t>
      </w:r>
      <w:r w:rsidR="00987F4C">
        <w:rPr>
          <w:sz w:val="20"/>
          <w:szCs w:val="20"/>
        </w:rPr>
        <w:t xml:space="preserve">Administration of IV </w:t>
      </w:r>
      <w:proofErr w:type="spellStart"/>
      <w:r w:rsidR="00987F4C">
        <w:rPr>
          <w:sz w:val="20"/>
          <w:szCs w:val="20"/>
        </w:rPr>
        <w:t>fosnetupitant</w:t>
      </w:r>
      <w:proofErr w:type="spellEnd"/>
      <w:r w:rsidR="00987F4C">
        <w:rPr>
          <w:sz w:val="20"/>
          <w:szCs w:val="20"/>
        </w:rPr>
        <w:t xml:space="preserve"> in </w:t>
      </w:r>
      <w:r w:rsidR="00040E42" w:rsidRPr="00E71C0E">
        <w:rPr>
          <w:sz w:val="20"/>
          <w:szCs w:val="20"/>
        </w:rPr>
        <w:t>Healthy Volunteers (HVs)</w:t>
      </w:r>
      <w:r w:rsidR="00DF2CBD">
        <w:rPr>
          <w:sz w:val="20"/>
          <w:szCs w:val="20"/>
        </w:rPr>
        <w:t xml:space="preserve"> and Administration o</w:t>
      </w:r>
      <w:r w:rsidR="006C7AC5">
        <w:rPr>
          <w:sz w:val="20"/>
          <w:szCs w:val="20"/>
        </w:rPr>
        <w:t xml:space="preserve">f IV </w:t>
      </w:r>
      <w:proofErr w:type="spellStart"/>
      <w:r w:rsidR="006C7AC5">
        <w:rPr>
          <w:sz w:val="20"/>
          <w:szCs w:val="20"/>
        </w:rPr>
        <w:t>palonosetron</w:t>
      </w:r>
      <w:proofErr w:type="spellEnd"/>
      <w:r w:rsidR="006C7AC5">
        <w:rPr>
          <w:sz w:val="20"/>
          <w:szCs w:val="20"/>
        </w:rPr>
        <w:t xml:space="preserve"> in Healthy Volunteers (HVs)</w:t>
      </w:r>
    </w:p>
    <w:tbl>
      <w:tblPr>
        <w:tblStyle w:val="TableGrid"/>
        <w:tblW w:w="9464" w:type="dxa"/>
        <w:tblLook w:val="04A0" w:firstRow="1" w:lastRow="0" w:firstColumn="1" w:lastColumn="0" w:noHBand="0" w:noVBand="1"/>
      </w:tblPr>
      <w:tblGrid>
        <w:gridCol w:w="1848"/>
        <w:gridCol w:w="1848"/>
        <w:gridCol w:w="1848"/>
        <w:gridCol w:w="1849"/>
        <w:gridCol w:w="2071"/>
      </w:tblGrid>
      <w:tr w:rsidR="00040E42" w:rsidRPr="0035369C" w14:paraId="6515A418" w14:textId="77777777" w:rsidTr="00E71C0E">
        <w:tc>
          <w:tcPr>
            <w:tcW w:w="1848" w:type="dxa"/>
          </w:tcPr>
          <w:p w14:paraId="44EC2ABB" w14:textId="77777777" w:rsidR="00040E42" w:rsidRPr="0035369C" w:rsidRDefault="00040E42" w:rsidP="00F747D6">
            <w:pPr>
              <w:rPr>
                <w:sz w:val="18"/>
                <w:szCs w:val="18"/>
              </w:rPr>
            </w:pPr>
          </w:p>
        </w:tc>
        <w:tc>
          <w:tcPr>
            <w:tcW w:w="1848" w:type="dxa"/>
          </w:tcPr>
          <w:p w14:paraId="33302765" w14:textId="77777777" w:rsidR="00040E42" w:rsidRPr="0035369C" w:rsidRDefault="00040E42" w:rsidP="00F747D6">
            <w:pPr>
              <w:rPr>
                <w:sz w:val="18"/>
                <w:szCs w:val="18"/>
              </w:rPr>
            </w:pPr>
          </w:p>
        </w:tc>
        <w:tc>
          <w:tcPr>
            <w:tcW w:w="1848" w:type="dxa"/>
            <w:vAlign w:val="center"/>
          </w:tcPr>
          <w:p w14:paraId="596410E7" w14:textId="77777777" w:rsidR="00040E42" w:rsidRPr="0035369C" w:rsidRDefault="00040E42" w:rsidP="00F747D6">
            <w:pPr>
              <w:jc w:val="center"/>
              <w:rPr>
                <w:b/>
                <w:sz w:val="18"/>
                <w:szCs w:val="18"/>
              </w:rPr>
            </w:pPr>
            <w:proofErr w:type="spellStart"/>
            <w:r w:rsidRPr="0035369C">
              <w:rPr>
                <w:b/>
                <w:sz w:val="18"/>
                <w:szCs w:val="18"/>
              </w:rPr>
              <w:t>Fosnetupitant</w:t>
            </w:r>
            <w:proofErr w:type="spellEnd"/>
          </w:p>
        </w:tc>
        <w:tc>
          <w:tcPr>
            <w:tcW w:w="1849" w:type="dxa"/>
            <w:vAlign w:val="center"/>
          </w:tcPr>
          <w:p w14:paraId="6EE94522" w14:textId="77777777" w:rsidR="00040E42" w:rsidRPr="0035369C" w:rsidRDefault="00040E42" w:rsidP="00F747D6">
            <w:pPr>
              <w:jc w:val="center"/>
              <w:rPr>
                <w:b/>
                <w:sz w:val="18"/>
                <w:szCs w:val="18"/>
              </w:rPr>
            </w:pPr>
            <w:proofErr w:type="spellStart"/>
            <w:r w:rsidRPr="0035369C">
              <w:rPr>
                <w:b/>
                <w:sz w:val="18"/>
                <w:szCs w:val="18"/>
              </w:rPr>
              <w:t>Netupitant</w:t>
            </w:r>
            <w:proofErr w:type="spellEnd"/>
          </w:p>
        </w:tc>
        <w:tc>
          <w:tcPr>
            <w:tcW w:w="2071" w:type="dxa"/>
            <w:vAlign w:val="center"/>
          </w:tcPr>
          <w:p w14:paraId="060E13AE" w14:textId="77777777" w:rsidR="00040E42" w:rsidRPr="0035369C" w:rsidRDefault="00040E42" w:rsidP="00F747D6">
            <w:pPr>
              <w:jc w:val="center"/>
              <w:rPr>
                <w:b/>
                <w:sz w:val="18"/>
                <w:szCs w:val="18"/>
              </w:rPr>
            </w:pPr>
            <w:r w:rsidRPr="0035369C">
              <w:rPr>
                <w:b/>
                <w:sz w:val="18"/>
                <w:szCs w:val="18"/>
              </w:rPr>
              <w:t>Palonosetron</w:t>
            </w:r>
            <w:r w:rsidRPr="0035369C">
              <w:rPr>
                <w:b/>
                <w:sz w:val="18"/>
                <w:szCs w:val="18"/>
                <w:vertAlign w:val="superscript"/>
              </w:rPr>
              <w:t>2</w:t>
            </w:r>
          </w:p>
        </w:tc>
      </w:tr>
      <w:tr w:rsidR="00040E42" w:rsidRPr="0035369C" w14:paraId="1A1FF62B" w14:textId="77777777" w:rsidTr="00E71C0E">
        <w:tc>
          <w:tcPr>
            <w:tcW w:w="1848" w:type="dxa"/>
            <w:vMerge w:val="restart"/>
            <w:vAlign w:val="center"/>
          </w:tcPr>
          <w:p w14:paraId="0A451B2B" w14:textId="77777777" w:rsidR="00040E42" w:rsidRPr="0035369C" w:rsidRDefault="00040E42" w:rsidP="00F747D6">
            <w:pPr>
              <w:jc w:val="center"/>
              <w:rPr>
                <w:sz w:val="18"/>
                <w:szCs w:val="18"/>
              </w:rPr>
            </w:pPr>
            <w:proofErr w:type="spellStart"/>
            <w:r w:rsidRPr="0035369C">
              <w:rPr>
                <w:sz w:val="18"/>
                <w:szCs w:val="18"/>
              </w:rPr>
              <w:t>C</w:t>
            </w:r>
            <w:r w:rsidRPr="0035369C">
              <w:rPr>
                <w:sz w:val="18"/>
                <w:szCs w:val="18"/>
                <w:vertAlign w:val="subscript"/>
              </w:rPr>
              <w:t>max</w:t>
            </w:r>
            <w:proofErr w:type="spellEnd"/>
            <w:r w:rsidRPr="0035369C">
              <w:rPr>
                <w:sz w:val="18"/>
                <w:szCs w:val="18"/>
              </w:rPr>
              <w:t xml:space="preserve"> (ng/mL)</w:t>
            </w:r>
          </w:p>
        </w:tc>
        <w:tc>
          <w:tcPr>
            <w:tcW w:w="1848" w:type="dxa"/>
            <w:vAlign w:val="center"/>
          </w:tcPr>
          <w:p w14:paraId="182FEA0F" w14:textId="77777777" w:rsidR="00040E42" w:rsidRPr="0035369C" w:rsidRDefault="00040E42" w:rsidP="00F747D6">
            <w:pPr>
              <w:jc w:val="center"/>
              <w:rPr>
                <w:sz w:val="18"/>
                <w:szCs w:val="18"/>
              </w:rPr>
            </w:pPr>
            <w:r w:rsidRPr="0035369C">
              <w:rPr>
                <w:sz w:val="18"/>
                <w:szCs w:val="18"/>
              </w:rPr>
              <w:t>HVs</w:t>
            </w:r>
          </w:p>
        </w:tc>
        <w:tc>
          <w:tcPr>
            <w:tcW w:w="1848" w:type="dxa"/>
            <w:vAlign w:val="center"/>
          </w:tcPr>
          <w:p w14:paraId="01330616" w14:textId="77777777" w:rsidR="00040E42" w:rsidRPr="0035369C" w:rsidRDefault="00040E42" w:rsidP="00F747D6">
            <w:pPr>
              <w:jc w:val="center"/>
              <w:rPr>
                <w:sz w:val="18"/>
                <w:szCs w:val="18"/>
              </w:rPr>
            </w:pPr>
            <w:r w:rsidRPr="0035369C">
              <w:rPr>
                <w:sz w:val="18"/>
                <w:szCs w:val="18"/>
              </w:rPr>
              <w:t>6431 (14)</w:t>
            </w:r>
          </w:p>
        </w:tc>
        <w:tc>
          <w:tcPr>
            <w:tcW w:w="1849" w:type="dxa"/>
            <w:vAlign w:val="center"/>
          </w:tcPr>
          <w:p w14:paraId="1D7D3C28" w14:textId="77777777" w:rsidR="00040E42" w:rsidRPr="0035369C" w:rsidRDefault="00040E42" w:rsidP="00F747D6">
            <w:pPr>
              <w:jc w:val="center"/>
              <w:rPr>
                <w:sz w:val="18"/>
                <w:szCs w:val="18"/>
              </w:rPr>
            </w:pPr>
            <w:r w:rsidRPr="0035369C">
              <w:rPr>
                <w:sz w:val="18"/>
                <w:szCs w:val="18"/>
              </w:rPr>
              <w:t>841 (21)</w:t>
            </w:r>
          </w:p>
        </w:tc>
        <w:tc>
          <w:tcPr>
            <w:tcW w:w="2071" w:type="dxa"/>
            <w:vAlign w:val="center"/>
          </w:tcPr>
          <w:p w14:paraId="68798CEB" w14:textId="77777777" w:rsidR="00040E42" w:rsidRPr="0035369C" w:rsidRDefault="00040E42" w:rsidP="00F747D6">
            <w:pPr>
              <w:jc w:val="center"/>
              <w:rPr>
                <w:sz w:val="18"/>
                <w:szCs w:val="18"/>
              </w:rPr>
            </w:pPr>
            <w:r w:rsidRPr="0035369C">
              <w:rPr>
                <w:sz w:val="18"/>
                <w:szCs w:val="18"/>
              </w:rPr>
              <w:t>2.1 (61)</w:t>
            </w:r>
          </w:p>
        </w:tc>
      </w:tr>
      <w:tr w:rsidR="00040E42" w:rsidRPr="0035369C" w14:paraId="63AABA5C" w14:textId="77777777" w:rsidTr="00E71C0E">
        <w:tc>
          <w:tcPr>
            <w:tcW w:w="1848" w:type="dxa"/>
            <w:vMerge/>
            <w:vAlign w:val="center"/>
          </w:tcPr>
          <w:p w14:paraId="573382DF" w14:textId="77777777" w:rsidR="00040E42" w:rsidRPr="0035369C" w:rsidRDefault="00040E42" w:rsidP="00F747D6">
            <w:pPr>
              <w:jc w:val="center"/>
              <w:rPr>
                <w:sz w:val="18"/>
                <w:szCs w:val="18"/>
              </w:rPr>
            </w:pPr>
          </w:p>
        </w:tc>
        <w:tc>
          <w:tcPr>
            <w:tcW w:w="1848" w:type="dxa"/>
            <w:vAlign w:val="center"/>
          </w:tcPr>
          <w:p w14:paraId="6E308824" w14:textId="77777777" w:rsidR="00040E42" w:rsidRPr="0035369C" w:rsidRDefault="00040E42" w:rsidP="00F747D6">
            <w:pPr>
              <w:jc w:val="center"/>
              <w:rPr>
                <w:sz w:val="18"/>
                <w:szCs w:val="18"/>
              </w:rPr>
            </w:pPr>
            <w:r w:rsidRPr="0035369C">
              <w:rPr>
                <w:sz w:val="18"/>
                <w:szCs w:val="18"/>
              </w:rPr>
              <w:t>Patients</w:t>
            </w:r>
          </w:p>
        </w:tc>
        <w:tc>
          <w:tcPr>
            <w:tcW w:w="1848" w:type="dxa"/>
            <w:vAlign w:val="center"/>
          </w:tcPr>
          <w:p w14:paraId="56E3B2D4" w14:textId="77777777" w:rsidR="00040E42" w:rsidRPr="0035369C" w:rsidRDefault="00040E42" w:rsidP="00F747D6">
            <w:pPr>
              <w:jc w:val="center"/>
              <w:rPr>
                <w:sz w:val="18"/>
                <w:szCs w:val="18"/>
              </w:rPr>
            </w:pPr>
            <w:r w:rsidRPr="0035369C">
              <w:rPr>
                <w:sz w:val="18"/>
                <w:szCs w:val="18"/>
              </w:rPr>
              <w:t>3478 (45)</w:t>
            </w:r>
          </w:p>
        </w:tc>
        <w:tc>
          <w:tcPr>
            <w:tcW w:w="1849" w:type="dxa"/>
            <w:vAlign w:val="center"/>
          </w:tcPr>
          <w:p w14:paraId="785062A0" w14:textId="77777777" w:rsidR="00040E42" w:rsidRPr="0035369C" w:rsidRDefault="00040E42" w:rsidP="00F747D6">
            <w:pPr>
              <w:jc w:val="center"/>
              <w:rPr>
                <w:sz w:val="18"/>
                <w:szCs w:val="18"/>
              </w:rPr>
            </w:pPr>
            <w:r w:rsidRPr="0035369C">
              <w:rPr>
                <w:sz w:val="18"/>
                <w:szCs w:val="18"/>
              </w:rPr>
              <w:t xml:space="preserve">590 (28) </w:t>
            </w:r>
          </w:p>
        </w:tc>
        <w:tc>
          <w:tcPr>
            <w:tcW w:w="2071" w:type="dxa"/>
            <w:vAlign w:val="center"/>
          </w:tcPr>
          <w:p w14:paraId="3EE49EBE" w14:textId="77777777" w:rsidR="00040E42" w:rsidRPr="0035369C" w:rsidRDefault="00040E42" w:rsidP="00F747D6">
            <w:pPr>
              <w:jc w:val="center"/>
              <w:rPr>
                <w:sz w:val="18"/>
                <w:szCs w:val="18"/>
              </w:rPr>
            </w:pPr>
            <w:r w:rsidRPr="0035369C">
              <w:rPr>
                <w:sz w:val="18"/>
                <w:szCs w:val="18"/>
              </w:rPr>
              <w:t>0.8 (35)</w:t>
            </w:r>
          </w:p>
        </w:tc>
      </w:tr>
      <w:tr w:rsidR="00040E42" w:rsidRPr="0035369C" w14:paraId="6222A911" w14:textId="77777777" w:rsidTr="00E71C0E">
        <w:tc>
          <w:tcPr>
            <w:tcW w:w="1848" w:type="dxa"/>
            <w:vMerge w:val="restart"/>
            <w:vAlign w:val="center"/>
          </w:tcPr>
          <w:p w14:paraId="27BC455F" w14:textId="77777777" w:rsidR="00040E42" w:rsidRPr="0035369C" w:rsidRDefault="00040E42" w:rsidP="00F747D6">
            <w:pPr>
              <w:jc w:val="center"/>
              <w:rPr>
                <w:sz w:val="18"/>
                <w:szCs w:val="18"/>
              </w:rPr>
            </w:pPr>
            <w:r w:rsidRPr="0035369C">
              <w:rPr>
                <w:sz w:val="18"/>
                <w:szCs w:val="18"/>
              </w:rPr>
              <w:t>t</w:t>
            </w:r>
            <w:r w:rsidRPr="0035369C">
              <w:rPr>
                <w:sz w:val="18"/>
                <w:szCs w:val="18"/>
                <w:vertAlign w:val="subscript"/>
              </w:rPr>
              <w:t>max</w:t>
            </w:r>
            <w:r w:rsidRPr="0035369C">
              <w:rPr>
                <w:sz w:val="18"/>
                <w:szCs w:val="18"/>
                <w:vertAlign w:val="superscript"/>
              </w:rPr>
              <w:t>1</w:t>
            </w:r>
            <w:r w:rsidRPr="0035369C">
              <w:rPr>
                <w:sz w:val="18"/>
                <w:szCs w:val="18"/>
                <w:vertAlign w:val="subscript"/>
              </w:rPr>
              <w:t xml:space="preserve"> </w:t>
            </w:r>
            <w:r w:rsidRPr="0035369C">
              <w:rPr>
                <w:sz w:val="18"/>
                <w:szCs w:val="18"/>
              </w:rPr>
              <w:t>(h)</w:t>
            </w:r>
          </w:p>
        </w:tc>
        <w:tc>
          <w:tcPr>
            <w:tcW w:w="1848" w:type="dxa"/>
            <w:vAlign w:val="center"/>
          </w:tcPr>
          <w:p w14:paraId="7CBE2134" w14:textId="77777777" w:rsidR="00040E42" w:rsidRPr="0035369C" w:rsidRDefault="00040E42" w:rsidP="00F747D6">
            <w:pPr>
              <w:jc w:val="center"/>
              <w:rPr>
                <w:sz w:val="18"/>
                <w:szCs w:val="18"/>
              </w:rPr>
            </w:pPr>
            <w:r w:rsidRPr="0035369C">
              <w:rPr>
                <w:sz w:val="18"/>
                <w:szCs w:val="18"/>
              </w:rPr>
              <w:t>HVs</w:t>
            </w:r>
          </w:p>
        </w:tc>
        <w:tc>
          <w:tcPr>
            <w:tcW w:w="1848" w:type="dxa"/>
            <w:vAlign w:val="center"/>
          </w:tcPr>
          <w:p w14:paraId="250CC3F9" w14:textId="77777777" w:rsidR="00040E42" w:rsidRPr="0035369C" w:rsidRDefault="00040E42" w:rsidP="00F747D6">
            <w:pPr>
              <w:jc w:val="center"/>
              <w:rPr>
                <w:sz w:val="18"/>
                <w:szCs w:val="18"/>
              </w:rPr>
            </w:pPr>
            <w:r w:rsidRPr="0035369C">
              <w:rPr>
                <w:sz w:val="18"/>
                <w:szCs w:val="18"/>
              </w:rPr>
              <w:t>0.5 (0.25 – 0.5)</w:t>
            </w:r>
          </w:p>
        </w:tc>
        <w:tc>
          <w:tcPr>
            <w:tcW w:w="1849" w:type="dxa"/>
            <w:vAlign w:val="center"/>
          </w:tcPr>
          <w:p w14:paraId="75C6F980" w14:textId="77777777" w:rsidR="00040E42" w:rsidRPr="0035369C" w:rsidRDefault="00040E42" w:rsidP="00F747D6">
            <w:pPr>
              <w:jc w:val="center"/>
              <w:rPr>
                <w:sz w:val="18"/>
                <w:szCs w:val="18"/>
              </w:rPr>
            </w:pPr>
            <w:r w:rsidRPr="0035369C">
              <w:rPr>
                <w:sz w:val="18"/>
                <w:szCs w:val="18"/>
              </w:rPr>
              <w:t>0.5 (0.4-0.5)</w:t>
            </w:r>
          </w:p>
        </w:tc>
        <w:tc>
          <w:tcPr>
            <w:tcW w:w="2071" w:type="dxa"/>
            <w:vAlign w:val="center"/>
          </w:tcPr>
          <w:p w14:paraId="6D5E9FBB" w14:textId="77777777" w:rsidR="00040E42" w:rsidRPr="0035369C" w:rsidRDefault="00040E42" w:rsidP="00F747D6">
            <w:pPr>
              <w:jc w:val="center"/>
              <w:rPr>
                <w:sz w:val="18"/>
                <w:szCs w:val="18"/>
              </w:rPr>
            </w:pPr>
            <w:r w:rsidRPr="0035369C">
              <w:rPr>
                <w:sz w:val="18"/>
                <w:szCs w:val="18"/>
              </w:rPr>
              <w:t>0.55</w:t>
            </w:r>
          </w:p>
        </w:tc>
      </w:tr>
      <w:tr w:rsidR="00040E42" w:rsidRPr="0035369C" w14:paraId="57CF875A" w14:textId="77777777" w:rsidTr="00E71C0E">
        <w:tc>
          <w:tcPr>
            <w:tcW w:w="1848" w:type="dxa"/>
            <w:vMerge/>
            <w:vAlign w:val="center"/>
          </w:tcPr>
          <w:p w14:paraId="66BCCCD0" w14:textId="77777777" w:rsidR="00040E42" w:rsidRPr="0035369C" w:rsidRDefault="00040E42" w:rsidP="00F747D6">
            <w:pPr>
              <w:jc w:val="center"/>
              <w:rPr>
                <w:sz w:val="18"/>
                <w:szCs w:val="18"/>
              </w:rPr>
            </w:pPr>
          </w:p>
        </w:tc>
        <w:tc>
          <w:tcPr>
            <w:tcW w:w="1848" w:type="dxa"/>
            <w:vAlign w:val="center"/>
          </w:tcPr>
          <w:p w14:paraId="740A2705" w14:textId="77777777" w:rsidR="00040E42" w:rsidRPr="0035369C" w:rsidRDefault="00040E42" w:rsidP="00F747D6">
            <w:pPr>
              <w:jc w:val="center"/>
              <w:rPr>
                <w:sz w:val="18"/>
                <w:szCs w:val="18"/>
              </w:rPr>
            </w:pPr>
            <w:r w:rsidRPr="0035369C">
              <w:rPr>
                <w:sz w:val="18"/>
                <w:szCs w:val="18"/>
              </w:rPr>
              <w:t>Patients</w:t>
            </w:r>
          </w:p>
        </w:tc>
        <w:tc>
          <w:tcPr>
            <w:tcW w:w="1848" w:type="dxa"/>
            <w:vAlign w:val="center"/>
          </w:tcPr>
          <w:p w14:paraId="4487D464" w14:textId="77777777" w:rsidR="00040E42" w:rsidRPr="0035369C" w:rsidRDefault="00040E42" w:rsidP="00F747D6">
            <w:pPr>
              <w:jc w:val="center"/>
              <w:rPr>
                <w:sz w:val="18"/>
                <w:szCs w:val="18"/>
              </w:rPr>
            </w:pPr>
            <w:r w:rsidRPr="0035369C">
              <w:rPr>
                <w:sz w:val="18"/>
                <w:szCs w:val="18"/>
              </w:rPr>
              <w:t>0.5 (0.5 – 0.6)</w:t>
            </w:r>
          </w:p>
        </w:tc>
        <w:tc>
          <w:tcPr>
            <w:tcW w:w="1849" w:type="dxa"/>
            <w:vAlign w:val="center"/>
          </w:tcPr>
          <w:p w14:paraId="29EBD79F" w14:textId="77777777" w:rsidR="00040E42" w:rsidRPr="0035369C" w:rsidRDefault="00040E42" w:rsidP="00F747D6">
            <w:pPr>
              <w:jc w:val="center"/>
              <w:rPr>
                <w:sz w:val="18"/>
                <w:szCs w:val="18"/>
              </w:rPr>
            </w:pPr>
            <w:r w:rsidRPr="0035369C">
              <w:rPr>
                <w:sz w:val="18"/>
                <w:szCs w:val="18"/>
              </w:rPr>
              <w:t xml:space="preserve">0.6 (0.5 – 4) </w:t>
            </w:r>
          </w:p>
        </w:tc>
        <w:tc>
          <w:tcPr>
            <w:tcW w:w="2071" w:type="dxa"/>
            <w:vAlign w:val="center"/>
          </w:tcPr>
          <w:p w14:paraId="57BBB9B0" w14:textId="77777777" w:rsidR="00040E42" w:rsidRPr="0035369C" w:rsidRDefault="00040E42" w:rsidP="00F747D6">
            <w:pPr>
              <w:jc w:val="center"/>
              <w:rPr>
                <w:sz w:val="18"/>
                <w:szCs w:val="18"/>
              </w:rPr>
            </w:pPr>
            <w:r w:rsidRPr="0035369C">
              <w:rPr>
                <w:sz w:val="18"/>
                <w:szCs w:val="18"/>
              </w:rPr>
              <w:t>0.6 (0.5 – 6)</w:t>
            </w:r>
          </w:p>
        </w:tc>
      </w:tr>
      <w:tr w:rsidR="00040E42" w:rsidRPr="0035369C" w14:paraId="1D129C37" w14:textId="77777777" w:rsidTr="00E71C0E">
        <w:tc>
          <w:tcPr>
            <w:tcW w:w="1848" w:type="dxa"/>
            <w:vMerge w:val="restart"/>
            <w:vAlign w:val="center"/>
          </w:tcPr>
          <w:p w14:paraId="4F886F8C" w14:textId="77777777" w:rsidR="00040E42" w:rsidRPr="0035369C" w:rsidRDefault="00040E42" w:rsidP="00F747D6">
            <w:pPr>
              <w:jc w:val="center"/>
              <w:rPr>
                <w:sz w:val="18"/>
                <w:szCs w:val="18"/>
              </w:rPr>
            </w:pPr>
            <w:r w:rsidRPr="0035369C">
              <w:rPr>
                <w:sz w:val="18"/>
                <w:szCs w:val="18"/>
              </w:rPr>
              <w:t>AUC (ng*h/mL)</w:t>
            </w:r>
          </w:p>
        </w:tc>
        <w:tc>
          <w:tcPr>
            <w:tcW w:w="1848" w:type="dxa"/>
            <w:vAlign w:val="center"/>
          </w:tcPr>
          <w:p w14:paraId="402C1E42" w14:textId="77777777" w:rsidR="00040E42" w:rsidRPr="0035369C" w:rsidRDefault="00040E42" w:rsidP="00F747D6">
            <w:pPr>
              <w:jc w:val="center"/>
              <w:rPr>
                <w:sz w:val="18"/>
                <w:szCs w:val="18"/>
              </w:rPr>
            </w:pPr>
            <w:r w:rsidRPr="0035369C">
              <w:rPr>
                <w:sz w:val="18"/>
                <w:szCs w:val="18"/>
              </w:rPr>
              <w:t>HVs</w:t>
            </w:r>
          </w:p>
        </w:tc>
        <w:tc>
          <w:tcPr>
            <w:tcW w:w="1848" w:type="dxa"/>
            <w:vAlign w:val="center"/>
          </w:tcPr>
          <w:p w14:paraId="77919FFE" w14:textId="77777777" w:rsidR="00040E42" w:rsidRPr="0035369C" w:rsidRDefault="00040E42" w:rsidP="00F747D6">
            <w:pPr>
              <w:jc w:val="center"/>
              <w:rPr>
                <w:sz w:val="18"/>
                <w:szCs w:val="18"/>
              </w:rPr>
            </w:pPr>
            <w:r w:rsidRPr="0035369C">
              <w:rPr>
                <w:sz w:val="18"/>
                <w:szCs w:val="18"/>
              </w:rPr>
              <w:t xml:space="preserve">2938 (12) </w:t>
            </w:r>
          </w:p>
        </w:tc>
        <w:tc>
          <w:tcPr>
            <w:tcW w:w="1849" w:type="dxa"/>
            <w:vAlign w:val="center"/>
          </w:tcPr>
          <w:p w14:paraId="28B3C132" w14:textId="77777777" w:rsidR="00040E42" w:rsidRPr="0035369C" w:rsidRDefault="00040E42" w:rsidP="00F747D6">
            <w:pPr>
              <w:jc w:val="center"/>
              <w:rPr>
                <w:sz w:val="18"/>
                <w:szCs w:val="18"/>
              </w:rPr>
            </w:pPr>
            <w:r w:rsidRPr="0035369C">
              <w:rPr>
                <w:sz w:val="18"/>
                <w:szCs w:val="18"/>
              </w:rPr>
              <w:t xml:space="preserve">13854 (21) </w:t>
            </w:r>
          </w:p>
        </w:tc>
        <w:tc>
          <w:tcPr>
            <w:tcW w:w="2071" w:type="dxa"/>
            <w:vAlign w:val="center"/>
          </w:tcPr>
          <w:p w14:paraId="130760A0" w14:textId="77777777" w:rsidR="00040E42" w:rsidRPr="0035369C" w:rsidRDefault="00040E42" w:rsidP="00F747D6">
            <w:pPr>
              <w:jc w:val="center"/>
              <w:rPr>
                <w:sz w:val="18"/>
                <w:szCs w:val="18"/>
              </w:rPr>
            </w:pPr>
            <w:r w:rsidRPr="0035369C">
              <w:rPr>
                <w:sz w:val="18"/>
                <w:szCs w:val="18"/>
              </w:rPr>
              <w:t xml:space="preserve">35 (33) </w:t>
            </w:r>
          </w:p>
        </w:tc>
      </w:tr>
      <w:tr w:rsidR="00040E42" w:rsidRPr="0035369C" w14:paraId="1F805A68" w14:textId="77777777" w:rsidTr="00E71C0E">
        <w:tc>
          <w:tcPr>
            <w:tcW w:w="1848" w:type="dxa"/>
            <w:vMerge/>
            <w:vAlign w:val="center"/>
          </w:tcPr>
          <w:p w14:paraId="6DFFA565" w14:textId="77777777" w:rsidR="00040E42" w:rsidRPr="0035369C" w:rsidRDefault="00040E42" w:rsidP="00F747D6">
            <w:pPr>
              <w:jc w:val="center"/>
              <w:rPr>
                <w:sz w:val="18"/>
                <w:szCs w:val="18"/>
              </w:rPr>
            </w:pPr>
          </w:p>
        </w:tc>
        <w:tc>
          <w:tcPr>
            <w:tcW w:w="1848" w:type="dxa"/>
            <w:vAlign w:val="center"/>
          </w:tcPr>
          <w:p w14:paraId="03791579" w14:textId="77777777" w:rsidR="00040E42" w:rsidRPr="0035369C" w:rsidRDefault="00040E42" w:rsidP="00F747D6">
            <w:pPr>
              <w:jc w:val="center"/>
              <w:rPr>
                <w:sz w:val="18"/>
                <w:szCs w:val="18"/>
              </w:rPr>
            </w:pPr>
            <w:r w:rsidRPr="0035369C">
              <w:rPr>
                <w:sz w:val="18"/>
                <w:szCs w:val="18"/>
              </w:rPr>
              <w:t>Patients</w:t>
            </w:r>
          </w:p>
        </w:tc>
        <w:tc>
          <w:tcPr>
            <w:tcW w:w="1848" w:type="dxa"/>
            <w:vAlign w:val="center"/>
          </w:tcPr>
          <w:p w14:paraId="57396725" w14:textId="36B51EE9" w:rsidR="00040E42" w:rsidRPr="0035369C" w:rsidRDefault="003E4C45" w:rsidP="00F747D6">
            <w:pPr>
              <w:jc w:val="center"/>
              <w:rPr>
                <w:sz w:val="18"/>
                <w:szCs w:val="18"/>
              </w:rPr>
            </w:pPr>
            <w:r w:rsidRPr="0035369C">
              <w:rPr>
                <w:sz w:val="18"/>
                <w:szCs w:val="18"/>
              </w:rPr>
              <w:t>14</w:t>
            </w:r>
            <w:r w:rsidR="00040E42" w:rsidRPr="0035369C">
              <w:rPr>
                <w:sz w:val="18"/>
                <w:szCs w:val="18"/>
              </w:rPr>
              <w:t xml:space="preserve">1 (46) </w:t>
            </w:r>
          </w:p>
        </w:tc>
        <w:tc>
          <w:tcPr>
            <w:tcW w:w="1849" w:type="dxa"/>
            <w:vAlign w:val="center"/>
          </w:tcPr>
          <w:p w14:paraId="5036EC61" w14:textId="77777777" w:rsidR="00040E42" w:rsidRPr="0035369C" w:rsidRDefault="00040E42" w:rsidP="00F747D6">
            <w:pPr>
              <w:jc w:val="center"/>
              <w:rPr>
                <w:sz w:val="18"/>
                <w:szCs w:val="18"/>
              </w:rPr>
            </w:pPr>
            <w:r w:rsidRPr="0035369C">
              <w:rPr>
                <w:sz w:val="18"/>
                <w:szCs w:val="18"/>
              </w:rPr>
              <w:t xml:space="preserve">15588 (32) </w:t>
            </w:r>
          </w:p>
        </w:tc>
        <w:tc>
          <w:tcPr>
            <w:tcW w:w="2071" w:type="dxa"/>
            <w:vAlign w:val="center"/>
          </w:tcPr>
          <w:p w14:paraId="66171B54" w14:textId="77777777" w:rsidR="00040E42" w:rsidRPr="0035369C" w:rsidRDefault="00040E42" w:rsidP="00F747D6">
            <w:pPr>
              <w:jc w:val="center"/>
              <w:rPr>
                <w:sz w:val="18"/>
                <w:szCs w:val="18"/>
              </w:rPr>
            </w:pPr>
            <w:r w:rsidRPr="0035369C">
              <w:rPr>
                <w:sz w:val="18"/>
                <w:szCs w:val="18"/>
              </w:rPr>
              <w:t>36 (30)</w:t>
            </w:r>
          </w:p>
        </w:tc>
      </w:tr>
      <w:tr w:rsidR="00040E42" w:rsidRPr="0035369C" w14:paraId="715D1FF7" w14:textId="77777777" w:rsidTr="00E71C0E">
        <w:tc>
          <w:tcPr>
            <w:tcW w:w="1848" w:type="dxa"/>
            <w:vMerge w:val="restart"/>
            <w:vAlign w:val="center"/>
          </w:tcPr>
          <w:p w14:paraId="1A19090C" w14:textId="77777777" w:rsidR="00040E42" w:rsidRPr="0035369C" w:rsidRDefault="00040E42" w:rsidP="00F747D6">
            <w:pPr>
              <w:jc w:val="center"/>
              <w:rPr>
                <w:sz w:val="18"/>
                <w:szCs w:val="18"/>
              </w:rPr>
            </w:pPr>
            <w:r w:rsidRPr="0035369C">
              <w:rPr>
                <w:sz w:val="18"/>
                <w:szCs w:val="18"/>
              </w:rPr>
              <w:t>t</w:t>
            </w:r>
            <w:r w:rsidRPr="0035369C">
              <w:rPr>
                <w:sz w:val="18"/>
                <w:szCs w:val="18"/>
                <w:vertAlign w:val="subscript"/>
              </w:rPr>
              <w:t>1/2</w:t>
            </w:r>
            <w:r w:rsidRPr="0035369C">
              <w:rPr>
                <w:sz w:val="18"/>
                <w:szCs w:val="18"/>
              </w:rPr>
              <w:t xml:space="preserve"> (h)</w:t>
            </w:r>
          </w:p>
        </w:tc>
        <w:tc>
          <w:tcPr>
            <w:tcW w:w="1848" w:type="dxa"/>
            <w:vAlign w:val="center"/>
          </w:tcPr>
          <w:p w14:paraId="4D7CCCDA" w14:textId="77777777" w:rsidR="00040E42" w:rsidRPr="0035369C" w:rsidRDefault="00040E42" w:rsidP="00F747D6">
            <w:pPr>
              <w:jc w:val="center"/>
              <w:rPr>
                <w:sz w:val="18"/>
                <w:szCs w:val="18"/>
              </w:rPr>
            </w:pPr>
            <w:r w:rsidRPr="0035369C">
              <w:rPr>
                <w:sz w:val="18"/>
                <w:szCs w:val="18"/>
              </w:rPr>
              <w:t>HVs</w:t>
            </w:r>
          </w:p>
        </w:tc>
        <w:tc>
          <w:tcPr>
            <w:tcW w:w="1848" w:type="dxa"/>
            <w:vAlign w:val="center"/>
          </w:tcPr>
          <w:p w14:paraId="47CBA993" w14:textId="77777777" w:rsidR="00040E42" w:rsidRPr="0035369C" w:rsidRDefault="00040E42" w:rsidP="00F747D6">
            <w:pPr>
              <w:jc w:val="center"/>
              <w:rPr>
                <w:sz w:val="18"/>
                <w:szCs w:val="18"/>
              </w:rPr>
            </w:pPr>
            <w:r w:rsidRPr="0035369C">
              <w:rPr>
                <w:sz w:val="18"/>
                <w:szCs w:val="18"/>
              </w:rPr>
              <w:t xml:space="preserve">0.96 (57) </w:t>
            </w:r>
          </w:p>
        </w:tc>
        <w:tc>
          <w:tcPr>
            <w:tcW w:w="1849" w:type="dxa"/>
            <w:vAlign w:val="center"/>
          </w:tcPr>
          <w:p w14:paraId="6B355932" w14:textId="77777777" w:rsidR="00040E42" w:rsidRPr="0035369C" w:rsidRDefault="00040E42" w:rsidP="00F747D6">
            <w:pPr>
              <w:jc w:val="center"/>
              <w:rPr>
                <w:sz w:val="18"/>
                <w:szCs w:val="18"/>
              </w:rPr>
            </w:pPr>
            <w:r w:rsidRPr="0035369C">
              <w:rPr>
                <w:sz w:val="18"/>
                <w:szCs w:val="18"/>
              </w:rPr>
              <w:t xml:space="preserve">36.1 (19) </w:t>
            </w:r>
          </w:p>
        </w:tc>
        <w:tc>
          <w:tcPr>
            <w:tcW w:w="2071" w:type="dxa"/>
            <w:vAlign w:val="center"/>
          </w:tcPr>
          <w:p w14:paraId="78ABC979" w14:textId="77777777" w:rsidR="00040E42" w:rsidRPr="0035369C" w:rsidRDefault="00040E42" w:rsidP="00F747D6">
            <w:pPr>
              <w:jc w:val="center"/>
              <w:rPr>
                <w:sz w:val="18"/>
                <w:szCs w:val="18"/>
              </w:rPr>
            </w:pPr>
            <w:r w:rsidRPr="0035369C">
              <w:rPr>
                <w:sz w:val="18"/>
                <w:szCs w:val="18"/>
              </w:rPr>
              <w:t xml:space="preserve">43 (32) </w:t>
            </w:r>
          </w:p>
        </w:tc>
      </w:tr>
      <w:tr w:rsidR="00040E42" w:rsidRPr="0035369C" w14:paraId="194936B3" w14:textId="77777777" w:rsidTr="00E71C0E">
        <w:tc>
          <w:tcPr>
            <w:tcW w:w="1848" w:type="dxa"/>
            <w:vMerge/>
          </w:tcPr>
          <w:p w14:paraId="1CA02E0F" w14:textId="77777777" w:rsidR="00040E42" w:rsidRPr="0035369C" w:rsidRDefault="00040E42" w:rsidP="00F747D6">
            <w:pPr>
              <w:rPr>
                <w:sz w:val="18"/>
                <w:szCs w:val="18"/>
              </w:rPr>
            </w:pPr>
          </w:p>
        </w:tc>
        <w:tc>
          <w:tcPr>
            <w:tcW w:w="1848" w:type="dxa"/>
            <w:vAlign w:val="center"/>
          </w:tcPr>
          <w:p w14:paraId="4813BB82" w14:textId="77777777" w:rsidR="00040E42" w:rsidRPr="0035369C" w:rsidRDefault="00040E42" w:rsidP="00F747D6">
            <w:pPr>
              <w:jc w:val="center"/>
              <w:rPr>
                <w:sz w:val="18"/>
                <w:szCs w:val="18"/>
              </w:rPr>
            </w:pPr>
            <w:r w:rsidRPr="0035369C">
              <w:rPr>
                <w:sz w:val="18"/>
                <w:szCs w:val="18"/>
              </w:rPr>
              <w:t>Patients</w:t>
            </w:r>
          </w:p>
        </w:tc>
        <w:tc>
          <w:tcPr>
            <w:tcW w:w="1848" w:type="dxa"/>
            <w:vAlign w:val="center"/>
          </w:tcPr>
          <w:p w14:paraId="380D3DB3" w14:textId="77777777" w:rsidR="00040E42" w:rsidRPr="0035369C" w:rsidRDefault="00040E42" w:rsidP="00F747D6">
            <w:pPr>
              <w:jc w:val="center"/>
              <w:rPr>
                <w:sz w:val="18"/>
                <w:szCs w:val="18"/>
              </w:rPr>
            </w:pPr>
            <w:r w:rsidRPr="0035369C">
              <w:rPr>
                <w:sz w:val="18"/>
                <w:szCs w:val="18"/>
              </w:rPr>
              <w:t>0.75 (54)</w:t>
            </w:r>
          </w:p>
        </w:tc>
        <w:tc>
          <w:tcPr>
            <w:tcW w:w="1849" w:type="dxa"/>
            <w:vAlign w:val="center"/>
          </w:tcPr>
          <w:p w14:paraId="6F04BCD6" w14:textId="77777777" w:rsidR="00040E42" w:rsidRPr="0035369C" w:rsidRDefault="00040E42" w:rsidP="00F747D6">
            <w:pPr>
              <w:jc w:val="center"/>
              <w:rPr>
                <w:sz w:val="18"/>
                <w:szCs w:val="18"/>
              </w:rPr>
            </w:pPr>
            <w:r w:rsidRPr="0035369C">
              <w:rPr>
                <w:sz w:val="18"/>
                <w:szCs w:val="18"/>
              </w:rPr>
              <w:t xml:space="preserve">144 (50) </w:t>
            </w:r>
          </w:p>
        </w:tc>
        <w:tc>
          <w:tcPr>
            <w:tcW w:w="2071" w:type="dxa"/>
            <w:vAlign w:val="center"/>
          </w:tcPr>
          <w:p w14:paraId="23CD6284" w14:textId="77777777" w:rsidR="00040E42" w:rsidRPr="0035369C" w:rsidRDefault="00040E42" w:rsidP="00F747D6">
            <w:pPr>
              <w:jc w:val="center"/>
              <w:rPr>
                <w:sz w:val="18"/>
                <w:szCs w:val="18"/>
              </w:rPr>
            </w:pPr>
            <w:r w:rsidRPr="0035369C">
              <w:rPr>
                <w:sz w:val="18"/>
                <w:szCs w:val="18"/>
              </w:rPr>
              <w:t xml:space="preserve">58 (47) </w:t>
            </w:r>
          </w:p>
        </w:tc>
      </w:tr>
    </w:tbl>
    <w:p w14:paraId="28C43537" w14:textId="77777777" w:rsidR="00040E42" w:rsidRPr="00E71C0E" w:rsidRDefault="00040E42" w:rsidP="00040E42">
      <w:pPr>
        <w:spacing w:after="0"/>
        <w:rPr>
          <w:sz w:val="18"/>
          <w:szCs w:val="18"/>
        </w:rPr>
      </w:pPr>
      <w:r w:rsidRPr="001A7530">
        <w:rPr>
          <w:sz w:val="18"/>
          <w:szCs w:val="18"/>
          <w:vertAlign w:val="superscript"/>
        </w:rPr>
        <w:t>1</w:t>
      </w:r>
      <w:r w:rsidRPr="001A7530">
        <w:rPr>
          <w:sz w:val="18"/>
          <w:szCs w:val="18"/>
        </w:rPr>
        <w:t xml:space="preserve"> median (min-max</w:t>
      </w:r>
      <w:r w:rsidRPr="00E71C0E">
        <w:rPr>
          <w:sz w:val="18"/>
          <w:szCs w:val="18"/>
        </w:rPr>
        <w:t>)</w:t>
      </w:r>
    </w:p>
    <w:p w14:paraId="0A3A3DB3" w14:textId="77777777" w:rsidR="00040E42" w:rsidRDefault="00040E42" w:rsidP="00040E42">
      <w:pPr>
        <w:rPr>
          <w:sz w:val="18"/>
          <w:szCs w:val="18"/>
        </w:rPr>
      </w:pPr>
      <w:r w:rsidRPr="00E71C0E">
        <w:rPr>
          <w:sz w:val="18"/>
          <w:szCs w:val="18"/>
          <w:vertAlign w:val="superscript"/>
        </w:rPr>
        <w:t xml:space="preserve">2 </w:t>
      </w:r>
      <w:r w:rsidRPr="00E71C0E">
        <w:rPr>
          <w:sz w:val="18"/>
          <w:szCs w:val="18"/>
        </w:rPr>
        <w:t>IV bolus in HVs</w:t>
      </w:r>
      <w:r>
        <w:rPr>
          <w:sz w:val="18"/>
          <w:szCs w:val="18"/>
        </w:rPr>
        <w:t xml:space="preserve"> </w:t>
      </w:r>
    </w:p>
    <w:p w14:paraId="07FB4D85" w14:textId="77777777" w:rsidR="00040E42" w:rsidRDefault="00040E42" w:rsidP="0035369C">
      <w:pPr>
        <w:pageBreakBefore/>
      </w:pPr>
      <w:bookmarkStart w:id="0" w:name="_GoBack"/>
      <w:bookmarkEnd w:id="0"/>
      <w:proofErr w:type="spellStart"/>
      <w:r>
        <w:lastRenderedPageBreak/>
        <w:t>Fosnetupitant</w:t>
      </w:r>
      <w:proofErr w:type="spellEnd"/>
      <w:r>
        <w:t xml:space="preserve"> </w:t>
      </w:r>
      <w:proofErr w:type="spellStart"/>
      <w:r>
        <w:t>C</w:t>
      </w:r>
      <w:r>
        <w:rPr>
          <w:vertAlign w:val="subscript"/>
        </w:rPr>
        <w:t>max</w:t>
      </w:r>
      <w:proofErr w:type="spellEnd"/>
      <w:r>
        <w:t xml:space="preserve"> and AUC were lower in patients than in healthy subjects, although the systemic exposures to </w:t>
      </w:r>
      <w:proofErr w:type="spellStart"/>
      <w:r>
        <w:t>netupitant</w:t>
      </w:r>
      <w:proofErr w:type="spellEnd"/>
      <w:r>
        <w:t xml:space="preserve"> were comparable. </w:t>
      </w:r>
    </w:p>
    <w:p w14:paraId="4ED99E9D" w14:textId="77777777" w:rsidR="00040E42" w:rsidRPr="00CD6FA8" w:rsidRDefault="00040E42" w:rsidP="00040E42">
      <w:r>
        <w:t xml:space="preserve">In healthy subjects, there was a dose-proportional increase in the systemic exposure of </w:t>
      </w:r>
      <w:proofErr w:type="spellStart"/>
      <w:r>
        <w:t>fosnetupitant</w:t>
      </w:r>
      <w:proofErr w:type="spellEnd"/>
      <w:r>
        <w:t xml:space="preserve"> with the dose increase of </w:t>
      </w:r>
      <w:proofErr w:type="spellStart"/>
      <w:r>
        <w:t>fosnetupitant</w:t>
      </w:r>
      <w:proofErr w:type="spellEnd"/>
      <w:r>
        <w:t xml:space="preserve"> from 17.6 to 353 mg. </w:t>
      </w:r>
    </w:p>
    <w:p w14:paraId="518B35F2" w14:textId="45B3EEFD" w:rsidR="005530C4" w:rsidRPr="0005064E" w:rsidRDefault="0013332C" w:rsidP="001A7530">
      <w:pPr>
        <w:pStyle w:val="Heading3"/>
      </w:pPr>
      <w:r w:rsidRPr="0005064E">
        <w:t xml:space="preserve">Distribution </w:t>
      </w:r>
    </w:p>
    <w:p w14:paraId="7EB50CA9" w14:textId="6AAA8CA5" w:rsidR="0005064E" w:rsidRDefault="0013332C" w:rsidP="0005064E">
      <w:pPr>
        <w:pStyle w:val="Heading4"/>
      </w:pPr>
      <w:proofErr w:type="spellStart"/>
      <w:r w:rsidRPr="00D61B4A">
        <w:t>Netupitant</w:t>
      </w:r>
      <w:proofErr w:type="spellEnd"/>
      <w:r>
        <w:t xml:space="preserve"> </w:t>
      </w:r>
    </w:p>
    <w:p w14:paraId="136446C5" w14:textId="61E08E04" w:rsidR="00FD2108" w:rsidRDefault="0013332C" w:rsidP="00E71C0E">
      <w:r w:rsidRPr="00CD6FA8">
        <w:t>After a single oral 300 mg dose administration in cancer patients</w:t>
      </w:r>
      <w:r w:rsidR="00435EEE" w:rsidRPr="00CD6FA8">
        <w:t>,</w:t>
      </w:r>
      <w:r w:rsidRPr="00CD6FA8">
        <w:t xml:space="preserve"> </w:t>
      </w:r>
      <w:proofErr w:type="spellStart"/>
      <w:r w:rsidRPr="00CD6FA8">
        <w:t>netupitant</w:t>
      </w:r>
      <w:proofErr w:type="spellEnd"/>
      <w:r w:rsidRPr="00CD6FA8">
        <w:t xml:space="preserve"> disposition was characterised by a two-compartment model with an estimated median systemic clearance of 20.5 L/h and a large distribution volume in the central compartment (486 L). Human plasma protein binding of </w:t>
      </w:r>
      <w:proofErr w:type="spellStart"/>
      <w:r w:rsidRPr="00CD6FA8">
        <w:t>netupitant</w:t>
      </w:r>
      <w:proofErr w:type="spellEnd"/>
      <w:r w:rsidRPr="00CD6FA8">
        <w:t xml:space="preserve"> and its two major metabolites M1 and M3 is &gt; 99% at drug concentrations ranging from 10 to 1500 ng/</w:t>
      </w:r>
      <w:proofErr w:type="spellStart"/>
      <w:r w:rsidRPr="00CD6FA8">
        <w:t>mL.</w:t>
      </w:r>
      <w:proofErr w:type="spellEnd"/>
      <w:r w:rsidRPr="00CD6FA8">
        <w:t xml:space="preserve"> The third major metabolite, M2, is &gt; 97% bound to plasma proteins</w:t>
      </w:r>
      <w:r w:rsidRPr="00DA42A8">
        <w:t>.</w:t>
      </w:r>
    </w:p>
    <w:p w14:paraId="352AD201" w14:textId="2BE279AC" w:rsidR="0005064E" w:rsidRDefault="0013332C" w:rsidP="00E71C0E">
      <w:pPr>
        <w:pStyle w:val="Heading4"/>
      </w:pPr>
      <w:proofErr w:type="spellStart"/>
      <w:r w:rsidRPr="00D61B4A">
        <w:t>Palonosetron</w:t>
      </w:r>
      <w:proofErr w:type="spellEnd"/>
    </w:p>
    <w:p w14:paraId="70E8F84C" w14:textId="54A8656C" w:rsidR="0013332C" w:rsidRDefault="0013332C" w:rsidP="0013332C">
      <w:proofErr w:type="spellStart"/>
      <w:r w:rsidRPr="00A50423">
        <w:t>Palonosetron</w:t>
      </w:r>
      <w:proofErr w:type="spellEnd"/>
      <w:r w:rsidRPr="00A50423">
        <w:t xml:space="preserve"> has a volume of distribution of approximately 8.3 ± 2.5 L/kg. Approximately 62% of </w:t>
      </w:r>
      <w:proofErr w:type="spellStart"/>
      <w:r w:rsidRPr="00A50423">
        <w:t>palonosetron</w:t>
      </w:r>
      <w:proofErr w:type="spellEnd"/>
      <w:r w:rsidRPr="00A50423">
        <w:t xml:space="preserve"> is bound to plasma proteins.</w:t>
      </w:r>
      <w:r>
        <w:t xml:space="preserve"> </w:t>
      </w:r>
    </w:p>
    <w:p w14:paraId="7F8CBAB7" w14:textId="2A628C42" w:rsidR="0098062D" w:rsidRPr="001A7530" w:rsidRDefault="00136DF9" w:rsidP="00E71C0E">
      <w:pPr>
        <w:pStyle w:val="Heading4"/>
      </w:pPr>
      <w:proofErr w:type="spellStart"/>
      <w:r w:rsidRPr="001A7530">
        <w:t>Fosnetupitant</w:t>
      </w:r>
      <w:proofErr w:type="spellEnd"/>
    </w:p>
    <w:p w14:paraId="759F2E40" w14:textId="4E1F0545" w:rsidR="00136DF9" w:rsidRPr="007F195A" w:rsidRDefault="00452449" w:rsidP="0013332C">
      <w:r>
        <w:t xml:space="preserve">After intravenous administration of AKYNZEO IV, </w:t>
      </w:r>
      <w:proofErr w:type="spellStart"/>
      <w:r>
        <w:t>fosnetupitant</w:t>
      </w:r>
      <w:proofErr w:type="spellEnd"/>
      <w:r>
        <w:t xml:space="preserve"> plasma concentrations declined according to a bi</w:t>
      </w:r>
      <w:r w:rsidR="0029674A">
        <w:t>-</w:t>
      </w:r>
      <w:r>
        <w:t>exponential profile that reflects rapid distribution</w:t>
      </w:r>
      <w:r w:rsidR="00287BA6">
        <w:t>.</w:t>
      </w:r>
      <w:r>
        <w:t xml:space="preserve"> </w:t>
      </w:r>
      <w:r w:rsidR="00501CE7">
        <w:t>T</w:t>
      </w:r>
      <w:r>
        <w:t xml:space="preserve">he mean volume of </w:t>
      </w:r>
      <w:r w:rsidR="0029674A">
        <w:t>distribution</w:t>
      </w:r>
      <w:r>
        <w:t xml:space="preserve"> (</w:t>
      </w:r>
      <w:proofErr w:type="spellStart"/>
      <w:r>
        <w:t>V</w:t>
      </w:r>
      <w:r>
        <w:rPr>
          <w:vertAlign w:val="subscript"/>
        </w:rPr>
        <w:t>z</w:t>
      </w:r>
      <w:proofErr w:type="spellEnd"/>
      <w:r>
        <w:t>) in patients was 296</w:t>
      </w:r>
      <w:r w:rsidR="00482135">
        <w:t xml:space="preserve"> ± 535 L. </w:t>
      </w:r>
      <w:r>
        <w:t xml:space="preserve">The human plasma protein binding of </w:t>
      </w:r>
      <w:proofErr w:type="spellStart"/>
      <w:r>
        <w:t>fosnetupitant</w:t>
      </w:r>
      <w:proofErr w:type="spellEnd"/>
      <w:r>
        <w:t xml:space="preserve"> was 92.14% a</w:t>
      </w:r>
      <w:r w:rsidR="00482135">
        <w:t xml:space="preserve">t 1 </w:t>
      </w:r>
      <w:proofErr w:type="spellStart"/>
      <w:r w:rsidR="00482135">
        <w:t>μM</w:t>
      </w:r>
      <w:proofErr w:type="spellEnd"/>
      <w:r w:rsidR="00482135">
        <w:t xml:space="preserve"> and 94.86% at 10 </w:t>
      </w:r>
      <w:proofErr w:type="spellStart"/>
      <w:r w:rsidR="00482135">
        <w:t>μM</w:t>
      </w:r>
      <w:proofErr w:type="spellEnd"/>
      <w:r w:rsidR="00482135">
        <w:t xml:space="preserve">. </w:t>
      </w:r>
      <w:r>
        <w:t>The free fraction was in the range 5 - 8%.</w:t>
      </w:r>
    </w:p>
    <w:p w14:paraId="348A7837" w14:textId="77777777" w:rsidR="0013332C" w:rsidRPr="000623E1" w:rsidRDefault="0013332C" w:rsidP="000623E1">
      <w:pPr>
        <w:pStyle w:val="Heading3"/>
      </w:pPr>
      <w:r w:rsidRPr="000623E1">
        <w:t xml:space="preserve">Metabolism </w:t>
      </w:r>
    </w:p>
    <w:p w14:paraId="7B6C69EB" w14:textId="5EBED0CF" w:rsidR="000623E1" w:rsidRDefault="0013332C" w:rsidP="00FC7666">
      <w:pPr>
        <w:pStyle w:val="Heading4"/>
      </w:pPr>
      <w:proofErr w:type="spellStart"/>
      <w:r w:rsidRPr="00A50423">
        <w:t>Netupitant</w:t>
      </w:r>
      <w:proofErr w:type="spellEnd"/>
    </w:p>
    <w:p w14:paraId="16F7584F" w14:textId="659D32D4" w:rsidR="0013332C" w:rsidRPr="000E2B0F" w:rsidRDefault="0013332C" w:rsidP="0013332C">
      <w:r>
        <w:t xml:space="preserve">In humans, </w:t>
      </w:r>
      <w:proofErr w:type="spellStart"/>
      <w:r w:rsidRPr="001C0F1E">
        <w:t>netupitant</w:t>
      </w:r>
      <w:proofErr w:type="spellEnd"/>
      <w:r w:rsidRPr="001C0F1E">
        <w:t xml:space="preserve"> is eliminated mainly by hepatic metabolism mediated by CYP3A4</w:t>
      </w:r>
      <w:r w:rsidRPr="003C38C0">
        <w:t xml:space="preserve">. </w:t>
      </w:r>
      <w:r w:rsidRPr="00A50423">
        <w:rPr>
          <w:lang w:val="en-US"/>
        </w:rPr>
        <w:t>Three major metabolites</w:t>
      </w:r>
      <w:r w:rsidRPr="0082060D">
        <w:rPr>
          <w:lang w:val="en-US"/>
        </w:rPr>
        <w:t xml:space="preserve"> have been detected in human plasma at </w:t>
      </w:r>
      <w:proofErr w:type="spellStart"/>
      <w:r w:rsidRPr="0082060D">
        <w:rPr>
          <w:lang w:val="en-US"/>
        </w:rPr>
        <w:t>netupitant</w:t>
      </w:r>
      <w:proofErr w:type="spellEnd"/>
      <w:r w:rsidRPr="0082060D">
        <w:rPr>
          <w:lang w:val="en-US"/>
        </w:rPr>
        <w:t xml:space="preserve"> oral doses of 30 mg and higher (the </w:t>
      </w:r>
      <w:proofErr w:type="spellStart"/>
      <w:r w:rsidRPr="0082060D">
        <w:rPr>
          <w:lang w:val="en-US"/>
        </w:rPr>
        <w:t>desmethyl</w:t>
      </w:r>
      <w:proofErr w:type="spellEnd"/>
      <w:r w:rsidRPr="0082060D">
        <w:rPr>
          <w:lang w:val="en-US"/>
        </w:rPr>
        <w:t xml:space="preserve"> derivative, M1; the N-oxide derivative, M2; the OH-methyl derivative, </w:t>
      </w:r>
      <w:r w:rsidRPr="00ED558D">
        <w:rPr>
          <w:lang w:val="en-US"/>
        </w:rPr>
        <w:t xml:space="preserve">M3). After administration of a single oral dose of 300 mg </w:t>
      </w:r>
      <w:proofErr w:type="spellStart"/>
      <w:r w:rsidRPr="00ED558D">
        <w:rPr>
          <w:lang w:val="en-US"/>
        </w:rPr>
        <w:t>netupitant</w:t>
      </w:r>
      <w:proofErr w:type="spellEnd"/>
      <w:r w:rsidRPr="00ED558D">
        <w:rPr>
          <w:lang w:val="en-US"/>
        </w:rPr>
        <w:t xml:space="preserve">, mean plasma </w:t>
      </w:r>
      <w:proofErr w:type="spellStart"/>
      <w:r w:rsidRPr="00ED558D">
        <w:rPr>
          <w:lang w:val="en-US"/>
        </w:rPr>
        <w:t>netupitant</w:t>
      </w:r>
      <w:proofErr w:type="spellEnd"/>
      <w:r w:rsidRPr="00ED558D">
        <w:rPr>
          <w:lang w:val="en-US"/>
        </w:rPr>
        <w:t xml:space="preserve">/plasma radioactivity ratios ranged from 0.13 to 0.49 over 96 h post-dose. The ratios were time dependent with values decreasing gradually beyond 24 h post-dose, indicating that the drug is being rapidly </w:t>
      </w:r>
      <w:proofErr w:type="spellStart"/>
      <w:r w:rsidRPr="00ED558D">
        <w:rPr>
          <w:lang w:val="en-US"/>
        </w:rPr>
        <w:t>metabolised</w:t>
      </w:r>
      <w:proofErr w:type="spellEnd"/>
      <w:r w:rsidRPr="00ED558D">
        <w:rPr>
          <w:lang w:val="en-US"/>
        </w:rPr>
        <w:t xml:space="preserve">. </w:t>
      </w:r>
      <w:r w:rsidRPr="00EE6225">
        <w:rPr>
          <w:lang w:val="en-US"/>
        </w:rPr>
        <w:t xml:space="preserve">Mean </w:t>
      </w:r>
      <w:proofErr w:type="spellStart"/>
      <w:r w:rsidRPr="00EE6225">
        <w:rPr>
          <w:lang w:val="en-US"/>
        </w:rPr>
        <w:t>C</w:t>
      </w:r>
      <w:r w:rsidRPr="00EE6225">
        <w:rPr>
          <w:vertAlign w:val="subscript"/>
          <w:lang w:val="en-US"/>
        </w:rPr>
        <w:t>max</w:t>
      </w:r>
      <w:proofErr w:type="spellEnd"/>
      <w:r w:rsidRPr="00EE6225">
        <w:rPr>
          <w:lang w:val="en-US"/>
        </w:rPr>
        <w:t xml:space="preserve"> was </w:t>
      </w:r>
      <w:r w:rsidRPr="00A50423">
        <w:rPr>
          <w:lang w:val="en-US"/>
        </w:rPr>
        <w:t>approximately 11%, 47% and 16% of the parent for M1, M2 and M3</w:t>
      </w:r>
      <w:r>
        <w:rPr>
          <w:lang w:val="en-US"/>
        </w:rPr>
        <w:t>,</w:t>
      </w:r>
      <w:r w:rsidRPr="00A50423">
        <w:rPr>
          <w:lang w:val="en-US"/>
        </w:rPr>
        <w:t xml:space="preserve"> respectively; M2 had the lowest AUC relative to the parent (14%) whereas M1 and M3 AUC were approximately 29% and 33% of the parent, respectively. M1, M2 and M3 metabolites were all shown to be pharmacologically active in an animal pharmacodynamic model, where M3 was most potent and M2 least active.</w:t>
      </w:r>
    </w:p>
    <w:p w14:paraId="1E469086" w14:textId="77777777" w:rsidR="002F301E" w:rsidRDefault="0013332C" w:rsidP="00E71C0E">
      <w:r w:rsidRPr="003C38C0">
        <w:t xml:space="preserve">At a dose of 300 mg in humans, </w:t>
      </w:r>
      <w:proofErr w:type="spellStart"/>
      <w:r w:rsidRPr="003C38C0">
        <w:t>netupitant</w:t>
      </w:r>
      <w:proofErr w:type="spellEnd"/>
      <w:r w:rsidRPr="003C38C0">
        <w:t xml:space="preserve"> is a substrate and moderate inhibitor of CYP3A4.  </w:t>
      </w:r>
      <w:proofErr w:type="spellStart"/>
      <w:r w:rsidRPr="00CD1579">
        <w:t>Netupitant</w:t>
      </w:r>
      <w:proofErr w:type="spellEnd"/>
      <w:r w:rsidRPr="00CD1579">
        <w:t xml:space="preserve"> and its metabolites, M1, M2 and M3, are not inducers of CYP1A2, CYP2C9, CYP2C19 and CYP3A4.</w:t>
      </w:r>
      <w:r>
        <w:t xml:space="preserve"> </w:t>
      </w:r>
      <w:r w:rsidRPr="003C38C0">
        <w:t xml:space="preserve">When AKYNZEO is used concomitantly with another CYP3A4 inhibitor, </w:t>
      </w:r>
      <w:proofErr w:type="spellStart"/>
      <w:r w:rsidRPr="003C38C0">
        <w:t>netupitant</w:t>
      </w:r>
      <w:proofErr w:type="spellEnd"/>
      <w:r w:rsidRPr="003C38C0">
        <w:t xml:space="preserve"> plasma concentrations could be elevated. When AKYNZEO</w:t>
      </w:r>
      <w:r w:rsidRPr="001C0F1E">
        <w:t xml:space="preserve"> is used concomitantly with medications that induce CYP3A4 activity, </w:t>
      </w:r>
      <w:proofErr w:type="spellStart"/>
      <w:r w:rsidRPr="001C0F1E">
        <w:t>netupitant</w:t>
      </w:r>
      <w:proofErr w:type="spellEnd"/>
      <w:r w:rsidRPr="001C0F1E">
        <w:t xml:space="preserve"> plasma concentrations could be reduced and this may result in decreased efficacy of </w:t>
      </w:r>
      <w:r>
        <w:t>AKYNZEO</w:t>
      </w:r>
      <w:r w:rsidRPr="001C0F1E">
        <w:t xml:space="preserve">. </w:t>
      </w:r>
      <w:r>
        <w:t>AKYNZEO</w:t>
      </w:r>
      <w:r w:rsidRPr="001C0F1E">
        <w:t xml:space="preserve"> can increase plasma </w:t>
      </w:r>
      <w:r w:rsidRPr="001C0F1E">
        <w:lastRenderedPageBreak/>
        <w:t>concentrations of concomitantly administered oral medications that are metaboli</w:t>
      </w:r>
      <w:r>
        <w:t>s</w:t>
      </w:r>
      <w:r w:rsidRPr="001C0F1E">
        <w:t>ed via CYP3A4</w:t>
      </w:r>
      <w:r>
        <w:t xml:space="preserve"> (see Section 4.5 – Interactions with other medicines and other forms of interactions). </w:t>
      </w:r>
    </w:p>
    <w:p w14:paraId="35FD8E78" w14:textId="74173AA9" w:rsidR="004E4537" w:rsidRDefault="0013332C" w:rsidP="00100C87">
      <w:pPr>
        <w:pStyle w:val="Heading4"/>
      </w:pPr>
      <w:proofErr w:type="spellStart"/>
      <w:r w:rsidRPr="0021508E">
        <w:t>Palonosetron</w:t>
      </w:r>
      <w:proofErr w:type="spellEnd"/>
      <w:r>
        <w:t xml:space="preserve"> </w:t>
      </w:r>
    </w:p>
    <w:p w14:paraId="64580200" w14:textId="692A6F3E" w:rsidR="0013332C" w:rsidRDefault="0013332C" w:rsidP="0013332C">
      <w:proofErr w:type="spellStart"/>
      <w:r w:rsidRPr="0021508E">
        <w:t>Palonosetron</w:t>
      </w:r>
      <w:proofErr w:type="spellEnd"/>
      <w:r w:rsidRPr="0021508E">
        <w:t xml:space="preserve"> is eliminated by multiple routes with approximately 50% metabolis</w:t>
      </w:r>
      <w:r w:rsidRPr="008859C2">
        <w:t>ed to form two primary metabolites: N-oxide-</w:t>
      </w:r>
      <w:proofErr w:type="spellStart"/>
      <w:r w:rsidRPr="008859C2">
        <w:t>palonosetron</w:t>
      </w:r>
      <w:proofErr w:type="spellEnd"/>
      <w:r w:rsidRPr="008859C2">
        <w:t xml:space="preserve"> and 6-S­hydroxy-palonosetron. These metabolites each have less than 1% of the 5-HT</w:t>
      </w:r>
      <w:r w:rsidRPr="00BF2F81">
        <w:rPr>
          <w:vertAlign w:val="subscript"/>
        </w:rPr>
        <w:t>3</w:t>
      </w:r>
      <w:r w:rsidRPr="00BF2F81">
        <w:t xml:space="preserve"> receptor antagonist activity of </w:t>
      </w:r>
      <w:proofErr w:type="spellStart"/>
      <w:r w:rsidRPr="00BF2F81">
        <w:t>palonosetron</w:t>
      </w:r>
      <w:proofErr w:type="spellEnd"/>
      <w:r w:rsidRPr="00BF2F81">
        <w:t xml:space="preserve">. </w:t>
      </w:r>
      <w:r w:rsidRPr="00BF2F81">
        <w:rPr>
          <w:i/>
        </w:rPr>
        <w:t>In vitro</w:t>
      </w:r>
      <w:r w:rsidRPr="00BF2F81">
        <w:t xml:space="preserve"> metabolism studies have suggested that CYP2D6 and to a lesser extent, CYP3A4 and CYP1A2 are involved in the metabolism of </w:t>
      </w:r>
      <w:proofErr w:type="spellStart"/>
      <w:r w:rsidRPr="00BF2F81">
        <w:t>palonosetron</w:t>
      </w:r>
      <w:proofErr w:type="spellEnd"/>
      <w:r w:rsidRPr="00BF2F81">
        <w:t>. However, clinical pharmacokinetic parameters are not significantly different between poor and extensive metabolis</w:t>
      </w:r>
      <w:r w:rsidRPr="008C4FEA">
        <w:t>ers of CYP2D6 substrates.</w:t>
      </w:r>
    </w:p>
    <w:p w14:paraId="1BFA7EA2" w14:textId="213A214E" w:rsidR="00136DF9" w:rsidRPr="001A7530" w:rsidRDefault="00136DF9" w:rsidP="00E71C0E">
      <w:pPr>
        <w:pStyle w:val="Heading4"/>
      </w:pPr>
      <w:proofErr w:type="spellStart"/>
      <w:r w:rsidRPr="001A7530">
        <w:t>Fosnetupitant</w:t>
      </w:r>
      <w:proofErr w:type="spellEnd"/>
    </w:p>
    <w:p w14:paraId="4E1C817B" w14:textId="59DAC08C" w:rsidR="00136DF9" w:rsidRPr="002F47FD" w:rsidRDefault="00136DF9" w:rsidP="00E71C0E">
      <w:pPr>
        <w:ind w:left="-5" w:right="12"/>
      </w:pPr>
      <w:proofErr w:type="spellStart"/>
      <w:r>
        <w:t>Fosnetupitant</w:t>
      </w:r>
      <w:proofErr w:type="spellEnd"/>
      <w:r>
        <w:t xml:space="preserve"> is rapidly converted </w:t>
      </w:r>
      <w:r>
        <w:rPr>
          <w:rFonts w:ascii="Times New Roman" w:eastAsia="Times New Roman" w:hAnsi="Times New Roman" w:cs="Times New Roman"/>
          <w:i/>
        </w:rPr>
        <w:t xml:space="preserve">in vivo </w:t>
      </w:r>
      <w:r>
        <w:t xml:space="preserve">to </w:t>
      </w:r>
      <w:proofErr w:type="spellStart"/>
      <w:r>
        <w:t>netupitant</w:t>
      </w:r>
      <w:proofErr w:type="spellEnd"/>
      <w:r>
        <w:t xml:space="preserve"> by metabolic hydrolysis. In patients receiving </w:t>
      </w:r>
      <w:r w:rsidR="0029674A">
        <w:t>AKYNZEO IV</w:t>
      </w:r>
      <w:r>
        <w:t xml:space="preserve">, </w:t>
      </w:r>
      <w:proofErr w:type="spellStart"/>
      <w:r>
        <w:t>netupitant</w:t>
      </w:r>
      <w:proofErr w:type="spellEnd"/>
      <w:r>
        <w:t xml:space="preserve"> exposure was 17-fold </w:t>
      </w:r>
      <w:proofErr w:type="spellStart"/>
      <w:r>
        <w:t>fosnetupitant</w:t>
      </w:r>
      <w:proofErr w:type="spellEnd"/>
      <w:r>
        <w:t xml:space="preserve"> exposure, as determined by their AUC ratio. </w:t>
      </w:r>
      <w:proofErr w:type="spellStart"/>
      <w:r>
        <w:t>Netupitant</w:t>
      </w:r>
      <w:proofErr w:type="spellEnd"/>
      <w:r>
        <w:t xml:space="preserve"> metabolites M1, M2 and M3 were rapidly generated from the released </w:t>
      </w:r>
      <w:proofErr w:type="spellStart"/>
      <w:r>
        <w:t>netupitant</w:t>
      </w:r>
      <w:proofErr w:type="spellEnd"/>
      <w:r>
        <w:t xml:space="preserve">. In patients, metabolite M1, M2 and M3 exposures were 32%, 21% and 28% of </w:t>
      </w:r>
      <w:proofErr w:type="spellStart"/>
      <w:r>
        <w:t>netupitant</w:t>
      </w:r>
      <w:proofErr w:type="spellEnd"/>
      <w:r>
        <w:t xml:space="preserve"> exposure, as determined by their AUC ratio. The median </w:t>
      </w:r>
      <w:proofErr w:type="spellStart"/>
      <w:r>
        <w:t>t</w:t>
      </w:r>
      <w:r>
        <w:rPr>
          <w:vertAlign w:val="subscript"/>
        </w:rPr>
        <w:t>max</w:t>
      </w:r>
      <w:proofErr w:type="spellEnd"/>
      <w:r>
        <w:rPr>
          <w:vertAlign w:val="subscript"/>
        </w:rPr>
        <w:t xml:space="preserve"> </w:t>
      </w:r>
      <w:r>
        <w:t>for M1, M2, and M3 were 12, 2 and 12 hours, respectively.</w:t>
      </w:r>
    </w:p>
    <w:p w14:paraId="1F51A06E" w14:textId="77777777" w:rsidR="0013332C" w:rsidRPr="00CC3FBD" w:rsidRDefault="0013332C" w:rsidP="0013332C">
      <w:pPr>
        <w:pStyle w:val="Heading3"/>
      </w:pPr>
      <w:r w:rsidRPr="00CC3FBD">
        <w:t xml:space="preserve">Excretion </w:t>
      </w:r>
    </w:p>
    <w:p w14:paraId="6E90364E" w14:textId="3819AB07" w:rsidR="004E4537" w:rsidRDefault="0013332C" w:rsidP="00100C87">
      <w:pPr>
        <w:pStyle w:val="Heading4"/>
      </w:pPr>
      <w:proofErr w:type="spellStart"/>
      <w:r w:rsidRPr="007075FA">
        <w:t>Netupitant</w:t>
      </w:r>
      <w:proofErr w:type="spellEnd"/>
      <w:r w:rsidR="000134ED">
        <w:t xml:space="preserve"> </w:t>
      </w:r>
    </w:p>
    <w:p w14:paraId="19845B0E" w14:textId="4BC30229" w:rsidR="0013332C" w:rsidRPr="009F0DEE" w:rsidRDefault="0013332C" w:rsidP="0013332C">
      <w:proofErr w:type="spellStart"/>
      <w:r w:rsidRPr="007075FA">
        <w:t>Netupitant</w:t>
      </w:r>
      <w:proofErr w:type="spellEnd"/>
      <w:r w:rsidRPr="007075FA">
        <w:t xml:space="preserve"> is eliminated from the body in a multi-exponential fashion, with an apparent mean elimination half-life of 88 hours in cancer patients (after a single oral dose of AKYNZEO</w:t>
      </w:r>
      <w:r w:rsidR="004E4537">
        <w:t xml:space="preserve"> capsules</w:t>
      </w:r>
      <w:r w:rsidRPr="007075FA">
        <w:t>).</w:t>
      </w:r>
    </w:p>
    <w:p w14:paraId="2BAC4364" w14:textId="61F1F4D6" w:rsidR="00136DF9" w:rsidRDefault="0013332C" w:rsidP="00E71C0E">
      <w:r w:rsidRPr="007075FA">
        <w:rPr>
          <w:color w:val="000000"/>
        </w:rPr>
        <w:t xml:space="preserve">Renal clearance is not a significant elimination route for the </w:t>
      </w:r>
      <w:proofErr w:type="spellStart"/>
      <w:r w:rsidR="0019080C">
        <w:rPr>
          <w:color w:val="000000"/>
        </w:rPr>
        <w:t>netupitant</w:t>
      </w:r>
      <w:proofErr w:type="spellEnd"/>
      <w:r w:rsidRPr="007075FA">
        <w:rPr>
          <w:color w:val="000000"/>
        </w:rPr>
        <w:t xml:space="preserve">-related entities. </w:t>
      </w:r>
      <w:r w:rsidRPr="007075FA">
        <w:t xml:space="preserve">The mean fraction of an oral dose of </w:t>
      </w:r>
      <w:proofErr w:type="spellStart"/>
      <w:r w:rsidRPr="007075FA">
        <w:t>netupitant</w:t>
      </w:r>
      <w:proofErr w:type="spellEnd"/>
      <w:r w:rsidRPr="007075FA">
        <w:t xml:space="preserve"> excreted unchanged in urine is less </w:t>
      </w:r>
      <w:r w:rsidRPr="002232A2">
        <w:t>than 1%; a total of 3.95% and 70.7% of the radioactive dose was recovered in the urine and faeces, respectively.</w:t>
      </w:r>
      <w:r w:rsidR="00833CEC">
        <w:t xml:space="preserve"> </w:t>
      </w:r>
      <w:r w:rsidRPr="002232A2">
        <w:t>Approximately half the radioactivity administered orally as [</w:t>
      </w:r>
      <w:r w:rsidRPr="0022745A">
        <w:rPr>
          <w:vertAlign w:val="superscript"/>
        </w:rPr>
        <w:t>14</w:t>
      </w:r>
      <w:r>
        <w:t>C</w:t>
      </w:r>
      <w:r w:rsidRPr="002232A2">
        <w:t>]­</w:t>
      </w:r>
      <w:proofErr w:type="spellStart"/>
      <w:r w:rsidRPr="002232A2">
        <w:t>netupitant</w:t>
      </w:r>
      <w:proofErr w:type="spellEnd"/>
      <w:r w:rsidRPr="002232A2">
        <w:t xml:space="preserve"> was recovered from urine and faeces within 120 h of dosing. Elimination via both routes was estimated to be complete by Day 29-30 post-dose.</w:t>
      </w:r>
    </w:p>
    <w:p w14:paraId="77D944B5" w14:textId="3DABE82D" w:rsidR="00012294" w:rsidRPr="001A7530" w:rsidRDefault="0013332C" w:rsidP="00E71C0E">
      <w:pPr>
        <w:pStyle w:val="Heading4"/>
      </w:pPr>
      <w:proofErr w:type="spellStart"/>
      <w:r w:rsidRPr="001A7530">
        <w:t>Palonosetron</w:t>
      </w:r>
      <w:proofErr w:type="spellEnd"/>
      <w:r w:rsidRPr="001A7530">
        <w:t xml:space="preserve"> </w:t>
      </w:r>
    </w:p>
    <w:p w14:paraId="783BD375" w14:textId="384C92C5" w:rsidR="00012294" w:rsidRDefault="0013332C" w:rsidP="001A7530">
      <w:r w:rsidRPr="00DA1002">
        <w:t>Following administration of a single oral 0.75 mg dose of [</w:t>
      </w:r>
      <w:r w:rsidRPr="00E71C0E">
        <w:t>14</w:t>
      </w:r>
      <w:r w:rsidRPr="00DA1002">
        <w:t>C]­</w:t>
      </w:r>
      <w:proofErr w:type="spellStart"/>
      <w:r w:rsidRPr="00DA1002">
        <w:t>palonosetron</w:t>
      </w:r>
      <w:proofErr w:type="spellEnd"/>
      <w:r w:rsidRPr="00DA1002">
        <w:t xml:space="preserve"> to six healthy</w:t>
      </w:r>
      <w:r w:rsidR="00602921">
        <w:t xml:space="preserve"> </w:t>
      </w:r>
      <w:r w:rsidRPr="00DA1002">
        <w:t xml:space="preserve">subjects, 85% to 93% of the total radioactivity was excreted in urine, and 5% to 8% was eliminated in faeces. The amount of unchanged </w:t>
      </w:r>
      <w:proofErr w:type="spellStart"/>
      <w:r w:rsidRPr="00DA1002">
        <w:t>palonosetron</w:t>
      </w:r>
      <w:proofErr w:type="spellEnd"/>
      <w:r w:rsidRPr="00DA1002">
        <w:t xml:space="preserve"> excreted in the urine represented approximately 40% of the administered dose.  In healthy subjects given </w:t>
      </w:r>
      <w:proofErr w:type="spellStart"/>
      <w:r w:rsidRPr="00DA1002">
        <w:t>palonosetron</w:t>
      </w:r>
      <w:proofErr w:type="spellEnd"/>
      <w:r w:rsidRPr="00DA1002">
        <w:t xml:space="preserve"> capsules 500 microgram, the terminal elimination half-life (t</w:t>
      </w:r>
      <w:r w:rsidRPr="00E71C0E">
        <w:t>½</w:t>
      </w:r>
      <w:r w:rsidRPr="00DA1002">
        <w:t xml:space="preserve">) of </w:t>
      </w:r>
      <w:proofErr w:type="spellStart"/>
      <w:r w:rsidRPr="00DA1002">
        <w:t>palonosetron</w:t>
      </w:r>
      <w:proofErr w:type="spellEnd"/>
      <w:r w:rsidRPr="00DA1002">
        <w:t xml:space="preserve"> was 37 ± 12 hours (mean ± SD), and in cancer patients, t</w:t>
      </w:r>
      <w:r w:rsidRPr="00E71C0E">
        <w:t>½</w:t>
      </w:r>
      <w:r w:rsidRPr="00DA1002">
        <w:t xml:space="preserve"> was 48 ± 19 hours. After a single dose of approximately 0.75 mg intravenous </w:t>
      </w:r>
      <w:proofErr w:type="spellStart"/>
      <w:r w:rsidRPr="00DA1002">
        <w:t>palonosetron</w:t>
      </w:r>
      <w:proofErr w:type="spellEnd"/>
      <w:r w:rsidRPr="00DA1002">
        <w:t xml:space="preserve">, the total body clearance of </w:t>
      </w:r>
      <w:proofErr w:type="spellStart"/>
      <w:r w:rsidRPr="00DA1002">
        <w:t>palonosetron</w:t>
      </w:r>
      <w:proofErr w:type="spellEnd"/>
      <w:r w:rsidRPr="00DA1002">
        <w:t xml:space="preserve"> in healthy subjects was 160 ± 35 mL/h/kg (mean ± SD) and renal clearance was 66.5± 18.2 mL/h/kg.</w:t>
      </w:r>
    </w:p>
    <w:p w14:paraId="133F70AE" w14:textId="77F47510" w:rsidR="00003078" w:rsidRPr="00136DF9" w:rsidRDefault="00003078" w:rsidP="009B184C">
      <w:pPr>
        <w:spacing w:after="0"/>
        <w:rPr>
          <w:i/>
        </w:rPr>
      </w:pPr>
      <w:proofErr w:type="spellStart"/>
      <w:r w:rsidRPr="00136DF9">
        <w:rPr>
          <w:i/>
        </w:rPr>
        <w:t>Fosnetupitant</w:t>
      </w:r>
      <w:proofErr w:type="spellEnd"/>
    </w:p>
    <w:p w14:paraId="03D278B7" w14:textId="6AE2EAB7" w:rsidR="00003078" w:rsidRPr="00E06066" w:rsidRDefault="00003078" w:rsidP="00003078">
      <w:r w:rsidRPr="00136DF9">
        <w:t xml:space="preserve">After </w:t>
      </w:r>
      <w:r w:rsidR="0029674A">
        <w:t>AKYNZEO IV</w:t>
      </w:r>
      <w:r w:rsidRPr="00136DF9">
        <w:t xml:space="preserve"> administration, </w:t>
      </w:r>
      <w:proofErr w:type="spellStart"/>
      <w:r w:rsidRPr="00136DF9">
        <w:t>fosnetupitant</w:t>
      </w:r>
      <w:proofErr w:type="spellEnd"/>
      <w:r w:rsidRPr="00136DF9">
        <w:t xml:space="preserve"> plasma concentrations declined accordi</w:t>
      </w:r>
      <w:r>
        <w:t>ng to a bi</w:t>
      </w:r>
      <w:r w:rsidR="0029674A">
        <w:t>-</w:t>
      </w:r>
      <w:r>
        <w:t xml:space="preserve">exponential profile. </w:t>
      </w:r>
      <w:r w:rsidRPr="00136DF9">
        <w:t xml:space="preserve">Thirty minutes after the end of the infusion, the mean plasma concentration of </w:t>
      </w:r>
      <w:proofErr w:type="spellStart"/>
      <w:r w:rsidRPr="00136DF9">
        <w:t>fosnetupitant</w:t>
      </w:r>
      <w:proofErr w:type="spellEnd"/>
      <w:r w:rsidRPr="00136DF9">
        <w:t xml:space="preserve"> was less than 1% of </w:t>
      </w:r>
      <w:proofErr w:type="spellStart"/>
      <w:r w:rsidRPr="00136DF9">
        <w:t>C</w:t>
      </w:r>
      <w:r w:rsidRPr="00136DF9">
        <w:rPr>
          <w:vertAlign w:val="subscript"/>
        </w:rPr>
        <w:t>max</w:t>
      </w:r>
      <w:proofErr w:type="spellEnd"/>
      <w:r w:rsidRPr="00136DF9">
        <w:rPr>
          <w:vertAlign w:val="subscript"/>
        </w:rPr>
        <w:t>.</w:t>
      </w:r>
    </w:p>
    <w:p w14:paraId="17075C29" w14:textId="79AD8BC8" w:rsidR="00003078" w:rsidRPr="001845EA" w:rsidRDefault="00351160" w:rsidP="001845EA">
      <w:pPr>
        <w:pStyle w:val="Heading2"/>
      </w:pPr>
      <w:r>
        <w:lastRenderedPageBreak/>
        <w:t>P</w:t>
      </w:r>
      <w:r w:rsidR="00FC1C4A" w:rsidRPr="001845EA">
        <w:t xml:space="preserve">reclinical safety data </w:t>
      </w:r>
    </w:p>
    <w:p w14:paraId="6B3A4257" w14:textId="37FD0F65" w:rsidR="0013332C" w:rsidRPr="001845EA" w:rsidRDefault="0013332C" w:rsidP="001845EA">
      <w:pPr>
        <w:pStyle w:val="Heading3"/>
      </w:pPr>
      <w:proofErr w:type="spellStart"/>
      <w:r w:rsidRPr="001845EA">
        <w:t>Genotoxicity</w:t>
      </w:r>
      <w:proofErr w:type="spellEnd"/>
    </w:p>
    <w:p w14:paraId="42C38E6C" w14:textId="4ABD2FBA" w:rsidR="00A27889" w:rsidRDefault="00A27889" w:rsidP="00100C87">
      <w:pPr>
        <w:pStyle w:val="Heading4"/>
      </w:pPr>
      <w:proofErr w:type="spellStart"/>
      <w:r>
        <w:t>Fosnetupitant</w:t>
      </w:r>
      <w:proofErr w:type="spellEnd"/>
      <w:r>
        <w:t xml:space="preserve"> </w:t>
      </w:r>
    </w:p>
    <w:p w14:paraId="53C7042E" w14:textId="1D60FC32" w:rsidR="00A27889" w:rsidRPr="00E307AE" w:rsidRDefault="00E307AE" w:rsidP="00E71C0E">
      <w:proofErr w:type="spellStart"/>
      <w:r>
        <w:t>Fosnetupitant</w:t>
      </w:r>
      <w:proofErr w:type="spellEnd"/>
      <w:r>
        <w:t xml:space="preserve"> was not genotoxic in the Ames test and in </w:t>
      </w:r>
      <w:r>
        <w:rPr>
          <w:i/>
        </w:rPr>
        <w:t xml:space="preserve">in vivo </w:t>
      </w:r>
      <w:r>
        <w:t xml:space="preserve">rat micronucleus test. </w:t>
      </w:r>
      <w:r w:rsidR="00C40B74">
        <w:t xml:space="preserve">In human </w:t>
      </w:r>
      <w:r w:rsidR="00F166BA">
        <w:t xml:space="preserve">lymphocytes, </w:t>
      </w:r>
      <w:proofErr w:type="spellStart"/>
      <w:r w:rsidR="00F166BA">
        <w:t>fosnetupitant</w:t>
      </w:r>
      <w:proofErr w:type="spellEnd"/>
      <w:r w:rsidR="00F166BA">
        <w:t xml:space="preserve"> did not induce structural </w:t>
      </w:r>
      <w:proofErr w:type="spellStart"/>
      <w:r w:rsidR="00F166BA">
        <w:t>abberations</w:t>
      </w:r>
      <w:proofErr w:type="spellEnd"/>
      <w:r w:rsidR="00F166BA">
        <w:t xml:space="preserve">. </w:t>
      </w:r>
    </w:p>
    <w:p w14:paraId="129A7160" w14:textId="137D15B3" w:rsidR="00A27889" w:rsidRDefault="00A27889" w:rsidP="00A27889">
      <w:pPr>
        <w:pStyle w:val="Heading4"/>
      </w:pPr>
      <w:proofErr w:type="spellStart"/>
      <w:r>
        <w:t>Netupitant</w:t>
      </w:r>
      <w:proofErr w:type="spellEnd"/>
      <w:r>
        <w:t xml:space="preserve"> </w:t>
      </w:r>
    </w:p>
    <w:p w14:paraId="40B61D9D" w14:textId="246C21B6" w:rsidR="00A27889" w:rsidRPr="00A27889" w:rsidRDefault="00A27889" w:rsidP="00E71C0E">
      <w:proofErr w:type="spellStart"/>
      <w:r w:rsidRPr="001D4361">
        <w:t>Netupitant</w:t>
      </w:r>
      <w:proofErr w:type="spellEnd"/>
      <w:r w:rsidRPr="001D4361">
        <w:t xml:space="preserve"> did not show mutagenic or </w:t>
      </w:r>
      <w:proofErr w:type="spellStart"/>
      <w:r w:rsidRPr="001D4361">
        <w:t>clastogenic</w:t>
      </w:r>
      <w:proofErr w:type="spellEnd"/>
      <w:r w:rsidRPr="001D4361">
        <w:t xml:space="preserve"> activity in a standard battery of </w:t>
      </w:r>
      <w:r w:rsidRPr="001D4361">
        <w:rPr>
          <w:i/>
        </w:rPr>
        <w:t xml:space="preserve">in vitro </w:t>
      </w:r>
      <w:r w:rsidRPr="001D4361">
        <w:t xml:space="preserve">and </w:t>
      </w:r>
      <w:r w:rsidRPr="001D4361">
        <w:rPr>
          <w:i/>
        </w:rPr>
        <w:t>in vivo</w:t>
      </w:r>
      <w:r w:rsidRPr="001D4361">
        <w:t xml:space="preserve"> </w:t>
      </w:r>
      <w:proofErr w:type="spellStart"/>
      <w:r w:rsidRPr="001D4361">
        <w:t>genotoxicity</w:t>
      </w:r>
      <w:proofErr w:type="spellEnd"/>
      <w:r w:rsidRPr="001D4361">
        <w:t xml:space="preserve"> tests (Ames, gene mutation in mouse lymphoma cells and rat micronucleus test).</w:t>
      </w:r>
    </w:p>
    <w:p w14:paraId="22D1271A" w14:textId="11FA19FC" w:rsidR="00E67950" w:rsidRDefault="00E67950" w:rsidP="00100C87">
      <w:pPr>
        <w:pStyle w:val="Heading4"/>
      </w:pPr>
      <w:proofErr w:type="spellStart"/>
      <w:r>
        <w:t>Palonosetron</w:t>
      </w:r>
      <w:proofErr w:type="spellEnd"/>
      <w:r>
        <w:t xml:space="preserve"> </w:t>
      </w:r>
    </w:p>
    <w:p w14:paraId="350FE1DE" w14:textId="120FE154" w:rsidR="0013332C" w:rsidRPr="001D4361" w:rsidRDefault="0013332C" w:rsidP="0013332C">
      <w:proofErr w:type="spellStart"/>
      <w:r w:rsidRPr="001D4361">
        <w:t>Palonosetron</w:t>
      </w:r>
      <w:proofErr w:type="spellEnd"/>
      <w:r w:rsidRPr="001D4361">
        <w:t xml:space="preserve"> was not genotoxic in the Ames test, the Chinese hamster ovarian cell (CHO/HGPRT) forward mutation test, the </w:t>
      </w:r>
      <w:r w:rsidRPr="001D4361">
        <w:rPr>
          <w:i/>
          <w:iCs/>
        </w:rPr>
        <w:t>ex vivo</w:t>
      </w:r>
      <w:r w:rsidRPr="001D4361">
        <w:t xml:space="preserve"> hepatocyte unscheduled DNA synthesis test or the mouse micronucleus test.  It was, however, positive for </w:t>
      </w:r>
      <w:proofErr w:type="spellStart"/>
      <w:r w:rsidRPr="001D4361">
        <w:t>clastogenic</w:t>
      </w:r>
      <w:proofErr w:type="spellEnd"/>
      <w:r w:rsidRPr="001D4361">
        <w:t xml:space="preserve"> effects in the CHO cell chromosomal aberration test.</w:t>
      </w:r>
    </w:p>
    <w:p w14:paraId="1214BCAD" w14:textId="6BBE0E21" w:rsidR="0013332C" w:rsidRDefault="0013332C" w:rsidP="0013332C">
      <w:pPr>
        <w:pStyle w:val="Heading3"/>
      </w:pPr>
      <w:r w:rsidRPr="007173F7">
        <w:t>Carcinogenicity</w:t>
      </w:r>
    </w:p>
    <w:p w14:paraId="638B26B0" w14:textId="7ED80909" w:rsidR="002D5F26" w:rsidRDefault="002D5F26" w:rsidP="00100C87">
      <w:pPr>
        <w:pStyle w:val="Heading4"/>
      </w:pPr>
      <w:proofErr w:type="spellStart"/>
      <w:r>
        <w:t>Fosnetupitant</w:t>
      </w:r>
      <w:proofErr w:type="spellEnd"/>
      <w:r>
        <w:t xml:space="preserve"> </w:t>
      </w:r>
    </w:p>
    <w:p w14:paraId="513073D2" w14:textId="77777777" w:rsidR="00340A8E" w:rsidRDefault="002D5F26" w:rsidP="00E71C0E">
      <w:r>
        <w:t xml:space="preserve">Long term studies in animals to evaluate carcinogenic potential have not been performed with </w:t>
      </w:r>
      <w:proofErr w:type="spellStart"/>
      <w:r>
        <w:t>fosnetupitant</w:t>
      </w:r>
      <w:proofErr w:type="spellEnd"/>
      <w:r>
        <w:t>.</w:t>
      </w:r>
    </w:p>
    <w:p w14:paraId="62FF0338" w14:textId="77777777" w:rsidR="00340A8E" w:rsidRDefault="00340A8E" w:rsidP="00340A8E">
      <w:pPr>
        <w:pStyle w:val="Heading4"/>
      </w:pPr>
      <w:proofErr w:type="spellStart"/>
      <w:r>
        <w:t>Netupitant</w:t>
      </w:r>
      <w:proofErr w:type="spellEnd"/>
      <w:r>
        <w:t xml:space="preserve"> </w:t>
      </w:r>
    </w:p>
    <w:p w14:paraId="3CC9793E" w14:textId="163029D7" w:rsidR="0061369C" w:rsidRPr="0061369C" w:rsidRDefault="002D5F26">
      <w:r>
        <w:t xml:space="preserve"> </w:t>
      </w:r>
      <w:r w:rsidR="00340A8E" w:rsidRPr="006D41A8">
        <w:t xml:space="preserve">No carcinogenicity study was performed with </w:t>
      </w:r>
      <w:proofErr w:type="spellStart"/>
      <w:r w:rsidR="00340A8E" w:rsidRPr="006D41A8">
        <w:t>netupitant</w:t>
      </w:r>
      <w:proofErr w:type="spellEnd"/>
      <w:r w:rsidR="00340A8E" w:rsidRPr="006D41A8">
        <w:t>.</w:t>
      </w:r>
    </w:p>
    <w:p w14:paraId="75310ACF" w14:textId="34D20BE8" w:rsidR="00A64927" w:rsidRPr="00A64927" w:rsidRDefault="00A64927" w:rsidP="00100C87">
      <w:pPr>
        <w:pStyle w:val="Heading4"/>
      </w:pPr>
      <w:proofErr w:type="spellStart"/>
      <w:r>
        <w:t>Palonosetron</w:t>
      </w:r>
      <w:proofErr w:type="spellEnd"/>
    </w:p>
    <w:p w14:paraId="4096EE92" w14:textId="50C1C890" w:rsidR="0013332C" w:rsidRPr="006D41A8" w:rsidRDefault="0013332C" w:rsidP="0013332C">
      <w:r w:rsidRPr="006D41A8">
        <w:t xml:space="preserve">In a 104-week carcinogenicity study in CD-1 mice, animals were treated with oral doses of </w:t>
      </w:r>
      <w:proofErr w:type="spellStart"/>
      <w:r w:rsidRPr="006D41A8">
        <w:t>palonosetron</w:t>
      </w:r>
      <w:proofErr w:type="spellEnd"/>
      <w:r w:rsidRPr="006D41A8">
        <w:t xml:space="preserve"> at 10, 30 and 60 mg/kg/day. Treatment with </w:t>
      </w:r>
      <w:proofErr w:type="spellStart"/>
      <w:r w:rsidRPr="006D41A8">
        <w:t>palonosetron</w:t>
      </w:r>
      <w:proofErr w:type="spellEnd"/>
      <w:r w:rsidRPr="006D41A8">
        <w:t xml:space="preserve"> was not tumorigenic.  The highest tested dose produced a systemic exposure to </w:t>
      </w:r>
      <w:proofErr w:type="spellStart"/>
      <w:r w:rsidRPr="006D41A8">
        <w:t>palonosetron</w:t>
      </w:r>
      <w:proofErr w:type="spellEnd"/>
      <w:r w:rsidRPr="006D41A8">
        <w:t xml:space="preserve"> (plasma AUC) of &gt; 100 times the human exposure at the recommended oral of 500 microgram</w:t>
      </w:r>
      <w:r w:rsidR="00A64927">
        <w:t>s</w:t>
      </w:r>
      <w:r w:rsidRPr="006D41A8">
        <w:t xml:space="preserve"> in the combination.</w:t>
      </w:r>
    </w:p>
    <w:p w14:paraId="794B39F1" w14:textId="77777777" w:rsidR="0013332C" w:rsidRPr="006D41A8" w:rsidRDefault="0013332C" w:rsidP="0013332C">
      <w:r w:rsidRPr="006D41A8">
        <w:t xml:space="preserve">In a 104-week </w:t>
      </w:r>
      <w:proofErr w:type="spellStart"/>
      <w:r w:rsidRPr="006D41A8">
        <w:t>palonosetron</w:t>
      </w:r>
      <w:proofErr w:type="spellEnd"/>
      <w:r w:rsidRPr="006D41A8">
        <w:t xml:space="preserve"> carcinogenicity study in Sprague-Dawley rats, male and female rats were treated with oral doses of 15, 30 and 60 mg/kg/day and 15, 45 and 90 mg/kg/day, respectively.  The lowest and highest doses, respectively, produced a systemic exposure to </w:t>
      </w:r>
      <w:proofErr w:type="spellStart"/>
      <w:r w:rsidRPr="006D41A8">
        <w:t>palonosetron</w:t>
      </w:r>
      <w:proofErr w:type="spellEnd"/>
      <w:r w:rsidRPr="006D41A8">
        <w:t xml:space="preserve"> (plasma AUC) of &gt; 4.4 times and &gt; 95.5 times the human ex</w:t>
      </w:r>
      <w:r>
        <w:t>posure at the recommended dose.</w:t>
      </w:r>
    </w:p>
    <w:p w14:paraId="55FAC9C3" w14:textId="353823A4" w:rsidR="0013332C" w:rsidRPr="006D41A8" w:rsidRDefault="0013332C" w:rsidP="0013332C">
      <w:r w:rsidRPr="006D41A8">
        <w:t xml:space="preserve">Treatment with </w:t>
      </w:r>
      <w:proofErr w:type="spellStart"/>
      <w:r w:rsidRPr="006D41A8">
        <w:t>palonosetron</w:t>
      </w:r>
      <w:proofErr w:type="spellEnd"/>
      <w:r w:rsidRPr="006D41A8">
        <w:t xml:space="preserve"> produced increased incidences of adrenal benign </w:t>
      </w:r>
      <w:proofErr w:type="spellStart"/>
      <w:r w:rsidRPr="006D41A8">
        <w:t>pheochromocytoma</w:t>
      </w:r>
      <w:proofErr w:type="spellEnd"/>
      <w:r w:rsidRPr="006D41A8">
        <w:t xml:space="preserve"> and combined benign and malignant </w:t>
      </w:r>
      <w:proofErr w:type="spellStart"/>
      <w:r w:rsidRPr="006D41A8">
        <w:t>pheochromocytoma</w:t>
      </w:r>
      <w:proofErr w:type="spellEnd"/>
      <w:r w:rsidRPr="006D41A8">
        <w:t xml:space="preserve"> in both male and female rats, of pancreatic Islet cell adenoma and combined adenoma and carcinoma of pancreatic acinar cell adenoma and combined adenoma and adenocarcinoma and of pituitary adenoma in male rats. Increased incidences of skin </w:t>
      </w:r>
      <w:proofErr w:type="spellStart"/>
      <w:r w:rsidRPr="006D41A8">
        <w:t>kerato</w:t>
      </w:r>
      <w:r>
        <w:t>a</w:t>
      </w:r>
      <w:r w:rsidRPr="006D41A8">
        <w:t>canthomas</w:t>
      </w:r>
      <w:proofErr w:type="spellEnd"/>
      <w:r w:rsidRPr="006D41A8">
        <w:t xml:space="preserve"> and tail squamous cell </w:t>
      </w:r>
      <w:proofErr w:type="spellStart"/>
      <w:r w:rsidRPr="006D41A8">
        <w:t>papillomas</w:t>
      </w:r>
      <w:proofErr w:type="spellEnd"/>
      <w:r w:rsidRPr="006D41A8">
        <w:t xml:space="preserve"> were also observed, mainly in males. In female rats, </w:t>
      </w:r>
      <w:proofErr w:type="spellStart"/>
      <w:r w:rsidRPr="006D41A8">
        <w:t>palonosetron</w:t>
      </w:r>
      <w:proofErr w:type="spellEnd"/>
      <w:r w:rsidRPr="006D41A8">
        <w:t xml:space="preserve"> produced hepatocellular adenoma and combined hepatocellular adenoma and carcinoma, and increased the incidences of thyroid C-cell adenoma and combined adenoma and carcinoma, and of mammary gland </w:t>
      </w:r>
      <w:proofErr w:type="spellStart"/>
      <w:r w:rsidRPr="006D41A8">
        <w:t>adrenocarc</w:t>
      </w:r>
      <w:r>
        <w:t>inoma</w:t>
      </w:r>
      <w:proofErr w:type="spellEnd"/>
      <w:r>
        <w:t>.</w:t>
      </w:r>
    </w:p>
    <w:p w14:paraId="575CC066" w14:textId="77777777" w:rsidR="0013332C" w:rsidRPr="00497C85" w:rsidRDefault="0013332C" w:rsidP="0013332C">
      <w:pPr>
        <w:pStyle w:val="Heading1"/>
        <w:spacing w:before="0" w:after="120"/>
        <w:rPr>
          <w:rFonts w:cstheme="minorHAnsi"/>
          <w:lang w:val="en-US"/>
        </w:rPr>
      </w:pPr>
      <w:r w:rsidRPr="00497C85">
        <w:rPr>
          <w:rFonts w:cstheme="minorHAnsi"/>
          <w:lang w:val="en-US"/>
        </w:rPr>
        <w:lastRenderedPageBreak/>
        <w:t>Pharmaceutical particulars</w:t>
      </w:r>
    </w:p>
    <w:p w14:paraId="1C4DF2EE" w14:textId="77777777" w:rsidR="0013332C" w:rsidRPr="00497C85" w:rsidRDefault="0013332C" w:rsidP="0013332C">
      <w:pPr>
        <w:pStyle w:val="Heading2"/>
        <w:spacing w:before="0" w:after="120"/>
        <w:rPr>
          <w:rFonts w:cstheme="minorHAnsi"/>
          <w:lang w:val="en-US"/>
        </w:rPr>
      </w:pPr>
      <w:r w:rsidRPr="00497C85">
        <w:rPr>
          <w:rFonts w:cstheme="minorHAnsi"/>
          <w:lang w:val="en-US"/>
        </w:rPr>
        <w:t xml:space="preserve">List of excipients </w:t>
      </w:r>
    </w:p>
    <w:p w14:paraId="756D612F" w14:textId="7B4C9CE2" w:rsidR="0013332C" w:rsidRDefault="004B4FA9" w:rsidP="0013332C">
      <w:pPr>
        <w:rPr>
          <w:rFonts w:cstheme="minorHAnsi"/>
          <w:lang w:val="en"/>
        </w:rPr>
      </w:pPr>
      <w:r>
        <w:rPr>
          <w:rFonts w:cstheme="minorHAnsi"/>
          <w:lang w:val="en"/>
        </w:rPr>
        <w:t xml:space="preserve">Mannitol </w:t>
      </w:r>
    </w:p>
    <w:p w14:paraId="1A63E6C0" w14:textId="2FE053DE" w:rsidR="004B4FA9" w:rsidRDefault="004B4FA9" w:rsidP="0013332C">
      <w:pPr>
        <w:rPr>
          <w:rFonts w:cstheme="minorHAnsi"/>
          <w:lang w:val="en"/>
        </w:rPr>
      </w:pPr>
      <w:r>
        <w:rPr>
          <w:rFonts w:cstheme="minorHAnsi"/>
          <w:lang w:val="en"/>
        </w:rPr>
        <w:t xml:space="preserve">Disodium </w:t>
      </w:r>
      <w:proofErr w:type="spellStart"/>
      <w:r>
        <w:rPr>
          <w:rFonts w:cstheme="minorHAnsi"/>
          <w:lang w:val="en"/>
        </w:rPr>
        <w:t>edetate</w:t>
      </w:r>
      <w:proofErr w:type="spellEnd"/>
      <w:r>
        <w:rPr>
          <w:rFonts w:cstheme="minorHAnsi"/>
          <w:lang w:val="en"/>
        </w:rPr>
        <w:t xml:space="preserve"> </w:t>
      </w:r>
    </w:p>
    <w:p w14:paraId="0E9ACEC1" w14:textId="08FDE5E8" w:rsidR="004B4FA9" w:rsidRDefault="004B4FA9" w:rsidP="0013332C">
      <w:pPr>
        <w:rPr>
          <w:rFonts w:cstheme="minorHAnsi"/>
          <w:lang w:val="en"/>
        </w:rPr>
      </w:pPr>
      <w:r>
        <w:rPr>
          <w:rFonts w:cstheme="minorHAnsi"/>
          <w:lang w:val="en"/>
        </w:rPr>
        <w:t xml:space="preserve">Sodium hydroxide (for pH adjustment) </w:t>
      </w:r>
    </w:p>
    <w:p w14:paraId="0F69A876" w14:textId="1F1CC01D" w:rsidR="004B4FA9" w:rsidRPr="00497C85" w:rsidRDefault="004B4FA9" w:rsidP="0013332C">
      <w:pPr>
        <w:rPr>
          <w:rFonts w:cstheme="minorHAnsi"/>
          <w:lang w:val="en-US"/>
        </w:rPr>
      </w:pPr>
      <w:r>
        <w:rPr>
          <w:rFonts w:cstheme="minorHAnsi"/>
          <w:lang w:val="en"/>
        </w:rPr>
        <w:t xml:space="preserve">Hydrochloric acid (for pH adjustment) </w:t>
      </w:r>
    </w:p>
    <w:p w14:paraId="00364848" w14:textId="77777777" w:rsidR="0013332C" w:rsidRPr="00497C85" w:rsidRDefault="0013332C" w:rsidP="0013332C">
      <w:pPr>
        <w:pStyle w:val="Heading2"/>
        <w:keepNext/>
        <w:keepLines/>
        <w:spacing w:before="0" w:after="120"/>
        <w:rPr>
          <w:rFonts w:cstheme="minorHAnsi"/>
          <w:lang w:val="en-US"/>
        </w:rPr>
      </w:pPr>
      <w:r w:rsidRPr="00497C85">
        <w:rPr>
          <w:rFonts w:cstheme="minorHAnsi"/>
          <w:lang w:val="en-US"/>
        </w:rPr>
        <w:t xml:space="preserve">Incompatibilities </w:t>
      </w:r>
    </w:p>
    <w:p w14:paraId="3D7F9D8A" w14:textId="452B892E" w:rsidR="0013332C" w:rsidRDefault="002E21DC" w:rsidP="00100C87">
      <w:pPr>
        <w:spacing w:before="240"/>
        <w:rPr>
          <w:rFonts w:cstheme="minorHAnsi"/>
          <w:lang w:val="en"/>
        </w:rPr>
      </w:pPr>
      <w:r>
        <w:rPr>
          <w:rFonts w:cstheme="minorHAnsi"/>
          <w:lang w:val="en"/>
        </w:rPr>
        <w:t>AKYNZEO IV is incompatible with any solutions containing divalent cations (e.g. Ca</w:t>
      </w:r>
      <w:r>
        <w:rPr>
          <w:rFonts w:cstheme="minorHAnsi"/>
          <w:vertAlign w:val="superscript"/>
          <w:lang w:val="en"/>
        </w:rPr>
        <w:t>2+</w:t>
      </w:r>
      <w:r>
        <w:rPr>
          <w:rFonts w:cstheme="minorHAnsi"/>
          <w:lang w:val="en"/>
        </w:rPr>
        <w:t>, Mg</w:t>
      </w:r>
      <w:r>
        <w:rPr>
          <w:rFonts w:cstheme="minorHAnsi"/>
          <w:vertAlign w:val="superscript"/>
          <w:lang w:val="en"/>
        </w:rPr>
        <w:t>2+</w:t>
      </w:r>
      <w:r w:rsidR="00E55263">
        <w:rPr>
          <w:rFonts w:cstheme="minorHAnsi"/>
          <w:lang w:val="en"/>
        </w:rPr>
        <w:t>)</w:t>
      </w:r>
      <w:r>
        <w:rPr>
          <w:rFonts w:cstheme="minorHAnsi"/>
          <w:lang w:val="en"/>
        </w:rPr>
        <w:t>, including Hartman</w:t>
      </w:r>
      <w:r w:rsidR="00BD098D">
        <w:rPr>
          <w:rFonts w:cstheme="minorHAnsi"/>
          <w:lang w:val="en"/>
        </w:rPr>
        <w:t>n</w:t>
      </w:r>
      <w:r>
        <w:rPr>
          <w:rFonts w:cstheme="minorHAnsi"/>
          <w:lang w:val="en"/>
        </w:rPr>
        <w:t xml:space="preserve">’s and lactated Ringer’s solutions. </w:t>
      </w:r>
    </w:p>
    <w:p w14:paraId="57CD4144" w14:textId="01AAED3C" w:rsidR="002E21DC" w:rsidRPr="002E21DC" w:rsidRDefault="002E21DC" w:rsidP="00100C87">
      <w:pPr>
        <w:spacing w:before="240"/>
        <w:rPr>
          <w:rFonts w:cstheme="minorHAnsi"/>
          <w:lang w:val="en-US"/>
        </w:rPr>
      </w:pPr>
      <w:r>
        <w:rPr>
          <w:rFonts w:cstheme="minorHAnsi"/>
          <w:lang w:val="en"/>
        </w:rPr>
        <w:t>Limited data are available on the compatibility of AKYNZEO IV with other intravenous substances, additives or other medications, and they should not be added to AKYNZEO IV or infused simultaneously. If the same intravenous line is used for sequential infusion of several different medicinal products, flush the line before and after infusion of AKYNZEO IV wit</w:t>
      </w:r>
      <w:r w:rsidR="00095237">
        <w:rPr>
          <w:rFonts w:cstheme="minorHAnsi"/>
          <w:lang w:val="en"/>
        </w:rPr>
        <w:t>h 0.9% sodium chloride solution</w:t>
      </w:r>
      <w:r w:rsidR="00577413">
        <w:rPr>
          <w:rFonts w:cstheme="minorHAnsi"/>
          <w:lang w:val="en"/>
        </w:rPr>
        <w:t xml:space="preserve"> for injection</w:t>
      </w:r>
      <w:r>
        <w:rPr>
          <w:rFonts w:cstheme="minorHAnsi"/>
          <w:lang w:val="en"/>
        </w:rPr>
        <w:t xml:space="preserve">. </w:t>
      </w:r>
    </w:p>
    <w:p w14:paraId="63CB977D" w14:textId="77777777" w:rsidR="0013332C" w:rsidRPr="00497C85" w:rsidRDefault="0013332C" w:rsidP="0013332C">
      <w:pPr>
        <w:pStyle w:val="Heading2"/>
        <w:spacing w:before="0" w:after="120"/>
        <w:rPr>
          <w:rFonts w:cstheme="minorHAnsi"/>
          <w:lang w:val="en-US"/>
        </w:rPr>
      </w:pPr>
      <w:r w:rsidRPr="00497C85">
        <w:rPr>
          <w:rFonts w:cstheme="minorHAnsi"/>
          <w:lang w:val="en-US"/>
        </w:rPr>
        <w:t xml:space="preserve">Shelf life </w:t>
      </w:r>
    </w:p>
    <w:p w14:paraId="147F9544" w14:textId="0465FE49" w:rsidR="0013332C" w:rsidRDefault="0013332C" w:rsidP="0013332C">
      <w:pPr>
        <w:rPr>
          <w:rFonts w:cstheme="minorHAnsi"/>
          <w:lang w:val="en"/>
        </w:rPr>
      </w:pPr>
      <w:r w:rsidRPr="00497C85">
        <w:rPr>
          <w:rFonts w:cstheme="minorHAnsi"/>
          <w:lang w:val="en"/>
        </w:rPr>
        <w:t>In Australia, information on the shelf life can be found on the public summary of the Australian Register of Therapeutic Goods (ARTG). The expiry date can be fo</w:t>
      </w:r>
      <w:r>
        <w:rPr>
          <w:rFonts w:cstheme="minorHAnsi"/>
          <w:lang w:val="en"/>
        </w:rPr>
        <w:t xml:space="preserve">und on the packaging. </w:t>
      </w:r>
    </w:p>
    <w:p w14:paraId="7D8E1908" w14:textId="77777777" w:rsidR="0013332C" w:rsidRPr="00F0086F" w:rsidRDefault="0013332C" w:rsidP="0013332C">
      <w:pPr>
        <w:pStyle w:val="Heading2"/>
      </w:pPr>
      <w:r w:rsidRPr="00F0086F">
        <w:t xml:space="preserve">Special precautions for storage </w:t>
      </w:r>
    </w:p>
    <w:p w14:paraId="4F63451C" w14:textId="742F0773" w:rsidR="0013332C" w:rsidRDefault="00994E79" w:rsidP="0013332C">
      <w:r>
        <w:t>Store in a refrigerator (2</w:t>
      </w:r>
      <w:r>
        <w:rPr>
          <w:vertAlign w:val="superscript"/>
        </w:rPr>
        <w:t>o</w:t>
      </w:r>
      <w:r>
        <w:t>C – 8</w:t>
      </w:r>
      <w:r>
        <w:rPr>
          <w:vertAlign w:val="superscript"/>
        </w:rPr>
        <w:t>o</w:t>
      </w:r>
      <w:r>
        <w:t>C).</w:t>
      </w:r>
      <w:r w:rsidR="00C906D0">
        <w:t xml:space="preserve"> Do not freeze.</w:t>
      </w:r>
      <w:r>
        <w:t xml:space="preserve"> Store the vial in the original container to protect from light. </w:t>
      </w:r>
    </w:p>
    <w:p w14:paraId="39B574E2" w14:textId="3F586A42" w:rsidR="00FB2440" w:rsidRDefault="00FB2440" w:rsidP="00FB2440">
      <w:r>
        <w:t>The reconstituted solution should be used immediately and the total time from reconstitution to the start of infusion should not exceed 3 hours when stored at 25</w:t>
      </w:r>
      <w:r>
        <w:rPr>
          <w:vertAlign w:val="superscript"/>
        </w:rPr>
        <w:t>o</w:t>
      </w:r>
      <w:r>
        <w:t xml:space="preserve">C. </w:t>
      </w:r>
    </w:p>
    <w:p w14:paraId="4D8617AC" w14:textId="66C8EC39" w:rsidR="008A4535" w:rsidRPr="00994E79" w:rsidRDefault="00FB2440" w:rsidP="0013332C">
      <w:r>
        <w:t>The reconstituted solution may be refrigerated (</w:t>
      </w:r>
      <w:r w:rsidRPr="000460F3">
        <w:t>2</w:t>
      </w:r>
      <w:r>
        <w:rPr>
          <w:vertAlign w:val="superscript"/>
        </w:rPr>
        <w:t xml:space="preserve"> </w:t>
      </w:r>
      <w:r>
        <w:t>– 8</w:t>
      </w:r>
      <w:r>
        <w:rPr>
          <w:vertAlign w:val="superscript"/>
        </w:rPr>
        <w:t xml:space="preserve">o </w:t>
      </w:r>
      <w:r>
        <w:t xml:space="preserve">C) for not more than 24 hours. </w:t>
      </w:r>
    </w:p>
    <w:p w14:paraId="2E5F3118" w14:textId="77777777" w:rsidR="0013332C" w:rsidRPr="00F97F87" w:rsidRDefault="0013332C" w:rsidP="0013332C">
      <w:pPr>
        <w:pStyle w:val="Heading2"/>
        <w:spacing w:before="0" w:after="120"/>
        <w:rPr>
          <w:rFonts w:cstheme="minorHAnsi"/>
          <w:lang w:val="en-US"/>
        </w:rPr>
      </w:pPr>
      <w:r w:rsidRPr="00F97F87">
        <w:rPr>
          <w:rFonts w:cstheme="minorHAnsi"/>
          <w:lang w:val="en-US"/>
        </w:rPr>
        <w:t xml:space="preserve">Nature and contents of container </w:t>
      </w:r>
    </w:p>
    <w:p w14:paraId="14EB2B1B" w14:textId="28DE301A" w:rsidR="0013332C" w:rsidRPr="00825C9B" w:rsidRDefault="0021733F" w:rsidP="0013332C">
      <w:pPr>
        <w:rPr>
          <w:lang w:val="en-US"/>
        </w:rPr>
      </w:pPr>
      <w:r>
        <w:rPr>
          <w:lang w:val="en-US"/>
        </w:rPr>
        <w:t>One</w:t>
      </w:r>
      <w:r w:rsidR="00DB24D4">
        <w:rPr>
          <w:lang w:val="en-US"/>
        </w:rPr>
        <w:t xml:space="preserve"> 5</w:t>
      </w:r>
      <w:r w:rsidR="009C1B13">
        <w:rPr>
          <w:lang w:val="en-US"/>
        </w:rPr>
        <w:t>0 mL glass vial</w:t>
      </w:r>
      <w:r>
        <w:rPr>
          <w:lang w:val="en-US"/>
        </w:rPr>
        <w:t>.</w:t>
      </w:r>
    </w:p>
    <w:p w14:paraId="1CE165EE" w14:textId="77777777" w:rsidR="0013332C" w:rsidRPr="00497C85" w:rsidRDefault="0013332C" w:rsidP="0013332C">
      <w:pPr>
        <w:pStyle w:val="Heading2"/>
        <w:spacing w:before="0" w:after="120"/>
        <w:rPr>
          <w:rFonts w:cstheme="minorHAnsi"/>
          <w:lang w:val="en-US"/>
        </w:rPr>
      </w:pPr>
      <w:r w:rsidRPr="00497C85">
        <w:rPr>
          <w:rFonts w:cstheme="minorHAnsi"/>
          <w:lang w:val="en-US"/>
        </w:rPr>
        <w:t xml:space="preserve">Special precautions for disposal </w:t>
      </w:r>
    </w:p>
    <w:p w14:paraId="0E101B01" w14:textId="77777777" w:rsidR="0013332C" w:rsidRDefault="0013332C" w:rsidP="0013332C">
      <w:pPr>
        <w:rPr>
          <w:rFonts w:cstheme="minorHAnsi"/>
          <w:lang w:val="en"/>
        </w:rPr>
      </w:pPr>
      <w:r w:rsidRPr="00497C85">
        <w:rPr>
          <w:rFonts w:cstheme="minorHAnsi"/>
          <w:lang w:val="en"/>
        </w:rPr>
        <w:t>In Australia, any unused medicine or waste material should be disposed of by taking t</w:t>
      </w:r>
      <w:r>
        <w:rPr>
          <w:rFonts w:cstheme="minorHAnsi"/>
          <w:lang w:val="en"/>
        </w:rPr>
        <w:t>o your local pharmacy.</w:t>
      </w:r>
    </w:p>
    <w:p w14:paraId="1AE8AA0A" w14:textId="6933DAF0" w:rsidR="0013332C" w:rsidRDefault="0013332C" w:rsidP="0013332C">
      <w:pPr>
        <w:pStyle w:val="Heading2"/>
        <w:spacing w:before="0" w:after="120"/>
        <w:rPr>
          <w:rFonts w:cstheme="minorHAnsi"/>
          <w:lang w:val="en-US"/>
        </w:rPr>
      </w:pPr>
      <w:r w:rsidRPr="00497C85">
        <w:rPr>
          <w:rFonts w:cstheme="minorHAnsi"/>
          <w:lang w:val="en-US"/>
        </w:rPr>
        <w:t>Physicochemical properties</w:t>
      </w:r>
    </w:p>
    <w:p w14:paraId="056327E5" w14:textId="2E39CD52" w:rsidR="00D8738B" w:rsidRPr="00D8738B" w:rsidRDefault="00A94856" w:rsidP="00D8738B">
      <w:pPr>
        <w:rPr>
          <w:lang w:val="en-US"/>
        </w:rPr>
      </w:pPr>
      <w:r>
        <w:rPr>
          <w:lang w:val="en-US"/>
        </w:rPr>
        <w:t>Upon</w:t>
      </w:r>
      <w:r w:rsidR="001A0F60">
        <w:rPr>
          <w:lang w:val="en-US"/>
        </w:rPr>
        <w:t xml:space="preserve"> reconstitution prior to administration, the pH of AKYNZEO IV </w:t>
      </w:r>
      <w:r>
        <w:rPr>
          <w:lang w:val="en-US"/>
        </w:rPr>
        <w:t>should be between 7.5 and 10.0.</w:t>
      </w:r>
    </w:p>
    <w:p w14:paraId="52272A97" w14:textId="0854F4B8" w:rsidR="006E5458" w:rsidRDefault="00883F59" w:rsidP="00E71C0E">
      <w:pPr>
        <w:pStyle w:val="Heading3"/>
      </w:pPr>
      <w:r>
        <w:lastRenderedPageBreak/>
        <w:t xml:space="preserve">Chemical structure </w:t>
      </w:r>
    </w:p>
    <w:p w14:paraId="0B609E2B" w14:textId="772834DB" w:rsidR="00D06555" w:rsidRPr="00D06555" w:rsidRDefault="00D06555">
      <w:proofErr w:type="spellStart"/>
      <w:r>
        <w:t>Fosnetupitant</w:t>
      </w:r>
      <w:proofErr w:type="spellEnd"/>
      <w:r>
        <w:t xml:space="preserve"> chloride hydrochloride is chemically described as 2-(3,5-bis-trifluoromethylphenyl)-</w:t>
      </w:r>
      <w:r w:rsidRPr="00AA537D">
        <w:rPr>
          <w:i/>
        </w:rPr>
        <w:t>N</w:t>
      </w:r>
      <w:r>
        <w:t>-methyl-</w:t>
      </w:r>
      <w:r w:rsidRPr="00AA537D">
        <w:rPr>
          <w:i/>
        </w:rPr>
        <w:t>N</w:t>
      </w:r>
      <w:r>
        <w:t>[6-(4-methy</w:t>
      </w:r>
      <w:r w:rsidR="005E6AB4">
        <w:t>l-4-</w:t>
      </w:r>
      <w:r w:rsidR="005E6AB4" w:rsidRPr="00AA537D">
        <w:rPr>
          <w:i/>
        </w:rPr>
        <w:t>O</w:t>
      </w:r>
      <w:r w:rsidR="005E6AB4">
        <w:t>-methylene-phosphatepiperaz</w:t>
      </w:r>
      <w:r>
        <w:t>inium-1-yl)-4-o-tolyl-pyridin-3-yl]-isobutyramide chloride hydrochloride. The empirical formula is C</w:t>
      </w:r>
      <w:r w:rsidRPr="00E71C0E">
        <w:rPr>
          <w:vertAlign w:val="subscript"/>
        </w:rPr>
        <w:t>31</w:t>
      </w:r>
      <w:r>
        <w:t>H</w:t>
      </w:r>
      <w:r w:rsidRPr="00E71C0E">
        <w:rPr>
          <w:vertAlign w:val="subscript"/>
        </w:rPr>
        <w:t>37</w:t>
      </w:r>
      <w:r>
        <w:t>Cl</w:t>
      </w:r>
      <w:r w:rsidRPr="00E71C0E">
        <w:rPr>
          <w:vertAlign w:val="subscript"/>
        </w:rPr>
        <w:t>2</w:t>
      </w:r>
      <w:r>
        <w:t>F</w:t>
      </w:r>
      <w:r w:rsidRPr="00E71C0E">
        <w:rPr>
          <w:vertAlign w:val="subscript"/>
        </w:rPr>
        <w:t>6</w:t>
      </w:r>
      <w:r w:rsidRPr="00E71C0E">
        <w:t>N</w:t>
      </w:r>
      <w:r>
        <w:rPr>
          <w:vertAlign w:val="subscript"/>
        </w:rPr>
        <w:t>4</w:t>
      </w:r>
      <w:r w:rsidRPr="00E71C0E">
        <w:t>O</w:t>
      </w:r>
      <w:r>
        <w:rPr>
          <w:vertAlign w:val="subscript"/>
        </w:rPr>
        <w:t>5</w:t>
      </w:r>
      <w:r w:rsidRPr="00E71C0E">
        <w:t>P</w:t>
      </w:r>
      <w:r>
        <w:t xml:space="preserve">, with a molecular weight 761.5. </w:t>
      </w:r>
      <w:proofErr w:type="spellStart"/>
      <w:r>
        <w:t>Fosnetupitant</w:t>
      </w:r>
      <w:proofErr w:type="spellEnd"/>
      <w:r>
        <w:t xml:space="preserve"> chloride hydrochloride exists as a single isomer and has the following structural formula:</w:t>
      </w:r>
    </w:p>
    <w:p w14:paraId="49D52FAF" w14:textId="30865594" w:rsidR="00862D60" w:rsidRDefault="00883F59" w:rsidP="00862D60">
      <w:pPr>
        <w:rPr>
          <w:b/>
        </w:rPr>
      </w:pPr>
      <w:r>
        <w:rPr>
          <w:noProof/>
          <w:lang w:eastAsia="en-AU"/>
        </w:rPr>
        <w:drawing>
          <wp:inline distT="0" distB="0" distL="0" distR="0" wp14:anchorId="5775431F" wp14:editId="489CD880">
            <wp:extent cx="3348000" cy="181646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8000" cy="1816465"/>
                    </a:xfrm>
                    <a:prstGeom prst="rect">
                      <a:avLst/>
                    </a:prstGeom>
                  </pic:spPr>
                </pic:pic>
              </a:graphicData>
            </a:graphic>
          </wp:inline>
        </w:drawing>
      </w:r>
    </w:p>
    <w:p w14:paraId="2C8DEC81" w14:textId="77777777" w:rsidR="00862D60" w:rsidRPr="00862D60" w:rsidRDefault="00862D60" w:rsidP="00862D60">
      <w:pPr>
        <w:rPr>
          <w:b/>
        </w:rPr>
      </w:pPr>
    </w:p>
    <w:p w14:paraId="762AEBCF" w14:textId="10F60973" w:rsidR="00587F2F" w:rsidRDefault="00587F2F" w:rsidP="00587F2F">
      <w:pPr>
        <w:pStyle w:val="Heading3"/>
      </w:pPr>
      <w:r>
        <w:t xml:space="preserve">CAS number </w:t>
      </w:r>
    </w:p>
    <w:p w14:paraId="1D6C6AAC" w14:textId="3C5DA845" w:rsidR="00587F2F" w:rsidRDefault="00587F2F" w:rsidP="00587F2F">
      <w:proofErr w:type="spellStart"/>
      <w:r>
        <w:t>Fosnetupitant</w:t>
      </w:r>
      <w:proofErr w:type="spellEnd"/>
      <w:r>
        <w:t xml:space="preserve"> chloride hydrochloride: 1643757-72-5 </w:t>
      </w:r>
    </w:p>
    <w:p w14:paraId="63450194" w14:textId="77777777" w:rsidR="00587F2F" w:rsidRDefault="00587F2F" w:rsidP="00587F2F">
      <w:proofErr w:type="spellStart"/>
      <w:r>
        <w:t>Fosnetupitant</w:t>
      </w:r>
      <w:proofErr w:type="spellEnd"/>
      <w:r>
        <w:t xml:space="preserve"> (free base): 1431216-59-9</w:t>
      </w:r>
    </w:p>
    <w:p w14:paraId="35BB6AF9" w14:textId="77777777" w:rsidR="00587F2F" w:rsidRDefault="00587F2F" w:rsidP="0013332C">
      <w:pPr>
        <w:rPr>
          <w:b/>
        </w:rPr>
      </w:pPr>
    </w:p>
    <w:p w14:paraId="144EABF1" w14:textId="66F91447" w:rsidR="005D6DBA" w:rsidRDefault="005D6DBA" w:rsidP="00E71C0E">
      <w:pPr>
        <w:pStyle w:val="Heading3"/>
      </w:pPr>
      <w:r>
        <w:t xml:space="preserve">Chemical structure </w:t>
      </w:r>
    </w:p>
    <w:p w14:paraId="26360AB9" w14:textId="5C809C35" w:rsidR="00D06555" w:rsidRPr="00D06555" w:rsidRDefault="00D06555" w:rsidP="00D06555">
      <w:proofErr w:type="spellStart"/>
      <w:r w:rsidRPr="00D06555">
        <w:t>Palonosetron</w:t>
      </w:r>
      <w:proofErr w:type="spellEnd"/>
      <w:r w:rsidRPr="00D06555">
        <w:t xml:space="preserve"> hydrochloride is chemically described: (3a</w:t>
      </w:r>
      <w:r w:rsidRPr="00AA537D">
        <w:rPr>
          <w:i/>
        </w:rPr>
        <w:t>S</w:t>
      </w:r>
      <w:r w:rsidRPr="00D06555">
        <w:t>)-2-[(</w:t>
      </w:r>
      <w:r w:rsidRPr="00AA537D">
        <w:rPr>
          <w:i/>
        </w:rPr>
        <w:t>S</w:t>
      </w:r>
      <w:r w:rsidRPr="00D06555">
        <w:t>)-1-Azabicyclo [2.2.2]oct-3-yl]2,3,3a,4,5,6-hexahydro-1-oxo-1H-benz[de]isoquinoline hydrochloride. The empirical formula is C</w:t>
      </w:r>
      <w:r w:rsidRPr="00D06555">
        <w:rPr>
          <w:vertAlign w:val="subscript"/>
        </w:rPr>
        <w:t>19</w:t>
      </w:r>
      <w:r w:rsidRPr="00D06555">
        <w:t>H</w:t>
      </w:r>
      <w:r w:rsidRPr="00D06555">
        <w:rPr>
          <w:vertAlign w:val="subscript"/>
        </w:rPr>
        <w:t>24</w:t>
      </w:r>
      <w:r w:rsidRPr="00D06555">
        <w:t>N</w:t>
      </w:r>
      <w:r w:rsidRPr="00D06555">
        <w:rPr>
          <w:vertAlign w:val="subscript"/>
        </w:rPr>
        <w:t>2</w:t>
      </w:r>
      <w:r w:rsidRPr="00D06555">
        <w:t>O.HCl, with a molecular weight of 332.</w:t>
      </w:r>
      <w:r w:rsidR="000369FB">
        <w:t>9</w:t>
      </w:r>
      <w:r w:rsidRPr="00D06555">
        <w:t xml:space="preserve">. </w:t>
      </w:r>
      <w:proofErr w:type="spellStart"/>
      <w:r w:rsidRPr="00D06555">
        <w:t>Palonosetron</w:t>
      </w:r>
      <w:proofErr w:type="spellEnd"/>
      <w:r w:rsidRPr="00D06555">
        <w:t xml:space="preserve"> hydrochloride exists as a single isomer and has the following structural formula:</w:t>
      </w:r>
    </w:p>
    <w:p w14:paraId="77F6D15E" w14:textId="4CF597C3" w:rsidR="00883F59" w:rsidRDefault="00B65EC5">
      <w:r w:rsidRPr="00B65EC5">
        <w:rPr>
          <w:noProof/>
        </w:rPr>
        <w:t xml:space="preserve"> </w:t>
      </w:r>
      <w:r>
        <w:rPr>
          <w:noProof/>
          <w:lang w:eastAsia="en-AU"/>
        </w:rPr>
        <w:drawing>
          <wp:inline distT="0" distB="0" distL="0" distR="0" wp14:anchorId="57B23B8D" wp14:editId="6BA36EA1">
            <wp:extent cx="24384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38400" cy="1866900"/>
                    </a:xfrm>
                    <a:prstGeom prst="rect">
                      <a:avLst/>
                    </a:prstGeom>
                  </pic:spPr>
                </pic:pic>
              </a:graphicData>
            </a:graphic>
          </wp:inline>
        </w:drawing>
      </w:r>
    </w:p>
    <w:p w14:paraId="25FC614C" w14:textId="07B2AD9F" w:rsidR="00883F59" w:rsidRDefault="00E073D3" w:rsidP="00E71C0E">
      <w:pPr>
        <w:pStyle w:val="Heading3"/>
      </w:pPr>
      <w:r>
        <w:t xml:space="preserve">CAS number </w:t>
      </w:r>
    </w:p>
    <w:p w14:paraId="18E11FEE" w14:textId="72761ACA" w:rsidR="00480BE8" w:rsidRDefault="00480BE8">
      <w:proofErr w:type="spellStart"/>
      <w:r>
        <w:t>Palonosetron</w:t>
      </w:r>
      <w:proofErr w:type="spellEnd"/>
      <w:r>
        <w:t xml:space="preserve"> hydrochloride: 135729-62-3</w:t>
      </w:r>
    </w:p>
    <w:p w14:paraId="5D2D3171" w14:textId="555483F0" w:rsidR="006E5458" w:rsidRDefault="00480BE8" w:rsidP="00E71C0E">
      <w:pPr>
        <w:tabs>
          <w:tab w:val="left" w:pos="2235"/>
        </w:tabs>
      </w:pPr>
      <w:proofErr w:type="spellStart"/>
      <w:r>
        <w:rPr>
          <w:rFonts w:cstheme="minorHAnsi"/>
        </w:rPr>
        <w:lastRenderedPageBreak/>
        <w:t>Palonosetron</w:t>
      </w:r>
      <w:proofErr w:type="spellEnd"/>
      <w:r>
        <w:rPr>
          <w:rFonts w:cstheme="minorHAnsi"/>
        </w:rPr>
        <w:t xml:space="preserve"> (free base): 135729-61-2 </w:t>
      </w:r>
    </w:p>
    <w:p w14:paraId="37FE22DB" w14:textId="77777777" w:rsidR="0013332C" w:rsidRPr="000343B1" w:rsidRDefault="0013332C" w:rsidP="0013332C">
      <w:pPr>
        <w:pStyle w:val="Heading1"/>
      </w:pPr>
      <w:r w:rsidRPr="000343B1">
        <w:t>Medicine schedule (Poisons Standard)</w:t>
      </w:r>
    </w:p>
    <w:p w14:paraId="2B8BF836" w14:textId="77777777" w:rsidR="0013332C" w:rsidRPr="000343B1" w:rsidRDefault="0013332C" w:rsidP="0013332C">
      <w:r w:rsidRPr="001C0F1E">
        <w:t>Prescription Only Medicine (S4)</w:t>
      </w:r>
    </w:p>
    <w:p w14:paraId="33BE027D" w14:textId="77777777" w:rsidR="0013332C" w:rsidRPr="000343B1" w:rsidRDefault="0013332C" w:rsidP="0013332C">
      <w:pPr>
        <w:pStyle w:val="Heading1"/>
      </w:pPr>
      <w:r w:rsidRPr="000343B1">
        <w:t>Sponsor</w:t>
      </w:r>
    </w:p>
    <w:p w14:paraId="1B724B35" w14:textId="77777777" w:rsidR="0013332C" w:rsidRPr="00825C9B" w:rsidRDefault="0013332C" w:rsidP="0013332C">
      <w:pPr>
        <w:spacing w:after="0"/>
        <w:rPr>
          <w:rFonts w:cstheme="minorHAnsi"/>
          <w:lang w:val="en"/>
        </w:rPr>
      </w:pPr>
      <w:r w:rsidRPr="00825C9B">
        <w:rPr>
          <w:rFonts w:cstheme="minorHAnsi"/>
          <w:lang w:val="en"/>
        </w:rPr>
        <w:t>Mundipharma Pty Limited</w:t>
      </w:r>
    </w:p>
    <w:p w14:paraId="0ABBE2E9" w14:textId="77777777" w:rsidR="0013332C" w:rsidRPr="00825C9B" w:rsidRDefault="0013332C" w:rsidP="0013332C">
      <w:pPr>
        <w:spacing w:after="0"/>
        <w:rPr>
          <w:rFonts w:cstheme="minorHAnsi"/>
          <w:lang w:val="en"/>
        </w:rPr>
      </w:pPr>
      <w:r w:rsidRPr="00825C9B">
        <w:rPr>
          <w:rFonts w:cstheme="minorHAnsi"/>
          <w:lang w:val="en"/>
        </w:rPr>
        <w:t>ABN 87 081 322 509</w:t>
      </w:r>
    </w:p>
    <w:p w14:paraId="64FCB007" w14:textId="77777777" w:rsidR="0013332C" w:rsidRPr="00825C9B" w:rsidRDefault="0013332C" w:rsidP="0013332C">
      <w:pPr>
        <w:spacing w:after="0"/>
        <w:rPr>
          <w:rFonts w:cstheme="minorHAnsi"/>
          <w:lang w:val="en"/>
        </w:rPr>
      </w:pPr>
      <w:r w:rsidRPr="00825C9B">
        <w:rPr>
          <w:rFonts w:cstheme="minorHAnsi"/>
          <w:lang w:val="en"/>
        </w:rPr>
        <w:t>88 Phillip Street</w:t>
      </w:r>
    </w:p>
    <w:p w14:paraId="4CF9DCE6" w14:textId="77777777" w:rsidR="0013332C" w:rsidRPr="00825C9B" w:rsidRDefault="0013332C" w:rsidP="0013332C">
      <w:pPr>
        <w:spacing w:after="0"/>
        <w:rPr>
          <w:rFonts w:cstheme="minorHAnsi"/>
          <w:lang w:val="en"/>
        </w:rPr>
      </w:pPr>
      <w:r w:rsidRPr="00825C9B">
        <w:rPr>
          <w:rFonts w:cstheme="minorHAnsi"/>
          <w:lang w:val="en"/>
        </w:rPr>
        <w:t>SYDNEY NSW 2000</w:t>
      </w:r>
    </w:p>
    <w:p w14:paraId="289C5406" w14:textId="77777777" w:rsidR="0013332C" w:rsidRPr="000343B1" w:rsidRDefault="0013332C" w:rsidP="0013332C">
      <w:pPr>
        <w:spacing w:after="0"/>
        <w:rPr>
          <w:rFonts w:cstheme="minorHAnsi"/>
          <w:lang w:val="en"/>
        </w:rPr>
      </w:pPr>
      <w:r w:rsidRPr="00825C9B">
        <w:rPr>
          <w:rFonts w:cstheme="minorHAnsi"/>
          <w:lang w:val="en"/>
        </w:rPr>
        <w:t xml:space="preserve">Further information may be obtained from </w:t>
      </w:r>
      <w:proofErr w:type="spellStart"/>
      <w:r w:rsidRPr="00825C9B">
        <w:rPr>
          <w:rFonts w:cstheme="minorHAnsi"/>
          <w:lang w:val="en"/>
        </w:rPr>
        <w:t>Mundipharma’s</w:t>
      </w:r>
      <w:proofErr w:type="spellEnd"/>
      <w:r w:rsidRPr="00825C9B">
        <w:rPr>
          <w:rFonts w:cstheme="minorHAnsi"/>
          <w:lang w:val="en"/>
        </w:rPr>
        <w:t xml:space="preserve"> Medical Information Department 1800 188 009.</w:t>
      </w:r>
    </w:p>
    <w:p w14:paraId="1050364F" w14:textId="77777777" w:rsidR="0013332C" w:rsidRPr="000343B1" w:rsidRDefault="0013332C" w:rsidP="0013332C">
      <w:pPr>
        <w:pStyle w:val="Heading1"/>
      </w:pPr>
      <w:r w:rsidRPr="000343B1">
        <w:t>Date of first approval</w:t>
      </w:r>
    </w:p>
    <w:p w14:paraId="70403D27" w14:textId="12EC9AEC" w:rsidR="0013332C" w:rsidRPr="000343B1" w:rsidRDefault="00DC7DC5" w:rsidP="0013332C">
      <w:r>
        <w:t>12 March 2020</w:t>
      </w:r>
    </w:p>
    <w:p w14:paraId="6B76F3CE" w14:textId="77777777" w:rsidR="0013332C" w:rsidRPr="000343B1" w:rsidRDefault="0013332C" w:rsidP="0013332C">
      <w:pPr>
        <w:pStyle w:val="Heading1"/>
      </w:pPr>
      <w:r w:rsidRPr="000343B1">
        <w:t>Date of revision</w:t>
      </w:r>
    </w:p>
    <w:p w14:paraId="4D7422BE" w14:textId="5A8F653A" w:rsidR="0013332C" w:rsidRPr="00900C08" w:rsidRDefault="00DC7DC5" w:rsidP="0013332C">
      <w:pPr>
        <w:rPr>
          <w:rFonts w:cstheme="minorHAnsi"/>
          <w:lang w:val="en"/>
        </w:rPr>
      </w:pPr>
      <w:r>
        <w:rPr>
          <w:rFonts w:cstheme="minorHAnsi"/>
          <w:lang w:val="en"/>
        </w:rPr>
        <w:t>12 March 2020</w:t>
      </w:r>
    </w:p>
    <w:p w14:paraId="7B65A511" w14:textId="77777777" w:rsidR="0013332C" w:rsidRPr="00497C85" w:rsidRDefault="0013332C" w:rsidP="0013332C">
      <w:pPr>
        <w:pStyle w:val="Heading2"/>
        <w:numPr>
          <w:ilvl w:val="0"/>
          <w:numId w:val="0"/>
        </w:numPr>
        <w:spacing w:before="0" w:after="120"/>
        <w:rPr>
          <w:rFonts w:cstheme="minorHAnsi"/>
          <w:lang w:val="en-US"/>
        </w:rPr>
      </w:pPr>
      <w:r w:rsidRPr="00497C85">
        <w:rPr>
          <w:rFonts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13332C" w:rsidRPr="00497C85" w14:paraId="2D626E92" w14:textId="77777777" w:rsidTr="00044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057A7969" w14:textId="77777777" w:rsidR="0013332C" w:rsidRPr="00497C85" w:rsidRDefault="0013332C" w:rsidP="000448DD">
            <w:pPr>
              <w:rPr>
                <w:rFonts w:cstheme="minorHAnsi"/>
                <w:sz w:val="20"/>
                <w:lang w:val="en-US"/>
              </w:rPr>
            </w:pPr>
            <w:r w:rsidRPr="00497C85">
              <w:rPr>
                <w:rFonts w:cstheme="minorHAnsi"/>
                <w:sz w:val="20"/>
                <w:lang w:val="en-US"/>
              </w:rPr>
              <w:t>Section Changed</w:t>
            </w:r>
          </w:p>
        </w:tc>
        <w:tc>
          <w:tcPr>
            <w:tcW w:w="7858" w:type="dxa"/>
            <w:shd w:val="clear" w:color="auto" w:fill="F2F2F2" w:themeFill="background1" w:themeFillShade="F2"/>
            <w:vAlign w:val="center"/>
          </w:tcPr>
          <w:p w14:paraId="46906AEA" w14:textId="77777777" w:rsidR="0013332C" w:rsidRPr="00497C85" w:rsidRDefault="0013332C" w:rsidP="000448DD">
            <w:pP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497C85">
              <w:rPr>
                <w:rFonts w:cstheme="minorHAnsi"/>
                <w:sz w:val="20"/>
                <w:lang w:val="en-US"/>
              </w:rPr>
              <w:t>Summary of new information</w:t>
            </w:r>
          </w:p>
        </w:tc>
      </w:tr>
      <w:tr w:rsidR="00FC3690" w:rsidRPr="00497C85" w14:paraId="4CD91880" w14:textId="77777777" w:rsidTr="000448DD">
        <w:tc>
          <w:tcPr>
            <w:cnfStyle w:val="001000000000" w:firstRow="0" w:lastRow="0" w:firstColumn="1" w:lastColumn="0" w:oddVBand="0" w:evenVBand="0" w:oddHBand="0" w:evenHBand="0" w:firstRowFirstColumn="0" w:firstRowLastColumn="0" w:lastRowFirstColumn="0" w:lastRowLastColumn="0"/>
            <w:tcW w:w="1384" w:type="dxa"/>
            <w:vAlign w:val="center"/>
          </w:tcPr>
          <w:p w14:paraId="3438AF88" w14:textId="1C33E41D" w:rsidR="00FC3690" w:rsidRPr="00B42202" w:rsidRDefault="00FC3690" w:rsidP="00FC3690">
            <w:pPr>
              <w:rPr>
                <w:rFonts w:cstheme="minorHAnsi"/>
                <w:lang w:val="en-US"/>
              </w:rPr>
            </w:pPr>
            <w:r>
              <w:rPr>
                <w:rFonts w:cstheme="minorHAnsi"/>
                <w:lang w:val="en-US"/>
              </w:rPr>
              <w:t>N/A</w:t>
            </w:r>
          </w:p>
        </w:tc>
        <w:tc>
          <w:tcPr>
            <w:tcW w:w="7858" w:type="dxa"/>
            <w:vAlign w:val="center"/>
          </w:tcPr>
          <w:p w14:paraId="7DB2BBBC" w14:textId="0DC2F7FE" w:rsidR="00FC3690" w:rsidRPr="00B42202" w:rsidRDefault="00FC3690" w:rsidP="00FC3690">
            <w:pP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 xml:space="preserve">New Product Information </w:t>
            </w:r>
          </w:p>
        </w:tc>
      </w:tr>
      <w:tr w:rsidR="0013332C" w:rsidRPr="00497C85" w14:paraId="08C0A6E2" w14:textId="77777777" w:rsidTr="000448DD">
        <w:tc>
          <w:tcPr>
            <w:cnfStyle w:val="001000000000" w:firstRow="0" w:lastRow="0" w:firstColumn="1" w:lastColumn="0" w:oddVBand="0" w:evenVBand="0" w:oddHBand="0" w:evenHBand="0" w:firstRowFirstColumn="0" w:firstRowLastColumn="0" w:lastRowFirstColumn="0" w:lastRowLastColumn="0"/>
            <w:tcW w:w="1384" w:type="dxa"/>
            <w:vAlign w:val="center"/>
          </w:tcPr>
          <w:p w14:paraId="3F8DD46C" w14:textId="0BB07B62" w:rsidR="0013332C" w:rsidRPr="00497C85" w:rsidRDefault="0013332C" w:rsidP="000448DD">
            <w:pPr>
              <w:rPr>
                <w:rFonts w:cstheme="minorHAnsi"/>
                <w:lang w:val="en-US"/>
              </w:rPr>
            </w:pPr>
          </w:p>
        </w:tc>
        <w:tc>
          <w:tcPr>
            <w:tcW w:w="7858" w:type="dxa"/>
            <w:vAlign w:val="center"/>
          </w:tcPr>
          <w:p w14:paraId="3F1AF89E" w14:textId="0C7A033F" w:rsidR="0013332C" w:rsidRPr="00497C85" w:rsidRDefault="0013332C" w:rsidP="000448DD">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13332C" w:rsidRPr="00497C85" w14:paraId="6A06F479" w14:textId="77777777" w:rsidTr="000448DD">
        <w:tc>
          <w:tcPr>
            <w:cnfStyle w:val="001000000000" w:firstRow="0" w:lastRow="0" w:firstColumn="1" w:lastColumn="0" w:oddVBand="0" w:evenVBand="0" w:oddHBand="0" w:evenHBand="0" w:firstRowFirstColumn="0" w:firstRowLastColumn="0" w:lastRowFirstColumn="0" w:lastRowLastColumn="0"/>
            <w:tcW w:w="1384" w:type="dxa"/>
            <w:vAlign w:val="center"/>
          </w:tcPr>
          <w:p w14:paraId="61CEEBA4" w14:textId="1D41E778" w:rsidR="0013332C" w:rsidRPr="00497C85" w:rsidRDefault="0013332C" w:rsidP="000448DD">
            <w:pPr>
              <w:rPr>
                <w:rFonts w:cstheme="minorHAnsi"/>
                <w:lang w:val="en-US"/>
              </w:rPr>
            </w:pPr>
          </w:p>
        </w:tc>
        <w:tc>
          <w:tcPr>
            <w:tcW w:w="7858" w:type="dxa"/>
            <w:vAlign w:val="center"/>
          </w:tcPr>
          <w:p w14:paraId="5A32CD9D" w14:textId="45DF2958" w:rsidR="0013332C" w:rsidRPr="00497C85" w:rsidRDefault="0013332C" w:rsidP="000448DD">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27DDAA23" w14:textId="77777777" w:rsidR="0013332C" w:rsidRPr="00497C85" w:rsidRDefault="0013332C" w:rsidP="0013332C">
      <w:pPr>
        <w:spacing w:after="120"/>
        <w:rPr>
          <w:rFonts w:cstheme="minorHAnsi"/>
          <w:lang w:val="en-US"/>
        </w:rPr>
      </w:pPr>
    </w:p>
    <w:p w14:paraId="7DD4D4EE" w14:textId="77777777" w:rsidR="0013332C" w:rsidRDefault="0013332C" w:rsidP="0013332C">
      <w:r w:rsidRPr="005E2825">
        <w:t xml:space="preserve">® AKYNZEO is a registered trade mark of </w:t>
      </w:r>
      <w:proofErr w:type="spellStart"/>
      <w:r w:rsidRPr="005E2825">
        <w:t>Helsinn</w:t>
      </w:r>
      <w:proofErr w:type="spellEnd"/>
      <w:r w:rsidRPr="005E2825">
        <w:t xml:space="preserve"> Healthcare SA, Switzerland.</w:t>
      </w:r>
      <w:r>
        <w:t xml:space="preserve"> Distributed under license of </w:t>
      </w:r>
      <w:proofErr w:type="spellStart"/>
      <w:r>
        <w:t>Helsinn</w:t>
      </w:r>
      <w:proofErr w:type="spellEnd"/>
      <w:r>
        <w:t xml:space="preserve"> Healthcare SA, Switzerland. </w:t>
      </w:r>
    </w:p>
    <w:p w14:paraId="68F9B4F4" w14:textId="1BABB3E6" w:rsidR="0013332C" w:rsidRPr="00825C9B" w:rsidRDefault="0013332C" w:rsidP="0013332C">
      <w:pPr>
        <w:rPr>
          <w:rFonts w:cstheme="minorHAnsi"/>
          <w:lang w:val="en"/>
        </w:rPr>
      </w:pPr>
      <w:r w:rsidRPr="00825C9B">
        <w:rPr>
          <w:rFonts w:cstheme="minorHAnsi"/>
          <w:lang w:val="en"/>
        </w:rPr>
        <w:t xml:space="preserve">For the most current approved PI, please refer to </w:t>
      </w:r>
      <w:hyperlink r:id="rId13" w:history="1">
        <w:r w:rsidRPr="00825C9B">
          <w:rPr>
            <w:rFonts w:cstheme="minorHAnsi"/>
            <w:lang w:val="en"/>
          </w:rPr>
          <w:t>https://www.ebs.tga.gov.au/</w:t>
        </w:r>
      </w:hyperlink>
      <w:r w:rsidR="00EF6A02">
        <w:rPr>
          <w:rFonts w:cstheme="minorHAnsi"/>
          <w:lang w:val="en"/>
        </w:rPr>
        <w:t>#</w:t>
      </w:r>
      <w:r w:rsidRPr="00825C9B">
        <w:rPr>
          <w:rFonts w:cstheme="minorHAnsi"/>
          <w:lang w:val="en"/>
        </w:rPr>
        <w:t>.</w:t>
      </w:r>
    </w:p>
    <w:p w14:paraId="4E9FF6A4" w14:textId="6C5590AC" w:rsidR="0013332C" w:rsidRPr="000343B1" w:rsidRDefault="0013332C" w:rsidP="0013332C">
      <w:proofErr w:type="spellStart"/>
      <w:r w:rsidRPr="005E2825">
        <w:t>Orbis</w:t>
      </w:r>
      <w:proofErr w:type="spellEnd"/>
      <w:r w:rsidRPr="005E2825">
        <w:t xml:space="preserve"> </w:t>
      </w:r>
      <w:r w:rsidR="00F81BD8">
        <w:t>RA-</w:t>
      </w:r>
      <w:r w:rsidR="00743677">
        <w:t>0262</w:t>
      </w:r>
    </w:p>
    <w:p w14:paraId="69C5D109" w14:textId="33A5A512" w:rsidR="0013332C" w:rsidRPr="00B87992" w:rsidRDefault="00FB2CE1" w:rsidP="0013332C">
      <w:pPr>
        <w:rPr>
          <w:rFonts w:ascii="Arial" w:hAnsi="Arial"/>
        </w:rPr>
      </w:pPr>
      <w:r>
        <w:t>m</w:t>
      </w:r>
      <w:r w:rsidR="00F81BD8">
        <w:t>fpakyi</w:t>
      </w:r>
      <w:r>
        <w:t>10320</w:t>
      </w:r>
    </w:p>
    <w:sectPr w:rsidR="0013332C" w:rsidRPr="00B87992" w:rsidSect="0035369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276" w:left="144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E501E" w14:textId="77777777" w:rsidR="00530366" w:rsidRDefault="00530366" w:rsidP="001A3992">
      <w:pPr>
        <w:spacing w:after="0" w:line="240" w:lineRule="auto"/>
      </w:pPr>
      <w:r>
        <w:separator/>
      </w:r>
    </w:p>
  </w:endnote>
  <w:endnote w:type="continuationSeparator" w:id="0">
    <w:p w14:paraId="6D2A10BB" w14:textId="77777777" w:rsidR="00530366" w:rsidRDefault="00530366"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9A84" w14:textId="77777777" w:rsidR="0035369C" w:rsidRDefault="00353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ADF5" w14:textId="77777777" w:rsidR="00530366" w:rsidRDefault="00530366" w:rsidP="005F3A63"/>
  <w:p w14:paraId="1D034B59" w14:textId="4010C8B3" w:rsidR="00530366" w:rsidRPr="00B8074A" w:rsidRDefault="00530366" w:rsidP="005F3A63">
    <w:pPr>
      <w:pStyle w:val="Footer"/>
      <w:tabs>
        <w:tab w:val="left" w:pos="195"/>
      </w:tabs>
      <w:rPr>
        <w:sz w:val="20"/>
      </w:rPr>
    </w:pPr>
    <w:r w:rsidRPr="00833F24">
      <w:rPr>
        <w:rFonts w:asciiTheme="majorHAnsi" w:hAnsiTheme="majorHAnsi"/>
        <w:sz w:val="20"/>
      </w:rPr>
      <w:t>AKYNZEO</w:t>
    </w:r>
    <w:r w:rsidRPr="00833F24">
      <w:rPr>
        <w:rFonts w:asciiTheme="majorHAnsi" w:hAnsiTheme="majorHAnsi"/>
        <w:sz w:val="20"/>
        <w:vertAlign w:val="superscript"/>
      </w:rPr>
      <w:t>®</w:t>
    </w:r>
    <w:r w:rsidRPr="00833F24">
      <w:rPr>
        <w:sz w:val="20"/>
      </w:rPr>
      <w:t xml:space="preserve"> </w:t>
    </w:r>
    <w:r>
      <w:rPr>
        <w:sz w:val="20"/>
      </w:rPr>
      <w:t xml:space="preserve">IV </w:t>
    </w:r>
    <w:r w:rsidRPr="00833F24">
      <w:rPr>
        <w:sz w:val="20"/>
      </w:rPr>
      <w:t xml:space="preserve">POWDER FOR INJECTION </w:t>
    </w:r>
    <w:r w:rsidRPr="00833F24">
      <w:rPr>
        <w:sz w:val="20"/>
      </w:rPr>
      <w:ptab w:relativeTo="margin" w:alignment="center" w:leader="none"/>
    </w:r>
    <w:r w:rsidRPr="00833F24">
      <w:rPr>
        <w:sz w:val="20"/>
      </w:rPr>
      <w:ptab w:relativeTo="margin" w:alignment="right" w:leader="none"/>
    </w:r>
    <w:r w:rsidRPr="00833F24">
      <w:rPr>
        <w:sz w:val="20"/>
      </w:rPr>
      <w:t xml:space="preserve">Page </w:t>
    </w:r>
    <w:r w:rsidRPr="00833F24">
      <w:rPr>
        <w:b/>
        <w:bCs/>
        <w:sz w:val="20"/>
      </w:rPr>
      <w:fldChar w:fldCharType="begin"/>
    </w:r>
    <w:r w:rsidRPr="00833F24">
      <w:rPr>
        <w:b/>
        <w:bCs/>
        <w:sz w:val="20"/>
      </w:rPr>
      <w:instrText xml:space="preserve"> PAGE  \* Arabic  \* MERGEFORMAT </w:instrText>
    </w:r>
    <w:r w:rsidRPr="00833F24">
      <w:rPr>
        <w:b/>
        <w:bCs/>
        <w:sz w:val="20"/>
      </w:rPr>
      <w:fldChar w:fldCharType="separate"/>
    </w:r>
    <w:r w:rsidR="0035369C">
      <w:rPr>
        <w:b/>
        <w:bCs/>
        <w:noProof/>
        <w:sz w:val="20"/>
      </w:rPr>
      <w:t>26</w:t>
    </w:r>
    <w:r w:rsidRPr="00833F24">
      <w:rPr>
        <w:b/>
        <w:bCs/>
        <w:sz w:val="20"/>
      </w:rPr>
      <w:fldChar w:fldCharType="end"/>
    </w:r>
    <w:r w:rsidRPr="00833F24">
      <w:rPr>
        <w:sz w:val="20"/>
      </w:rPr>
      <w:t xml:space="preserve"> of </w:t>
    </w:r>
    <w:r w:rsidRPr="00833F24">
      <w:rPr>
        <w:b/>
        <w:bCs/>
        <w:sz w:val="20"/>
      </w:rPr>
      <w:fldChar w:fldCharType="begin"/>
    </w:r>
    <w:r w:rsidRPr="00833F24">
      <w:rPr>
        <w:b/>
        <w:bCs/>
        <w:sz w:val="20"/>
      </w:rPr>
      <w:instrText xml:space="preserve"> NUMPAGES  \* Arabic  \* MERGEFORMAT </w:instrText>
    </w:r>
    <w:r w:rsidRPr="00833F24">
      <w:rPr>
        <w:b/>
        <w:bCs/>
        <w:sz w:val="20"/>
      </w:rPr>
      <w:fldChar w:fldCharType="separate"/>
    </w:r>
    <w:r w:rsidR="0035369C">
      <w:rPr>
        <w:b/>
        <w:bCs/>
        <w:noProof/>
        <w:sz w:val="20"/>
      </w:rPr>
      <w:t>26</w:t>
    </w:r>
    <w:r w:rsidRPr="00833F24">
      <w:rPr>
        <w:b/>
        <w:bCs/>
        <w:sz w:val="20"/>
      </w:rPr>
      <w:fldChar w:fldCharType="end"/>
    </w:r>
  </w:p>
  <w:p w14:paraId="226E69C7" w14:textId="77777777" w:rsidR="00530366" w:rsidRPr="00B8074A" w:rsidRDefault="00530366" w:rsidP="005F3A63">
    <w:pPr>
      <w:pStyle w:val="Footer"/>
      <w:tabs>
        <w:tab w:val="left" w:pos="735"/>
      </w:tabs>
      <w:rPr>
        <w:sz w:val="20"/>
      </w:rPr>
    </w:pPr>
    <w:r>
      <w:rPr>
        <w:sz w:val="20"/>
      </w:rPr>
      <w:tab/>
    </w:r>
    <w:r>
      <w:rPr>
        <w:sz w:val="20"/>
      </w:rP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2383" w14:textId="77777777" w:rsidR="0035369C" w:rsidRDefault="00353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7B498" w14:textId="77777777" w:rsidR="00530366" w:rsidRDefault="00530366" w:rsidP="001A3992">
      <w:pPr>
        <w:spacing w:after="0" w:line="240" w:lineRule="auto"/>
      </w:pPr>
      <w:r>
        <w:separator/>
      </w:r>
    </w:p>
  </w:footnote>
  <w:footnote w:type="continuationSeparator" w:id="0">
    <w:p w14:paraId="62A1CA44" w14:textId="77777777" w:rsidR="00530366" w:rsidRDefault="00530366" w:rsidP="001A3992">
      <w:pPr>
        <w:spacing w:after="0" w:line="240" w:lineRule="auto"/>
      </w:pPr>
      <w:r>
        <w:continuationSeparator/>
      </w:r>
    </w:p>
  </w:footnote>
  <w:footnote w:id="1">
    <w:p w14:paraId="12EE0007" w14:textId="77777777" w:rsidR="00530366" w:rsidRPr="00010769" w:rsidRDefault="00530366" w:rsidP="0013332C">
      <w:pPr>
        <w:rPr>
          <w:sz w:val="20"/>
          <w:szCs w:val="20"/>
        </w:rPr>
      </w:pPr>
      <w:r w:rsidRPr="00010769">
        <w:rPr>
          <w:rStyle w:val="FootnoteReference"/>
          <w:sz w:val="20"/>
          <w:szCs w:val="20"/>
        </w:rPr>
        <w:footnoteRef/>
      </w:r>
      <w:r w:rsidRPr="00010769">
        <w:rPr>
          <w:sz w:val="20"/>
          <w:szCs w:val="20"/>
        </w:rPr>
        <w:t xml:space="preserve"> At the time of the study, </w:t>
      </w:r>
      <w:proofErr w:type="spellStart"/>
      <w:r w:rsidRPr="00010769">
        <w:rPr>
          <w:sz w:val="20"/>
          <w:szCs w:val="20"/>
        </w:rPr>
        <w:t>anthracycline</w:t>
      </w:r>
      <w:proofErr w:type="spellEnd"/>
      <w:r w:rsidRPr="00010769">
        <w:rPr>
          <w:sz w:val="20"/>
          <w:szCs w:val="20"/>
        </w:rPr>
        <w:t xml:space="preserve">-cyclophosphamide containing chemotherapy regimens were considered to be moderately </w:t>
      </w:r>
      <w:proofErr w:type="spellStart"/>
      <w:r w:rsidRPr="00010769">
        <w:rPr>
          <w:sz w:val="20"/>
          <w:szCs w:val="20"/>
        </w:rPr>
        <w:t>emetogenic</w:t>
      </w:r>
      <w:proofErr w:type="spellEnd"/>
      <w:r w:rsidRPr="00010769">
        <w:rPr>
          <w:sz w:val="20"/>
          <w:szCs w:val="20"/>
        </w:rPr>
        <w:t xml:space="preserve">. Recent guidance has updated these regimens to highly </w:t>
      </w:r>
      <w:proofErr w:type="spellStart"/>
      <w:r w:rsidRPr="00010769">
        <w:rPr>
          <w:sz w:val="20"/>
          <w:szCs w:val="20"/>
        </w:rPr>
        <w:t>emetogenic</w:t>
      </w:r>
      <w:proofErr w:type="spellEnd"/>
      <w:r w:rsidRPr="00010769">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06A6" w14:textId="77777777" w:rsidR="0035369C" w:rsidRDefault="00353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35369C" w:rsidRPr="000B2145" w14:paraId="59077053" w14:textId="77777777" w:rsidTr="00180DB4">
      <w:trPr>
        <w:trHeight w:val="590"/>
      </w:trPr>
      <w:tc>
        <w:tcPr>
          <w:tcW w:w="8720" w:type="dxa"/>
          <w:shd w:val="clear" w:color="auto" w:fill="E4F2E0"/>
        </w:tcPr>
        <w:p w14:paraId="15BEEFEF" w14:textId="77777777" w:rsidR="0035369C" w:rsidRPr="000B2145" w:rsidRDefault="0035369C" w:rsidP="0035369C">
          <w:pPr>
            <w:pStyle w:val="Footer"/>
            <w:rPr>
              <w:b/>
              <w:sz w:val="18"/>
              <w:szCs w:val="18"/>
            </w:rPr>
          </w:pPr>
          <w:r w:rsidRPr="00B66EFC">
            <w:rPr>
              <w:b/>
              <w:sz w:val="18"/>
              <w:szCs w:val="18"/>
            </w:rPr>
            <w:t xml:space="preserve">AusPAR - </w:t>
          </w:r>
          <w:proofErr w:type="spellStart"/>
          <w:r w:rsidRPr="00B66EFC">
            <w:rPr>
              <w:b/>
              <w:sz w:val="18"/>
              <w:szCs w:val="18"/>
            </w:rPr>
            <w:t>Akynzeo</w:t>
          </w:r>
          <w:proofErr w:type="spellEnd"/>
          <w:r w:rsidRPr="00B66EFC">
            <w:rPr>
              <w:b/>
              <w:sz w:val="18"/>
              <w:szCs w:val="18"/>
            </w:rPr>
            <w:t xml:space="preserve"> IV - </w:t>
          </w:r>
          <w:proofErr w:type="spellStart"/>
          <w:r w:rsidRPr="00B66EFC">
            <w:rPr>
              <w:b/>
              <w:sz w:val="18"/>
              <w:szCs w:val="18"/>
            </w:rPr>
            <w:t>fosnetupitant</w:t>
          </w:r>
          <w:proofErr w:type="spellEnd"/>
          <w:r w:rsidRPr="00B66EFC">
            <w:rPr>
              <w:b/>
              <w:sz w:val="18"/>
              <w:szCs w:val="18"/>
            </w:rPr>
            <w:t xml:space="preserve"> (as chloride hydrochloride)/</w:t>
          </w:r>
          <w:proofErr w:type="spellStart"/>
          <w:r w:rsidRPr="00B66EFC">
            <w:rPr>
              <w:b/>
              <w:sz w:val="18"/>
              <w:szCs w:val="18"/>
            </w:rPr>
            <w:t>palonosetron</w:t>
          </w:r>
          <w:proofErr w:type="spellEnd"/>
          <w:r w:rsidRPr="00B66EFC">
            <w:rPr>
              <w:b/>
              <w:sz w:val="18"/>
              <w:szCs w:val="18"/>
            </w:rPr>
            <w:t xml:space="preserve"> (as hydrochloride) - Mundipharma Pty Ltd - PM-2019-01560-1-4</w:t>
          </w:r>
          <w:r>
            <w:rPr>
              <w:b/>
              <w:sz w:val="18"/>
              <w:szCs w:val="18"/>
            </w:rPr>
            <w:t xml:space="preserve"> </w:t>
          </w:r>
          <w:r w:rsidRPr="00B66EFC">
            <w:rPr>
              <w:b/>
              <w:sz w:val="18"/>
              <w:szCs w:val="18"/>
            </w:rPr>
            <w:t>FINAL 24 September 2020</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6BEE84ED" w14:textId="77777777" w:rsidR="0035369C" w:rsidRDefault="00353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2A51" w14:textId="77777777" w:rsidR="0035369C" w:rsidRDefault="00353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0AC"/>
    <w:multiLevelType w:val="multilevel"/>
    <w:tmpl w:val="04090023"/>
    <w:styleLink w:val="ArticleSection"/>
    <w:lvl w:ilvl="0">
      <w:start w:val="1"/>
      <w:numFmt w:val="upperRoman"/>
      <w:lvlText w:val="Article %1."/>
      <w:lvlJc w:val="left"/>
      <w:pPr>
        <w:tabs>
          <w:tab w:val="num" w:pos="1440"/>
        </w:tabs>
        <w:ind w:left="0" w:firstLine="0"/>
      </w:pPr>
      <w:rPr>
        <w:rFonts w:ascii="Times New Roman" w:hAnsi="Times New Roman" w:cs="Times New Roman"/>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D9F0DA4"/>
    <w:multiLevelType w:val="hybridMultilevel"/>
    <w:tmpl w:val="0AE67D26"/>
    <w:lvl w:ilvl="0" w:tplc="EAC6649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F55A80"/>
    <w:multiLevelType w:val="hybridMultilevel"/>
    <w:tmpl w:val="604CC2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22EC677B"/>
    <w:multiLevelType w:val="multilevel"/>
    <w:tmpl w:val="36945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844859"/>
    <w:multiLevelType w:val="hybridMultilevel"/>
    <w:tmpl w:val="AFF4C5F4"/>
    <w:lvl w:ilvl="0" w:tplc="8BF49788">
      <w:start w:val="1"/>
      <w:numFmt w:val="decimal"/>
      <w:pStyle w:val="Appendix"/>
      <w:lvlText w:val="Appendix %1"/>
      <w:lvlJc w:val="left"/>
      <w:pPr>
        <w:ind w:left="360" w:hanging="360"/>
      </w:pPr>
      <w:rPr>
        <w:rFonts w:ascii="Times New Roman Bold" w:hAnsi="Times New Roman Bold" w:hint="default"/>
        <w:b/>
        <w:i w:val="0"/>
        <w:caps w:val="0"/>
        <w:strike w:val="0"/>
        <w:dstrike w:val="0"/>
        <w:vanish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B5319"/>
    <w:multiLevelType w:val="hybridMultilevel"/>
    <w:tmpl w:val="89CA8EAC"/>
    <w:lvl w:ilvl="0" w:tplc="0A909EB2">
      <w:start w:val="3"/>
      <w:numFmt w:val="bullet"/>
      <w:lvlText w:val="-"/>
      <w:lvlJc w:val="left"/>
      <w:pPr>
        <w:ind w:left="720" w:hanging="360"/>
      </w:pPr>
      <w:rPr>
        <w:rFonts w:ascii="Times New Roman" w:eastAsiaTheme="minorHAnsi" w:hAnsi="Times New Roman"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2D3327AB"/>
    <w:multiLevelType w:val="multilevel"/>
    <w:tmpl w:val="0409001F"/>
    <w:styleLink w:val="11111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24550D"/>
    <w:multiLevelType w:val="multilevel"/>
    <w:tmpl w:val="0409001F"/>
    <w:styleLink w:val="BulletSage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2F174DBC"/>
    <w:multiLevelType w:val="multilevel"/>
    <w:tmpl w:val="33386706"/>
    <w:lvl w:ilvl="0">
      <w:start w:val="1"/>
      <w:numFmt w:val="decimal"/>
      <w:pStyle w:val="Normal12pt"/>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890"/>
        </w:tabs>
        <w:ind w:left="189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641E54"/>
    <w:multiLevelType w:val="hybridMultilevel"/>
    <w:tmpl w:val="EB861D0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362B44E3"/>
    <w:multiLevelType w:val="hybridMultilevel"/>
    <w:tmpl w:val="B3FEA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066B0C"/>
    <w:multiLevelType w:val="hybridMultilevel"/>
    <w:tmpl w:val="5D9A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D25535"/>
    <w:multiLevelType w:val="multilevel"/>
    <w:tmpl w:val="741CF492"/>
    <w:styleLink w:val="BulletSage"/>
    <w:lvl w:ilvl="0">
      <w:start w:val="1"/>
      <w:numFmt w:val="bullet"/>
      <w:pStyle w:val="SageList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13" w15:restartNumberingAfterBreak="0">
    <w:nsid w:val="5870061A"/>
    <w:multiLevelType w:val="hybridMultilevel"/>
    <w:tmpl w:val="A52E6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547FA"/>
    <w:multiLevelType w:val="hybridMultilevel"/>
    <w:tmpl w:val="EE7EDBF8"/>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5" w15:restartNumberingAfterBreak="0">
    <w:nsid w:val="6AA16468"/>
    <w:multiLevelType w:val="hybridMultilevel"/>
    <w:tmpl w:val="4886897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6C611788"/>
    <w:multiLevelType w:val="hybridMultilevel"/>
    <w:tmpl w:val="382E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E3780B"/>
    <w:multiLevelType w:val="hybridMultilevel"/>
    <w:tmpl w:val="311693B6"/>
    <w:lvl w:ilvl="0" w:tplc="1E62EC90">
      <w:start w:val="1"/>
      <w:numFmt w:val="bullet"/>
      <w:pStyle w:val="Lis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2B14606"/>
    <w:multiLevelType w:val="multilevel"/>
    <w:tmpl w:val="0409001D"/>
    <w:styleLink w:val="1ai"/>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59C300A"/>
    <w:multiLevelType w:val="hybridMultilevel"/>
    <w:tmpl w:val="4D565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96C0830"/>
    <w:multiLevelType w:val="hybridMultilevel"/>
    <w:tmpl w:val="DC8EF806"/>
    <w:lvl w:ilvl="0" w:tplc="249A8CD2">
      <w:numFmt w:val="bullet"/>
      <w:lvlText w:val="-"/>
      <w:lvlJc w:val="left"/>
      <w:pPr>
        <w:ind w:left="720" w:hanging="360"/>
      </w:pPr>
      <w:rPr>
        <w:rFonts w:ascii="Times New Roman" w:eastAsia="Arial Unicode MS" w:hAnsi="Times New Roman"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4"/>
  </w:num>
  <w:num w:numId="6">
    <w:abstractNumId w:val="8"/>
  </w:num>
  <w:num w:numId="7">
    <w:abstractNumId w:val="10"/>
  </w:num>
  <w:num w:numId="8">
    <w:abstractNumId w:val="16"/>
  </w:num>
  <w:num w:numId="9">
    <w:abstractNumId w:val="13"/>
  </w:num>
  <w:num w:numId="10">
    <w:abstractNumId w:val="21"/>
  </w:num>
  <w:num w:numId="11">
    <w:abstractNumId w:val="14"/>
  </w:num>
  <w:num w:numId="12">
    <w:abstractNumId w:val="2"/>
  </w:num>
  <w:num w:numId="13">
    <w:abstractNumId w:val="12"/>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num>
  <w:num w:numId="19">
    <w:abstractNumId w:val="9"/>
  </w:num>
  <w:num w:numId="20">
    <w:abstractNumId w:val="7"/>
  </w:num>
  <w:num w:numId="21">
    <w:abstractNumId w:val="20"/>
  </w:num>
  <w:num w:numId="22">
    <w:abstractNumId w:val="1"/>
  </w:num>
  <w:num w:numId="23">
    <w:abstractNumId w:val="11"/>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AU" w:vendorID="64" w:dllVersion="6" w:nlCheck="1" w:checkStyle="0"/>
  <w:activeWritingStyle w:appName="MSWord" w:lang="fr-CI"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I" w:vendorID="64" w:dllVersion="0" w:nlCheck="1" w:checkStyle="0"/>
  <w:proofState w:spelling="clean"/>
  <w:attachedTemplate r:id="rId1"/>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B6"/>
    <w:rsid w:val="00000951"/>
    <w:rsid w:val="00001A5B"/>
    <w:rsid w:val="00001A74"/>
    <w:rsid w:val="00003078"/>
    <w:rsid w:val="00003BCC"/>
    <w:rsid w:val="0000481C"/>
    <w:rsid w:val="00006A33"/>
    <w:rsid w:val="00007DF9"/>
    <w:rsid w:val="00010685"/>
    <w:rsid w:val="00011684"/>
    <w:rsid w:val="00012294"/>
    <w:rsid w:val="000134ED"/>
    <w:rsid w:val="00013C95"/>
    <w:rsid w:val="00014343"/>
    <w:rsid w:val="00014490"/>
    <w:rsid w:val="0001538D"/>
    <w:rsid w:val="00016D83"/>
    <w:rsid w:val="0002291C"/>
    <w:rsid w:val="0002355D"/>
    <w:rsid w:val="000245D1"/>
    <w:rsid w:val="00025E1A"/>
    <w:rsid w:val="000272FC"/>
    <w:rsid w:val="00030271"/>
    <w:rsid w:val="00035B81"/>
    <w:rsid w:val="00036963"/>
    <w:rsid w:val="000369FB"/>
    <w:rsid w:val="00036DF3"/>
    <w:rsid w:val="00037F0C"/>
    <w:rsid w:val="00040C10"/>
    <w:rsid w:val="00040E42"/>
    <w:rsid w:val="00041D77"/>
    <w:rsid w:val="00041E15"/>
    <w:rsid w:val="00042302"/>
    <w:rsid w:val="000428E9"/>
    <w:rsid w:val="000445A1"/>
    <w:rsid w:val="000448DD"/>
    <w:rsid w:val="000457D0"/>
    <w:rsid w:val="00046057"/>
    <w:rsid w:val="000460F3"/>
    <w:rsid w:val="0004734E"/>
    <w:rsid w:val="0005064E"/>
    <w:rsid w:val="0005231E"/>
    <w:rsid w:val="000526B7"/>
    <w:rsid w:val="00053D7D"/>
    <w:rsid w:val="000546FF"/>
    <w:rsid w:val="00054E20"/>
    <w:rsid w:val="000572D3"/>
    <w:rsid w:val="00061F97"/>
    <w:rsid w:val="000623E1"/>
    <w:rsid w:val="00065A15"/>
    <w:rsid w:val="000672D6"/>
    <w:rsid w:val="00067612"/>
    <w:rsid w:val="00071242"/>
    <w:rsid w:val="00072D7B"/>
    <w:rsid w:val="00073A55"/>
    <w:rsid w:val="000741DD"/>
    <w:rsid w:val="0007433C"/>
    <w:rsid w:val="00074F9B"/>
    <w:rsid w:val="0007608E"/>
    <w:rsid w:val="0007712D"/>
    <w:rsid w:val="00077FE4"/>
    <w:rsid w:val="00081B18"/>
    <w:rsid w:val="000841E3"/>
    <w:rsid w:val="00084EC8"/>
    <w:rsid w:val="00090E7D"/>
    <w:rsid w:val="000922B8"/>
    <w:rsid w:val="000940ED"/>
    <w:rsid w:val="000941CB"/>
    <w:rsid w:val="00095237"/>
    <w:rsid w:val="0009564E"/>
    <w:rsid w:val="000A0718"/>
    <w:rsid w:val="000A1499"/>
    <w:rsid w:val="000A1DB8"/>
    <w:rsid w:val="000A32C4"/>
    <w:rsid w:val="000A52C3"/>
    <w:rsid w:val="000A6D9D"/>
    <w:rsid w:val="000A75FA"/>
    <w:rsid w:val="000B04C1"/>
    <w:rsid w:val="000B090B"/>
    <w:rsid w:val="000B169A"/>
    <w:rsid w:val="000B2020"/>
    <w:rsid w:val="000B39D1"/>
    <w:rsid w:val="000B4B6C"/>
    <w:rsid w:val="000B5DA1"/>
    <w:rsid w:val="000B736E"/>
    <w:rsid w:val="000C6E36"/>
    <w:rsid w:val="000D0CFF"/>
    <w:rsid w:val="000D1C2C"/>
    <w:rsid w:val="000D60C3"/>
    <w:rsid w:val="000E4C1A"/>
    <w:rsid w:val="000E5C9E"/>
    <w:rsid w:val="000E6445"/>
    <w:rsid w:val="000E71A9"/>
    <w:rsid w:val="000E7691"/>
    <w:rsid w:val="000E7AFF"/>
    <w:rsid w:val="000F0628"/>
    <w:rsid w:val="000F08B9"/>
    <w:rsid w:val="000F128A"/>
    <w:rsid w:val="000F14B9"/>
    <w:rsid w:val="000F14C1"/>
    <w:rsid w:val="000F19CA"/>
    <w:rsid w:val="000F3B5D"/>
    <w:rsid w:val="000F40A3"/>
    <w:rsid w:val="000F5A07"/>
    <w:rsid w:val="00100C87"/>
    <w:rsid w:val="001010B5"/>
    <w:rsid w:val="0010434F"/>
    <w:rsid w:val="00105DDC"/>
    <w:rsid w:val="001064C7"/>
    <w:rsid w:val="0011048B"/>
    <w:rsid w:val="00110C8C"/>
    <w:rsid w:val="00111E87"/>
    <w:rsid w:val="00112E8C"/>
    <w:rsid w:val="001164C3"/>
    <w:rsid w:val="00116992"/>
    <w:rsid w:val="00117931"/>
    <w:rsid w:val="00120593"/>
    <w:rsid w:val="00120A7C"/>
    <w:rsid w:val="00120D42"/>
    <w:rsid w:val="00121131"/>
    <w:rsid w:val="00125EDE"/>
    <w:rsid w:val="001320A7"/>
    <w:rsid w:val="00132A99"/>
    <w:rsid w:val="0013332C"/>
    <w:rsid w:val="00136DF9"/>
    <w:rsid w:val="00137967"/>
    <w:rsid w:val="00137F96"/>
    <w:rsid w:val="001402D8"/>
    <w:rsid w:val="00142FD9"/>
    <w:rsid w:val="00143AD3"/>
    <w:rsid w:val="00146E9C"/>
    <w:rsid w:val="00147030"/>
    <w:rsid w:val="00153B3F"/>
    <w:rsid w:val="00153E93"/>
    <w:rsid w:val="00155DEA"/>
    <w:rsid w:val="00163A87"/>
    <w:rsid w:val="00164C96"/>
    <w:rsid w:val="00167848"/>
    <w:rsid w:val="00170017"/>
    <w:rsid w:val="00173667"/>
    <w:rsid w:val="00175FB0"/>
    <w:rsid w:val="0017605B"/>
    <w:rsid w:val="00176AAF"/>
    <w:rsid w:val="001770CD"/>
    <w:rsid w:val="00177256"/>
    <w:rsid w:val="001821C0"/>
    <w:rsid w:val="00182B47"/>
    <w:rsid w:val="001845EA"/>
    <w:rsid w:val="00187851"/>
    <w:rsid w:val="0019080C"/>
    <w:rsid w:val="0019412C"/>
    <w:rsid w:val="0019573F"/>
    <w:rsid w:val="0019710F"/>
    <w:rsid w:val="001A005D"/>
    <w:rsid w:val="001A0778"/>
    <w:rsid w:val="001A0F60"/>
    <w:rsid w:val="001A2861"/>
    <w:rsid w:val="001A3992"/>
    <w:rsid w:val="001A7530"/>
    <w:rsid w:val="001B22B5"/>
    <w:rsid w:val="001B41F0"/>
    <w:rsid w:val="001B4955"/>
    <w:rsid w:val="001B6521"/>
    <w:rsid w:val="001B68FA"/>
    <w:rsid w:val="001B6F66"/>
    <w:rsid w:val="001C00A9"/>
    <w:rsid w:val="001C0B26"/>
    <w:rsid w:val="001C32D6"/>
    <w:rsid w:val="001C33D8"/>
    <w:rsid w:val="001C3F3E"/>
    <w:rsid w:val="001C4398"/>
    <w:rsid w:val="001C651F"/>
    <w:rsid w:val="001D2C52"/>
    <w:rsid w:val="001D38BB"/>
    <w:rsid w:val="001D54A0"/>
    <w:rsid w:val="001D5807"/>
    <w:rsid w:val="001D700C"/>
    <w:rsid w:val="001D7888"/>
    <w:rsid w:val="001E0333"/>
    <w:rsid w:val="001E2A58"/>
    <w:rsid w:val="001E4B70"/>
    <w:rsid w:val="001E4F05"/>
    <w:rsid w:val="001E5D07"/>
    <w:rsid w:val="001E66D8"/>
    <w:rsid w:val="001E7DDA"/>
    <w:rsid w:val="001F190E"/>
    <w:rsid w:val="001F2122"/>
    <w:rsid w:val="001F54A4"/>
    <w:rsid w:val="001F6FA0"/>
    <w:rsid w:val="00204C22"/>
    <w:rsid w:val="00207613"/>
    <w:rsid w:val="00211893"/>
    <w:rsid w:val="00212CB0"/>
    <w:rsid w:val="00212E8C"/>
    <w:rsid w:val="00215C22"/>
    <w:rsid w:val="0021733F"/>
    <w:rsid w:val="00217A69"/>
    <w:rsid w:val="00217B8D"/>
    <w:rsid w:val="00221BF2"/>
    <w:rsid w:val="00222E10"/>
    <w:rsid w:val="00222F79"/>
    <w:rsid w:val="00223EBF"/>
    <w:rsid w:val="002247BD"/>
    <w:rsid w:val="0022601B"/>
    <w:rsid w:val="00227DAD"/>
    <w:rsid w:val="00230B4B"/>
    <w:rsid w:val="00233FBB"/>
    <w:rsid w:val="002425F1"/>
    <w:rsid w:val="0024340D"/>
    <w:rsid w:val="002456DC"/>
    <w:rsid w:val="0024595F"/>
    <w:rsid w:val="002502FF"/>
    <w:rsid w:val="002506F4"/>
    <w:rsid w:val="00250A6A"/>
    <w:rsid w:val="0025135C"/>
    <w:rsid w:val="002515C2"/>
    <w:rsid w:val="00251D67"/>
    <w:rsid w:val="0025269B"/>
    <w:rsid w:val="00255DB0"/>
    <w:rsid w:val="00257145"/>
    <w:rsid w:val="0025786F"/>
    <w:rsid w:val="00263947"/>
    <w:rsid w:val="00266167"/>
    <w:rsid w:val="00267032"/>
    <w:rsid w:val="002702AA"/>
    <w:rsid w:val="00273B15"/>
    <w:rsid w:val="00274F5F"/>
    <w:rsid w:val="00276B67"/>
    <w:rsid w:val="00277867"/>
    <w:rsid w:val="00284738"/>
    <w:rsid w:val="00285173"/>
    <w:rsid w:val="00287BA6"/>
    <w:rsid w:val="0029094C"/>
    <w:rsid w:val="00291227"/>
    <w:rsid w:val="002934E0"/>
    <w:rsid w:val="002942DE"/>
    <w:rsid w:val="0029674A"/>
    <w:rsid w:val="002A095D"/>
    <w:rsid w:val="002A2F3D"/>
    <w:rsid w:val="002A3215"/>
    <w:rsid w:val="002A5C09"/>
    <w:rsid w:val="002A74D2"/>
    <w:rsid w:val="002A7E8F"/>
    <w:rsid w:val="002B0E5E"/>
    <w:rsid w:val="002B1742"/>
    <w:rsid w:val="002B2AB0"/>
    <w:rsid w:val="002B2E5B"/>
    <w:rsid w:val="002B32EB"/>
    <w:rsid w:val="002B3644"/>
    <w:rsid w:val="002B3AB1"/>
    <w:rsid w:val="002B51B2"/>
    <w:rsid w:val="002B6DC0"/>
    <w:rsid w:val="002B6DFF"/>
    <w:rsid w:val="002C0125"/>
    <w:rsid w:val="002C082F"/>
    <w:rsid w:val="002C1314"/>
    <w:rsid w:val="002C1A5B"/>
    <w:rsid w:val="002C2102"/>
    <w:rsid w:val="002C3A49"/>
    <w:rsid w:val="002C4034"/>
    <w:rsid w:val="002C5361"/>
    <w:rsid w:val="002C6EBC"/>
    <w:rsid w:val="002C7578"/>
    <w:rsid w:val="002C7815"/>
    <w:rsid w:val="002D1763"/>
    <w:rsid w:val="002D20F9"/>
    <w:rsid w:val="002D2C34"/>
    <w:rsid w:val="002D4BE7"/>
    <w:rsid w:val="002D537B"/>
    <w:rsid w:val="002D5F26"/>
    <w:rsid w:val="002D6B0D"/>
    <w:rsid w:val="002E04DA"/>
    <w:rsid w:val="002E20AF"/>
    <w:rsid w:val="002E21DC"/>
    <w:rsid w:val="002E277D"/>
    <w:rsid w:val="002E498E"/>
    <w:rsid w:val="002E7777"/>
    <w:rsid w:val="002F15E0"/>
    <w:rsid w:val="002F17FE"/>
    <w:rsid w:val="002F275B"/>
    <w:rsid w:val="002F2CFC"/>
    <w:rsid w:val="002F301E"/>
    <w:rsid w:val="002F3854"/>
    <w:rsid w:val="002F50CB"/>
    <w:rsid w:val="002F52A3"/>
    <w:rsid w:val="002F612B"/>
    <w:rsid w:val="002F63AA"/>
    <w:rsid w:val="002F6461"/>
    <w:rsid w:val="00301472"/>
    <w:rsid w:val="0030229F"/>
    <w:rsid w:val="00305C5F"/>
    <w:rsid w:val="00305E53"/>
    <w:rsid w:val="00307F9D"/>
    <w:rsid w:val="00311105"/>
    <w:rsid w:val="003112AC"/>
    <w:rsid w:val="00311867"/>
    <w:rsid w:val="00311C54"/>
    <w:rsid w:val="00314613"/>
    <w:rsid w:val="00315AB7"/>
    <w:rsid w:val="003161C3"/>
    <w:rsid w:val="003164E0"/>
    <w:rsid w:val="00317695"/>
    <w:rsid w:val="003177FF"/>
    <w:rsid w:val="00320158"/>
    <w:rsid w:val="003202A7"/>
    <w:rsid w:val="003204E1"/>
    <w:rsid w:val="00321833"/>
    <w:rsid w:val="00321D9B"/>
    <w:rsid w:val="00322597"/>
    <w:rsid w:val="00323AC7"/>
    <w:rsid w:val="00325D61"/>
    <w:rsid w:val="0032736E"/>
    <w:rsid w:val="00334675"/>
    <w:rsid w:val="0033600A"/>
    <w:rsid w:val="00337144"/>
    <w:rsid w:val="0034081C"/>
    <w:rsid w:val="00340A8E"/>
    <w:rsid w:val="00342363"/>
    <w:rsid w:val="00342782"/>
    <w:rsid w:val="00342EC6"/>
    <w:rsid w:val="0034368C"/>
    <w:rsid w:val="00343A87"/>
    <w:rsid w:val="0034460D"/>
    <w:rsid w:val="00344DF8"/>
    <w:rsid w:val="00347256"/>
    <w:rsid w:val="0034753A"/>
    <w:rsid w:val="00347D94"/>
    <w:rsid w:val="00347FD1"/>
    <w:rsid w:val="00351160"/>
    <w:rsid w:val="00351B53"/>
    <w:rsid w:val="003522AD"/>
    <w:rsid w:val="0035363F"/>
    <w:rsid w:val="0035369C"/>
    <w:rsid w:val="00356335"/>
    <w:rsid w:val="003611B6"/>
    <w:rsid w:val="0036147E"/>
    <w:rsid w:val="00362E4D"/>
    <w:rsid w:val="00363692"/>
    <w:rsid w:val="003636EE"/>
    <w:rsid w:val="003643AE"/>
    <w:rsid w:val="00367831"/>
    <w:rsid w:val="00371160"/>
    <w:rsid w:val="00372B81"/>
    <w:rsid w:val="003732F7"/>
    <w:rsid w:val="00373DA2"/>
    <w:rsid w:val="00373FB5"/>
    <w:rsid w:val="00374FF8"/>
    <w:rsid w:val="00375260"/>
    <w:rsid w:val="00375DF3"/>
    <w:rsid w:val="0037749D"/>
    <w:rsid w:val="00380547"/>
    <w:rsid w:val="003805BD"/>
    <w:rsid w:val="0038243E"/>
    <w:rsid w:val="0038588D"/>
    <w:rsid w:val="00391451"/>
    <w:rsid w:val="00392EA6"/>
    <w:rsid w:val="00393173"/>
    <w:rsid w:val="00393779"/>
    <w:rsid w:val="00393FE5"/>
    <w:rsid w:val="00394A7E"/>
    <w:rsid w:val="003959A1"/>
    <w:rsid w:val="003977F6"/>
    <w:rsid w:val="003A0449"/>
    <w:rsid w:val="003A28E0"/>
    <w:rsid w:val="003A5701"/>
    <w:rsid w:val="003A58E3"/>
    <w:rsid w:val="003A5F1E"/>
    <w:rsid w:val="003B056C"/>
    <w:rsid w:val="003B17A1"/>
    <w:rsid w:val="003B1937"/>
    <w:rsid w:val="003B3FDE"/>
    <w:rsid w:val="003B4469"/>
    <w:rsid w:val="003B5033"/>
    <w:rsid w:val="003B6140"/>
    <w:rsid w:val="003B64C3"/>
    <w:rsid w:val="003B6BB1"/>
    <w:rsid w:val="003B6D05"/>
    <w:rsid w:val="003B73F6"/>
    <w:rsid w:val="003C3053"/>
    <w:rsid w:val="003C7826"/>
    <w:rsid w:val="003D06C3"/>
    <w:rsid w:val="003D36EE"/>
    <w:rsid w:val="003D4141"/>
    <w:rsid w:val="003D4EE6"/>
    <w:rsid w:val="003D60DE"/>
    <w:rsid w:val="003D79C9"/>
    <w:rsid w:val="003E2845"/>
    <w:rsid w:val="003E2B9A"/>
    <w:rsid w:val="003E2CA0"/>
    <w:rsid w:val="003E32E0"/>
    <w:rsid w:val="003E4C45"/>
    <w:rsid w:val="003E6594"/>
    <w:rsid w:val="003E67BF"/>
    <w:rsid w:val="003F4881"/>
    <w:rsid w:val="003F5A30"/>
    <w:rsid w:val="003F6990"/>
    <w:rsid w:val="003F7BB9"/>
    <w:rsid w:val="00400718"/>
    <w:rsid w:val="00401390"/>
    <w:rsid w:val="00401671"/>
    <w:rsid w:val="0040213C"/>
    <w:rsid w:val="00402D88"/>
    <w:rsid w:val="004032E1"/>
    <w:rsid w:val="00403A9D"/>
    <w:rsid w:val="00404AE0"/>
    <w:rsid w:val="00404CF9"/>
    <w:rsid w:val="004061AB"/>
    <w:rsid w:val="00410547"/>
    <w:rsid w:val="0041194F"/>
    <w:rsid w:val="00411F11"/>
    <w:rsid w:val="004150D8"/>
    <w:rsid w:val="00422551"/>
    <w:rsid w:val="00423762"/>
    <w:rsid w:val="0042460A"/>
    <w:rsid w:val="00425715"/>
    <w:rsid w:val="00426B52"/>
    <w:rsid w:val="004273D0"/>
    <w:rsid w:val="004276A9"/>
    <w:rsid w:val="00431ACD"/>
    <w:rsid w:val="00431B33"/>
    <w:rsid w:val="00433EE6"/>
    <w:rsid w:val="004347E9"/>
    <w:rsid w:val="004356F8"/>
    <w:rsid w:val="00435EEE"/>
    <w:rsid w:val="00440385"/>
    <w:rsid w:val="00441172"/>
    <w:rsid w:val="00443FB6"/>
    <w:rsid w:val="00446E21"/>
    <w:rsid w:val="004516D2"/>
    <w:rsid w:val="00452449"/>
    <w:rsid w:val="00452F30"/>
    <w:rsid w:val="00455E8C"/>
    <w:rsid w:val="00460EB1"/>
    <w:rsid w:val="00460EEE"/>
    <w:rsid w:val="0046669A"/>
    <w:rsid w:val="004702C9"/>
    <w:rsid w:val="00471F90"/>
    <w:rsid w:val="00474597"/>
    <w:rsid w:val="00476176"/>
    <w:rsid w:val="00480BE8"/>
    <w:rsid w:val="00482135"/>
    <w:rsid w:val="004835D1"/>
    <w:rsid w:val="00485B3F"/>
    <w:rsid w:val="00487054"/>
    <w:rsid w:val="0049108B"/>
    <w:rsid w:val="00491341"/>
    <w:rsid w:val="00493032"/>
    <w:rsid w:val="00493616"/>
    <w:rsid w:val="00494060"/>
    <w:rsid w:val="00494F40"/>
    <w:rsid w:val="004A1E61"/>
    <w:rsid w:val="004A1E78"/>
    <w:rsid w:val="004A449D"/>
    <w:rsid w:val="004A4A1A"/>
    <w:rsid w:val="004A4F75"/>
    <w:rsid w:val="004B0EB4"/>
    <w:rsid w:val="004B1A9E"/>
    <w:rsid w:val="004B4E49"/>
    <w:rsid w:val="004B4FA9"/>
    <w:rsid w:val="004B56E9"/>
    <w:rsid w:val="004B64C5"/>
    <w:rsid w:val="004B6B19"/>
    <w:rsid w:val="004B7618"/>
    <w:rsid w:val="004C2377"/>
    <w:rsid w:val="004C2424"/>
    <w:rsid w:val="004C3330"/>
    <w:rsid w:val="004C6173"/>
    <w:rsid w:val="004D0288"/>
    <w:rsid w:val="004D0798"/>
    <w:rsid w:val="004D0AB7"/>
    <w:rsid w:val="004D1D3F"/>
    <w:rsid w:val="004D3083"/>
    <w:rsid w:val="004D5B94"/>
    <w:rsid w:val="004D706C"/>
    <w:rsid w:val="004E078C"/>
    <w:rsid w:val="004E18EE"/>
    <w:rsid w:val="004E4537"/>
    <w:rsid w:val="004E641B"/>
    <w:rsid w:val="004E6F36"/>
    <w:rsid w:val="004F0083"/>
    <w:rsid w:val="004F0F8F"/>
    <w:rsid w:val="004F19CE"/>
    <w:rsid w:val="004F37AA"/>
    <w:rsid w:val="004F4DE8"/>
    <w:rsid w:val="004F679B"/>
    <w:rsid w:val="004F6951"/>
    <w:rsid w:val="004F6C16"/>
    <w:rsid w:val="00500690"/>
    <w:rsid w:val="005018A3"/>
    <w:rsid w:val="00501CE7"/>
    <w:rsid w:val="00501FB5"/>
    <w:rsid w:val="00503F59"/>
    <w:rsid w:val="00504A1E"/>
    <w:rsid w:val="005065A1"/>
    <w:rsid w:val="00507029"/>
    <w:rsid w:val="00507F41"/>
    <w:rsid w:val="00510382"/>
    <w:rsid w:val="005108E0"/>
    <w:rsid w:val="00511A83"/>
    <w:rsid w:val="00512568"/>
    <w:rsid w:val="00512DBD"/>
    <w:rsid w:val="00513CD1"/>
    <w:rsid w:val="00514B3F"/>
    <w:rsid w:val="00514F51"/>
    <w:rsid w:val="0051642C"/>
    <w:rsid w:val="00520BC8"/>
    <w:rsid w:val="0052555D"/>
    <w:rsid w:val="00526151"/>
    <w:rsid w:val="00527354"/>
    <w:rsid w:val="00527699"/>
    <w:rsid w:val="00530366"/>
    <w:rsid w:val="00536FAE"/>
    <w:rsid w:val="005407CF"/>
    <w:rsid w:val="005425A9"/>
    <w:rsid w:val="0054269A"/>
    <w:rsid w:val="0054355D"/>
    <w:rsid w:val="0054473A"/>
    <w:rsid w:val="00546715"/>
    <w:rsid w:val="00547907"/>
    <w:rsid w:val="00547CD3"/>
    <w:rsid w:val="00547E13"/>
    <w:rsid w:val="005502D4"/>
    <w:rsid w:val="00550714"/>
    <w:rsid w:val="00550C2C"/>
    <w:rsid w:val="005530C4"/>
    <w:rsid w:val="00554DB3"/>
    <w:rsid w:val="00557712"/>
    <w:rsid w:val="005606F3"/>
    <w:rsid w:val="00565B45"/>
    <w:rsid w:val="00566415"/>
    <w:rsid w:val="005666DC"/>
    <w:rsid w:val="005670A4"/>
    <w:rsid w:val="005730A3"/>
    <w:rsid w:val="005739A0"/>
    <w:rsid w:val="00573B43"/>
    <w:rsid w:val="00574722"/>
    <w:rsid w:val="005748A8"/>
    <w:rsid w:val="00574FC1"/>
    <w:rsid w:val="0057590F"/>
    <w:rsid w:val="00577413"/>
    <w:rsid w:val="00580A67"/>
    <w:rsid w:val="00581C45"/>
    <w:rsid w:val="00582067"/>
    <w:rsid w:val="00582213"/>
    <w:rsid w:val="00582FBE"/>
    <w:rsid w:val="0058699B"/>
    <w:rsid w:val="00587F2F"/>
    <w:rsid w:val="005900CA"/>
    <w:rsid w:val="0059080F"/>
    <w:rsid w:val="00591F1F"/>
    <w:rsid w:val="00592D32"/>
    <w:rsid w:val="005943FF"/>
    <w:rsid w:val="00594AC2"/>
    <w:rsid w:val="00595F29"/>
    <w:rsid w:val="0059712C"/>
    <w:rsid w:val="005A0BC1"/>
    <w:rsid w:val="005A2C6B"/>
    <w:rsid w:val="005A350C"/>
    <w:rsid w:val="005A3847"/>
    <w:rsid w:val="005A3C06"/>
    <w:rsid w:val="005A5B34"/>
    <w:rsid w:val="005A74AB"/>
    <w:rsid w:val="005A7BCE"/>
    <w:rsid w:val="005B147D"/>
    <w:rsid w:val="005B2394"/>
    <w:rsid w:val="005B2812"/>
    <w:rsid w:val="005B2851"/>
    <w:rsid w:val="005B32CA"/>
    <w:rsid w:val="005B7187"/>
    <w:rsid w:val="005B7B5E"/>
    <w:rsid w:val="005C0631"/>
    <w:rsid w:val="005C35C2"/>
    <w:rsid w:val="005C4097"/>
    <w:rsid w:val="005C4E2C"/>
    <w:rsid w:val="005C65C2"/>
    <w:rsid w:val="005C6E99"/>
    <w:rsid w:val="005D1A6A"/>
    <w:rsid w:val="005D1CEE"/>
    <w:rsid w:val="005D3B50"/>
    <w:rsid w:val="005D448E"/>
    <w:rsid w:val="005D48B1"/>
    <w:rsid w:val="005D54AA"/>
    <w:rsid w:val="005D58C0"/>
    <w:rsid w:val="005D6610"/>
    <w:rsid w:val="005D6DBA"/>
    <w:rsid w:val="005D79F3"/>
    <w:rsid w:val="005D7C3B"/>
    <w:rsid w:val="005D7E05"/>
    <w:rsid w:val="005E2D2F"/>
    <w:rsid w:val="005E4665"/>
    <w:rsid w:val="005E63DA"/>
    <w:rsid w:val="005E6AB4"/>
    <w:rsid w:val="005E7AE0"/>
    <w:rsid w:val="005E7B06"/>
    <w:rsid w:val="005F00A9"/>
    <w:rsid w:val="005F00CF"/>
    <w:rsid w:val="005F0CC2"/>
    <w:rsid w:val="005F0EC4"/>
    <w:rsid w:val="005F3A63"/>
    <w:rsid w:val="005F4573"/>
    <w:rsid w:val="005F4F00"/>
    <w:rsid w:val="005F5936"/>
    <w:rsid w:val="005F5FF1"/>
    <w:rsid w:val="005F640A"/>
    <w:rsid w:val="005F777C"/>
    <w:rsid w:val="006018AE"/>
    <w:rsid w:val="00602921"/>
    <w:rsid w:val="00604970"/>
    <w:rsid w:val="006122AB"/>
    <w:rsid w:val="0061369C"/>
    <w:rsid w:val="0061428F"/>
    <w:rsid w:val="0061624B"/>
    <w:rsid w:val="00617C2C"/>
    <w:rsid w:val="00617E3B"/>
    <w:rsid w:val="006218C1"/>
    <w:rsid w:val="00623432"/>
    <w:rsid w:val="006241BE"/>
    <w:rsid w:val="00624B27"/>
    <w:rsid w:val="006255BA"/>
    <w:rsid w:val="006259DE"/>
    <w:rsid w:val="00627C07"/>
    <w:rsid w:val="00627ECC"/>
    <w:rsid w:val="006305E6"/>
    <w:rsid w:val="006307B4"/>
    <w:rsid w:val="00630E7A"/>
    <w:rsid w:val="00631257"/>
    <w:rsid w:val="006318EE"/>
    <w:rsid w:val="006325C1"/>
    <w:rsid w:val="00632711"/>
    <w:rsid w:val="00633837"/>
    <w:rsid w:val="0063690D"/>
    <w:rsid w:val="00640185"/>
    <w:rsid w:val="00645688"/>
    <w:rsid w:val="006464B5"/>
    <w:rsid w:val="0064698F"/>
    <w:rsid w:val="00652CC2"/>
    <w:rsid w:val="00653D18"/>
    <w:rsid w:val="0066120B"/>
    <w:rsid w:val="00661A2F"/>
    <w:rsid w:val="00663D1D"/>
    <w:rsid w:val="00663E1A"/>
    <w:rsid w:val="006650A7"/>
    <w:rsid w:val="006667C4"/>
    <w:rsid w:val="006701EC"/>
    <w:rsid w:val="006702C2"/>
    <w:rsid w:val="006732A8"/>
    <w:rsid w:val="00674BE7"/>
    <w:rsid w:val="006752B4"/>
    <w:rsid w:val="0067537C"/>
    <w:rsid w:val="0067688F"/>
    <w:rsid w:val="006768A2"/>
    <w:rsid w:val="00676CBF"/>
    <w:rsid w:val="00681960"/>
    <w:rsid w:val="00687146"/>
    <w:rsid w:val="00690809"/>
    <w:rsid w:val="00692842"/>
    <w:rsid w:val="006928CC"/>
    <w:rsid w:val="00694B88"/>
    <w:rsid w:val="00696768"/>
    <w:rsid w:val="006970EC"/>
    <w:rsid w:val="006A1314"/>
    <w:rsid w:val="006A17AB"/>
    <w:rsid w:val="006A3076"/>
    <w:rsid w:val="006A3187"/>
    <w:rsid w:val="006A5984"/>
    <w:rsid w:val="006A5D0E"/>
    <w:rsid w:val="006A6311"/>
    <w:rsid w:val="006A7ED1"/>
    <w:rsid w:val="006A7FFB"/>
    <w:rsid w:val="006B09C1"/>
    <w:rsid w:val="006B0EC2"/>
    <w:rsid w:val="006B33CE"/>
    <w:rsid w:val="006B3EA5"/>
    <w:rsid w:val="006B4F83"/>
    <w:rsid w:val="006C0FCB"/>
    <w:rsid w:val="006C5D5B"/>
    <w:rsid w:val="006C6F9C"/>
    <w:rsid w:val="006C7AC5"/>
    <w:rsid w:val="006D01E3"/>
    <w:rsid w:val="006D41E0"/>
    <w:rsid w:val="006D5F1A"/>
    <w:rsid w:val="006D7265"/>
    <w:rsid w:val="006D7E8A"/>
    <w:rsid w:val="006E3F42"/>
    <w:rsid w:val="006E5458"/>
    <w:rsid w:val="006E56E1"/>
    <w:rsid w:val="006E695E"/>
    <w:rsid w:val="006F0633"/>
    <w:rsid w:val="006F1339"/>
    <w:rsid w:val="006F1A9C"/>
    <w:rsid w:val="006F2B5A"/>
    <w:rsid w:val="006F2F55"/>
    <w:rsid w:val="006F30BE"/>
    <w:rsid w:val="006F347F"/>
    <w:rsid w:val="006F62EB"/>
    <w:rsid w:val="006F73B6"/>
    <w:rsid w:val="0070278C"/>
    <w:rsid w:val="0070337E"/>
    <w:rsid w:val="007037EF"/>
    <w:rsid w:val="007043A4"/>
    <w:rsid w:val="00705E63"/>
    <w:rsid w:val="0070763B"/>
    <w:rsid w:val="007076C6"/>
    <w:rsid w:val="00710112"/>
    <w:rsid w:val="00711005"/>
    <w:rsid w:val="007119F3"/>
    <w:rsid w:val="00711AAE"/>
    <w:rsid w:val="00712616"/>
    <w:rsid w:val="0071274B"/>
    <w:rsid w:val="00715116"/>
    <w:rsid w:val="007163E1"/>
    <w:rsid w:val="00717DBF"/>
    <w:rsid w:val="007207BF"/>
    <w:rsid w:val="00722D43"/>
    <w:rsid w:val="00726D23"/>
    <w:rsid w:val="00730447"/>
    <w:rsid w:val="00731452"/>
    <w:rsid w:val="00731F9F"/>
    <w:rsid w:val="00732DB7"/>
    <w:rsid w:val="00733735"/>
    <w:rsid w:val="007338A1"/>
    <w:rsid w:val="00734A53"/>
    <w:rsid w:val="007373D3"/>
    <w:rsid w:val="0073751C"/>
    <w:rsid w:val="00737F7B"/>
    <w:rsid w:val="0074026D"/>
    <w:rsid w:val="00741770"/>
    <w:rsid w:val="007426E6"/>
    <w:rsid w:val="007426F8"/>
    <w:rsid w:val="00743677"/>
    <w:rsid w:val="007438B8"/>
    <w:rsid w:val="00745058"/>
    <w:rsid w:val="007455A0"/>
    <w:rsid w:val="00746211"/>
    <w:rsid w:val="007479B0"/>
    <w:rsid w:val="00750562"/>
    <w:rsid w:val="00750634"/>
    <w:rsid w:val="00751201"/>
    <w:rsid w:val="00751C4F"/>
    <w:rsid w:val="0075229D"/>
    <w:rsid w:val="00753CCE"/>
    <w:rsid w:val="00754944"/>
    <w:rsid w:val="007561A8"/>
    <w:rsid w:val="0075682D"/>
    <w:rsid w:val="00756FA2"/>
    <w:rsid w:val="00757398"/>
    <w:rsid w:val="00760264"/>
    <w:rsid w:val="00762600"/>
    <w:rsid w:val="007640E6"/>
    <w:rsid w:val="007646C2"/>
    <w:rsid w:val="0076497A"/>
    <w:rsid w:val="00765407"/>
    <w:rsid w:val="00765A9C"/>
    <w:rsid w:val="00765EF8"/>
    <w:rsid w:val="00766D62"/>
    <w:rsid w:val="00767ACF"/>
    <w:rsid w:val="00771995"/>
    <w:rsid w:val="00771AF6"/>
    <w:rsid w:val="00772266"/>
    <w:rsid w:val="00777D31"/>
    <w:rsid w:val="00783E28"/>
    <w:rsid w:val="0078726F"/>
    <w:rsid w:val="007875A9"/>
    <w:rsid w:val="007919A0"/>
    <w:rsid w:val="00791B23"/>
    <w:rsid w:val="007922BD"/>
    <w:rsid w:val="00793674"/>
    <w:rsid w:val="00793BBF"/>
    <w:rsid w:val="00793DBB"/>
    <w:rsid w:val="007943AE"/>
    <w:rsid w:val="00795E42"/>
    <w:rsid w:val="0079772E"/>
    <w:rsid w:val="007A13F6"/>
    <w:rsid w:val="007A1533"/>
    <w:rsid w:val="007A1FFC"/>
    <w:rsid w:val="007A20F6"/>
    <w:rsid w:val="007A2542"/>
    <w:rsid w:val="007A2A9B"/>
    <w:rsid w:val="007A2F9B"/>
    <w:rsid w:val="007A35A5"/>
    <w:rsid w:val="007A3AE1"/>
    <w:rsid w:val="007A42C5"/>
    <w:rsid w:val="007A6218"/>
    <w:rsid w:val="007A6360"/>
    <w:rsid w:val="007A66FE"/>
    <w:rsid w:val="007A7185"/>
    <w:rsid w:val="007A7A42"/>
    <w:rsid w:val="007A7CE6"/>
    <w:rsid w:val="007B0379"/>
    <w:rsid w:val="007B0823"/>
    <w:rsid w:val="007B1647"/>
    <w:rsid w:val="007B17F3"/>
    <w:rsid w:val="007B527E"/>
    <w:rsid w:val="007B6B43"/>
    <w:rsid w:val="007B6E9D"/>
    <w:rsid w:val="007B774B"/>
    <w:rsid w:val="007B7DE2"/>
    <w:rsid w:val="007C00AE"/>
    <w:rsid w:val="007C1F2C"/>
    <w:rsid w:val="007C3B98"/>
    <w:rsid w:val="007C5265"/>
    <w:rsid w:val="007C6005"/>
    <w:rsid w:val="007C6067"/>
    <w:rsid w:val="007C608F"/>
    <w:rsid w:val="007C66C8"/>
    <w:rsid w:val="007D07DA"/>
    <w:rsid w:val="007D21F6"/>
    <w:rsid w:val="007D2CDC"/>
    <w:rsid w:val="007D3D2E"/>
    <w:rsid w:val="007D3F68"/>
    <w:rsid w:val="007D546A"/>
    <w:rsid w:val="007D7EDB"/>
    <w:rsid w:val="007E0013"/>
    <w:rsid w:val="007E04A4"/>
    <w:rsid w:val="007E4E08"/>
    <w:rsid w:val="007E65E4"/>
    <w:rsid w:val="007E686F"/>
    <w:rsid w:val="007E6879"/>
    <w:rsid w:val="007F1814"/>
    <w:rsid w:val="007F430E"/>
    <w:rsid w:val="007F7666"/>
    <w:rsid w:val="00800BCD"/>
    <w:rsid w:val="00801DF7"/>
    <w:rsid w:val="00803EA7"/>
    <w:rsid w:val="00805885"/>
    <w:rsid w:val="00806296"/>
    <w:rsid w:val="008066C1"/>
    <w:rsid w:val="00810E99"/>
    <w:rsid w:val="00811077"/>
    <w:rsid w:val="00813AFB"/>
    <w:rsid w:val="0081530A"/>
    <w:rsid w:val="00816059"/>
    <w:rsid w:val="008171F5"/>
    <w:rsid w:val="00822A9A"/>
    <w:rsid w:val="0082399D"/>
    <w:rsid w:val="00824EB5"/>
    <w:rsid w:val="008271ED"/>
    <w:rsid w:val="008305E3"/>
    <w:rsid w:val="00830B7A"/>
    <w:rsid w:val="0083360D"/>
    <w:rsid w:val="00833CEC"/>
    <w:rsid w:val="00833F24"/>
    <w:rsid w:val="00840C5C"/>
    <w:rsid w:val="008424F4"/>
    <w:rsid w:val="0084351C"/>
    <w:rsid w:val="008437D0"/>
    <w:rsid w:val="00844085"/>
    <w:rsid w:val="0084476F"/>
    <w:rsid w:val="008448A0"/>
    <w:rsid w:val="0084578D"/>
    <w:rsid w:val="00850DC4"/>
    <w:rsid w:val="00852505"/>
    <w:rsid w:val="00854F3D"/>
    <w:rsid w:val="00857644"/>
    <w:rsid w:val="008616DC"/>
    <w:rsid w:val="008626D1"/>
    <w:rsid w:val="00862D60"/>
    <w:rsid w:val="008632D0"/>
    <w:rsid w:val="008649AA"/>
    <w:rsid w:val="008669F0"/>
    <w:rsid w:val="008718AA"/>
    <w:rsid w:val="00876FE7"/>
    <w:rsid w:val="00880045"/>
    <w:rsid w:val="008827B8"/>
    <w:rsid w:val="00883D2D"/>
    <w:rsid w:val="00883F59"/>
    <w:rsid w:val="008855C8"/>
    <w:rsid w:val="00885DAA"/>
    <w:rsid w:val="00886399"/>
    <w:rsid w:val="00890414"/>
    <w:rsid w:val="00891459"/>
    <w:rsid w:val="00892B1F"/>
    <w:rsid w:val="0089315F"/>
    <w:rsid w:val="0089372A"/>
    <w:rsid w:val="0089428E"/>
    <w:rsid w:val="008945C8"/>
    <w:rsid w:val="00894A78"/>
    <w:rsid w:val="00894AF6"/>
    <w:rsid w:val="00894D32"/>
    <w:rsid w:val="00895235"/>
    <w:rsid w:val="00896706"/>
    <w:rsid w:val="008A009D"/>
    <w:rsid w:val="008A29B8"/>
    <w:rsid w:val="008A4535"/>
    <w:rsid w:val="008A726C"/>
    <w:rsid w:val="008A727F"/>
    <w:rsid w:val="008B0F64"/>
    <w:rsid w:val="008B64BB"/>
    <w:rsid w:val="008C0716"/>
    <w:rsid w:val="008C1938"/>
    <w:rsid w:val="008C3A69"/>
    <w:rsid w:val="008C4544"/>
    <w:rsid w:val="008C477D"/>
    <w:rsid w:val="008C4C94"/>
    <w:rsid w:val="008D0ACF"/>
    <w:rsid w:val="008D2752"/>
    <w:rsid w:val="008D4FCD"/>
    <w:rsid w:val="008D6547"/>
    <w:rsid w:val="008E1706"/>
    <w:rsid w:val="008E4225"/>
    <w:rsid w:val="008E5172"/>
    <w:rsid w:val="008F2BBA"/>
    <w:rsid w:val="008F4BA9"/>
    <w:rsid w:val="00901B09"/>
    <w:rsid w:val="00902360"/>
    <w:rsid w:val="00902491"/>
    <w:rsid w:val="00903861"/>
    <w:rsid w:val="009043B5"/>
    <w:rsid w:val="00905FE6"/>
    <w:rsid w:val="009065A2"/>
    <w:rsid w:val="00914B1C"/>
    <w:rsid w:val="00917FE0"/>
    <w:rsid w:val="00921A35"/>
    <w:rsid w:val="00922248"/>
    <w:rsid w:val="0092266B"/>
    <w:rsid w:val="00923418"/>
    <w:rsid w:val="00923604"/>
    <w:rsid w:val="00924446"/>
    <w:rsid w:val="009253E5"/>
    <w:rsid w:val="009262AF"/>
    <w:rsid w:val="00927CEA"/>
    <w:rsid w:val="00930B20"/>
    <w:rsid w:val="00932929"/>
    <w:rsid w:val="00933595"/>
    <w:rsid w:val="00936571"/>
    <w:rsid w:val="0093671E"/>
    <w:rsid w:val="00936B8A"/>
    <w:rsid w:val="00946DB2"/>
    <w:rsid w:val="0095127B"/>
    <w:rsid w:val="00951458"/>
    <w:rsid w:val="00952A28"/>
    <w:rsid w:val="00953BE0"/>
    <w:rsid w:val="009542B7"/>
    <w:rsid w:val="009551DE"/>
    <w:rsid w:val="009574CF"/>
    <w:rsid w:val="00960CD5"/>
    <w:rsid w:val="0096225E"/>
    <w:rsid w:val="00962ED4"/>
    <w:rsid w:val="00963CCA"/>
    <w:rsid w:val="009642EC"/>
    <w:rsid w:val="00964B01"/>
    <w:rsid w:val="00964D8B"/>
    <w:rsid w:val="0096736C"/>
    <w:rsid w:val="0097036F"/>
    <w:rsid w:val="00971A1F"/>
    <w:rsid w:val="00971FA6"/>
    <w:rsid w:val="009744B3"/>
    <w:rsid w:val="009755BB"/>
    <w:rsid w:val="00976178"/>
    <w:rsid w:val="009762F2"/>
    <w:rsid w:val="00977070"/>
    <w:rsid w:val="00977FA9"/>
    <w:rsid w:val="00980032"/>
    <w:rsid w:val="0098062D"/>
    <w:rsid w:val="009816BB"/>
    <w:rsid w:val="00983461"/>
    <w:rsid w:val="0098438E"/>
    <w:rsid w:val="00987F4C"/>
    <w:rsid w:val="009908E0"/>
    <w:rsid w:val="00990A42"/>
    <w:rsid w:val="0099230C"/>
    <w:rsid w:val="009923DB"/>
    <w:rsid w:val="00992F54"/>
    <w:rsid w:val="00993883"/>
    <w:rsid w:val="00994E79"/>
    <w:rsid w:val="009952AD"/>
    <w:rsid w:val="009966F6"/>
    <w:rsid w:val="00996954"/>
    <w:rsid w:val="00996992"/>
    <w:rsid w:val="009A2438"/>
    <w:rsid w:val="009A74DE"/>
    <w:rsid w:val="009B184C"/>
    <w:rsid w:val="009B3BF7"/>
    <w:rsid w:val="009B6BBE"/>
    <w:rsid w:val="009B76B4"/>
    <w:rsid w:val="009B77A7"/>
    <w:rsid w:val="009B7C73"/>
    <w:rsid w:val="009C1B13"/>
    <w:rsid w:val="009C2B79"/>
    <w:rsid w:val="009C40B9"/>
    <w:rsid w:val="009C7978"/>
    <w:rsid w:val="009C7A1F"/>
    <w:rsid w:val="009D1D5C"/>
    <w:rsid w:val="009D2BF4"/>
    <w:rsid w:val="009D3696"/>
    <w:rsid w:val="009D6112"/>
    <w:rsid w:val="009E00AE"/>
    <w:rsid w:val="009E0438"/>
    <w:rsid w:val="009E0877"/>
    <w:rsid w:val="009E19C0"/>
    <w:rsid w:val="009E32AD"/>
    <w:rsid w:val="009E3408"/>
    <w:rsid w:val="009E550B"/>
    <w:rsid w:val="009F1D94"/>
    <w:rsid w:val="009F1E4A"/>
    <w:rsid w:val="009F1EE1"/>
    <w:rsid w:val="009F21E4"/>
    <w:rsid w:val="009F3D4B"/>
    <w:rsid w:val="00A0062C"/>
    <w:rsid w:val="00A02871"/>
    <w:rsid w:val="00A02F06"/>
    <w:rsid w:val="00A02FD7"/>
    <w:rsid w:val="00A03E0C"/>
    <w:rsid w:val="00A06016"/>
    <w:rsid w:val="00A114A2"/>
    <w:rsid w:val="00A123F4"/>
    <w:rsid w:val="00A139A5"/>
    <w:rsid w:val="00A170E3"/>
    <w:rsid w:val="00A20D77"/>
    <w:rsid w:val="00A212DF"/>
    <w:rsid w:val="00A215DD"/>
    <w:rsid w:val="00A21611"/>
    <w:rsid w:val="00A21647"/>
    <w:rsid w:val="00A22D7E"/>
    <w:rsid w:val="00A23687"/>
    <w:rsid w:val="00A2616B"/>
    <w:rsid w:val="00A2684C"/>
    <w:rsid w:val="00A2690B"/>
    <w:rsid w:val="00A26F7D"/>
    <w:rsid w:val="00A275D5"/>
    <w:rsid w:val="00A27889"/>
    <w:rsid w:val="00A32A83"/>
    <w:rsid w:val="00A37401"/>
    <w:rsid w:val="00A37789"/>
    <w:rsid w:val="00A37D3F"/>
    <w:rsid w:val="00A400A8"/>
    <w:rsid w:val="00A41D61"/>
    <w:rsid w:val="00A41E33"/>
    <w:rsid w:val="00A41E96"/>
    <w:rsid w:val="00A43F80"/>
    <w:rsid w:val="00A4433F"/>
    <w:rsid w:val="00A510E9"/>
    <w:rsid w:val="00A53988"/>
    <w:rsid w:val="00A54373"/>
    <w:rsid w:val="00A632D5"/>
    <w:rsid w:val="00A63822"/>
    <w:rsid w:val="00A64655"/>
    <w:rsid w:val="00A64927"/>
    <w:rsid w:val="00A66C45"/>
    <w:rsid w:val="00A670DD"/>
    <w:rsid w:val="00A70632"/>
    <w:rsid w:val="00A7076A"/>
    <w:rsid w:val="00A72792"/>
    <w:rsid w:val="00A73225"/>
    <w:rsid w:val="00A73FB6"/>
    <w:rsid w:val="00A74736"/>
    <w:rsid w:val="00A75C68"/>
    <w:rsid w:val="00A820F9"/>
    <w:rsid w:val="00A82905"/>
    <w:rsid w:val="00A84E3C"/>
    <w:rsid w:val="00A865E5"/>
    <w:rsid w:val="00A91051"/>
    <w:rsid w:val="00A91785"/>
    <w:rsid w:val="00A92307"/>
    <w:rsid w:val="00A930E7"/>
    <w:rsid w:val="00A93476"/>
    <w:rsid w:val="00A938B9"/>
    <w:rsid w:val="00A93A01"/>
    <w:rsid w:val="00A94856"/>
    <w:rsid w:val="00A94FA3"/>
    <w:rsid w:val="00A96600"/>
    <w:rsid w:val="00AA01B4"/>
    <w:rsid w:val="00AA4688"/>
    <w:rsid w:val="00AA537D"/>
    <w:rsid w:val="00AA5D98"/>
    <w:rsid w:val="00AB0EF0"/>
    <w:rsid w:val="00AB319B"/>
    <w:rsid w:val="00AB409F"/>
    <w:rsid w:val="00AB41D1"/>
    <w:rsid w:val="00AB5815"/>
    <w:rsid w:val="00AB7B3B"/>
    <w:rsid w:val="00AC07AA"/>
    <w:rsid w:val="00AC5A43"/>
    <w:rsid w:val="00AC729B"/>
    <w:rsid w:val="00AD436A"/>
    <w:rsid w:val="00AD63A5"/>
    <w:rsid w:val="00AD63B2"/>
    <w:rsid w:val="00AD7DD5"/>
    <w:rsid w:val="00AE13A5"/>
    <w:rsid w:val="00AE3D18"/>
    <w:rsid w:val="00AE4E4C"/>
    <w:rsid w:val="00AE676F"/>
    <w:rsid w:val="00AE75C0"/>
    <w:rsid w:val="00AF05AA"/>
    <w:rsid w:val="00AF1EB9"/>
    <w:rsid w:val="00AF238D"/>
    <w:rsid w:val="00AF305B"/>
    <w:rsid w:val="00AF35D5"/>
    <w:rsid w:val="00AF71A7"/>
    <w:rsid w:val="00AF72E3"/>
    <w:rsid w:val="00AF7A4B"/>
    <w:rsid w:val="00B00D9F"/>
    <w:rsid w:val="00B01605"/>
    <w:rsid w:val="00B01B93"/>
    <w:rsid w:val="00B05E98"/>
    <w:rsid w:val="00B061AA"/>
    <w:rsid w:val="00B06A90"/>
    <w:rsid w:val="00B06AE0"/>
    <w:rsid w:val="00B077C4"/>
    <w:rsid w:val="00B101F1"/>
    <w:rsid w:val="00B10CD4"/>
    <w:rsid w:val="00B1276B"/>
    <w:rsid w:val="00B130E7"/>
    <w:rsid w:val="00B14B9E"/>
    <w:rsid w:val="00B162B7"/>
    <w:rsid w:val="00B17FA5"/>
    <w:rsid w:val="00B204F9"/>
    <w:rsid w:val="00B2229B"/>
    <w:rsid w:val="00B237A4"/>
    <w:rsid w:val="00B2475C"/>
    <w:rsid w:val="00B24F7F"/>
    <w:rsid w:val="00B25AB7"/>
    <w:rsid w:val="00B2626F"/>
    <w:rsid w:val="00B30706"/>
    <w:rsid w:val="00B31214"/>
    <w:rsid w:val="00B326D5"/>
    <w:rsid w:val="00B341BB"/>
    <w:rsid w:val="00B36877"/>
    <w:rsid w:val="00B423D7"/>
    <w:rsid w:val="00B44E2B"/>
    <w:rsid w:val="00B509C2"/>
    <w:rsid w:val="00B50CB4"/>
    <w:rsid w:val="00B51B20"/>
    <w:rsid w:val="00B52590"/>
    <w:rsid w:val="00B533EE"/>
    <w:rsid w:val="00B5494C"/>
    <w:rsid w:val="00B55B12"/>
    <w:rsid w:val="00B55C3E"/>
    <w:rsid w:val="00B5676F"/>
    <w:rsid w:val="00B569F1"/>
    <w:rsid w:val="00B56D76"/>
    <w:rsid w:val="00B57E10"/>
    <w:rsid w:val="00B65EC5"/>
    <w:rsid w:val="00B6694B"/>
    <w:rsid w:val="00B6713E"/>
    <w:rsid w:val="00B67BB4"/>
    <w:rsid w:val="00B707BA"/>
    <w:rsid w:val="00B70821"/>
    <w:rsid w:val="00B7269B"/>
    <w:rsid w:val="00B73358"/>
    <w:rsid w:val="00B74AA5"/>
    <w:rsid w:val="00B761F1"/>
    <w:rsid w:val="00B77D9A"/>
    <w:rsid w:val="00B80ADB"/>
    <w:rsid w:val="00B824D0"/>
    <w:rsid w:val="00B82BCC"/>
    <w:rsid w:val="00B86BCA"/>
    <w:rsid w:val="00B87CB6"/>
    <w:rsid w:val="00B921CF"/>
    <w:rsid w:val="00B932D5"/>
    <w:rsid w:val="00B93B46"/>
    <w:rsid w:val="00B94ED1"/>
    <w:rsid w:val="00B97734"/>
    <w:rsid w:val="00BA1628"/>
    <w:rsid w:val="00BA1F5A"/>
    <w:rsid w:val="00BA27D5"/>
    <w:rsid w:val="00BA64CC"/>
    <w:rsid w:val="00BA6CC1"/>
    <w:rsid w:val="00BA6DF2"/>
    <w:rsid w:val="00BA7B92"/>
    <w:rsid w:val="00BB24BE"/>
    <w:rsid w:val="00BB31D0"/>
    <w:rsid w:val="00BB3CDD"/>
    <w:rsid w:val="00BB6740"/>
    <w:rsid w:val="00BB6A5C"/>
    <w:rsid w:val="00BC14EC"/>
    <w:rsid w:val="00BC3990"/>
    <w:rsid w:val="00BC48A6"/>
    <w:rsid w:val="00BC53B2"/>
    <w:rsid w:val="00BC5B9D"/>
    <w:rsid w:val="00BC614A"/>
    <w:rsid w:val="00BC6AE2"/>
    <w:rsid w:val="00BD098D"/>
    <w:rsid w:val="00BD44C2"/>
    <w:rsid w:val="00BD549E"/>
    <w:rsid w:val="00BD5B69"/>
    <w:rsid w:val="00BD6CB7"/>
    <w:rsid w:val="00BD77C5"/>
    <w:rsid w:val="00BD7AB6"/>
    <w:rsid w:val="00BE0637"/>
    <w:rsid w:val="00BE1B2A"/>
    <w:rsid w:val="00BE212F"/>
    <w:rsid w:val="00BE23B2"/>
    <w:rsid w:val="00BE2A26"/>
    <w:rsid w:val="00BE3C79"/>
    <w:rsid w:val="00BE4411"/>
    <w:rsid w:val="00BE619D"/>
    <w:rsid w:val="00BE6A5E"/>
    <w:rsid w:val="00BF1519"/>
    <w:rsid w:val="00BF155E"/>
    <w:rsid w:val="00BF4D2D"/>
    <w:rsid w:val="00BF6740"/>
    <w:rsid w:val="00BF7409"/>
    <w:rsid w:val="00C01480"/>
    <w:rsid w:val="00C01644"/>
    <w:rsid w:val="00C02229"/>
    <w:rsid w:val="00C0249F"/>
    <w:rsid w:val="00C02962"/>
    <w:rsid w:val="00C04E8C"/>
    <w:rsid w:val="00C06954"/>
    <w:rsid w:val="00C11091"/>
    <w:rsid w:val="00C12EE4"/>
    <w:rsid w:val="00C13F97"/>
    <w:rsid w:val="00C15178"/>
    <w:rsid w:val="00C16195"/>
    <w:rsid w:val="00C17EC6"/>
    <w:rsid w:val="00C200C2"/>
    <w:rsid w:val="00C21FB9"/>
    <w:rsid w:val="00C220EF"/>
    <w:rsid w:val="00C221CE"/>
    <w:rsid w:val="00C235C5"/>
    <w:rsid w:val="00C24481"/>
    <w:rsid w:val="00C26473"/>
    <w:rsid w:val="00C26B08"/>
    <w:rsid w:val="00C27B3F"/>
    <w:rsid w:val="00C27CC1"/>
    <w:rsid w:val="00C3084C"/>
    <w:rsid w:val="00C408C7"/>
    <w:rsid w:val="00C40B74"/>
    <w:rsid w:val="00C40DBB"/>
    <w:rsid w:val="00C4299D"/>
    <w:rsid w:val="00C43EC4"/>
    <w:rsid w:val="00C446A6"/>
    <w:rsid w:val="00C47EB2"/>
    <w:rsid w:val="00C51277"/>
    <w:rsid w:val="00C53169"/>
    <w:rsid w:val="00C53943"/>
    <w:rsid w:val="00C556CC"/>
    <w:rsid w:val="00C63857"/>
    <w:rsid w:val="00C63E36"/>
    <w:rsid w:val="00C67498"/>
    <w:rsid w:val="00C71414"/>
    <w:rsid w:val="00C748ED"/>
    <w:rsid w:val="00C7502E"/>
    <w:rsid w:val="00C769E4"/>
    <w:rsid w:val="00C77CFB"/>
    <w:rsid w:val="00C8012B"/>
    <w:rsid w:val="00C814D2"/>
    <w:rsid w:val="00C820F7"/>
    <w:rsid w:val="00C83EC1"/>
    <w:rsid w:val="00C84982"/>
    <w:rsid w:val="00C84BA5"/>
    <w:rsid w:val="00C8547E"/>
    <w:rsid w:val="00C857DF"/>
    <w:rsid w:val="00C906D0"/>
    <w:rsid w:val="00C954A2"/>
    <w:rsid w:val="00CA05A5"/>
    <w:rsid w:val="00CA16F3"/>
    <w:rsid w:val="00CA1BE0"/>
    <w:rsid w:val="00CA35BE"/>
    <w:rsid w:val="00CA4EFD"/>
    <w:rsid w:val="00CA53EF"/>
    <w:rsid w:val="00CA5D69"/>
    <w:rsid w:val="00CB2EAD"/>
    <w:rsid w:val="00CB31D2"/>
    <w:rsid w:val="00CB3623"/>
    <w:rsid w:val="00CB3C0A"/>
    <w:rsid w:val="00CB3C0D"/>
    <w:rsid w:val="00CB3C3C"/>
    <w:rsid w:val="00CB4241"/>
    <w:rsid w:val="00CB59AC"/>
    <w:rsid w:val="00CB5C34"/>
    <w:rsid w:val="00CB7312"/>
    <w:rsid w:val="00CB7644"/>
    <w:rsid w:val="00CC10B5"/>
    <w:rsid w:val="00CC11E1"/>
    <w:rsid w:val="00CC2CF1"/>
    <w:rsid w:val="00CC6ED6"/>
    <w:rsid w:val="00CD137D"/>
    <w:rsid w:val="00CD4EC8"/>
    <w:rsid w:val="00CD593C"/>
    <w:rsid w:val="00CD5A3B"/>
    <w:rsid w:val="00CD6838"/>
    <w:rsid w:val="00CD68B1"/>
    <w:rsid w:val="00CD6FA8"/>
    <w:rsid w:val="00CD73E2"/>
    <w:rsid w:val="00CD7F0F"/>
    <w:rsid w:val="00CE187D"/>
    <w:rsid w:val="00CE23D4"/>
    <w:rsid w:val="00CE652B"/>
    <w:rsid w:val="00CE7ADB"/>
    <w:rsid w:val="00CF1DB4"/>
    <w:rsid w:val="00CF1F2A"/>
    <w:rsid w:val="00CF351F"/>
    <w:rsid w:val="00CF6588"/>
    <w:rsid w:val="00CF70B0"/>
    <w:rsid w:val="00D00BC2"/>
    <w:rsid w:val="00D019DC"/>
    <w:rsid w:val="00D0231C"/>
    <w:rsid w:val="00D02DED"/>
    <w:rsid w:val="00D03C37"/>
    <w:rsid w:val="00D03DAA"/>
    <w:rsid w:val="00D04617"/>
    <w:rsid w:val="00D05A92"/>
    <w:rsid w:val="00D06555"/>
    <w:rsid w:val="00D07BCB"/>
    <w:rsid w:val="00D10A75"/>
    <w:rsid w:val="00D12522"/>
    <w:rsid w:val="00D13484"/>
    <w:rsid w:val="00D15692"/>
    <w:rsid w:val="00D20BB2"/>
    <w:rsid w:val="00D2148B"/>
    <w:rsid w:val="00D21D91"/>
    <w:rsid w:val="00D2231A"/>
    <w:rsid w:val="00D27B2E"/>
    <w:rsid w:val="00D30946"/>
    <w:rsid w:val="00D30D46"/>
    <w:rsid w:val="00D31405"/>
    <w:rsid w:val="00D3140C"/>
    <w:rsid w:val="00D31812"/>
    <w:rsid w:val="00D3506E"/>
    <w:rsid w:val="00D35851"/>
    <w:rsid w:val="00D36404"/>
    <w:rsid w:val="00D371A0"/>
    <w:rsid w:val="00D373A9"/>
    <w:rsid w:val="00D373CE"/>
    <w:rsid w:val="00D3798C"/>
    <w:rsid w:val="00D41F62"/>
    <w:rsid w:val="00D44BA2"/>
    <w:rsid w:val="00D44DA4"/>
    <w:rsid w:val="00D463F5"/>
    <w:rsid w:val="00D47549"/>
    <w:rsid w:val="00D50450"/>
    <w:rsid w:val="00D50BF0"/>
    <w:rsid w:val="00D50DEE"/>
    <w:rsid w:val="00D56DA3"/>
    <w:rsid w:val="00D57B65"/>
    <w:rsid w:val="00D602E9"/>
    <w:rsid w:val="00D60AB0"/>
    <w:rsid w:val="00D623FA"/>
    <w:rsid w:val="00D63E52"/>
    <w:rsid w:val="00D640B7"/>
    <w:rsid w:val="00D6535F"/>
    <w:rsid w:val="00D65809"/>
    <w:rsid w:val="00D6618B"/>
    <w:rsid w:val="00D66202"/>
    <w:rsid w:val="00D6669C"/>
    <w:rsid w:val="00D66726"/>
    <w:rsid w:val="00D66D32"/>
    <w:rsid w:val="00D67906"/>
    <w:rsid w:val="00D706B9"/>
    <w:rsid w:val="00D70713"/>
    <w:rsid w:val="00D7273E"/>
    <w:rsid w:val="00D7451B"/>
    <w:rsid w:val="00D76BAD"/>
    <w:rsid w:val="00D77311"/>
    <w:rsid w:val="00D83975"/>
    <w:rsid w:val="00D8738B"/>
    <w:rsid w:val="00D90A7F"/>
    <w:rsid w:val="00D90CCA"/>
    <w:rsid w:val="00D92249"/>
    <w:rsid w:val="00D926E6"/>
    <w:rsid w:val="00D9318D"/>
    <w:rsid w:val="00D94880"/>
    <w:rsid w:val="00D969FB"/>
    <w:rsid w:val="00DA1002"/>
    <w:rsid w:val="00DA2201"/>
    <w:rsid w:val="00DA4991"/>
    <w:rsid w:val="00DA4E37"/>
    <w:rsid w:val="00DA5DAF"/>
    <w:rsid w:val="00DA731C"/>
    <w:rsid w:val="00DB04D8"/>
    <w:rsid w:val="00DB0FAD"/>
    <w:rsid w:val="00DB14CB"/>
    <w:rsid w:val="00DB2384"/>
    <w:rsid w:val="00DB24D4"/>
    <w:rsid w:val="00DB2F97"/>
    <w:rsid w:val="00DB35E4"/>
    <w:rsid w:val="00DB55EE"/>
    <w:rsid w:val="00DB5977"/>
    <w:rsid w:val="00DB6849"/>
    <w:rsid w:val="00DB6F26"/>
    <w:rsid w:val="00DB71B8"/>
    <w:rsid w:val="00DC0E02"/>
    <w:rsid w:val="00DC1A09"/>
    <w:rsid w:val="00DC28B3"/>
    <w:rsid w:val="00DC3835"/>
    <w:rsid w:val="00DC3EF2"/>
    <w:rsid w:val="00DC4687"/>
    <w:rsid w:val="00DC4AD9"/>
    <w:rsid w:val="00DC6DB6"/>
    <w:rsid w:val="00DC7DC5"/>
    <w:rsid w:val="00DD20BC"/>
    <w:rsid w:val="00DD569F"/>
    <w:rsid w:val="00DD56F7"/>
    <w:rsid w:val="00DD7D92"/>
    <w:rsid w:val="00DE1F26"/>
    <w:rsid w:val="00DE2053"/>
    <w:rsid w:val="00DE6719"/>
    <w:rsid w:val="00DE67A1"/>
    <w:rsid w:val="00DE68FF"/>
    <w:rsid w:val="00DF1074"/>
    <w:rsid w:val="00DF1F94"/>
    <w:rsid w:val="00DF2CBD"/>
    <w:rsid w:val="00DF329C"/>
    <w:rsid w:val="00DF36DE"/>
    <w:rsid w:val="00DF4E21"/>
    <w:rsid w:val="00DF4EBC"/>
    <w:rsid w:val="00DF5455"/>
    <w:rsid w:val="00DF5AF4"/>
    <w:rsid w:val="00DF5B81"/>
    <w:rsid w:val="00DF6A33"/>
    <w:rsid w:val="00E00E97"/>
    <w:rsid w:val="00E01220"/>
    <w:rsid w:val="00E027BE"/>
    <w:rsid w:val="00E02C8D"/>
    <w:rsid w:val="00E02EDB"/>
    <w:rsid w:val="00E05F1B"/>
    <w:rsid w:val="00E06066"/>
    <w:rsid w:val="00E061A8"/>
    <w:rsid w:val="00E07072"/>
    <w:rsid w:val="00E073D3"/>
    <w:rsid w:val="00E07E95"/>
    <w:rsid w:val="00E10C3B"/>
    <w:rsid w:val="00E11528"/>
    <w:rsid w:val="00E15C3F"/>
    <w:rsid w:val="00E217A6"/>
    <w:rsid w:val="00E21F33"/>
    <w:rsid w:val="00E22B26"/>
    <w:rsid w:val="00E25412"/>
    <w:rsid w:val="00E26FF2"/>
    <w:rsid w:val="00E276DF"/>
    <w:rsid w:val="00E307AE"/>
    <w:rsid w:val="00E312FE"/>
    <w:rsid w:val="00E371CA"/>
    <w:rsid w:val="00E37E3B"/>
    <w:rsid w:val="00E4108C"/>
    <w:rsid w:val="00E42348"/>
    <w:rsid w:val="00E42C2D"/>
    <w:rsid w:val="00E44521"/>
    <w:rsid w:val="00E4481C"/>
    <w:rsid w:val="00E44B57"/>
    <w:rsid w:val="00E5020F"/>
    <w:rsid w:val="00E52DF2"/>
    <w:rsid w:val="00E52F01"/>
    <w:rsid w:val="00E55263"/>
    <w:rsid w:val="00E552A5"/>
    <w:rsid w:val="00E57639"/>
    <w:rsid w:val="00E60916"/>
    <w:rsid w:val="00E6092D"/>
    <w:rsid w:val="00E61E4B"/>
    <w:rsid w:val="00E6308F"/>
    <w:rsid w:val="00E645E0"/>
    <w:rsid w:val="00E64615"/>
    <w:rsid w:val="00E67950"/>
    <w:rsid w:val="00E70287"/>
    <w:rsid w:val="00E71C0E"/>
    <w:rsid w:val="00E739BA"/>
    <w:rsid w:val="00E748F7"/>
    <w:rsid w:val="00E74A56"/>
    <w:rsid w:val="00E76519"/>
    <w:rsid w:val="00E812C6"/>
    <w:rsid w:val="00E814B6"/>
    <w:rsid w:val="00E8156B"/>
    <w:rsid w:val="00E81D1D"/>
    <w:rsid w:val="00E83A20"/>
    <w:rsid w:val="00E83D1B"/>
    <w:rsid w:val="00E847CF"/>
    <w:rsid w:val="00E850F9"/>
    <w:rsid w:val="00E908F4"/>
    <w:rsid w:val="00E9503F"/>
    <w:rsid w:val="00E957DF"/>
    <w:rsid w:val="00E975E4"/>
    <w:rsid w:val="00EA10B7"/>
    <w:rsid w:val="00EA155A"/>
    <w:rsid w:val="00EA1702"/>
    <w:rsid w:val="00EA1A27"/>
    <w:rsid w:val="00EA4070"/>
    <w:rsid w:val="00EA6C0A"/>
    <w:rsid w:val="00EB101E"/>
    <w:rsid w:val="00EB1F80"/>
    <w:rsid w:val="00EB4230"/>
    <w:rsid w:val="00EC1E21"/>
    <w:rsid w:val="00EC445D"/>
    <w:rsid w:val="00EC49F4"/>
    <w:rsid w:val="00EC501D"/>
    <w:rsid w:val="00EC5475"/>
    <w:rsid w:val="00EC577F"/>
    <w:rsid w:val="00EC6527"/>
    <w:rsid w:val="00ED1148"/>
    <w:rsid w:val="00ED18A6"/>
    <w:rsid w:val="00ED20C7"/>
    <w:rsid w:val="00ED2595"/>
    <w:rsid w:val="00ED3921"/>
    <w:rsid w:val="00EE0356"/>
    <w:rsid w:val="00EE6D4B"/>
    <w:rsid w:val="00EE7119"/>
    <w:rsid w:val="00EF02E6"/>
    <w:rsid w:val="00EF0B97"/>
    <w:rsid w:val="00EF19EE"/>
    <w:rsid w:val="00EF3EEC"/>
    <w:rsid w:val="00EF4ADE"/>
    <w:rsid w:val="00EF4AF8"/>
    <w:rsid w:val="00EF60E6"/>
    <w:rsid w:val="00EF6A02"/>
    <w:rsid w:val="00EF6ED9"/>
    <w:rsid w:val="00F009A7"/>
    <w:rsid w:val="00F00DB4"/>
    <w:rsid w:val="00F03F6A"/>
    <w:rsid w:val="00F04FFE"/>
    <w:rsid w:val="00F05EFA"/>
    <w:rsid w:val="00F10C73"/>
    <w:rsid w:val="00F11624"/>
    <w:rsid w:val="00F12747"/>
    <w:rsid w:val="00F12BEC"/>
    <w:rsid w:val="00F12E9B"/>
    <w:rsid w:val="00F15DAD"/>
    <w:rsid w:val="00F166BA"/>
    <w:rsid w:val="00F17A2C"/>
    <w:rsid w:val="00F202AA"/>
    <w:rsid w:val="00F21A2A"/>
    <w:rsid w:val="00F229CF"/>
    <w:rsid w:val="00F22A65"/>
    <w:rsid w:val="00F22F88"/>
    <w:rsid w:val="00F259E5"/>
    <w:rsid w:val="00F25D3B"/>
    <w:rsid w:val="00F2657D"/>
    <w:rsid w:val="00F2786E"/>
    <w:rsid w:val="00F27A8B"/>
    <w:rsid w:val="00F34CD5"/>
    <w:rsid w:val="00F3587C"/>
    <w:rsid w:val="00F35DE6"/>
    <w:rsid w:val="00F40148"/>
    <w:rsid w:val="00F419D9"/>
    <w:rsid w:val="00F41E99"/>
    <w:rsid w:val="00F42D50"/>
    <w:rsid w:val="00F43559"/>
    <w:rsid w:val="00F4467F"/>
    <w:rsid w:val="00F44C9D"/>
    <w:rsid w:val="00F5248C"/>
    <w:rsid w:val="00F53F43"/>
    <w:rsid w:val="00F5461C"/>
    <w:rsid w:val="00F55C47"/>
    <w:rsid w:val="00F5702D"/>
    <w:rsid w:val="00F60148"/>
    <w:rsid w:val="00F60BEA"/>
    <w:rsid w:val="00F60F76"/>
    <w:rsid w:val="00F6111D"/>
    <w:rsid w:val="00F629EF"/>
    <w:rsid w:val="00F710CB"/>
    <w:rsid w:val="00F710CF"/>
    <w:rsid w:val="00F72448"/>
    <w:rsid w:val="00F747D6"/>
    <w:rsid w:val="00F74A8D"/>
    <w:rsid w:val="00F74E2E"/>
    <w:rsid w:val="00F76EF9"/>
    <w:rsid w:val="00F811C2"/>
    <w:rsid w:val="00F81BD8"/>
    <w:rsid w:val="00F825C0"/>
    <w:rsid w:val="00F878C8"/>
    <w:rsid w:val="00F923FF"/>
    <w:rsid w:val="00F93FC0"/>
    <w:rsid w:val="00F95004"/>
    <w:rsid w:val="00F95A43"/>
    <w:rsid w:val="00F9662B"/>
    <w:rsid w:val="00F9671F"/>
    <w:rsid w:val="00F979A9"/>
    <w:rsid w:val="00FA2FC7"/>
    <w:rsid w:val="00FA3ABB"/>
    <w:rsid w:val="00FA3E07"/>
    <w:rsid w:val="00FA50E8"/>
    <w:rsid w:val="00FA5E65"/>
    <w:rsid w:val="00FA6D3C"/>
    <w:rsid w:val="00FB19D8"/>
    <w:rsid w:val="00FB2440"/>
    <w:rsid w:val="00FB2CE1"/>
    <w:rsid w:val="00FB2F69"/>
    <w:rsid w:val="00FB3297"/>
    <w:rsid w:val="00FB612D"/>
    <w:rsid w:val="00FC1225"/>
    <w:rsid w:val="00FC1C4A"/>
    <w:rsid w:val="00FC293E"/>
    <w:rsid w:val="00FC3690"/>
    <w:rsid w:val="00FC6607"/>
    <w:rsid w:val="00FC7666"/>
    <w:rsid w:val="00FD0DC3"/>
    <w:rsid w:val="00FD1A2C"/>
    <w:rsid w:val="00FD1ACF"/>
    <w:rsid w:val="00FD2108"/>
    <w:rsid w:val="00FD21B8"/>
    <w:rsid w:val="00FD26D1"/>
    <w:rsid w:val="00FD27D4"/>
    <w:rsid w:val="00FD64C5"/>
    <w:rsid w:val="00FD6C63"/>
    <w:rsid w:val="00FD7D40"/>
    <w:rsid w:val="00FE0600"/>
    <w:rsid w:val="00FE0934"/>
    <w:rsid w:val="00FE33AB"/>
    <w:rsid w:val="00FE53F8"/>
    <w:rsid w:val="00FE67A2"/>
    <w:rsid w:val="00FF1C8F"/>
    <w:rsid w:val="00FF314F"/>
    <w:rsid w:val="00FF53A8"/>
    <w:rsid w:val="00FF7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8AFC5B6"/>
  <w15:docId w15:val="{A927A1A9-C891-4B29-B919-F2EB8300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D1"/>
    <w:rPr>
      <w:rFonts w:asciiTheme="majorHAnsi" w:hAnsiTheme="majorHAnsi"/>
    </w:rPr>
  </w:style>
  <w:style w:type="paragraph" w:styleId="Heading1">
    <w:name w:val="heading 1"/>
    <w:basedOn w:val="Normal"/>
    <w:next w:val="Normal"/>
    <w:link w:val="Heading1Char"/>
    <w:qFormat/>
    <w:rsid w:val="001A3992"/>
    <w:pPr>
      <w:keepNext/>
      <w:keepLines/>
      <w:numPr>
        <w:numId w:val="1"/>
      </w:numPr>
      <w:spacing w:before="480" w:after="0"/>
      <w:outlineLvl w:val="0"/>
    </w:pPr>
    <w:rPr>
      <w:rFonts w:eastAsiaTheme="majorEastAsia" w:cstheme="majorBidi"/>
      <w:b/>
      <w:bCs/>
      <w:caps/>
      <w:sz w:val="28"/>
      <w:szCs w:val="28"/>
    </w:rPr>
  </w:style>
  <w:style w:type="paragraph" w:styleId="Heading2">
    <w:name w:val="heading 2"/>
    <w:basedOn w:val="Normal"/>
    <w:next w:val="Normal"/>
    <w:link w:val="Heading2Char"/>
    <w:unhideWhenUsed/>
    <w:qFormat/>
    <w:rsid w:val="001A3992"/>
    <w:pPr>
      <w:numPr>
        <w:ilvl w:val="1"/>
        <w:numId w:val="1"/>
      </w:numPr>
      <w:spacing w:before="240"/>
      <w:ind w:left="578" w:hanging="578"/>
      <w:outlineLvl w:val="1"/>
    </w:pPr>
    <w:rPr>
      <w:b/>
      <w:smallCaps/>
      <w:sz w:val="24"/>
    </w:rPr>
  </w:style>
  <w:style w:type="paragraph" w:styleId="Heading3">
    <w:name w:val="heading 3"/>
    <w:basedOn w:val="Normal"/>
    <w:next w:val="Normal"/>
    <w:link w:val="Heading3Char"/>
    <w:unhideWhenUsed/>
    <w:qFormat/>
    <w:rsid w:val="001A3992"/>
    <w:pPr>
      <w:keepNext/>
      <w:keepLines/>
      <w:spacing w:before="200" w:after="0"/>
      <w:ind w:left="227"/>
      <w:outlineLvl w:val="2"/>
    </w:pPr>
    <w:rPr>
      <w:rFonts w:eastAsiaTheme="majorEastAsia" w:cstheme="majorBidi"/>
      <w:b/>
      <w:bCs/>
    </w:rPr>
  </w:style>
  <w:style w:type="paragraph" w:styleId="Heading4">
    <w:name w:val="heading 4"/>
    <w:basedOn w:val="Normal"/>
    <w:next w:val="Normal"/>
    <w:link w:val="Heading4Char"/>
    <w:unhideWhenUsed/>
    <w:qFormat/>
    <w:rsid w:val="00971FA6"/>
    <w:pPr>
      <w:keepNext/>
      <w:keepLines/>
      <w:spacing w:after="0"/>
      <w:outlineLvl w:val="3"/>
    </w:pPr>
    <w:rPr>
      <w:rFonts w:eastAsiaTheme="majorEastAsia" w:cstheme="majorBidi"/>
      <w:bCs/>
      <w:i/>
      <w:iCs/>
    </w:rPr>
  </w:style>
  <w:style w:type="paragraph" w:styleId="Heading5">
    <w:name w:val="heading 5"/>
    <w:basedOn w:val="Normal"/>
    <w:next w:val="Normal"/>
    <w:link w:val="Heading5Char"/>
    <w:unhideWhenUsed/>
    <w:qFormat/>
    <w:rsid w:val="001A3992"/>
    <w:pPr>
      <w:keepNext/>
      <w:keepLines/>
      <w:numPr>
        <w:ilvl w:val="4"/>
        <w:numId w:val="1"/>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nhideWhenUsed/>
    <w:qFormat/>
    <w:rsid w:val="001A3992"/>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nhideWhenUsed/>
    <w:qFormat/>
    <w:rsid w:val="001A3992"/>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nhideWhenUsed/>
    <w:qFormat/>
    <w:rsid w:val="001A3992"/>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nhideWhenUsed/>
    <w:qFormat/>
    <w:rsid w:val="001A3992"/>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rsid w:val="001A3992"/>
    <w:rPr>
      <w:rFonts w:asciiTheme="majorHAnsi" w:hAnsiTheme="majorHAnsi"/>
      <w:b/>
      <w:smallCaps/>
      <w:sz w:val="24"/>
    </w:rPr>
  </w:style>
  <w:style w:type="character" w:customStyle="1" w:styleId="Heading3Char">
    <w:name w:val="Heading 3 Char"/>
    <w:basedOn w:val="DefaultParagraphFont"/>
    <w:link w:val="Heading3"/>
    <w:rsid w:val="001A3992"/>
    <w:rPr>
      <w:rFonts w:asciiTheme="majorHAnsi" w:eastAsiaTheme="majorEastAsia" w:hAnsiTheme="majorHAnsi" w:cstheme="majorBidi"/>
      <w:b/>
      <w:bCs/>
    </w:rPr>
  </w:style>
  <w:style w:type="character" w:customStyle="1" w:styleId="Heading4Char">
    <w:name w:val="Heading 4 Char"/>
    <w:basedOn w:val="DefaultParagraphFont"/>
    <w:link w:val="Heading4"/>
    <w:rsid w:val="00971FA6"/>
    <w:rPr>
      <w:rFonts w:asciiTheme="majorHAnsi" w:eastAsiaTheme="majorEastAsia" w:hAnsiTheme="majorHAnsi" w:cstheme="majorBidi"/>
      <w:bCs/>
      <w:i/>
      <w:iCs/>
    </w:rPr>
  </w:style>
  <w:style w:type="character" w:customStyle="1" w:styleId="Heading5Char">
    <w:name w:val="Heading 5 Char"/>
    <w:basedOn w:val="DefaultParagraphFont"/>
    <w:link w:val="Heading5"/>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rsid w:val="001A3992"/>
    <w:rPr>
      <w:rFonts w:ascii="Cambria" w:hAnsi="Cambria"/>
      <w:sz w:val="20"/>
      <w:szCs w:val="20"/>
    </w:rPr>
  </w:style>
  <w:style w:type="paragraph" w:styleId="FootnoteText">
    <w:name w:val="footnote text"/>
    <w:basedOn w:val="Normal"/>
    <w:link w:val="FootnoteTextChar"/>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rsid w:val="001A3992"/>
    <w:rPr>
      <w:rFonts w:ascii="Calibri" w:eastAsia="Calibri" w:hAnsi="Calibri" w:cs="Times New Roman"/>
      <w:sz w:val="20"/>
    </w:rPr>
  </w:style>
  <w:style w:type="character" w:styleId="FootnoteReference">
    <w:name w:val="footnote reference"/>
    <w:basedOn w:val="DefaultParagraphFont"/>
    <w:unhideWhenUsed/>
    <w:rsid w:val="001A3992"/>
    <w:rPr>
      <w:vertAlign w:val="superscript"/>
    </w:rPr>
  </w:style>
  <w:style w:type="paragraph" w:styleId="ListBullet">
    <w:name w:val="List Bullet"/>
    <w:basedOn w:val="Normal"/>
    <w:unhideWhenUsed/>
    <w:rsid w:val="001A3992"/>
    <w:pPr>
      <w:numPr>
        <w:numId w:val="24"/>
      </w:numPr>
      <w:contextualSpacing/>
    </w:pPr>
    <w:rPr>
      <w:rFonts w:ascii="Cambria" w:hAnsi="Cambria"/>
    </w:rPr>
  </w:style>
  <w:style w:type="character" w:styleId="Hyperlink">
    <w:name w:val="Hyperlink"/>
    <w:basedOn w:val="DefaultParagraphFont"/>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A3992"/>
    <w:rPr>
      <w:rFonts w:ascii="Tahoma" w:hAnsi="Tahoma" w:cs="Tahoma"/>
      <w:sz w:val="16"/>
      <w:szCs w:val="16"/>
    </w:rPr>
  </w:style>
  <w:style w:type="paragraph" w:styleId="Header">
    <w:name w:val="header"/>
    <w:basedOn w:val="Normal"/>
    <w:link w:val="HeaderChar"/>
    <w:unhideWhenUsed/>
    <w:rsid w:val="005F3A63"/>
    <w:pPr>
      <w:tabs>
        <w:tab w:val="center" w:pos="4513"/>
        <w:tab w:val="right" w:pos="9026"/>
      </w:tabs>
      <w:spacing w:after="0" w:line="240" w:lineRule="auto"/>
    </w:pPr>
  </w:style>
  <w:style w:type="character" w:customStyle="1" w:styleId="HeaderChar">
    <w:name w:val="Header Char"/>
    <w:basedOn w:val="DefaultParagraphFont"/>
    <w:link w:val="Header"/>
    <w:rsid w:val="005F3A63"/>
  </w:style>
  <w:style w:type="character" w:styleId="Emphasis">
    <w:name w:val="Emphasis"/>
    <w:aliases w:val="Heading Four"/>
    <w:basedOn w:val="DefaultParagraphFont"/>
    <w:qFormat/>
    <w:rsid w:val="005F3A63"/>
    <w:rPr>
      <w:rFonts w:ascii="Cambria" w:hAnsi="Cambria"/>
      <w:i w:val="0"/>
      <w:iCs/>
      <w:sz w:val="22"/>
      <w:u w:val="single"/>
    </w:rPr>
  </w:style>
  <w:style w:type="paragraph" w:customStyle="1" w:styleId="Default">
    <w:name w:val="Default"/>
    <w:rsid w:val="00833F2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ParagraphChar">
    <w:name w:val="Paragraph Char"/>
    <w:link w:val="Paragraph"/>
    <w:locked/>
    <w:rsid w:val="00833F24"/>
    <w:rPr>
      <w:sz w:val="24"/>
      <w:lang w:val="en-US"/>
    </w:rPr>
  </w:style>
  <w:style w:type="paragraph" w:customStyle="1" w:styleId="Paragraph">
    <w:name w:val="Paragraph"/>
    <w:basedOn w:val="Normal"/>
    <w:link w:val="ParagraphChar"/>
    <w:rsid w:val="00833F24"/>
    <w:pPr>
      <w:suppressAutoHyphens/>
      <w:spacing w:after="40" w:line="240" w:lineRule="auto"/>
    </w:pPr>
    <w:rPr>
      <w:rFonts w:asciiTheme="minorHAnsi" w:hAnsiTheme="minorHAnsi"/>
      <w:sz w:val="24"/>
      <w:lang w:val="en-US"/>
    </w:rPr>
  </w:style>
  <w:style w:type="character" w:customStyle="1" w:styleId="BodytextAgencyChar">
    <w:name w:val="Body text (Agency) Char"/>
    <w:link w:val="BodytextAgency"/>
    <w:locked/>
    <w:rsid w:val="00833F24"/>
    <w:rPr>
      <w:rFonts w:ascii="Verdana" w:hAnsi="Verdana"/>
    </w:rPr>
  </w:style>
  <w:style w:type="paragraph" w:customStyle="1" w:styleId="BodytextAgency">
    <w:name w:val="Body text (Agency)"/>
    <w:basedOn w:val="Normal"/>
    <w:link w:val="BodytextAgencyChar"/>
    <w:rsid w:val="00833F24"/>
    <w:pPr>
      <w:spacing w:before="60" w:after="140" w:line="280" w:lineRule="atLeast"/>
    </w:pPr>
    <w:rPr>
      <w:rFonts w:ascii="Verdana" w:hAnsi="Verdana"/>
    </w:rPr>
  </w:style>
  <w:style w:type="character" w:styleId="Strong">
    <w:name w:val="Strong"/>
    <w:basedOn w:val="DefaultParagraphFont"/>
    <w:qFormat/>
    <w:rsid w:val="00833F24"/>
    <w:rPr>
      <w:b/>
      <w:bCs/>
    </w:rPr>
  </w:style>
  <w:style w:type="paragraph" w:customStyle="1" w:styleId="TOCHeading1">
    <w:name w:val="TOC Heading1"/>
    <w:basedOn w:val="Heading1"/>
    <w:next w:val="Normal"/>
    <w:uiPriority w:val="39"/>
    <w:unhideWhenUsed/>
    <w:qFormat/>
    <w:rsid w:val="00833F24"/>
    <w:pPr>
      <w:tabs>
        <w:tab w:val="num" w:pos="1440"/>
      </w:tabs>
      <w:ind w:left="0" w:firstLine="0"/>
      <w:outlineLvl w:val="9"/>
    </w:pPr>
    <w:rPr>
      <w:rFonts w:ascii="Calibri" w:eastAsia="MS Gothic" w:hAnsi="Calibri" w:cs="Times New Roman"/>
      <w:caps w:val="0"/>
      <w:color w:val="365F91"/>
      <w:lang w:val="en-US"/>
    </w:rPr>
  </w:style>
  <w:style w:type="paragraph" w:styleId="TOC1">
    <w:name w:val="toc 1"/>
    <w:basedOn w:val="Normal"/>
    <w:next w:val="Normal"/>
    <w:autoRedefine/>
    <w:semiHidden/>
    <w:unhideWhenUsed/>
    <w:rsid w:val="00833F24"/>
    <w:pPr>
      <w:spacing w:before="120" w:after="0" w:line="240" w:lineRule="auto"/>
    </w:pPr>
    <w:rPr>
      <w:rFonts w:ascii="Cambria" w:eastAsia="MS Mincho" w:hAnsi="Cambria" w:cs="Times New Roman"/>
      <w:b/>
      <w:sz w:val="24"/>
      <w:szCs w:val="24"/>
      <w:lang w:val="en-US"/>
    </w:rPr>
  </w:style>
  <w:style w:type="paragraph" w:styleId="TOC2">
    <w:name w:val="toc 2"/>
    <w:basedOn w:val="Normal"/>
    <w:next w:val="Normal"/>
    <w:autoRedefine/>
    <w:semiHidden/>
    <w:unhideWhenUsed/>
    <w:rsid w:val="00833F24"/>
    <w:pPr>
      <w:spacing w:after="0" w:line="240" w:lineRule="auto"/>
      <w:ind w:left="240"/>
    </w:pPr>
    <w:rPr>
      <w:rFonts w:ascii="Cambria" w:eastAsia="MS Mincho" w:hAnsi="Cambria" w:cs="Times New Roman"/>
      <w:b/>
      <w:lang w:val="en-US"/>
    </w:rPr>
  </w:style>
  <w:style w:type="paragraph" w:styleId="TOC3">
    <w:name w:val="toc 3"/>
    <w:basedOn w:val="Normal"/>
    <w:next w:val="Normal"/>
    <w:autoRedefine/>
    <w:semiHidden/>
    <w:unhideWhenUsed/>
    <w:rsid w:val="00833F24"/>
    <w:pPr>
      <w:spacing w:after="0" w:line="240" w:lineRule="auto"/>
      <w:ind w:left="480"/>
    </w:pPr>
    <w:rPr>
      <w:rFonts w:ascii="Cambria" w:eastAsia="MS Mincho" w:hAnsi="Cambria" w:cs="Times New Roman"/>
      <w:lang w:val="en-US"/>
    </w:rPr>
  </w:style>
  <w:style w:type="paragraph" w:styleId="TOC4">
    <w:name w:val="toc 4"/>
    <w:basedOn w:val="Normal"/>
    <w:next w:val="Normal"/>
    <w:autoRedefine/>
    <w:semiHidden/>
    <w:unhideWhenUsed/>
    <w:rsid w:val="00833F24"/>
    <w:pPr>
      <w:spacing w:after="0" w:line="240" w:lineRule="auto"/>
      <w:ind w:left="720"/>
    </w:pPr>
    <w:rPr>
      <w:rFonts w:ascii="Cambria" w:eastAsia="MS Mincho" w:hAnsi="Cambria" w:cs="Times New Roman"/>
      <w:sz w:val="20"/>
      <w:szCs w:val="20"/>
      <w:lang w:val="en-US"/>
    </w:rPr>
  </w:style>
  <w:style w:type="paragraph" w:styleId="TOC5">
    <w:name w:val="toc 5"/>
    <w:basedOn w:val="Normal"/>
    <w:next w:val="Normal"/>
    <w:autoRedefine/>
    <w:semiHidden/>
    <w:unhideWhenUsed/>
    <w:rsid w:val="00833F24"/>
    <w:pPr>
      <w:spacing w:after="0" w:line="240" w:lineRule="auto"/>
      <w:ind w:left="960"/>
    </w:pPr>
    <w:rPr>
      <w:rFonts w:ascii="Cambria" w:eastAsia="MS Mincho" w:hAnsi="Cambria" w:cs="Times New Roman"/>
      <w:sz w:val="20"/>
      <w:szCs w:val="20"/>
      <w:lang w:val="en-US"/>
    </w:rPr>
  </w:style>
  <w:style w:type="paragraph" w:styleId="TOC6">
    <w:name w:val="toc 6"/>
    <w:basedOn w:val="Normal"/>
    <w:next w:val="Normal"/>
    <w:autoRedefine/>
    <w:semiHidden/>
    <w:unhideWhenUsed/>
    <w:rsid w:val="00833F24"/>
    <w:pPr>
      <w:spacing w:after="0" w:line="240" w:lineRule="auto"/>
      <w:ind w:left="1200"/>
    </w:pPr>
    <w:rPr>
      <w:rFonts w:ascii="Cambria" w:eastAsia="MS Mincho" w:hAnsi="Cambria" w:cs="Times New Roman"/>
      <w:sz w:val="20"/>
      <w:szCs w:val="20"/>
      <w:lang w:val="en-US"/>
    </w:rPr>
  </w:style>
  <w:style w:type="paragraph" w:styleId="TOC7">
    <w:name w:val="toc 7"/>
    <w:basedOn w:val="Normal"/>
    <w:next w:val="Normal"/>
    <w:autoRedefine/>
    <w:semiHidden/>
    <w:unhideWhenUsed/>
    <w:rsid w:val="00833F24"/>
    <w:pPr>
      <w:spacing w:after="0" w:line="240" w:lineRule="auto"/>
      <w:ind w:left="1440"/>
    </w:pPr>
    <w:rPr>
      <w:rFonts w:ascii="Cambria" w:eastAsia="MS Mincho" w:hAnsi="Cambria" w:cs="Times New Roman"/>
      <w:sz w:val="20"/>
      <w:szCs w:val="20"/>
      <w:lang w:val="en-US"/>
    </w:rPr>
  </w:style>
  <w:style w:type="paragraph" w:styleId="TOC8">
    <w:name w:val="toc 8"/>
    <w:basedOn w:val="Normal"/>
    <w:next w:val="Normal"/>
    <w:autoRedefine/>
    <w:semiHidden/>
    <w:unhideWhenUsed/>
    <w:rsid w:val="00833F24"/>
    <w:pPr>
      <w:spacing w:after="0" w:line="240" w:lineRule="auto"/>
      <w:ind w:left="1680"/>
    </w:pPr>
    <w:rPr>
      <w:rFonts w:ascii="Cambria" w:eastAsia="MS Mincho" w:hAnsi="Cambria" w:cs="Times New Roman"/>
      <w:sz w:val="20"/>
      <w:szCs w:val="20"/>
      <w:lang w:val="en-US"/>
    </w:rPr>
  </w:style>
  <w:style w:type="paragraph" w:styleId="TOC9">
    <w:name w:val="toc 9"/>
    <w:basedOn w:val="Normal"/>
    <w:next w:val="Normal"/>
    <w:autoRedefine/>
    <w:semiHidden/>
    <w:unhideWhenUsed/>
    <w:rsid w:val="00833F24"/>
    <w:pPr>
      <w:spacing w:after="0" w:line="240" w:lineRule="auto"/>
      <w:ind w:left="1920"/>
    </w:pPr>
    <w:rPr>
      <w:rFonts w:ascii="Cambria" w:eastAsia="MS Mincho" w:hAnsi="Cambria" w:cs="Times New Roman"/>
      <w:sz w:val="20"/>
      <w:szCs w:val="20"/>
      <w:lang w:val="en-US"/>
    </w:rPr>
  </w:style>
  <w:style w:type="paragraph" w:customStyle="1" w:styleId="Table">
    <w:name w:val="Table"/>
    <w:basedOn w:val="Normal"/>
    <w:next w:val="Normal"/>
    <w:semiHidden/>
    <w:rsid w:val="00833F24"/>
    <w:pPr>
      <w:tabs>
        <w:tab w:val="left" w:pos="1008"/>
      </w:tabs>
      <w:spacing w:after="120" w:line="240" w:lineRule="auto"/>
      <w:jc w:val="center"/>
    </w:pPr>
    <w:rPr>
      <w:rFonts w:ascii="Times New Roman" w:eastAsia="Times New Roman" w:hAnsi="Times New Roman" w:cs="Times New Roman"/>
      <w:b/>
      <w:sz w:val="24"/>
      <w:szCs w:val="24"/>
      <w:lang w:val="en-US"/>
    </w:rPr>
  </w:style>
  <w:style w:type="paragraph" w:customStyle="1" w:styleId="TableText10">
    <w:name w:val="TableText10"/>
    <w:basedOn w:val="Normal"/>
    <w:rsid w:val="00833F24"/>
    <w:pPr>
      <w:spacing w:after="0" w:line="240" w:lineRule="auto"/>
    </w:pPr>
    <w:rPr>
      <w:rFonts w:ascii="Times New Roman" w:eastAsia="Times New Roman" w:hAnsi="Times New Roman" w:cs="Times New Roman"/>
      <w:sz w:val="20"/>
      <w:szCs w:val="24"/>
      <w:lang w:val="en-US"/>
    </w:rPr>
  </w:style>
  <w:style w:type="paragraph" w:customStyle="1" w:styleId="TableSource10">
    <w:name w:val="TableSource10"/>
    <w:basedOn w:val="TableText10"/>
    <w:next w:val="Normal"/>
    <w:rsid w:val="00833F24"/>
    <w:pPr>
      <w:spacing w:before="120" w:after="120"/>
    </w:pPr>
  </w:style>
  <w:style w:type="paragraph" w:customStyle="1" w:styleId="List1">
    <w:name w:val="List1"/>
    <w:basedOn w:val="Normal"/>
    <w:rsid w:val="00833F24"/>
    <w:pPr>
      <w:tabs>
        <w:tab w:val="num" w:pos="1008"/>
      </w:tabs>
      <w:spacing w:before="120" w:after="120" w:line="240" w:lineRule="auto"/>
      <w:ind w:left="1008" w:hanging="504"/>
    </w:pPr>
    <w:rPr>
      <w:rFonts w:ascii="Times New Roman" w:eastAsia="Times New Roman" w:hAnsi="Times New Roman" w:cs="Times New Roman"/>
      <w:sz w:val="24"/>
      <w:szCs w:val="24"/>
      <w:lang w:val="en-US"/>
    </w:rPr>
  </w:style>
  <w:style w:type="paragraph" w:customStyle="1" w:styleId="List2">
    <w:name w:val="List2"/>
    <w:basedOn w:val="Normal"/>
    <w:rsid w:val="00833F24"/>
    <w:pPr>
      <w:tabs>
        <w:tab w:val="num" w:pos="1512"/>
      </w:tabs>
      <w:spacing w:before="120" w:after="120" w:line="240" w:lineRule="auto"/>
      <w:ind w:left="1512" w:hanging="504"/>
    </w:pPr>
    <w:rPr>
      <w:rFonts w:ascii="Times New Roman" w:eastAsia="Times New Roman" w:hAnsi="Times New Roman" w:cs="Times New Roman"/>
      <w:sz w:val="24"/>
      <w:szCs w:val="24"/>
      <w:lang w:val="en-US"/>
    </w:rPr>
  </w:style>
  <w:style w:type="paragraph" w:customStyle="1" w:styleId="List4">
    <w:name w:val="List4"/>
    <w:basedOn w:val="Normal"/>
    <w:rsid w:val="00833F24"/>
    <w:pPr>
      <w:tabs>
        <w:tab w:val="num" w:pos="2520"/>
      </w:tabs>
      <w:spacing w:before="120" w:after="120" w:line="240" w:lineRule="auto"/>
      <w:ind w:left="2520" w:hanging="504"/>
    </w:pPr>
    <w:rPr>
      <w:rFonts w:ascii="Times New Roman" w:eastAsia="Times New Roman" w:hAnsi="Times New Roman" w:cs="Times New Roman"/>
      <w:sz w:val="24"/>
      <w:szCs w:val="24"/>
      <w:lang w:val="en-US"/>
    </w:rPr>
  </w:style>
  <w:style w:type="paragraph" w:customStyle="1" w:styleId="List3">
    <w:name w:val="List3"/>
    <w:basedOn w:val="Normal"/>
    <w:rsid w:val="00833F24"/>
    <w:pPr>
      <w:tabs>
        <w:tab w:val="num" w:pos="2016"/>
      </w:tabs>
      <w:spacing w:before="120" w:after="120" w:line="240" w:lineRule="auto"/>
      <w:ind w:left="2016" w:hanging="504"/>
    </w:pPr>
    <w:rPr>
      <w:rFonts w:ascii="Times New Roman" w:eastAsia="Times New Roman" w:hAnsi="Times New Roman" w:cs="Times New Roman"/>
      <w:sz w:val="24"/>
      <w:szCs w:val="24"/>
      <w:lang w:val="en-US"/>
    </w:rPr>
  </w:style>
  <w:style w:type="paragraph" w:customStyle="1" w:styleId="TableHeader10">
    <w:name w:val="TableHeader10"/>
    <w:basedOn w:val="TableText10"/>
    <w:rsid w:val="00833F24"/>
    <w:pPr>
      <w:jc w:val="center"/>
    </w:pPr>
    <w:rPr>
      <w:b/>
    </w:rPr>
  </w:style>
  <w:style w:type="paragraph" w:customStyle="1" w:styleId="Appendix">
    <w:name w:val="Appendix"/>
    <w:basedOn w:val="Normal"/>
    <w:next w:val="Normal"/>
    <w:qFormat/>
    <w:rsid w:val="00833F24"/>
    <w:pPr>
      <w:keepNext/>
      <w:pageBreakBefore/>
      <w:numPr>
        <w:numId w:val="5"/>
      </w:numPr>
      <w:tabs>
        <w:tab w:val="left" w:pos="1584"/>
      </w:tabs>
      <w:spacing w:before="240" w:after="120" w:line="240" w:lineRule="auto"/>
      <w:ind w:left="1584" w:hanging="1584"/>
    </w:pPr>
    <w:rPr>
      <w:rFonts w:ascii="Times New Roman" w:eastAsia="Times New Roman" w:hAnsi="Times New Roman" w:cs="Times New Roman"/>
      <w:b/>
      <w:sz w:val="24"/>
      <w:szCs w:val="24"/>
      <w:lang w:val="en-US"/>
    </w:rPr>
  </w:style>
  <w:style w:type="paragraph" w:customStyle="1" w:styleId="Guidance">
    <w:name w:val="Guidance"/>
    <w:basedOn w:val="Normal"/>
    <w:next w:val="Normal"/>
    <w:rsid w:val="00833F24"/>
    <w:pPr>
      <w:spacing w:before="120" w:after="120" w:line="240" w:lineRule="auto"/>
    </w:pPr>
    <w:rPr>
      <w:rFonts w:ascii="Times New Roman" w:eastAsia="Times New Roman" w:hAnsi="Times New Roman" w:cs="Times New Roman"/>
      <w:color w:val="008000"/>
      <w:sz w:val="24"/>
      <w:szCs w:val="24"/>
      <w:lang w:val="en-US"/>
    </w:rPr>
  </w:style>
  <w:style w:type="paragraph" w:customStyle="1" w:styleId="TitlePDetails">
    <w:name w:val="TitlePDetails"/>
    <w:basedOn w:val="Normal"/>
    <w:semiHidden/>
    <w:rsid w:val="00833F24"/>
    <w:pPr>
      <w:spacing w:after="240" w:line="360" w:lineRule="auto"/>
      <w:ind w:left="2160" w:hanging="2160"/>
    </w:pPr>
    <w:rPr>
      <w:rFonts w:ascii="Times New Roman" w:eastAsia="Times New Roman" w:hAnsi="Times New Roman" w:cs="Times New Roman"/>
      <w:sz w:val="24"/>
      <w:szCs w:val="24"/>
      <w:lang w:val="en-US"/>
    </w:rPr>
  </w:style>
  <w:style w:type="table" w:styleId="TableGrid">
    <w:name w:val="Table Grid"/>
    <w:basedOn w:val="TableNormal"/>
    <w:uiPriority w:val="59"/>
    <w:rsid w:val="00833F24"/>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Numb">
    <w:name w:val="Heading 1NoNumb"/>
    <w:basedOn w:val="Heading1"/>
    <w:next w:val="Normal"/>
    <w:rsid w:val="00833F24"/>
    <w:pPr>
      <w:tabs>
        <w:tab w:val="num" w:pos="1440"/>
      </w:tabs>
      <w:spacing w:line="240" w:lineRule="auto"/>
      <w:ind w:left="0" w:firstLine="0"/>
    </w:pPr>
    <w:rPr>
      <w:rFonts w:ascii="Calibri" w:eastAsia="MS Gothic" w:hAnsi="Calibri" w:cs="Times New Roman"/>
      <w:caps w:val="0"/>
      <w:color w:val="345A8A"/>
      <w:sz w:val="32"/>
      <w:szCs w:val="32"/>
      <w:lang w:val="en-US"/>
    </w:rPr>
  </w:style>
  <w:style w:type="paragraph" w:customStyle="1" w:styleId="Heading2NoNumb">
    <w:name w:val="Heading 2NoNumb"/>
    <w:basedOn w:val="Heading2"/>
    <w:next w:val="Normal"/>
    <w:rsid w:val="00833F24"/>
    <w:pPr>
      <w:keepNext/>
      <w:tabs>
        <w:tab w:val="num" w:pos="1080"/>
      </w:tabs>
      <w:spacing w:after="120" w:line="240" w:lineRule="auto"/>
      <w:ind w:left="0" w:firstLine="0"/>
    </w:pPr>
    <w:rPr>
      <w:rFonts w:ascii="Times New Roman" w:eastAsia="Times New Roman" w:hAnsi="Times New Roman" w:cs="Times New Roman"/>
      <w:bCs/>
      <w:iCs/>
      <w:smallCaps w:val="0"/>
      <w:szCs w:val="28"/>
      <w:lang w:val="en-US"/>
    </w:rPr>
  </w:style>
  <w:style w:type="paragraph" w:customStyle="1" w:styleId="Heading3NoNumb">
    <w:name w:val="Heading 3NoNumb"/>
    <w:basedOn w:val="Heading3"/>
    <w:next w:val="Normal"/>
    <w:rsid w:val="00833F24"/>
    <w:pPr>
      <w:keepLines w:val="0"/>
      <w:tabs>
        <w:tab w:val="num" w:pos="720"/>
      </w:tabs>
      <w:spacing w:before="240" w:after="120" w:line="240" w:lineRule="auto"/>
      <w:ind w:left="720" w:hanging="432"/>
    </w:pPr>
    <w:rPr>
      <w:rFonts w:ascii="Times New Roman" w:eastAsia="Times New Roman" w:hAnsi="Times New Roman" w:cs="Times New Roman"/>
      <w:sz w:val="24"/>
      <w:szCs w:val="26"/>
      <w:lang w:val="en-US"/>
    </w:rPr>
  </w:style>
  <w:style w:type="paragraph" w:customStyle="1" w:styleId="Heading4NoNumb">
    <w:name w:val="Heading 4NoNumb"/>
    <w:basedOn w:val="Heading4"/>
    <w:next w:val="Normal"/>
    <w:rsid w:val="00833F24"/>
    <w:pPr>
      <w:keepLines w:val="0"/>
      <w:tabs>
        <w:tab w:val="num" w:pos="864"/>
      </w:tabs>
      <w:spacing w:before="240" w:after="120" w:line="240" w:lineRule="auto"/>
      <w:ind w:left="864" w:hanging="144"/>
    </w:pPr>
    <w:rPr>
      <w:rFonts w:ascii="Times New Roman" w:eastAsia="Times New Roman" w:hAnsi="Times New Roman" w:cs="Times New Roman"/>
      <w:b/>
      <w:iCs w:val="0"/>
      <w:sz w:val="24"/>
      <w:szCs w:val="28"/>
      <w:lang w:val="en-US"/>
    </w:rPr>
  </w:style>
  <w:style w:type="paragraph" w:customStyle="1" w:styleId="Heading5NoNumb">
    <w:name w:val="Heading 5NoNumb"/>
    <w:basedOn w:val="Heading5"/>
    <w:next w:val="Normal"/>
    <w:rsid w:val="00833F24"/>
    <w:pPr>
      <w:keepLines w:val="0"/>
      <w:tabs>
        <w:tab w:val="num" w:pos="1008"/>
      </w:tabs>
      <w:spacing w:before="240" w:after="120" w:line="240" w:lineRule="auto"/>
      <w:ind w:hanging="432"/>
    </w:pPr>
    <w:rPr>
      <w:rFonts w:ascii="Times New Roman" w:eastAsia="Times New Roman" w:hAnsi="Times New Roman" w:cs="Times New Roman"/>
      <w:bCs/>
      <w:i/>
      <w:iCs/>
      <w:color w:val="auto"/>
      <w:sz w:val="24"/>
      <w:szCs w:val="26"/>
      <w:lang w:val="en-US"/>
    </w:rPr>
  </w:style>
  <w:style w:type="paragraph" w:customStyle="1" w:styleId="HeaderLand">
    <w:name w:val="HeaderLand"/>
    <w:basedOn w:val="Header"/>
    <w:rsid w:val="00833F24"/>
    <w:pPr>
      <w:tabs>
        <w:tab w:val="clear" w:pos="4513"/>
        <w:tab w:val="clear" w:pos="9026"/>
        <w:tab w:val="center" w:pos="4320"/>
        <w:tab w:val="right" w:pos="8640"/>
      </w:tabs>
    </w:pPr>
    <w:rPr>
      <w:rFonts w:ascii="Cambria" w:eastAsia="MS Mincho" w:hAnsi="Cambria" w:cs="Times New Roman"/>
      <w:sz w:val="24"/>
      <w:szCs w:val="24"/>
      <w:lang w:val="en-US"/>
    </w:rPr>
  </w:style>
  <w:style w:type="paragraph" w:customStyle="1" w:styleId="FooterLand">
    <w:name w:val="FooterLand"/>
    <w:basedOn w:val="Footer"/>
    <w:rsid w:val="00833F24"/>
    <w:pPr>
      <w:tabs>
        <w:tab w:val="clear" w:pos="4513"/>
        <w:tab w:val="clear" w:pos="9026"/>
        <w:tab w:val="center" w:pos="4320"/>
        <w:tab w:val="right" w:pos="8640"/>
      </w:tabs>
    </w:pPr>
    <w:rPr>
      <w:rFonts w:eastAsia="MS Mincho" w:cs="Times New Roman"/>
      <w:sz w:val="24"/>
      <w:szCs w:val="24"/>
      <w:lang w:val="en-US"/>
    </w:rPr>
  </w:style>
  <w:style w:type="paragraph" w:customStyle="1" w:styleId="NormalSingleNoSpace">
    <w:name w:val="NormalSingleNoSpace"/>
    <w:basedOn w:val="Normal"/>
    <w:semiHidden/>
    <w:rsid w:val="00833F24"/>
    <w:pPr>
      <w:spacing w:after="0" w:line="240" w:lineRule="auto"/>
    </w:pPr>
    <w:rPr>
      <w:rFonts w:ascii="Times New Roman" w:eastAsia="Times New Roman" w:hAnsi="Times New Roman" w:cs="Times New Roman"/>
      <w:sz w:val="24"/>
      <w:szCs w:val="24"/>
      <w:lang w:val="en-GB"/>
    </w:rPr>
  </w:style>
  <w:style w:type="paragraph" w:customStyle="1" w:styleId="Figure">
    <w:name w:val="Figure"/>
    <w:basedOn w:val="Normal"/>
    <w:next w:val="Normal"/>
    <w:rsid w:val="00833F24"/>
    <w:pPr>
      <w:tabs>
        <w:tab w:val="left" w:pos="1152"/>
      </w:tabs>
      <w:spacing w:after="120" w:line="240" w:lineRule="auto"/>
      <w:jc w:val="center"/>
    </w:pPr>
    <w:rPr>
      <w:rFonts w:ascii="Times New Roman" w:eastAsia="Times New Roman" w:hAnsi="Times New Roman" w:cs="Times New Roman"/>
      <w:b/>
      <w:sz w:val="24"/>
      <w:szCs w:val="24"/>
      <w:lang w:val="en-US"/>
    </w:rPr>
  </w:style>
  <w:style w:type="paragraph" w:customStyle="1" w:styleId="TableText9">
    <w:name w:val="TableText9"/>
    <w:basedOn w:val="TableText10"/>
    <w:rsid w:val="00833F24"/>
    <w:rPr>
      <w:sz w:val="18"/>
    </w:rPr>
  </w:style>
  <w:style w:type="paragraph" w:customStyle="1" w:styleId="TableHeader9">
    <w:name w:val="TableHeader9"/>
    <w:basedOn w:val="TableText9"/>
    <w:rsid w:val="00833F24"/>
  </w:style>
  <w:style w:type="paragraph" w:customStyle="1" w:styleId="TableNotes9">
    <w:name w:val="TableNotes9"/>
    <w:basedOn w:val="TableText10"/>
    <w:next w:val="Normal"/>
    <w:rsid w:val="00833F24"/>
    <w:pPr>
      <w:spacing w:before="120" w:after="120"/>
      <w:ind w:left="576" w:hanging="576"/>
    </w:pPr>
    <w:rPr>
      <w:sz w:val="18"/>
    </w:rPr>
  </w:style>
  <w:style w:type="paragraph" w:customStyle="1" w:styleId="TableText8">
    <w:name w:val="TableText8"/>
    <w:basedOn w:val="Normal"/>
    <w:rsid w:val="00833F24"/>
    <w:pPr>
      <w:spacing w:after="0" w:line="240" w:lineRule="auto"/>
    </w:pPr>
    <w:rPr>
      <w:rFonts w:ascii="Times New Roman" w:eastAsia="Times New Roman" w:hAnsi="Times New Roman" w:cs="Times New Roman"/>
      <w:sz w:val="16"/>
      <w:szCs w:val="24"/>
      <w:lang w:val="en-US"/>
    </w:rPr>
  </w:style>
  <w:style w:type="paragraph" w:customStyle="1" w:styleId="TableHeader8">
    <w:name w:val="TableHeader8"/>
    <w:basedOn w:val="TableText8"/>
    <w:rsid w:val="00833F24"/>
  </w:style>
  <w:style w:type="paragraph" w:customStyle="1" w:styleId="TableSource9">
    <w:name w:val="TableSource9"/>
    <w:basedOn w:val="TableText9"/>
    <w:next w:val="Normal"/>
    <w:rsid w:val="00833F24"/>
  </w:style>
  <w:style w:type="paragraph" w:customStyle="1" w:styleId="TableSource8">
    <w:name w:val="TableSource8"/>
    <w:basedOn w:val="TableText8"/>
    <w:next w:val="Normal"/>
    <w:rsid w:val="00833F24"/>
  </w:style>
  <w:style w:type="paragraph" w:customStyle="1" w:styleId="TableCont">
    <w:name w:val="TableCont"/>
    <w:basedOn w:val="Table"/>
    <w:next w:val="Normal"/>
    <w:rsid w:val="00833F24"/>
    <w:rPr>
      <w:noProof/>
    </w:rPr>
  </w:style>
  <w:style w:type="character" w:styleId="FollowedHyperlink">
    <w:name w:val="FollowedHyperlink"/>
    <w:semiHidden/>
    <w:rsid w:val="00833F24"/>
    <w:rPr>
      <w:color w:val="800080"/>
      <w:u w:val="single"/>
    </w:rPr>
  </w:style>
  <w:style w:type="paragraph" w:customStyle="1" w:styleId="DocTitle">
    <w:name w:val="DocTitle"/>
    <w:basedOn w:val="Normal"/>
    <w:semiHidden/>
    <w:rsid w:val="00833F24"/>
    <w:pPr>
      <w:spacing w:before="240" w:after="240" w:line="240" w:lineRule="auto"/>
      <w:jc w:val="center"/>
    </w:pPr>
    <w:rPr>
      <w:rFonts w:ascii="Times New Roman" w:eastAsia="Times New Roman" w:hAnsi="Times New Roman" w:cs="Times New Roman"/>
      <w:b/>
      <w:sz w:val="28"/>
      <w:szCs w:val="24"/>
      <w:lang w:val="en-US"/>
    </w:rPr>
  </w:style>
  <w:style w:type="paragraph" w:customStyle="1" w:styleId="Instructions">
    <w:name w:val="Instructions"/>
    <w:basedOn w:val="Normal"/>
    <w:next w:val="Normal"/>
    <w:rsid w:val="00833F24"/>
    <w:pPr>
      <w:spacing w:before="120" w:after="120" w:line="240" w:lineRule="auto"/>
    </w:pPr>
    <w:rPr>
      <w:rFonts w:ascii="Times New Roman" w:eastAsia="Times New Roman" w:hAnsi="Times New Roman" w:cs="Times New Roman"/>
      <w:color w:val="FF0000"/>
      <w:sz w:val="24"/>
      <w:szCs w:val="24"/>
      <w:lang w:val="en-US"/>
    </w:rPr>
  </w:style>
  <w:style w:type="paragraph" w:customStyle="1" w:styleId="DocTitleText">
    <w:name w:val="DocTitleText"/>
    <w:basedOn w:val="DocTitle"/>
    <w:semiHidden/>
    <w:rsid w:val="00833F24"/>
  </w:style>
  <w:style w:type="paragraph" w:customStyle="1" w:styleId="NormalNoSpace">
    <w:name w:val="NormalNoSpace"/>
    <w:basedOn w:val="Normal"/>
    <w:rsid w:val="00833F24"/>
    <w:pPr>
      <w:spacing w:after="0" w:line="240" w:lineRule="auto"/>
    </w:pPr>
    <w:rPr>
      <w:rFonts w:ascii="Times New Roman" w:eastAsia="Times New Roman" w:hAnsi="Times New Roman" w:cs="Times New Roman"/>
      <w:sz w:val="24"/>
      <w:szCs w:val="24"/>
      <w:lang w:val="en-GB"/>
    </w:rPr>
  </w:style>
  <w:style w:type="paragraph" w:styleId="Title">
    <w:name w:val="Title"/>
    <w:basedOn w:val="Heading1NoNumb"/>
    <w:next w:val="Normal"/>
    <w:link w:val="TitleChar"/>
    <w:qFormat/>
    <w:rsid w:val="00833F24"/>
    <w:pPr>
      <w:keepLines w:val="0"/>
      <w:numPr>
        <w:numId w:val="0"/>
      </w:numPr>
      <w:tabs>
        <w:tab w:val="left" w:pos="504"/>
      </w:tabs>
      <w:spacing w:before="240" w:after="120"/>
      <w:jc w:val="center"/>
      <w:outlineLvl w:val="9"/>
    </w:pPr>
    <w:rPr>
      <w:rFonts w:ascii="Times New Roman" w:eastAsia="Times New Roman" w:hAnsi="Times New Roman"/>
      <w:bCs w:val="0"/>
      <w:caps/>
      <w:color w:val="auto"/>
      <w:sz w:val="24"/>
    </w:rPr>
  </w:style>
  <w:style w:type="character" w:customStyle="1" w:styleId="TitleChar">
    <w:name w:val="Title Char"/>
    <w:basedOn w:val="DefaultParagraphFont"/>
    <w:link w:val="Title"/>
    <w:rsid w:val="00833F24"/>
    <w:rPr>
      <w:rFonts w:ascii="Times New Roman" w:eastAsia="Times New Roman" w:hAnsi="Times New Roman" w:cs="Times New Roman"/>
      <w:b/>
      <w:caps/>
      <w:sz w:val="24"/>
      <w:szCs w:val="32"/>
      <w:lang w:val="en-US"/>
    </w:rPr>
  </w:style>
  <w:style w:type="paragraph" w:customStyle="1" w:styleId="TableNotes8">
    <w:name w:val="TableNotes8"/>
    <w:basedOn w:val="TableText9"/>
    <w:next w:val="Normal"/>
    <w:rsid w:val="00833F24"/>
  </w:style>
  <w:style w:type="paragraph" w:customStyle="1" w:styleId="FigureSource">
    <w:name w:val="FigureSource"/>
    <w:basedOn w:val="Normal"/>
    <w:next w:val="Normal"/>
    <w:rsid w:val="00833F24"/>
    <w:pPr>
      <w:spacing w:after="0" w:line="240" w:lineRule="auto"/>
    </w:pPr>
    <w:rPr>
      <w:rFonts w:ascii="Times New Roman" w:eastAsia="Times New Roman" w:hAnsi="Times New Roman" w:cs="Times New Roman"/>
      <w:sz w:val="20"/>
      <w:szCs w:val="24"/>
      <w:lang w:val="en-US"/>
    </w:rPr>
  </w:style>
  <w:style w:type="paragraph" w:customStyle="1" w:styleId="Bullet">
    <w:name w:val="Bullet"/>
    <w:basedOn w:val="Normal"/>
    <w:semiHidden/>
    <w:rsid w:val="00833F24"/>
    <w:pPr>
      <w:spacing w:before="120" w:after="120" w:line="240" w:lineRule="auto"/>
    </w:pPr>
    <w:rPr>
      <w:rFonts w:ascii="Times New Roman" w:eastAsia="Times New Roman" w:hAnsi="Times New Roman" w:cs="Times New Roman"/>
      <w:sz w:val="24"/>
      <w:szCs w:val="24"/>
      <w:lang w:val="en-US"/>
    </w:rPr>
  </w:style>
  <w:style w:type="paragraph" w:styleId="Caption">
    <w:name w:val="caption"/>
    <w:aliases w:val="MEL Caption,! Q,! Q "/>
    <w:basedOn w:val="Normal"/>
    <w:next w:val="Normal"/>
    <w:link w:val="CaptionChar"/>
    <w:qFormat/>
    <w:rsid w:val="00833F24"/>
    <w:pPr>
      <w:spacing w:before="120" w:after="120" w:line="240" w:lineRule="auto"/>
    </w:pPr>
    <w:rPr>
      <w:rFonts w:ascii="Times New Roman" w:eastAsia="Times New Roman" w:hAnsi="Times New Roman" w:cs="Times New Roman"/>
      <w:b/>
      <w:bCs/>
      <w:sz w:val="20"/>
      <w:szCs w:val="20"/>
      <w:lang w:val="en-US"/>
    </w:rPr>
  </w:style>
  <w:style w:type="paragraph" w:styleId="TableofFigures">
    <w:name w:val="table of figures"/>
    <w:basedOn w:val="Normal"/>
    <w:next w:val="Normal"/>
    <w:semiHidden/>
    <w:rsid w:val="00833F24"/>
    <w:pPr>
      <w:tabs>
        <w:tab w:val="left" w:pos="1008"/>
        <w:tab w:val="right" w:leader="dot" w:pos="9000"/>
      </w:tabs>
      <w:spacing w:after="0" w:line="240" w:lineRule="auto"/>
      <w:ind w:left="1008" w:hanging="1008"/>
    </w:pPr>
    <w:rPr>
      <w:rFonts w:ascii="Times New Roman" w:eastAsia="Times New Roman" w:hAnsi="Times New Roman" w:cs="Times New Roman"/>
      <w:b/>
      <w:color w:val="000000"/>
      <w:sz w:val="24"/>
      <w:szCs w:val="24"/>
      <w:lang w:val="en-US"/>
    </w:rPr>
  </w:style>
  <w:style w:type="numbering" w:styleId="111111">
    <w:name w:val="Outline List 2"/>
    <w:basedOn w:val="NoList"/>
    <w:rsid w:val="00833F24"/>
    <w:pPr>
      <w:numPr>
        <w:numId w:val="2"/>
      </w:numPr>
    </w:pPr>
  </w:style>
  <w:style w:type="numbering" w:styleId="1ai">
    <w:name w:val="Outline List 1"/>
    <w:basedOn w:val="NoList"/>
    <w:semiHidden/>
    <w:rsid w:val="00833F24"/>
    <w:pPr>
      <w:numPr>
        <w:numId w:val="3"/>
      </w:numPr>
    </w:pPr>
  </w:style>
  <w:style w:type="numbering" w:styleId="ArticleSection">
    <w:name w:val="Outline List 3"/>
    <w:basedOn w:val="NoList"/>
    <w:semiHidden/>
    <w:rsid w:val="00833F24"/>
    <w:pPr>
      <w:numPr>
        <w:numId w:val="4"/>
      </w:numPr>
    </w:pPr>
  </w:style>
  <w:style w:type="paragraph" w:styleId="BlockText">
    <w:name w:val="Block Text"/>
    <w:basedOn w:val="Normal"/>
    <w:semiHidden/>
    <w:rsid w:val="00833F24"/>
    <w:pPr>
      <w:spacing w:before="120" w:after="120" w:line="240" w:lineRule="auto"/>
      <w:ind w:left="1440" w:right="1440"/>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833F24"/>
    <w:pPr>
      <w:spacing w:before="120"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833F24"/>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833F24"/>
    <w:pPr>
      <w:spacing w:before="120"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833F24"/>
    <w:rPr>
      <w:rFonts w:ascii="Times New Roman" w:eastAsia="Times New Roman" w:hAnsi="Times New Roman" w:cs="Times New Roman"/>
      <w:sz w:val="24"/>
      <w:szCs w:val="24"/>
      <w:lang w:val="en-US"/>
    </w:rPr>
  </w:style>
  <w:style w:type="paragraph" w:styleId="BodyText3">
    <w:name w:val="Body Text 3"/>
    <w:basedOn w:val="Normal"/>
    <w:link w:val="BodyText3Char"/>
    <w:semiHidden/>
    <w:rsid w:val="00833F24"/>
    <w:pPr>
      <w:spacing w:before="120"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833F24"/>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semiHidden/>
    <w:rsid w:val="00833F24"/>
    <w:pPr>
      <w:ind w:firstLine="210"/>
    </w:pPr>
  </w:style>
  <w:style w:type="character" w:customStyle="1" w:styleId="BodyTextFirstIndentChar">
    <w:name w:val="Body Text First Indent Char"/>
    <w:basedOn w:val="BodyTextChar"/>
    <w:link w:val="BodyTextFirstIndent"/>
    <w:semiHidden/>
    <w:rsid w:val="00833F24"/>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833F24"/>
    <w:pPr>
      <w:spacing w:before="120"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833F24"/>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semiHidden/>
    <w:rsid w:val="00833F24"/>
    <w:pPr>
      <w:ind w:firstLine="210"/>
    </w:pPr>
  </w:style>
  <w:style w:type="character" w:customStyle="1" w:styleId="BodyTextFirstIndent2Char">
    <w:name w:val="Body Text First Indent 2 Char"/>
    <w:basedOn w:val="BodyTextIndentChar"/>
    <w:link w:val="BodyTextFirstIndent2"/>
    <w:semiHidden/>
    <w:rsid w:val="00833F2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rsid w:val="00833F24"/>
    <w:pPr>
      <w:spacing w:before="120"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833F24"/>
    <w:rPr>
      <w:rFonts w:ascii="Times New Roman" w:eastAsia="Times New Roman" w:hAnsi="Times New Roman" w:cs="Times New Roman"/>
      <w:sz w:val="24"/>
      <w:szCs w:val="24"/>
      <w:lang w:val="en-US"/>
    </w:rPr>
  </w:style>
  <w:style w:type="paragraph" w:styleId="BodyTextIndent3">
    <w:name w:val="Body Text Indent 3"/>
    <w:basedOn w:val="Normal"/>
    <w:link w:val="BodyTextIndent3Char"/>
    <w:semiHidden/>
    <w:rsid w:val="00833F24"/>
    <w:pPr>
      <w:spacing w:before="120"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semiHidden/>
    <w:rsid w:val="00833F24"/>
    <w:rPr>
      <w:rFonts w:ascii="Times New Roman" w:eastAsia="Times New Roman" w:hAnsi="Times New Roman" w:cs="Times New Roman"/>
      <w:sz w:val="16"/>
      <w:szCs w:val="16"/>
      <w:lang w:val="en-US"/>
    </w:rPr>
  </w:style>
  <w:style w:type="paragraph" w:styleId="Closing">
    <w:name w:val="Closing"/>
    <w:basedOn w:val="Normal"/>
    <w:link w:val="ClosingChar"/>
    <w:semiHidden/>
    <w:rsid w:val="00833F24"/>
    <w:pPr>
      <w:spacing w:before="120" w:after="120" w:line="240" w:lineRule="auto"/>
      <w:ind w:left="4252"/>
    </w:pPr>
    <w:rPr>
      <w:rFonts w:ascii="Times New Roman" w:eastAsia="Times New Roman" w:hAnsi="Times New Roman" w:cs="Times New Roman"/>
      <w:sz w:val="24"/>
      <w:szCs w:val="24"/>
      <w:lang w:val="en-US"/>
    </w:rPr>
  </w:style>
  <w:style w:type="character" w:customStyle="1" w:styleId="ClosingChar">
    <w:name w:val="Closing Char"/>
    <w:basedOn w:val="DefaultParagraphFont"/>
    <w:link w:val="Closing"/>
    <w:semiHidden/>
    <w:rsid w:val="00833F24"/>
    <w:rPr>
      <w:rFonts w:ascii="Times New Roman" w:eastAsia="Times New Roman" w:hAnsi="Times New Roman" w:cs="Times New Roman"/>
      <w:sz w:val="24"/>
      <w:szCs w:val="24"/>
      <w:lang w:val="en-US"/>
    </w:rPr>
  </w:style>
  <w:style w:type="paragraph" w:styleId="Date">
    <w:name w:val="Date"/>
    <w:basedOn w:val="Normal"/>
    <w:next w:val="Normal"/>
    <w:link w:val="DateChar"/>
    <w:semiHidden/>
    <w:rsid w:val="00833F24"/>
    <w:pPr>
      <w:spacing w:before="120" w:after="12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semiHidden/>
    <w:rsid w:val="00833F24"/>
    <w:rPr>
      <w:rFonts w:ascii="Times New Roman" w:eastAsia="Times New Roman" w:hAnsi="Times New Roman" w:cs="Times New Roman"/>
      <w:sz w:val="24"/>
      <w:szCs w:val="24"/>
      <w:lang w:val="en-US"/>
    </w:rPr>
  </w:style>
  <w:style w:type="paragraph" w:styleId="E-mailSignature">
    <w:name w:val="E-mail Signature"/>
    <w:basedOn w:val="Normal"/>
    <w:link w:val="E-mailSignatureChar"/>
    <w:semiHidden/>
    <w:rsid w:val="00833F24"/>
    <w:pPr>
      <w:spacing w:before="120" w:after="120" w:line="240" w:lineRule="auto"/>
    </w:pPr>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semiHidden/>
    <w:rsid w:val="00833F24"/>
    <w:rPr>
      <w:rFonts w:ascii="Times New Roman" w:eastAsia="Times New Roman" w:hAnsi="Times New Roman" w:cs="Times New Roman"/>
      <w:sz w:val="24"/>
      <w:szCs w:val="24"/>
      <w:lang w:val="en-US"/>
    </w:rPr>
  </w:style>
  <w:style w:type="paragraph" w:styleId="EnvelopeAddress">
    <w:name w:val="envelope address"/>
    <w:basedOn w:val="Normal"/>
    <w:semiHidden/>
    <w:rsid w:val="00833F24"/>
    <w:pPr>
      <w:framePr w:w="7920" w:h="1980" w:hRule="exact" w:hSpace="180" w:wrap="auto" w:hAnchor="page" w:xAlign="center" w:yAlign="bottom"/>
      <w:spacing w:before="120" w:after="120" w:line="240" w:lineRule="auto"/>
      <w:ind w:left="2880"/>
    </w:pPr>
    <w:rPr>
      <w:rFonts w:ascii="Times New Roman" w:eastAsia="Times New Roman" w:hAnsi="Times New Roman" w:cs="Times New Roman"/>
      <w:sz w:val="24"/>
      <w:szCs w:val="24"/>
      <w:lang w:val="en-US"/>
    </w:rPr>
  </w:style>
  <w:style w:type="paragraph" w:styleId="EnvelopeReturn">
    <w:name w:val="envelope return"/>
    <w:basedOn w:val="Normal"/>
    <w:semiHidden/>
    <w:rsid w:val="00833F24"/>
    <w:pPr>
      <w:spacing w:before="120" w:after="120" w:line="240" w:lineRule="auto"/>
    </w:pPr>
    <w:rPr>
      <w:rFonts w:ascii="Times New Roman" w:eastAsia="Times New Roman" w:hAnsi="Times New Roman" w:cs="Times New Roman"/>
      <w:sz w:val="20"/>
      <w:szCs w:val="20"/>
      <w:lang w:val="en-US"/>
    </w:rPr>
  </w:style>
  <w:style w:type="character" w:styleId="HTMLAcronym">
    <w:name w:val="HTML Acronym"/>
    <w:basedOn w:val="DefaultParagraphFont"/>
    <w:semiHidden/>
    <w:rsid w:val="00833F24"/>
  </w:style>
  <w:style w:type="paragraph" w:styleId="HTMLAddress">
    <w:name w:val="HTML Address"/>
    <w:basedOn w:val="Normal"/>
    <w:link w:val="HTMLAddressChar"/>
    <w:semiHidden/>
    <w:rsid w:val="00833F24"/>
    <w:pPr>
      <w:spacing w:before="120" w:after="12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semiHidden/>
    <w:rsid w:val="00833F24"/>
    <w:rPr>
      <w:rFonts w:ascii="Times New Roman" w:eastAsia="Times New Roman" w:hAnsi="Times New Roman" w:cs="Times New Roman"/>
      <w:i/>
      <w:iCs/>
      <w:sz w:val="24"/>
      <w:szCs w:val="24"/>
      <w:lang w:val="en-US"/>
    </w:rPr>
  </w:style>
  <w:style w:type="character" w:styleId="HTMLCite">
    <w:name w:val="HTML Cite"/>
    <w:semiHidden/>
    <w:rsid w:val="00833F24"/>
    <w:rPr>
      <w:i/>
      <w:iCs/>
    </w:rPr>
  </w:style>
  <w:style w:type="character" w:styleId="HTMLCode">
    <w:name w:val="HTML Code"/>
    <w:semiHidden/>
    <w:rsid w:val="00833F24"/>
    <w:rPr>
      <w:rFonts w:ascii="Courier New" w:hAnsi="Courier New" w:cs="Courier New"/>
      <w:sz w:val="20"/>
      <w:szCs w:val="20"/>
    </w:rPr>
  </w:style>
  <w:style w:type="character" w:styleId="HTMLDefinition">
    <w:name w:val="HTML Definition"/>
    <w:semiHidden/>
    <w:rsid w:val="00833F24"/>
    <w:rPr>
      <w:i/>
      <w:iCs/>
    </w:rPr>
  </w:style>
  <w:style w:type="character" w:styleId="HTMLKeyboard">
    <w:name w:val="HTML Keyboard"/>
    <w:semiHidden/>
    <w:rsid w:val="00833F24"/>
    <w:rPr>
      <w:rFonts w:ascii="Courier New" w:hAnsi="Courier New" w:cs="Courier New"/>
      <w:sz w:val="20"/>
      <w:szCs w:val="20"/>
    </w:rPr>
  </w:style>
  <w:style w:type="paragraph" w:styleId="HTMLPreformatted">
    <w:name w:val="HTML Preformatted"/>
    <w:basedOn w:val="Normal"/>
    <w:link w:val="HTMLPreformattedChar"/>
    <w:semiHidden/>
    <w:rsid w:val="00833F24"/>
    <w:pPr>
      <w:spacing w:before="120" w:after="12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833F24"/>
    <w:rPr>
      <w:rFonts w:ascii="Courier New" w:eastAsia="Times New Roman" w:hAnsi="Courier New" w:cs="Courier New"/>
      <w:sz w:val="20"/>
      <w:szCs w:val="20"/>
      <w:lang w:val="en-US"/>
    </w:rPr>
  </w:style>
  <w:style w:type="character" w:styleId="HTMLSample">
    <w:name w:val="HTML Sample"/>
    <w:semiHidden/>
    <w:rsid w:val="00833F24"/>
    <w:rPr>
      <w:rFonts w:ascii="Courier New" w:hAnsi="Courier New" w:cs="Courier New"/>
    </w:rPr>
  </w:style>
  <w:style w:type="character" w:styleId="HTMLTypewriter">
    <w:name w:val="HTML Typewriter"/>
    <w:semiHidden/>
    <w:rsid w:val="00833F24"/>
    <w:rPr>
      <w:rFonts w:ascii="Courier New" w:hAnsi="Courier New" w:cs="Courier New"/>
      <w:sz w:val="20"/>
      <w:szCs w:val="20"/>
    </w:rPr>
  </w:style>
  <w:style w:type="character" w:styleId="HTMLVariable">
    <w:name w:val="HTML Variable"/>
    <w:semiHidden/>
    <w:rsid w:val="00833F24"/>
    <w:rPr>
      <w:i/>
      <w:iCs/>
    </w:rPr>
  </w:style>
  <w:style w:type="character" w:styleId="LineNumber">
    <w:name w:val="line number"/>
    <w:basedOn w:val="DefaultParagraphFont"/>
    <w:semiHidden/>
    <w:rsid w:val="00833F24"/>
  </w:style>
  <w:style w:type="paragraph" w:styleId="List">
    <w:name w:val="List"/>
    <w:basedOn w:val="Normal"/>
    <w:semiHidden/>
    <w:rsid w:val="00833F24"/>
    <w:pPr>
      <w:spacing w:before="120" w:after="120" w:line="240" w:lineRule="auto"/>
      <w:ind w:left="283" w:hanging="283"/>
    </w:pPr>
    <w:rPr>
      <w:rFonts w:ascii="Times New Roman" w:eastAsia="Times New Roman" w:hAnsi="Times New Roman" w:cs="Times New Roman"/>
      <w:sz w:val="24"/>
      <w:szCs w:val="24"/>
      <w:lang w:val="en-US"/>
    </w:rPr>
  </w:style>
  <w:style w:type="paragraph" w:styleId="List20">
    <w:name w:val="List 2"/>
    <w:basedOn w:val="Normal"/>
    <w:semiHidden/>
    <w:rsid w:val="00833F24"/>
    <w:pPr>
      <w:spacing w:before="120" w:after="120" w:line="240" w:lineRule="auto"/>
      <w:ind w:left="566" w:hanging="283"/>
    </w:pPr>
    <w:rPr>
      <w:rFonts w:ascii="Times New Roman" w:eastAsia="Times New Roman" w:hAnsi="Times New Roman" w:cs="Times New Roman"/>
      <w:sz w:val="24"/>
      <w:szCs w:val="24"/>
      <w:lang w:val="en-US"/>
    </w:rPr>
  </w:style>
  <w:style w:type="paragraph" w:styleId="List30">
    <w:name w:val="List 3"/>
    <w:basedOn w:val="Normal"/>
    <w:semiHidden/>
    <w:rsid w:val="00833F24"/>
    <w:pPr>
      <w:spacing w:before="120" w:after="120" w:line="240" w:lineRule="auto"/>
      <w:ind w:left="849" w:hanging="283"/>
    </w:pPr>
    <w:rPr>
      <w:rFonts w:ascii="Times New Roman" w:eastAsia="Times New Roman" w:hAnsi="Times New Roman" w:cs="Times New Roman"/>
      <w:sz w:val="24"/>
      <w:szCs w:val="24"/>
      <w:lang w:val="en-US"/>
    </w:rPr>
  </w:style>
  <w:style w:type="paragraph" w:styleId="List40">
    <w:name w:val="List 4"/>
    <w:basedOn w:val="Normal"/>
    <w:semiHidden/>
    <w:rsid w:val="00833F24"/>
    <w:pPr>
      <w:spacing w:before="120" w:after="120" w:line="240" w:lineRule="auto"/>
      <w:ind w:left="1132" w:hanging="283"/>
    </w:pPr>
    <w:rPr>
      <w:rFonts w:ascii="Times New Roman" w:eastAsia="Times New Roman" w:hAnsi="Times New Roman" w:cs="Times New Roman"/>
      <w:sz w:val="24"/>
      <w:szCs w:val="24"/>
      <w:lang w:val="en-US"/>
    </w:rPr>
  </w:style>
  <w:style w:type="paragraph" w:styleId="List5">
    <w:name w:val="List 5"/>
    <w:basedOn w:val="Normal"/>
    <w:semiHidden/>
    <w:rsid w:val="00833F24"/>
    <w:pPr>
      <w:spacing w:before="120" w:after="120" w:line="240" w:lineRule="auto"/>
      <w:ind w:left="1415" w:hanging="283"/>
    </w:pPr>
    <w:rPr>
      <w:rFonts w:ascii="Times New Roman" w:eastAsia="Times New Roman" w:hAnsi="Times New Roman" w:cs="Times New Roman"/>
      <w:sz w:val="24"/>
      <w:szCs w:val="24"/>
      <w:lang w:val="en-US"/>
    </w:rPr>
  </w:style>
  <w:style w:type="paragraph" w:styleId="ListBullet2">
    <w:name w:val="List Bullet 2"/>
    <w:basedOn w:val="Normal"/>
    <w:semiHidden/>
    <w:rsid w:val="00833F24"/>
    <w:pPr>
      <w:tabs>
        <w:tab w:val="num" w:pos="643"/>
      </w:tabs>
      <w:spacing w:before="120" w:after="120" w:line="240" w:lineRule="auto"/>
      <w:ind w:left="643" w:hanging="360"/>
    </w:pPr>
    <w:rPr>
      <w:rFonts w:ascii="Times New Roman" w:eastAsia="Times New Roman" w:hAnsi="Times New Roman" w:cs="Times New Roman"/>
      <w:sz w:val="24"/>
      <w:szCs w:val="24"/>
      <w:lang w:val="en-US"/>
    </w:rPr>
  </w:style>
  <w:style w:type="paragraph" w:styleId="ListBullet3">
    <w:name w:val="List Bullet 3"/>
    <w:basedOn w:val="Normal"/>
    <w:semiHidden/>
    <w:rsid w:val="00833F24"/>
    <w:pPr>
      <w:tabs>
        <w:tab w:val="num" w:pos="926"/>
      </w:tabs>
      <w:spacing w:before="120" w:after="120" w:line="240" w:lineRule="auto"/>
      <w:ind w:left="926" w:hanging="360"/>
    </w:pPr>
    <w:rPr>
      <w:rFonts w:ascii="Times New Roman" w:eastAsia="Times New Roman" w:hAnsi="Times New Roman" w:cs="Times New Roman"/>
      <w:sz w:val="24"/>
      <w:szCs w:val="24"/>
      <w:lang w:val="en-US"/>
    </w:rPr>
  </w:style>
  <w:style w:type="paragraph" w:styleId="ListBullet4">
    <w:name w:val="List Bullet 4"/>
    <w:basedOn w:val="Normal"/>
    <w:semiHidden/>
    <w:rsid w:val="00833F24"/>
    <w:pPr>
      <w:tabs>
        <w:tab w:val="num" w:pos="1209"/>
      </w:tabs>
      <w:spacing w:before="120" w:after="120" w:line="240" w:lineRule="auto"/>
      <w:ind w:left="1209" w:hanging="360"/>
    </w:pPr>
    <w:rPr>
      <w:rFonts w:ascii="Times New Roman" w:eastAsia="Times New Roman" w:hAnsi="Times New Roman" w:cs="Times New Roman"/>
      <w:sz w:val="24"/>
      <w:szCs w:val="24"/>
      <w:lang w:val="en-US"/>
    </w:rPr>
  </w:style>
  <w:style w:type="paragraph" w:styleId="ListBullet5">
    <w:name w:val="List Bullet 5"/>
    <w:basedOn w:val="Normal"/>
    <w:semiHidden/>
    <w:rsid w:val="00833F24"/>
    <w:pPr>
      <w:tabs>
        <w:tab w:val="num" w:pos="1492"/>
      </w:tabs>
      <w:spacing w:before="120" w:after="120" w:line="240" w:lineRule="auto"/>
      <w:ind w:left="1492" w:hanging="360"/>
    </w:pPr>
    <w:rPr>
      <w:rFonts w:ascii="Times New Roman" w:eastAsia="Times New Roman" w:hAnsi="Times New Roman" w:cs="Times New Roman"/>
      <w:sz w:val="24"/>
      <w:szCs w:val="24"/>
      <w:lang w:val="en-US"/>
    </w:rPr>
  </w:style>
  <w:style w:type="paragraph" w:styleId="ListContinue">
    <w:name w:val="List Continue"/>
    <w:basedOn w:val="Normal"/>
    <w:semiHidden/>
    <w:rsid w:val="00833F24"/>
    <w:pPr>
      <w:spacing w:before="120" w:after="120" w:line="240" w:lineRule="auto"/>
      <w:ind w:left="283"/>
    </w:pPr>
    <w:rPr>
      <w:rFonts w:ascii="Times New Roman" w:eastAsia="Times New Roman" w:hAnsi="Times New Roman" w:cs="Times New Roman"/>
      <w:sz w:val="24"/>
      <w:szCs w:val="24"/>
      <w:lang w:val="en-US"/>
    </w:rPr>
  </w:style>
  <w:style w:type="paragraph" w:styleId="ListContinue2">
    <w:name w:val="List Continue 2"/>
    <w:basedOn w:val="Normal"/>
    <w:semiHidden/>
    <w:rsid w:val="00833F24"/>
    <w:pPr>
      <w:spacing w:before="120" w:after="120" w:line="240" w:lineRule="auto"/>
      <w:ind w:left="566"/>
    </w:pPr>
    <w:rPr>
      <w:rFonts w:ascii="Times New Roman" w:eastAsia="Times New Roman" w:hAnsi="Times New Roman" w:cs="Times New Roman"/>
      <w:sz w:val="24"/>
      <w:szCs w:val="24"/>
      <w:lang w:val="en-US"/>
    </w:rPr>
  </w:style>
  <w:style w:type="paragraph" w:styleId="ListContinue3">
    <w:name w:val="List Continue 3"/>
    <w:basedOn w:val="Normal"/>
    <w:semiHidden/>
    <w:rsid w:val="00833F24"/>
    <w:pPr>
      <w:spacing w:before="120" w:after="120" w:line="240" w:lineRule="auto"/>
      <w:ind w:left="849"/>
    </w:pPr>
    <w:rPr>
      <w:rFonts w:ascii="Times New Roman" w:eastAsia="Times New Roman" w:hAnsi="Times New Roman" w:cs="Times New Roman"/>
      <w:sz w:val="24"/>
      <w:szCs w:val="24"/>
      <w:lang w:val="en-US"/>
    </w:rPr>
  </w:style>
  <w:style w:type="paragraph" w:styleId="ListContinue4">
    <w:name w:val="List Continue 4"/>
    <w:basedOn w:val="Normal"/>
    <w:semiHidden/>
    <w:rsid w:val="00833F24"/>
    <w:pPr>
      <w:spacing w:before="120" w:after="120" w:line="240" w:lineRule="auto"/>
      <w:ind w:left="1132"/>
    </w:pPr>
    <w:rPr>
      <w:rFonts w:ascii="Times New Roman" w:eastAsia="Times New Roman" w:hAnsi="Times New Roman" w:cs="Times New Roman"/>
      <w:sz w:val="24"/>
      <w:szCs w:val="24"/>
      <w:lang w:val="en-US"/>
    </w:rPr>
  </w:style>
  <w:style w:type="paragraph" w:styleId="ListContinue5">
    <w:name w:val="List Continue 5"/>
    <w:basedOn w:val="Normal"/>
    <w:semiHidden/>
    <w:rsid w:val="00833F24"/>
    <w:pPr>
      <w:spacing w:before="120" w:after="120" w:line="240" w:lineRule="auto"/>
      <w:ind w:left="1415"/>
    </w:pPr>
    <w:rPr>
      <w:rFonts w:ascii="Times New Roman" w:eastAsia="Times New Roman" w:hAnsi="Times New Roman" w:cs="Times New Roman"/>
      <w:sz w:val="24"/>
      <w:szCs w:val="24"/>
      <w:lang w:val="en-US"/>
    </w:rPr>
  </w:style>
  <w:style w:type="paragraph" w:styleId="ListNumber">
    <w:name w:val="List Number"/>
    <w:basedOn w:val="Normal"/>
    <w:semiHidden/>
    <w:rsid w:val="00833F24"/>
    <w:pPr>
      <w:tabs>
        <w:tab w:val="num" w:pos="360"/>
      </w:tabs>
      <w:spacing w:before="120" w:after="120" w:line="240" w:lineRule="auto"/>
      <w:ind w:left="360" w:hanging="360"/>
    </w:pPr>
    <w:rPr>
      <w:rFonts w:ascii="Times New Roman" w:eastAsia="Times New Roman" w:hAnsi="Times New Roman" w:cs="Times New Roman"/>
      <w:sz w:val="24"/>
      <w:szCs w:val="24"/>
      <w:lang w:val="en-US"/>
    </w:rPr>
  </w:style>
  <w:style w:type="paragraph" w:styleId="ListNumber2">
    <w:name w:val="List Number 2"/>
    <w:basedOn w:val="Normal"/>
    <w:semiHidden/>
    <w:rsid w:val="00833F24"/>
    <w:pPr>
      <w:tabs>
        <w:tab w:val="num" w:pos="643"/>
      </w:tabs>
      <w:spacing w:before="120" w:after="120" w:line="240" w:lineRule="auto"/>
      <w:ind w:left="643" w:hanging="360"/>
    </w:pPr>
    <w:rPr>
      <w:rFonts w:ascii="Times New Roman" w:eastAsia="Times New Roman" w:hAnsi="Times New Roman" w:cs="Times New Roman"/>
      <w:sz w:val="24"/>
      <w:szCs w:val="24"/>
      <w:lang w:val="en-US"/>
    </w:rPr>
  </w:style>
  <w:style w:type="paragraph" w:styleId="ListNumber3">
    <w:name w:val="List Number 3"/>
    <w:basedOn w:val="Normal"/>
    <w:semiHidden/>
    <w:rsid w:val="00833F24"/>
    <w:pPr>
      <w:tabs>
        <w:tab w:val="num" w:pos="926"/>
      </w:tabs>
      <w:spacing w:before="120" w:after="120" w:line="240" w:lineRule="auto"/>
      <w:ind w:left="926" w:hanging="360"/>
    </w:pPr>
    <w:rPr>
      <w:rFonts w:ascii="Times New Roman" w:eastAsia="Times New Roman" w:hAnsi="Times New Roman" w:cs="Times New Roman"/>
      <w:sz w:val="24"/>
      <w:szCs w:val="24"/>
      <w:lang w:val="en-US"/>
    </w:rPr>
  </w:style>
  <w:style w:type="paragraph" w:styleId="ListNumber4">
    <w:name w:val="List Number 4"/>
    <w:basedOn w:val="Normal"/>
    <w:semiHidden/>
    <w:rsid w:val="00833F24"/>
    <w:pPr>
      <w:tabs>
        <w:tab w:val="num" w:pos="1209"/>
      </w:tabs>
      <w:spacing w:before="120" w:after="120" w:line="240" w:lineRule="auto"/>
      <w:ind w:left="1209" w:hanging="360"/>
    </w:pPr>
    <w:rPr>
      <w:rFonts w:ascii="Times New Roman" w:eastAsia="Times New Roman" w:hAnsi="Times New Roman" w:cs="Times New Roman"/>
      <w:sz w:val="24"/>
      <w:szCs w:val="24"/>
      <w:lang w:val="en-US"/>
    </w:rPr>
  </w:style>
  <w:style w:type="paragraph" w:styleId="ListNumber5">
    <w:name w:val="List Number 5"/>
    <w:basedOn w:val="Normal"/>
    <w:semiHidden/>
    <w:rsid w:val="00833F24"/>
    <w:pPr>
      <w:tabs>
        <w:tab w:val="num" w:pos="1492"/>
      </w:tabs>
      <w:spacing w:before="120" w:after="120" w:line="240" w:lineRule="auto"/>
      <w:ind w:left="1492" w:hanging="360"/>
    </w:pPr>
    <w:rPr>
      <w:rFonts w:ascii="Times New Roman" w:eastAsia="Times New Roman" w:hAnsi="Times New Roman" w:cs="Times New Roman"/>
      <w:sz w:val="24"/>
      <w:szCs w:val="24"/>
      <w:lang w:val="en-US"/>
    </w:rPr>
  </w:style>
  <w:style w:type="paragraph" w:styleId="MessageHeader">
    <w:name w:val="Message Header"/>
    <w:basedOn w:val="Normal"/>
    <w:link w:val="MessageHeaderChar"/>
    <w:semiHidden/>
    <w:rsid w:val="00833F2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pPr>
    <w:rPr>
      <w:rFonts w:ascii="Times New Roman" w:eastAsia="Times New Roman" w:hAnsi="Times New Roman" w:cs="Times New Roman"/>
      <w:sz w:val="24"/>
      <w:szCs w:val="24"/>
      <w:lang w:val="en-US"/>
    </w:rPr>
  </w:style>
  <w:style w:type="character" w:customStyle="1" w:styleId="MessageHeaderChar">
    <w:name w:val="Message Header Char"/>
    <w:basedOn w:val="DefaultParagraphFont"/>
    <w:link w:val="MessageHeader"/>
    <w:semiHidden/>
    <w:rsid w:val="00833F24"/>
    <w:rPr>
      <w:rFonts w:ascii="Times New Roman" w:eastAsia="Times New Roman" w:hAnsi="Times New Roman" w:cs="Times New Roman"/>
      <w:sz w:val="24"/>
      <w:szCs w:val="24"/>
      <w:shd w:val="pct20" w:color="auto" w:fill="auto"/>
      <w:lang w:val="en-US"/>
    </w:rPr>
  </w:style>
  <w:style w:type="paragraph" w:styleId="NormalWeb">
    <w:name w:val="Normal (Web)"/>
    <w:basedOn w:val="Normal"/>
    <w:semiHidden/>
    <w:rsid w:val="00833F24"/>
    <w:pPr>
      <w:spacing w:before="120" w:after="120" w:line="240" w:lineRule="auto"/>
    </w:pPr>
    <w:rPr>
      <w:rFonts w:ascii="Times New Roman" w:eastAsia="Times New Roman" w:hAnsi="Times New Roman" w:cs="Times New Roman"/>
      <w:sz w:val="24"/>
      <w:szCs w:val="24"/>
      <w:lang w:val="en-US"/>
    </w:rPr>
  </w:style>
  <w:style w:type="paragraph" w:styleId="NormalIndent">
    <w:name w:val="Normal Indent"/>
    <w:basedOn w:val="Normal"/>
    <w:semiHidden/>
    <w:rsid w:val="00833F24"/>
    <w:pPr>
      <w:spacing w:before="120" w:after="120" w:line="240" w:lineRule="auto"/>
      <w:ind w:left="720"/>
    </w:pPr>
    <w:rPr>
      <w:rFonts w:ascii="Times New Roman" w:eastAsia="Times New Roman" w:hAnsi="Times New Roman" w:cs="Times New Roman"/>
      <w:sz w:val="24"/>
      <w:szCs w:val="24"/>
      <w:lang w:val="en-US"/>
    </w:rPr>
  </w:style>
  <w:style w:type="paragraph" w:styleId="NoteHeading">
    <w:name w:val="Note Heading"/>
    <w:basedOn w:val="Normal"/>
    <w:next w:val="Normal"/>
    <w:link w:val="NoteHeadingChar"/>
    <w:semiHidden/>
    <w:rsid w:val="00833F24"/>
    <w:pPr>
      <w:spacing w:before="120" w:after="120" w:line="240" w:lineRule="auto"/>
    </w:pPr>
    <w:rPr>
      <w:rFonts w:ascii="Times New Roman" w:eastAsia="Times New Roman" w:hAnsi="Times New Roman" w:cs="Times New Roman"/>
      <w:sz w:val="24"/>
      <w:szCs w:val="24"/>
      <w:lang w:val="en-US"/>
    </w:rPr>
  </w:style>
  <w:style w:type="character" w:customStyle="1" w:styleId="NoteHeadingChar">
    <w:name w:val="Note Heading Char"/>
    <w:basedOn w:val="DefaultParagraphFont"/>
    <w:link w:val="NoteHeading"/>
    <w:semiHidden/>
    <w:rsid w:val="00833F24"/>
    <w:rPr>
      <w:rFonts w:ascii="Times New Roman" w:eastAsia="Times New Roman" w:hAnsi="Times New Roman" w:cs="Times New Roman"/>
      <w:sz w:val="24"/>
      <w:szCs w:val="24"/>
      <w:lang w:val="en-US"/>
    </w:rPr>
  </w:style>
  <w:style w:type="character" w:styleId="PageNumber">
    <w:name w:val="page number"/>
    <w:basedOn w:val="DefaultParagraphFont"/>
    <w:semiHidden/>
    <w:rsid w:val="00833F24"/>
  </w:style>
  <w:style w:type="paragraph" w:styleId="PlainText">
    <w:name w:val="Plain Text"/>
    <w:basedOn w:val="Normal"/>
    <w:link w:val="PlainTextChar"/>
    <w:semiHidden/>
    <w:rsid w:val="00833F24"/>
    <w:pPr>
      <w:spacing w:before="120" w:after="12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833F24"/>
    <w:rPr>
      <w:rFonts w:ascii="Courier New" w:eastAsia="Times New Roman" w:hAnsi="Courier New" w:cs="Courier New"/>
      <w:sz w:val="20"/>
      <w:szCs w:val="20"/>
      <w:lang w:val="en-US"/>
    </w:rPr>
  </w:style>
  <w:style w:type="paragraph" w:styleId="Salutation">
    <w:name w:val="Salutation"/>
    <w:basedOn w:val="Normal"/>
    <w:next w:val="Normal"/>
    <w:link w:val="SalutationChar"/>
    <w:semiHidden/>
    <w:rsid w:val="00833F24"/>
    <w:pPr>
      <w:spacing w:before="120" w:after="120" w:line="240" w:lineRule="auto"/>
    </w:pPr>
    <w:rPr>
      <w:rFonts w:ascii="Times New Roman" w:eastAsia="Times New Roman" w:hAnsi="Times New Roman" w:cs="Times New Roman"/>
      <w:sz w:val="24"/>
      <w:szCs w:val="24"/>
      <w:lang w:val="en-US"/>
    </w:rPr>
  </w:style>
  <w:style w:type="character" w:customStyle="1" w:styleId="SalutationChar">
    <w:name w:val="Salutation Char"/>
    <w:basedOn w:val="DefaultParagraphFont"/>
    <w:link w:val="Salutation"/>
    <w:semiHidden/>
    <w:rsid w:val="00833F24"/>
    <w:rPr>
      <w:rFonts w:ascii="Times New Roman" w:eastAsia="Times New Roman" w:hAnsi="Times New Roman" w:cs="Times New Roman"/>
      <w:sz w:val="24"/>
      <w:szCs w:val="24"/>
      <w:lang w:val="en-US"/>
    </w:rPr>
  </w:style>
  <w:style w:type="paragraph" w:styleId="Signature">
    <w:name w:val="Signature"/>
    <w:basedOn w:val="Normal"/>
    <w:link w:val="SignatureChar"/>
    <w:semiHidden/>
    <w:rsid w:val="00833F24"/>
    <w:pPr>
      <w:spacing w:before="120" w:after="120" w:line="240" w:lineRule="auto"/>
      <w:ind w:left="4252"/>
    </w:pPr>
    <w:rPr>
      <w:rFonts w:ascii="Times New Roman" w:eastAsia="Times New Roman" w:hAnsi="Times New Roman" w:cs="Times New Roman"/>
      <w:sz w:val="24"/>
      <w:szCs w:val="24"/>
      <w:lang w:val="en-US"/>
    </w:rPr>
  </w:style>
  <w:style w:type="character" w:customStyle="1" w:styleId="SignatureChar">
    <w:name w:val="Signature Char"/>
    <w:basedOn w:val="DefaultParagraphFont"/>
    <w:link w:val="Signature"/>
    <w:semiHidden/>
    <w:rsid w:val="00833F24"/>
    <w:rPr>
      <w:rFonts w:ascii="Times New Roman" w:eastAsia="Times New Roman" w:hAnsi="Times New Roman" w:cs="Times New Roman"/>
      <w:sz w:val="24"/>
      <w:szCs w:val="24"/>
      <w:lang w:val="en-US"/>
    </w:rPr>
  </w:style>
  <w:style w:type="paragraph" w:styleId="Subtitle">
    <w:name w:val="Subtitle"/>
    <w:basedOn w:val="Normal"/>
    <w:link w:val="SubtitleChar"/>
    <w:qFormat/>
    <w:rsid w:val="00833F24"/>
    <w:pPr>
      <w:spacing w:before="120" w:after="60" w:line="240" w:lineRule="auto"/>
      <w:jc w:val="center"/>
      <w:outlineLvl w:val="1"/>
    </w:pPr>
    <w:rPr>
      <w:rFonts w:ascii="Times New Roman" w:eastAsia="Times New Roman" w:hAnsi="Times New Roman" w:cs="Times New Roman"/>
      <w:sz w:val="24"/>
      <w:szCs w:val="24"/>
      <w:lang w:val="en-US"/>
    </w:rPr>
  </w:style>
  <w:style w:type="character" w:customStyle="1" w:styleId="SubtitleChar">
    <w:name w:val="Subtitle Char"/>
    <w:basedOn w:val="DefaultParagraphFont"/>
    <w:link w:val="Subtitle"/>
    <w:rsid w:val="00833F24"/>
    <w:rPr>
      <w:rFonts w:ascii="Times New Roman" w:eastAsia="Times New Roman" w:hAnsi="Times New Roman" w:cs="Times New Roman"/>
      <w:sz w:val="24"/>
      <w:szCs w:val="24"/>
      <w:lang w:val="en-US"/>
    </w:rPr>
  </w:style>
  <w:style w:type="table" w:styleId="Table3Deffects1">
    <w:name w:val="Table 3D effects 1"/>
    <w:basedOn w:val="TableNormal"/>
    <w:semiHidden/>
    <w:rsid w:val="00833F24"/>
    <w:pPr>
      <w:spacing w:before="120" w:after="12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3F24"/>
    <w:pPr>
      <w:spacing w:before="120" w:after="12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3F24"/>
    <w:pPr>
      <w:spacing w:before="120" w:after="12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3F24"/>
    <w:pPr>
      <w:spacing w:before="120" w:after="12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3F24"/>
    <w:pPr>
      <w:spacing w:before="120" w:after="12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3F24"/>
    <w:pPr>
      <w:spacing w:before="120" w:after="12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3F24"/>
    <w:pPr>
      <w:spacing w:before="120" w:after="12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3F24"/>
    <w:pPr>
      <w:spacing w:before="120" w:after="12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NormalSingleNoSpaceCentered">
    <w:name w:val="Style NormalSingleNoSpace + Centered"/>
    <w:basedOn w:val="NormalSingleNoSpace"/>
    <w:rsid w:val="00833F24"/>
    <w:pPr>
      <w:jc w:val="center"/>
    </w:pPr>
    <w:rPr>
      <w:szCs w:val="20"/>
      <w:lang w:val="en-US"/>
    </w:rPr>
  </w:style>
  <w:style w:type="paragraph" w:customStyle="1" w:styleId="Bibliography1">
    <w:name w:val="Bibliography1"/>
    <w:basedOn w:val="Normal"/>
    <w:next w:val="Normal"/>
    <w:uiPriority w:val="37"/>
    <w:semiHidden/>
    <w:unhideWhenUsed/>
    <w:rsid w:val="00833F24"/>
    <w:pPr>
      <w:spacing w:before="120" w:after="120" w:line="240" w:lineRule="auto"/>
    </w:pPr>
    <w:rPr>
      <w:rFonts w:ascii="Times New Roman" w:eastAsia="Times New Roman" w:hAnsi="Times New Roman" w:cs="Times New Roman"/>
      <w:sz w:val="24"/>
      <w:szCs w:val="24"/>
      <w:lang w:val="en-US"/>
    </w:rPr>
  </w:style>
  <w:style w:type="character" w:customStyle="1" w:styleId="BookTitle1">
    <w:name w:val="Book Title1"/>
    <w:uiPriority w:val="33"/>
    <w:qFormat/>
    <w:rsid w:val="00833F24"/>
    <w:rPr>
      <w:rFonts w:ascii="Times New Roman" w:hAnsi="Times New Roman" w:cs="Times New Roman"/>
      <w:b/>
      <w:bCs/>
      <w:smallCaps/>
      <w:spacing w:val="5"/>
    </w:rPr>
  </w:style>
  <w:style w:type="table" w:customStyle="1" w:styleId="ColorfulGrid1">
    <w:name w:val="Colorful Grid1"/>
    <w:basedOn w:val="TableNormal"/>
    <w:uiPriority w:val="73"/>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uiPriority w:val="73"/>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uiPriority w:val="73"/>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uiPriority w:val="73"/>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uiPriority w:val="73"/>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uiPriority w:val="73"/>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uiPriority w:val="72"/>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uiPriority w:val="72"/>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uiPriority w:val="72"/>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uiPriority w:val="72"/>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uiPriority w:val="72"/>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uiPriority w:val="71"/>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uiPriority w:val="71"/>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uiPriority w:val="71"/>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uiPriority w:val="71"/>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uiPriority w:val="71"/>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uiPriority w:val="71"/>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833F24"/>
    <w:pPr>
      <w:spacing w:before="120" w:after="12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833F24"/>
    <w:rPr>
      <w:rFonts w:ascii="Times New Roman" w:eastAsia="Times New Roman" w:hAnsi="Times New Roman" w:cs="Times New Roman"/>
      <w:b/>
      <w:bCs/>
      <w:sz w:val="20"/>
      <w:szCs w:val="20"/>
      <w:lang w:val="en-US"/>
    </w:rPr>
  </w:style>
  <w:style w:type="table" w:customStyle="1" w:styleId="DarkList1">
    <w:name w:val="Dark List1"/>
    <w:basedOn w:val="TableNormal"/>
    <w:uiPriority w:val="70"/>
    <w:rsid w:val="00833F2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uiPriority w:val="70"/>
    <w:rsid w:val="00833F2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uiPriority w:val="70"/>
    <w:rsid w:val="00833F2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uiPriority w:val="70"/>
    <w:rsid w:val="00833F2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uiPriority w:val="70"/>
    <w:rsid w:val="00833F2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uiPriority w:val="70"/>
    <w:rsid w:val="00833F2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uiPriority w:val="70"/>
    <w:rsid w:val="00833F2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rsid w:val="00833F24"/>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rsid w:val="00833F24"/>
    <w:rPr>
      <w:rFonts w:ascii="Tahoma" w:eastAsia="Times New Roman" w:hAnsi="Tahoma" w:cs="Times New Roman"/>
      <w:sz w:val="16"/>
      <w:szCs w:val="16"/>
      <w:lang w:val="en-US"/>
    </w:rPr>
  </w:style>
  <w:style w:type="character" w:styleId="EndnoteReference">
    <w:name w:val="endnote reference"/>
    <w:rsid w:val="00833F24"/>
    <w:rPr>
      <w:vertAlign w:val="superscript"/>
    </w:rPr>
  </w:style>
  <w:style w:type="paragraph" w:styleId="EndnoteText">
    <w:name w:val="endnote text"/>
    <w:basedOn w:val="Normal"/>
    <w:link w:val="EndnoteTextChar"/>
    <w:rsid w:val="00833F24"/>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33F24"/>
    <w:rPr>
      <w:rFonts w:ascii="Times New Roman" w:eastAsia="Times New Roman" w:hAnsi="Times New Roman" w:cs="Times New Roman"/>
      <w:sz w:val="20"/>
      <w:szCs w:val="20"/>
      <w:lang w:val="en-US"/>
    </w:rPr>
  </w:style>
  <w:style w:type="paragraph" w:styleId="Index1">
    <w:name w:val="index 1"/>
    <w:basedOn w:val="Normal"/>
    <w:next w:val="Normal"/>
    <w:autoRedefine/>
    <w:rsid w:val="00833F24"/>
    <w:pPr>
      <w:spacing w:after="0" w:line="240" w:lineRule="auto"/>
      <w:ind w:left="240" w:hanging="240"/>
    </w:pPr>
    <w:rPr>
      <w:rFonts w:ascii="Times New Roman" w:eastAsia="Times New Roman" w:hAnsi="Times New Roman" w:cs="Times New Roman"/>
      <w:sz w:val="24"/>
      <w:szCs w:val="24"/>
      <w:lang w:val="en-US"/>
    </w:rPr>
  </w:style>
  <w:style w:type="paragraph" w:styleId="Index2">
    <w:name w:val="index 2"/>
    <w:basedOn w:val="Normal"/>
    <w:next w:val="Normal"/>
    <w:autoRedefine/>
    <w:rsid w:val="00833F24"/>
    <w:pPr>
      <w:spacing w:after="0" w:line="240" w:lineRule="auto"/>
      <w:ind w:left="480" w:hanging="240"/>
    </w:pPr>
    <w:rPr>
      <w:rFonts w:ascii="Times New Roman" w:eastAsia="Times New Roman" w:hAnsi="Times New Roman" w:cs="Times New Roman"/>
      <w:sz w:val="24"/>
      <w:szCs w:val="24"/>
      <w:lang w:val="en-US"/>
    </w:rPr>
  </w:style>
  <w:style w:type="paragraph" w:styleId="Index3">
    <w:name w:val="index 3"/>
    <w:basedOn w:val="Normal"/>
    <w:next w:val="Normal"/>
    <w:autoRedefine/>
    <w:rsid w:val="00833F24"/>
    <w:pPr>
      <w:spacing w:after="0" w:line="240" w:lineRule="auto"/>
      <w:ind w:left="720" w:hanging="240"/>
    </w:pPr>
    <w:rPr>
      <w:rFonts w:ascii="Times New Roman" w:eastAsia="Times New Roman" w:hAnsi="Times New Roman" w:cs="Times New Roman"/>
      <w:sz w:val="24"/>
      <w:szCs w:val="24"/>
      <w:lang w:val="en-US"/>
    </w:rPr>
  </w:style>
  <w:style w:type="paragraph" w:styleId="Index4">
    <w:name w:val="index 4"/>
    <w:basedOn w:val="Normal"/>
    <w:next w:val="Normal"/>
    <w:autoRedefine/>
    <w:rsid w:val="00833F24"/>
    <w:pPr>
      <w:spacing w:after="0" w:line="240" w:lineRule="auto"/>
      <w:ind w:left="960" w:hanging="240"/>
    </w:pPr>
    <w:rPr>
      <w:rFonts w:ascii="Times New Roman" w:eastAsia="Times New Roman" w:hAnsi="Times New Roman" w:cs="Times New Roman"/>
      <w:sz w:val="24"/>
      <w:szCs w:val="24"/>
      <w:lang w:val="en-US"/>
    </w:rPr>
  </w:style>
  <w:style w:type="paragraph" w:styleId="Index5">
    <w:name w:val="index 5"/>
    <w:basedOn w:val="Normal"/>
    <w:next w:val="Normal"/>
    <w:autoRedefine/>
    <w:rsid w:val="00833F24"/>
    <w:pPr>
      <w:spacing w:after="0" w:line="240" w:lineRule="auto"/>
      <w:ind w:left="1200" w:hanging="240"/>
    </w:pPr>
    <w:rPr>
      <w:rFonts w:ascii="Times New Roman" w:eastAsia="Times New Roman" w:hAnsi="Times New Roman" w:cs="Times New Roman"/>
      <w:sz w:val="24"/>
      <w:szCs w:val="24"/>
      <w:lang w:val="en-US"/>
    </w:rPr>
  </w:style>
  <w:style w:type="paragraph" w:styleId="Index6">
    <w:name w:val="index 6"/>
    <w:basedOn w:val="Normal"/>
    <w:next w:val="Normal"/>
    <w:autoRedefine/>
    <w:rsid w:val="00833F24"/>
    <w:pPr>
      <w:spacing w:after="0" w:line="240" w:lineRule="auto"/>
      <w:ind w:left="1440" w:hanging="240"/>
    </w:pPr>
    <w:rPr>
      <w:rFonts w:ascii="Times New Roman" w:eastAsia="Times New Roman" w:hAnsi="Times New Roman" w:cs="Times New Roman"/>
      <w:sz w:val="24"/>
      <w:szCs w:val="24"/>
      <w:lang w:val="en-US"/>
    </w:rPr>
  </w:style>
  <w:style w:type="paragraph" w:styleId="Index7">
    <w:name w:val="index 7"/>
    <w:basedOn w:val="Normal"/>
    <w:next w:val="Normal"/>
    <w:autoRedefine/>
    <w:rsid w:val="00833F24"/>
    <w:pPr>
      <w:spacing w:after="0" w:line="240" w:lineRule="auto"/>
      <w:ind w:left="1680" w:hanging="240"/>
    </w:pPr>
    <w:rPr>
      <w:rFonts w:ascii="Times New Roman" w:eastAsia="Times New Roman" w:hAnsi="Times New Roman" w:cs="Times New Roman"/>
      <w:sz w:val="24"/>
      <w:szCs w:val="24"/>
      <w:lang w:val="en-US"/>
    </w:rPr>
  </w:style>
  <w:style w:type="paragraph" w:styleId="Index8">
    <w:name w:val="index 8"/>
    <w:basedOn w:val="Normal"/>
    <w:next w:val="Normal"/>
    <w:autoRedefine/>
    <w:rsid w:val="00833F24"/>
    <w:pPr>
      <w:spacing w:after="0" w:line="240" w:lineRule="auto"/>
      <w:ind w:left="1920" w:hanging="240"/>
    </w:pPr>
    <w:rPr>
      <w:rFonts w:ascii="Times New Roman" w:eastAsia="Times New Roman" w:hAnsi="Times New Roman" w:cs="Times New Roman"/>
      <w:sz w:val="24"/>
      <w:szCs w:val="24"/>
      <w:lang w:val="en-US"/>
    </w:rPr>
  </w:style>
  <w:style w:type="paragraph" w:styleId="Index9">
    <w:name w:val="index 9"/>
    <w:basedOn w:val="Normal"/>
    <w:next w:val="Normal"/>
    <w:autoRedefine/>
    <w:rsid w:val="00833F24"/>
    <w:pPr>
      <w:spacing w:after="0" w:line="240" w:lineRule="auto"/>
      <w:ind w:left="2160" w:hanging="240"/>
    </w:pPr>
    <w:rPr>
      <w:rFonts w:ascii="Times New Roman" w:eastAsia="Times New Roman" w:hAnsi="Times New Roman" w:cs="Times New Roman"/>
      <w:sz w:val="24"/>
      <w:szCs w:val="24"/>
      <w:lang w:val="en-US"/>
    </w:rPr>
  </w:style>
  <w:style w:type="paragraph" w:styleId="IndexHeading">
    <w:name w:val="index heading"/>
    <w:basedOn w:val="Normal"/>
    <w:next w:val="Index1"/>
    <w:rsid w:val="00833F24"/>
    <w:pPr>
      <w:spacing w:before="120" w:after="120" w:line="240" w:lineRule="auto"/>
    </w:pPr>
    <w:rPr>
      <w:rFonts w:ascii="Cambria" w:eastAsia="Times New Roman" w:hAnsi="Cambria" w:cs="Times New Roman"/>
      <w:b/>
      <w:bCs/>
      <w:sz w:val="24"/>
      <w:szCs w:val="24"/>
      <w:lang w:val="en-US"/>
    </w:rPr>
  </w:style>
  <w:style w:type="character" w:customStyle="1" w:styleId="IntenseEmphasis1">
    <w:name w:val="Intense Emphasis1"/>
    <w:uiPriority w:val="21"/>
    <w:qFormat/>
    <w:rsid w:val="00833F24"/>
    <w:rPr>
      <w:b/>
      <w:bCs/>
      <w:i/>
      <w:iCs/>
      <w:color w:val="4F81BD"/>
    </w:rPr>
  </w:style>
  <w:style w:type="paragraph" w:customStyle="1" w:styleId="IntenseQuote1">
    <w:name w:val="Intense Quote1"/>
    <w:basedOn w:val="Normal"/>
    <w:next w:val="Normal"/>
    <w:link w:val="IntenseQuoteChar"/>
    <w:uiPriority w:val="30"/>
    <w:qFormat/>
    <w:rsid w:val="00833F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rPr>
  </w:style>
  <w:style w:type="character" w:customStyle="1" w:styleId="IntenseQuoteChar">
    <w:name w:val="Intense Quote Char"/>
    <w:link w:val="IntenseQuote1"/>
    <w:uiPriority w:val="30"/>
    <w:rsid w:val="00833F24"/>
    <w:rPr>
      <w:rFonts w:ascii="Times New Roman" w:eastAsia="Times New Roman" w:hAnsi="Times New Roman" w:cs="Times New Roman"/>
      <w:b/>
      <w:bCs/>
      <w:i/>
      <w:iCs/>
      <w:color w:val="4F81BD"/>
      <w:sz w:val="24"/>
      <w:szCs w:val="24"/>
      <w:lang w:val="en-US"/>
    </w:rPr>
  </w:style>
  <w:style w:type="character" w:customStyle="1" w:styleId="IntenseReference1">
    <w:name w:val="Intense Reference1"/>
    <w:uiPriority w:val="32"/>
    <w:qFormat/>
    <w:rsid w:val="00833F24"/>
    <w:rPr>
      <w:b/>
      <w:bCs/>
      <w:smallCaps/>
      <w:color w:val="C0504D"/>
      <w:spacing w:val="5"/>
      <w:u w:val="single"/>
    </w:rPr>
  </w:style>
  <w:style w:type="table" w:customStyle="1" w:styleId="LightGrid1">
    <w:name w:val="Light Grid1"/>
    <w:basedOn w:val="TableNormal"/>
    <w:uiPriority w:val="62"/>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 w:eastAsia="Times New Roman"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Times New Roman"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 w:eastAsia="Times New Roman" w:hAnsi="Bata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 w:eastAsia="Times New Roman" w:hAnsi="Bata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uiPriority w:val="62"/>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tang" w:eastAsia="Times New Roman" w:hAnsi="Batang"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tang" w:eastAsia="Times New Roman" w:hAnsi="Batang"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uiPriority w:val="62"/>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tang" w:eastAsia="Times New Roman" w:hAnsi="Batang"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 w:eastAsia="Times New Roman" w:hAnsi="Batang"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uiPriority w:val="62"/>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uiPriority w:val="62"/>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tang" w:eastAsia="Times New Roman" w:hAnsi="Batang"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tang" w:eastAsia="Times New Roman" w:hAnsi="Batang"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uiPriority w:val="62"/>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tang" w:eastAsia="Times New Roman" w:hAnsi="Batang"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tang" w:eastAsia="Times New Roman" w:hAnsi="Batang"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uiPriority w:val="61"/>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uiPriority w:val="61"/>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uiPriority w:val="61"/>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uiPriority w:val="61"/>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uiPriority w:val="61"/>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33F24"/>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uiPriority w:val="60"/>
    <w:rsid w:val="00833F24"/>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uiPriority w:val="60"/>
    <w:rsid w:val="00833F24"/>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uiPriority w:val="60"/>
    <w:rsid w:val="00833F24"/>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uiPriority w:val="60"/>
    <w:rsid w:val="00833F24"/>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uiPriority w:val="60"/>
    <w:rsid w:val="00833F24"/>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ListParagraph1">
    <w:name w:val="List Paragraph1"/>
    <w:basedOn w:val="Normal"/>
    <w:uiPriority w:val="34"/>
    <w:qFormat/>
    <w:rsid w:val="00833F24"/>
    <w:pPr>
      <w:spacing w:before="120" w:after="120" w:line="240" w:lineRule="auto"/>
      <w:ind w:left="720"/>
      <w:contextualSpacing/>
    </w:pPr>
    <w:rPr>
      <w:rFonts w:ascii="Times New Roman" w:eastAsia="Times New Roman" w:hAnsi="Times New Roman" w:cs="Times New Roman"/>
      <w:sz w:val="24"/>
      <w:szCs w:val="24"/>
      <w:lang w:val="en-US"/>
    </w:rPr>
  </w:style>
  <w:style w:type="paragraph" w:styleId="MacroText">
    <w:name w:val="macro"/>
    <w:link w:val="MacroTextChar"/>
    <w:rsid w:val="00833F24"/>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Times New Roman"/>
      <w:sz w:val="20"/>
      <w:szCs w:val="20"/>
      <w:lang w:val="en-GB" w:eastAsia="en-GB"/>
    </w:rPr>
  </w:style>
  <w:style w:type="character" w:customStyle="1" w:styleId="MacroTextChar">
    <w:name w:val="Macro Text Char"/>
    <w:basedOn w:val="DefaultParagraphFont"/>
    <w:link w:val="MacroText"/>
    <w:rsid w:val="00833F24"/>
    <w:rPr>
      <w:rFonts w:ascii="Consolas" w:eastAsia="Times New Roman" w:hAnsi="Consolas" w:cs="Times New Roman"/>
      <w:sz w:val="20"/>
      <w:szCs w:val="20"/>
      <w:lang w:val="en-GB" w:eastAsia="en-GB"/>
    </w:rPr>
  </w:style>
  <w:style w:type="table" w:customStyle="1" w:styleId="MediumGrid11">
    <w:name w:val="Medium Grid 11"/>
    <w:basedOn w:val="TableNormal"/>
    <w:uiPriority w:val="67"/>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uiPriority w:val="67"/>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uiPriority w:val="67"/>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uiPriority w:val="67"/>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uiPriority w:val="67"/>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uiPriority w:val="67"/>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uiPriority w:val="67"/>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uiPriority w:val="68"/>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uiPriority w:val="68"/>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uiPriority w:val="68"/>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uiPriority w:val="68"/>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uiPriority w:val="68"/>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uiPriority w:val="68"/>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uiPriority w:val="69"/>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uiPriority w:val="69"/>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uiPriority w:val="69"/>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uiPriority w:val="69"/>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uiPriority w:val="69"/>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uiPriority w:val="69"/>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uiPriority w:val="65"/>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Batang" w:eastAsia="Times New Roman" w:hAnsi="Batang"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uiPriority w:val="65"/>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Batang" w:eastAsia="Times New Roman" w:hAnsi="Batang"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uiPriority w:val="65"/>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Batang" w:eastAsia="Times New Roman" w:hAnsi="Batang"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uiPriority w:val="65"/>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Batang" w:eastAsia="Times New Roman" w:hAnsi="Batang"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uiPriority w:val="65"/>
    <w:rsid w:val="00833F2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Batang" w:eastAsia="Times New Roman" w:hAnsi="Batang"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uiPriority w:val="66"/>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uiPriority w:val="66"/>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uiPriority w:val="66"/>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uiPriority w:val="66"/>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uiPriority w:val="66"/>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uiPriority w:val="66"/>
    <w:rsid w:val="00833F2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uiPriority w:val="63"/>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uiPriority w:val="63"/>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uiPriority w:val="63"/>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uiPriority w:val="63"/>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uiPriority w:val="63"/>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uiPriority w:val="64"/>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uiPriority w:val="64"/>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uiPriority w:val="64"/>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uiPriority w:val="64"/>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uiPriority w:val="64"/>
    <w:rsid w:val="00833F2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uiPriority w:val="1"/>
    <w:qFormat/>
    <w:rsid w:val="00833F24"/>
    <w:pPr>
      <w:spacing w:after="0" w:line="240" w:lineRule="auto"/>
    </w:pPr>
    <w:rPr>
      <w:rFonts w:ascii="Times New Roman" w:eastAsia="Times New Roman" w:hAnsi="Times New Roman" w:cs="Times New Roman"/>
      <w:sz w:val="24"/>
      <w:szCs w:val="24"/>
      <w:lang w:val="en-US"/>
    </w:rPr>
  </w:style>
  <w:style w:type="character" w:customStyle="1" w:styleId="PlaceholderText1">
    <w:name w:val="Placeholder Text1"/>
    <w:uiPriority w:val="99"/>
    <w:semiHidden/>
    <w:rsid w:val="00833F24"/>
    <w:rPr>
      <w:color w:val="808080"/>
    </w:rPr>
  </w:style>
  <w:style w:type="paragraph" w:customStyle="1" w:styleId="Quote1">
    <w:name w:val="Quote1"/>
    <w:basedOn w:val="Normal"/>
    <w:next w:val="Normal"/>
    <w:link w:val="QuoteChar"/>
    <w:uiPriority w:val="29"/>
    <w:qFormat/>
    <w:rsid w:val="00833F24"/>
    <w:pPr>
      <w:spacing w:before="120" w:after="120" w:line="240" w:lineRule="auto"/>
    </w:pPr>
    <w:rPr>
      <w:rFonts w:ascii="Times New Roman" w:eastAsia="Times New Roman" w:hAnsi="Times New Roman" w:cs="Times New Roman"/>
      <w:i/>
      <w:iCs/>
      <w:color w:val="000000"/>
      <w:sz w:val="24"/>
      <w:szCs w:val="24"/>
      <w:lang w:val="en-US"/>
    </w:rPr>
  </w:style>
  <w:style w:type="character" w:customStyle="1" w:styleId="QuoteChar">
    <w:name w:val="Quote Char"/>
    <w:link w:val="Quote1"/>
    <w:uiPriority w:val="29"/>
    <w:rsid w:val="00833F24"/>
    <w:rPr>
      <w:rFonts w:ascii="Times New Roman" w:eastAsia="Times New Roman" w:hAnsi="Times New Roman" w:cs="Times New Roman"/>
      <w:i/>
      <w:iCs/>
      <w:color w:val="000000"/>
      <w:sz w:val="24"/>
      <w:szCs w:val="24"/>
      <w:lang w:val="en-US"/>
    </w:rPr>
  </w:style>
  <w:style w:type="character" w:customStyle="1" w:styleId="SubtleEmphasis1">
    <w:name w:val="Subtle Emphasis1"/>
    <w:uiPriority w:val="19"/>
    <w:qFormat/>
    <w:rsid w:val="00833F24"/>
    <w:rPr>
      <w:i/>
      <w:iCs/>
      <w:color w:val="808080"/>
    </w:rPr>
  </w:style>
  <w:style w:type="character" w:customStyle="1" w:styleId="SubtleReference1">
    <w:name w:val="Subtle Reference1"/>
    <w:uiPriority w:val="31"/>
    <w:qFormat/>
    <w:rsid w:val="00833F24"/>
    <w:rPr>
      <w:smallCaps/>
      <w:color w:val="C0504D"/>
      <w:u w:val="single"/>
    </w:rPr>
  </w:style>
  <w:style w:type="paragraph" w:styleId="TableofAuthorities">
    <w:name w:val="table of authorities"/>
    <w:basedOn w:val="Normal"/>
    <w:next w:val="Normal"/>
    <w:rsid w:val="00833F24"/>
    <w:pPr>
      <w:spacing w:before="120" w:after="0" w:line="240" w:lineRule="auto"/>
      <w:ind w:left="240" w:hanging="240"/>
    </w:pPr>
    <w:rPr>
      <w:rFonts w:ascii="Times New Roman" w:eastAsia="Times New Roman" w:hAnsi="Times New Roman" w:cs="Times New Roman"/>
      <w:sz w:val="24"/>
      <w:szCs w:val="24"/>
      <w:lang w:val="en-US"/>
    </w:rPr>
  </w:style>
  <w:style w:type="paragraph" w:styleId="TOAHeading">
    <w:name w:val="toa heading"/>
    <w:basedOn w:val="Normal"/>
    <w:next w:val="Normal"/>
    <w:rsid w:val="00833F24"/>
    <w:pPr>
      <w:spacing w:before="120" w:after="120" w:line="240" w:lineRule="auto"/>
    </w:pPr>
    <w:rPr>
      <w:rFonts w:ascii="Cambria" w:eastAsia="Times New Roman" w:hAnsi="Cambria" w:cs="Times New Roman"/>
      <w:b/>
      <w:bCs/>
      <w:sz w:val="24"/>
      <w:szCs w:val="24"/>
      <w:lang w:val="en-US"/>
    </w:rPr>
  </w:style>
  <w:style w:type="paragraph" w:customStyle="1" w:styleId="Normal12pt">
    <w:name w:val="Normal + 12 pt"/>
    <w:aliases w:val="Bold,Before:  6 pt,After:  6 pt"/>
    <w:basedOn w:val="Normal"/>
    <w:rsid w:val="00833F24"/>
    <w:pPr>
      <w:numPr>
        <w:numId w:val="6"/>
      </w:numPr>
      <w:spacing w:before="120" w:after="120" w:line="240" w:lineRule="auto"/>
      <w:outlineLvl w:val="0"/>
    </w:pPr>
    <w:rPr>
      <w:rFonts w:ascii="Times New Roman" w:eastAsia="Times New Roman" w:hAnsi="Times New Roman" w:cs="Times New Roman"/>
      <w:b/>
      <w:sz w:val="24"/>
      <w:szCs w:val="24"/>
      <w:lang w:val="en-US"/>
    </w:rPr>
  </w:style>
  <w:style w:type="paragraph" w:customStyle="1" w:styleId="ColorfulShading-Accent12">
    <w:name w:val="Colorful Shading - Accent 12"/>
    <w:hidden/>
    <w:uiPriority w:val="99"/>
    <w:semiHidden/>
    <w:rsid w:val="00833F24"/>
    <w:pPr>
      <w:spacing w:after="0" w:line="240" w:lineRule="auto"/>
    </w:pPr>
    <w:rPr>
      <w:rFonts w:ascii="Times New Roman" w:eastAsia="Times New Roman" w:hAnsi="Times New Roman" w:cs="Times New Roman"/>
      <w:sz w:val="24"/>
      <w:szCs w:val="24"/>
      <w:lang w:val="en-US"/>
    </w:rPr>
  </w:style>
  <w:style w:type="paragraph" w:customStyle="1" w:styleId="Liststycke">
    <w:name w:val="Liststycke"/>
    <w:basedOn w:val="Normal"/>
    <w:qFormat/>
    <w:rsid w:val="00833F24"/>
    <w:pPr>
      <w:spacing w:before="120" w:after="120" w:line="240" w:lineRule="auto"/>
      <w:ind w:left="720"/>
      <w:contextualSpacing/>
    </w:pPr>
    <w:rPr>
      <w:rFonts w:ascii="Times New Roman" w:eastAsia="Calibri" w:hAnsi="Times New Roman" w:cs="Times New Roman"/>
      <w:sz w:val="24"/>
      <w:szCs w:val="24"/>
      <w:lang w:val="en-US"/>
    </w:rPr>
  </w:style>
  <w:style w:type="paragraph" w:customStyle="1" w:styleId="Revision1">
    <w:name w:val="Revision1"/>
    <w:hidden/>
    <w:uiPriority w:val="99"/>
    <w:semiHidden/>
    <w:rsid w:val="00833F24"/>
    <w:pPr>
      <w:spacing w:after="0" w:line="240" w:lineRule="auto"/>
    </w:pPr>
    <w:rPr>
      <w:rFonts w:ascii="Times New Roman" w:eastAsia="Times New Roman" w:hAnsi="Times New Roman" w:cs="Times New Roman"/>
      <w:sz w:val="24"/>
      <w:szCs w:val="24"/>
      <w:lang w:val="en-US"/>
    </w:rPr>
  </w:style>
  <w:style w:type="paragraph" w:customStyle="1" w:styleId="ColorfulList-Accent12">
    <w:name w:val="Colorful List - Accent 12"/>
    <w:basedOn w:val="Normal"/>
    <w:uiPriority w:val="34"/>
    <w:qFormat/>
    <w:rsid w:val="00833F24"/>
    <w:pPr>
      <w:spacing w:after="0" w:line="240" w:lineRule="auto"/>
      <w:ind w:left="720"/>
    </w:pPr>
    <w:rPr>
      <w:rFonts w:ascii="Calibri" w:eastAsia="Calibri" w:hAnsi="Calibri" w:cs="Calibri"/>
      <w:lang w:val="en-US"/>
    </w:rPr>
  </w:style>
  <w:style w:type="paragraph" w:customStyle="1" w:styleId="NormalAgency">
    <w:name w:val="Normal (Agency)"/>
    <w:link w:val="NormalAgencyChar"/>
    <w:rsid w:val="00833F24"/>
    <w:pPr>
      <w:spacing w:after="0" w:line="240" w:lineRule="auto"/>
    </w:pPr>
    <w:rPr>
      <w:rFonts w:ascii="Verdana" w:eastAsia="Verdana" w:hAnsi="Verdana" w:cs="Verdana"/>
      <w:sz w:val="18"/>
      <w:szCs w:val="18"/>
      <w:lang w:val="en-GB" w:eastAsia="en-GB"/>
    </w:rPr>
  </w:style>
  <w:style w:type="paragraph" w:customStyle="1" w:styleId="TabletextrowsAgency">
    <w:name w:val="Table text rows (Agency)"/>
    <w:basedOn w:val="Normal"/>
    <w:rsid w:val="00833F24"/>
    <w:pPr>
      <w:spacing w:after="0" w:line="280" w:lineRule="exact"/>
    </w:pPr>
    <w:rPr>
      <w:rFonts w:ascii="Verdana" w:eastAsia="Times New Roman" w:hAnsi="Verdana" w:cs="Verdana"/>
      <w:sz w:val="18"/>
      <w:szCs w:val="18"/>
      <w:lang w:val="en-GB" w:eastAsia="zh-CN"/>
    </w:rPr>
  </w:style>
  <w:style w:type="character" w:customStyle="1" w:styleId="NormalAgencyChar">
    <w:name w:val="Normal (Agency) Char"/>
    <w:link w:val="NormalAgency"/>
    <w:rsid w:val="00833F24"/>
    <w:rPr>
      <w:rFonts w:ascii="Verdana" w:eastAsia="Verdana" w:hAnsi="Verdana" w:cs="Verdana"/>
      <w:sz w:val="18"/>
      <w:szCs w:val="18"/>
      <w:lang w:val="en-GB" w:eastAsia="en-GB"/>
    </w:rPr>
  </w:style>
  <w:style w:type="character" w:customStyle="1" w:styleId="italics6">
    <w:name w:val="italics6"/>
    <w:rsid w:val="00833F24"/>
    <w:rPr>
      <w:i/>
      <w:iCs/>
    </w:rPr>
  </w:style>
  <w:style w:type="character" w:customStyle="1" w:styleId="A6">
    <w:name w:val="A6"/>
    <w:uiPriority w:val="99"/>
    <w:rsid w:val="00833F24"/>
    <w:rPr>
      <w:rFonts w:cs="Frutiger 45 Light"/>
      <w:color w:val="221E1F"/>
      <w:sz w:val="10"/>
      <w:szCs w:val="10"/>
    </w:rPr>
  </w:style>
  <w:style w:type="paragraph" w:customStyle="1" w:styleId="CM20">
    <w:name w:val="CM20"/>
    <w:basedOn w:val="Default"/>
    <w:next w:val="Default"/>
    <w:uiPriority w:val="99"/>
    <w:rsid w:val="00833F24"/>
    <w:pPr>
      <w:widowControl/>
      <w:spacing w:line="233" w:lineRule="atLeast"/>
    </w:pPr>
    <w:rPr>
      <w:rFonts w:ascii="Arial" w:eastAsia="Calibri" w:hAnsi="Arial" w:cs="Arial"/>
      <w:color w:val="auto"/>
      <w:lang w:val="it-CH" w:eastAsia="en-US"/>
    </w:rPr>
  </w:style>
  <w:style w:type="paragraph" w:customStyle="1" w:styleId="Text">
    <w:name w:val="Text"/>
    <w:basedOn w:val="Normal"/>
    <w:link w:val="TextChar"/>
    <w:rsid w:val="00833F24"/>
    <w:pPr>
      <w:tabs>
        <w:tab w:val="left" w:pos="1080"/>
      </w:tabs>
      <w:suppressAutoHyphens/>
      <w:spacing w:before="60" w:after="60" w:line="240" w:lineRule="auto"/>
      <w:jc w:val="both"/>
    </w:pPr>
    <w:rPr>
      <w:rFonts w:ascii="Times New Roman" w:eastAsia="Times New Roman" w:hAnsi="Times New Roman" w:cs="Times New Roman"/>
      <w:sz w:val="24"/>
      <w:szCs w:val="20"/>
      <w:lang w:val="en-US"/>
    </w:rPr>
  </w:style>
  <w:style w:type="character" w:customStyle="1" w:styleId="TextChar">
    <w:name w:val="Text Char"/>
    <w:link w:val="Text"/>
    <w:rsid w:val="00833F24"/>
    <w:rPr>
      <w:rFonts w:ascii="Times New Roman" w:eastAsia="Times New Roman" w:hAnsi="Times New Roman" w:cs="Times New Roman"/>
      <w:sz w:val="24"/>
      <w:szCs w:val="20"/>
      <w:lang w:val="en-US"/>
    </w:rPr>
  </w:style>
  <w:style w:type="paragraph" w:customStyle="1" w:styleId="CM22">
    <w:name w:val="CM22"/>
    <w:basedOn w:val="Default"/>
    <w:next w:val="Default"/>
    <w:uiPriority w:val="99"/>
    <w:rsid w:val="00833F24"/>
    <w:pPr>
      <w:widowControl/>
    </w:pPr>
    <w:rPr>
      <w:rFonts w:ascii="Arial" w:eastAsia="Calibri" w:hAnsi="Arial" w:cs="Arial"/>
      <w:color w:val="auto"/>
      <w:lang w:val="en-US" w:eastAsia="en-US"/>
    </w:rPr>
  </w:style>
  <w:style w:type="paragraph" w:customStyle="1" w:styleId="tablefootnote">
    <w:name w:val="table_footnote"/>
    <w:basedOn w:val="Normal"/>
    <w:rsid w:val="00833F24"/>
    <w:pPr>
      <w:tabs>
        <w:tab w:val="left" w:pos="288"/>
        <w:tab w:val="left" w:pos="1080"/>
      </w:tabs>
      <w:spacing w:after="0" w:line="240" w:lineRule="auto"/>
    </w:pPr>
    <w:rPr>
      <w:rFonts w:ascii="Times New Roman" w:eastAsia="Times New Roman" w:hAnsi="Times New Roman" w:cs="Times New Roman"/>
      <w:i/>
      <w:sz w:val="20"/>
      <w:szCs w:val="20"/>
      <w:lang w:val="en-US"/>
    </w:rPr>
  </w:style>
  <w:style w:type="paragraph" w:customStyle="1" w:styleId="Synopsis">
    <w:name w:val="Synopsis"/>
    <w:rsid w:val="00833F24"/>
    <w:pPr>
      <w:spacing w:after="0" w:line="240" w:lineRule="auto"/>
      <w:ind w:firstLine="14"/>
      <w:jc w:val="both"/>
    </w:pPr>
    <w:rPr>
      <w:rFonts w:ascii="Times New Roman" w:eastAsia="Times New Roman" w:hAnsi="Times New Roman" w:cs="Times New Roman"/>
      <w:snapToGrid w:val="0"/>
      <w:sz w:val="20"/>
      <w:szCs w:val="20"/>
      <w:lang w:val="en-GB"/>
    </w:rPr>
  </w:style>
  <w:style w:type="paragraph" w:customStyle="1" w:styleId="Body">
    <w:name w:val="Body"/>
    <w:basedOn w:val="Normal"/>
    <w:uiPriority w:val="99"/>
    <w:rsid w:val="00833F24"/>
    <w:pPr>
      <w:suppressAutoHyphens/>
      <w:autoSpaceDE w:val="0"/>
      <w:autoSpaceDN w:val="0"/>
      <w:adjustRightInd w:val="0"/>
      <w:spacing w:after="0" w:line="240" w:lineRule="atLeast"/>
      <w:textAlignment w:val="center"/>
    </w:pPr>
    <w:rPr>
      <w:rFonts w:ascii="Frutiger 55 Roman" w:eastAsia="Calibri" w:hAnsi="Frutiger 55 Roman" w:cs="Frutiger 55 Roman"/>
      <w:color w:val="000000"/>
      <w:spacing w:val="-2"/>
      <w:sz w:val="18"/>
      <w:szCs w:val="18"/>
      <w:lang w:val="en-US"/>
    </w:rPr>
  </w:style>
  <w:style w:type="paragraph" w:customStyle="1" w:styleId="h3">
    <w:name w:val="h3"/>
    <w:basedOn w:val="Body"/>
    <w:uiPriority w:val="99"/>
    <w:rsid w:val="00833F24"/>
    <w:rPr>
      <w:i/>
      <w:iCs/>
    </w:rPr>
  </w:style>
  <w:style w:type="paragraph" w:styleId="Revision">
    <w:name w:val="Revision"/>
    <w:hidden/>
    <w:uiPriority w:val="71"/>
    <w:rsid w:val="00833F24"/>
    <w:pPr>
      <w:spacing w:after="0" w:line="240" w:lineRule="auto"/>
    </w:pPr>
    <w:rPr>
      <w:rFonts w:ascii="Cambria" w:eastAsia="MS Mincho" w:hAnsi="Cambria" w:cs="Times New Roman"/>
      <w:sz w:val="24"/>
      <w:szCs w:val="24"/>
      <w:lang w:val="en-US"/>
    </w:rPr>
  </w:style>
  <w:style w:type="paragraph" w:customStyle="1" w:styleId="SageBodyText">
    <w:name w:val="Sage Body Text"/>
    <w:link w:val="SageBodyTextChar"/>
    <w:rsid w:val="00833F24"/>
    <w:pPr>
      <w:spacing w:before="120" w:after="120" w:line="240" w:lineRule="auto"/>
      <w:jc w:val="both"/>
    </w:pPr>
    <w:rPr>
      <w:rFonts w:ascii="Times New Roman" w:eastAsia="Arial Unicode MS" w:hAnsi="Times New Roman" w:cs="Times New Roman"/>
      <w:szCs w:val="24"/>
      <w:lang w:val="en-US" w:eastAsia="zh-TW"/>
    </w:rPr>
  </w:style>
  <w:style w:type="character" w:customStyle="1" w:styleId="SageBodyTextChar">
    <w:name w:val="Sage Body Text Char"/>
    <w:link w:val="SageBodyText"/>
    <w:locked/>
    <w:rsid w:val="000457D0"/>
    <w:rPr>
      <w:rFonts w:ascii="Times New Roman" w:eastAsia="Arial Unicode MS" w:hAnsi="Times New Roman" w:cs="Times New Roman"/>
      <w:szCs w:val="24"/>
      <w:lang w:val="en-US" w:eastAsia="zh-TW"/>
    </w:rPr>
  </w:style>
  <w:style w:type="numbering" w:customStyle="1" w:styleId="BulletSage">
    <w:name w:val="Bullet Sage"/>
    <w:basedOn w:val="NoList"/>
    <w:rsid w:val="00793674"/>
    <w:pPr>
      <w:numPr>
        <w:numId w:val="13"/>
      </w:numPr>
    </w:pPr>
  </w:style>
  <w:style w:type="paragraph" w:customStyle="1" w:styleId="SageListBullet">
    <w:name w:val="Sage List Bullet"/>
    <w:basedOn w:val="SageBodyText"/>
    <w:rsid w:val="00793674"/>
    <w:pPr>
      <w:numPr>
        <w:numId w:val="13"/>
      </w:numPr>
      <w:spacing w:before="0" w:after="240"/>
    </w:pPr>
    <w:rPr>
      <w:sz w:val="24"/>
    </w:rPr>
  </w:style>
  <w:style w:type="character" w:customStyle="1" w:styleId="SageEmphasis7">
    <w:name w:val="Sage Emphasis 7"/>
    <w:rsid w:val="00DF4EBC"/>
    <w:rPr>
      <w:color w:val="0000FF"/>
    </w:rPr>
  </w:style>
  <w:style w:type="paragraph" w:customStyle="1" w:styleId="SageTableCellLeft">
    <w:name w:val="Sage Table Cell Left"/>
    <w:basedOn w:val="SageBodyText"/>
    <w:rsid w:val="00A7076A"/>
    <w:pPr>
      <w:keepLines/>
      <w:spacing w:before="40" w:after="80"/>
    </w:pPr>
    <w:rPr>
      <w:sz w:val="20"/>
    </w:rPr>
  </w:style>
  <w:style w:type="paragraph" w:customStyle="1" w:styleId="SageTableCellCenter">
    <w:name w:val="Sage Table Cell Center"/>
    <w:basedOn w:val="SageTableCellLeft"/>
    <w:rsid w:val="00A7076A"/>
    <w:pPr>
      <w:jc w:val="center"/>
    </w:pPr>
  </w:style>
  <w:style w:type="paragraph" w:customStyle="1" w:styleId="SageTableReference">
    <w:name w:val="Sage Table Reference"/>
    <w:basedOn w:val="SageTableCellLeft"/>
    <w:rsid w:val="00A7076A"/>
    <w:pPr>
      <w:keepLines w:val="0"/>
      <w:spacing w:before="0" w:after="0"/>
    </w:pPr>
  </w:style>
  <w:style w:type="character" w:customStyle="1" w:styleId="SageEmphasis3">
    <w:name w:val="Sage Emphasis 3"/>
    <w:rsid w:val="00A7076A"/>
    <w:rPr>
      <w:b/>
    </w:rPr>
  </w:style>
  <w:style w:type="character" w:customStyle="1" w:styleId="CaptionChar">
    <w:name w:val="Caption Char"/>
    <w:aliases w:val="MEL Caption Char,! Q Char,! Q  Char"/>
    <w:link w:val="Caption"/>
    <w:locked/>
    <w:rsid w:val="00A7076A"/>
    <w:rPr>
      <w:rFonts w:ascii="Times New Roman" w:eastAsia="Times New Roman" w:hAnsi="Times New Roman" w:cs="Times New Roman"/>
      <w:b/>
      <w:bCs/>
      <w:sz w:val="20"/>
      <w:szCs w:val="20"/>
      <w:lang w:val="en-US"/>
    </w:rPr>
  </w:style>
  <w:style w:type="numbering" w:customStyle="1" w:styleId="BulletSage1">
    <w:name w:val="Bullet Sage1"/>
    <w:basedOn w:val="NoList"/>
    <w:rsid w:val="00674B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771">
      <w:bodyDiv w:val="1"/>
      <w:marLeft w:val="0"/>
      <w:marRight w:val="0"/>
      <w:marTop w:val="0"/>
      <w:marBottom w:val="0"/>
      <w:divBdr>
        <w:top w:val="none" w:sz="0" w:space="0" w:color="auto"/>
        <w:left w:val="none" w:sz="0" w:space="0" w:color="auto"/>
        <w:bottom w:val="none" w:sz="0" w:space="0" w:color="auto"/>
        <w:right w:val="none" w:sz="0" w:space="0" w:color="auto"/>
      </w:divBdr>
    </w:div>
    <w:div w:id="1447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yperlink" Target="https://www.ebs.tga.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nm\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1FB4-53F5-4C20-BAFE-E89F1B8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pi-template-new-format-with-black-triangle.dotx</Template>
  <TotalTime>14</TotalTime>
  <Pages>26</Pages>
  <Words>8903</Words>
  <Characters>50485</Characters>
  <Application>Microsoft Office Word</Application>
  <DocSecurity>0</DocSecurity>
  <Lines>1121</Lines>
  <Paragraphs>605</Paragraphs>
  <ScaleCrop>false</ScaleCrop>
  <HeadingPairs>
    <vt:vector size="2" baseType="variant">
      <vt:variant>
        <vt:lpstr>Title</vt:lpstr>
      </vt:variant>
      <vt:variant>
        <vt:i4>1</vt:i4>
      </vt:variant>
    </vt:vector>
  </HeadingPairs>
  <TitlesOfParts>
    <vt:vector size="1" baseType="lpstr">
      <vt:lpstr>PI template with Black Triangle_MPL</vt:lpstr>
    </vt:vector>
  </TitlesOfParts>
  <Company/>
  <LinksUpToDate>false</LinksUpToDate>
  <CharactersWithSpaces>58783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Fosnetupitant (as chloride hydrochloride)/palonosetron (as hydrochloride)</dc:title>
  <dc:subject>prescription medicines</dc:subject>
  <dc:creator/>
  <cp:keywords/>
  <cp:lastPrinted>2020-03-13T04:05:00Z</cp:lastPrinted>
  <dcterms:created xsi:type="dcterms:W3CDTF">2020-09-28T03:27:00Z</dcterms:created>
  <dcterms:modified xsi:type="dcterms:W3CDTF">2020-09-28T03:44:00Z</dcterms:modified>
</cp:coreProperties>
</file>