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7BAC7DC" w14:textId="77777777" w:rsidTr="00BF1190">
        <w:trPr>
          <w:trHeight w:val="1863"/>
        </w:trPr>
        <w:tc>
          <w:tcPr>
            <w:tcW w:w="3652" w:type="dxa"/>
            <w:tcBorders>
              <w:top w:val="nil"/>
              <w:left w:val="nil"/>
              <w:bottom w:val="nil"/>
              <w:right w:val="nil"/>
            </w:tcBorders>
          </w:tcPr>
          <w:p w14:paraId="765A7801" w14:textId="1388E6D4" w:rsidR="008E7846" w:rsidRPr="00096AA7" w:rsidRDefault="00CB62EC" w:rsidP="00096AA7">
            <w:pPr>
              <w:rPr>
                <w:rFonts w:ascii="Arial" w:hAnsi="Arial" w:cs="Arial"/>
                <w:b/>
                <w:color w:val="002C47"/>
                <w:sz w:val="36"/>
                <w:szCs w:val="36"/>
              </w:rPr>
            </w:pPr>
            <w:r>
              <w:rPr>
                <w:rFonts w:ascii="Arial" w:hAnsi="Arial" w:cs="Arial"/>
                <w:b/>
                <w:color w:val="002C47"/>
                <w:sz w:val="36"/>
                <w:szCs w:val="36"/>
              </w:rPr>
              <w:t>September</w:t>
            </w:r>
            <w:r w:rsidR="009722C6">
              <w:rPr>
                <w:rFonts w:ascii="Arial" w:hAnsi="Arial" w:cs="Arial"/>
                <w:b/>
                <w:color w:val="002C47"/>
                <w:sz w:val="36"/>
                <w:szCs w:val="36"/>
              </w:rPr>
              <w:t xml:space="preserve">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3726409" w14:textId="77777777" w:rsidTr="0032583B">
        <w:trPr>
          <w:trHeight w:val="868"/>
        </w:trPr>
        <w:tc>
          <w:tcPr>
            <w:tcW w:w="9079" w:type="dxa"/>
          </w:tcPr>
          <w:p w14:paraId="23920263" w14:textId="77777777" w:rsidR="0032583B" w:rsidRPr="00A964D1" w:rsidRDefault="0032583B" w:rsidP="009722C6">
            <w:pPr>
              <w:pStyle w:val="Title"/>
              <w:rPr>
                <w:color w:val="FFFFFF" w:themeColor="background1"/>
              </w:rPr>
            </w:pPr>
            <w:r w:rsidRPr="00A964D1">
              <w:rPr>
                <w:color w:val="FFFFFF" w:themeColor="background1"/>
              </w:rPr>
              <w:t>Australia</w:t>
            </w:r>
            <w:r w:rsidR="009722C6">
              <w:rPr>
                <w:color w:val="FFFFFF" w:themeColor="background1"/>
              </w:rPr>
              <w:t xml:space="preserve">n Public Assessment Report for </w:t>
            </w:r>
            <w:proofErr w:type="spellStart"/>
            <w:r w:rsidR="009722C6">
              <w:rPr>
                <w:color w:val="FFFFFF" w:themeColor="background1"/>
              </w:rPr>
              <w:t>F</w:t>
            </w:r>
            <w:r w:rsidR="009722C6" w:rsidRPr="009722C6">
              <w:rPr>
                <w:color w:val="FFFFFF" w:themeColor="background1"/>
              </w:rPr>
              <w:t>osnetupitant</w:t>
            </w:r>
            <w:proofErr w:type="spellEnd"/>
            <w:r w:rsidR="009722C6" w:rsidRPr="009722C6">
              <w:rPr>
                <w:color w:val="FFFFFF" w:themeColor="background1"/>
              </w:rPr>
              <w:t xml:space="preserve"> (as chloride hydrochloride)/</w:t>
            </w:r>
            <w:proofErr w:type="spellStart"/>
            <w:r w:rsidR="009722C6" w:rsidRPr="009722C6">
              <w:rPr>
                <w:color w:val="FFFFFF" w:themeColor="background1"/>
              </w:rPr>
              <w:t>palonosetron</w:t>
            </w:r>
            <w:proofErr w:type="spellEnd"/>
            <w:r w:rsidR="009722C6" w:rsidRPr="009722C6">
              <w:rPr>
                <w:color w:val="FFFFFF" w:themeColor="background1"/>
              </w:rPr>
              <w:t xml:space="preserve"> (as hydrochloride)</w:t>
            </w:r>
          </w:p>
        </w:tc>
      </w:tr>
      <w:tr w:rsidR="0032583B" w:rsidRPr="00B64760" w14:paraId="7E4ADC08" w14:textId="77777777" w:rsidTr="0032583B">
        <w:tc>
          <w:tcPr>
            <w:tcW w:w="9079" w:type="dxa"/>
          </w:tcPr>
          <w:p w14:paraId="46747F77" w14:textId="77777777"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9722C6" w:rsidRPr="009722C6">
              <w:rPr>
                <w:color w:val="FFFFFF" w:themeColor="background1"/>
              </w:rPr>
              <w:t>Akynzeo</w:t>
            </w:r>
            <w:proofErr w:type="spellEnd"/>
            <w:r w:rsidR="009722C6" w:rsidRPr="009722C6">
              <w:rPr>
                <w:color w:val="FFFFFF" w:themeColor="background1"/>
              </w:rPr>
              <w:t xml:space="preserve"> IV</w:t>
            </w:r>
          </w:p>
        </w:tc>
      </w:tr>
      <w:tr w:rsidR="0032583B" w:rsidRPr="00B64760" w14:paraId="1BADCA8B" w14:textId="77777777" w:rsidTr="0032583B">
        <w:trPr>
          <w:trHeight w:val="486"/>
        </w:trPr>
        <w:tc>
          <w:tcPr>
            <w:tcW w:w="9079" w:type="dxa"/>
          </w:tcPr>
          <w:p w14:paraId="18E81D03" w14:textId="77777777" w:rsidR="0032583B" w:rsidRPr="008E7846" w:rsidRDefault="00460036" w:rsidP="0032583B">
            <w:pPr>
              <w:pStyle w:val="Subtitle"/>
              <w:rPr>
                <w:color w:val="FFFFFF" w:themeColor="background1"/>
              </w:rPr>
            </w:pPr>
            <w:r>
              <w:rPr>
                <w:color w:val="FFFFFF" w:themeColor="background1"/>
              </w:rPr>
              <w:t xml:space="preserve">Sponsor: </w:t>
            </w:r>
            <w:r w:rsidR="00D0635C" w:rsidRPr="00D0635C">
              <w:rPr>
                <w:color w:val="FFFFFF" w:themeColor="background1"/>
              </w:rPr>
              <w:t>Mundipharma</w:t>
            </w:r>
            <w:r w:rsidR="009722C6" w:rsidRPr="009722C6">
              <w:rPr>
                <w:color w:val="FFFFFF" w:themeColor="background1"/>
              </w:rPr>
              <w:t xml:space="preserve"> Pty Ltd</w:t>
            </w:r>
          </w:p>
        </w:tc>
      </w:tr>
    </w:tbl>
    <w:p w14:paraId="753FF0CA" w14:textId="77777777" w:rsidR="008E7846" w:rsidRPr="0085156D" w:rsidRDefault="008E7846" w:rsidP="0085156D">
      <w:r w:rsidRPr="0085156D">
        <w:br w:type="page"/>
      </w:r>
    </w:p>
    <w:p w14:paraId="31055B5D" w14:textId="77777777" w:rsidR="008E7846" w:rsidRPr="001F6CBA" w:rsidRDefault="008E7846" w:rsidP="008E7846">
      <w:pPr>
        <w:pStyle w:val="NonTOCHeading2"/>
      </w:pPr>
      <w:r w:rsidRPr="001F6CBA">
        <w:lastRenderedPageBreak/>
        <w:t>About the Therapeutic Goods Administration (TGA)</w:t>
      </w:r>
    </w:p>
    <w:p w14:paraId="358EBA8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F95B7C9"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DB87A73"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93E8536"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E895723" w14:textId="3B38F69B"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05E0B07C" w14:textId="77777777" w:rsidR="008E7846" w:rsidRDefault="008E7846" w:rsidP="00875A6B">
      <w:pPr>
        <w:pStyle w:val="NonTOCHeading2"/>
      </w:pPr>
      <w:r>
        <w:t>About AusPARs</w:t>
      </w:r>
    </w:p>
    <w:p w14:paraId="17DF4590"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B7C67D9" w14:textId="77777777" w:rsidR="008E7846" w:rsidRDefault="008E7846" w:rsidP="008E7846">
      <w:pPr>
        <w:pStyle w:val="ListBullet"/>
        <w:numPr>
          <w:ilvl w:val="0"/>
          <w:numId w:val="3"/>
        </w:numPr>
        <w:ind w:left="357" w:hanging="357"/>
      </w:pPr>
      <w:r>
        <w:t>AusPARs are prepared and published by the TGA.</w:t>
      </w:r>
    </w:p>
    <w:p w14:paraId="1EA8D510"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E028993"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264A02C"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96194AB" w14:textId="77777777" w:rsidR="00924482" w:rsidRPr="00DF1D7F" w:rsidRDefault="00924482" w:rsidP="00F54B65">
      <w:pPr>
        <w:pStyle w:val="LegalSubheading"/>
        <w:spacing w:before="3120"/>
      </w:pPr>
      <w:r w:rsidRPr="00DF1D7F">
        <w:t>Copyright</w:t>
      </w:r>
    </w:p>
    <w:p w14:paraId="2F915869" w14:textId="13597D04"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75F98A62"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13ED46E" w14:textId="77777777" w:rsidR="0089635C" w:rsidRPr="0089635C" w:rsidRDefault="0089635C" w:rsidP="0010788A">
          <w:pPr>
            <w:pStyle w:val="Contents"/>
          </w:pPr>
          <w:r w:rsidRPr="0010788A">
            <w:t>Conten</w:t>
          </w:r>
          <w:bookmarkStart w:id="2" w:name="_GoBack"/>
          <w:bookmarkEnd w:id="2"/>
          <w:r w:rsidRPr="0010788A">
            <w:t>ts</w:t>
          </w:r>
        </w:p>
        <w:p w14:paraId="5BEE69E5" w14:textId="5C6A1C73" w:rsidR="002D3874"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52188105" w:history="1">
            <w:r w:rsidR="002D3874" w:rsidRPr="007471C3">
              <w:rPr>
                <w:rStyle w:val="Hyperlink"/>
                <w:noProof/>
              </w:rPr>
              <w:t>Common abbreviations</w:t>
            </w:r>
            <w:r w:rsidR="002D3874">
              <w:rPr>
                <w:noProof/>
                <w:webHidden/>
              </w:rPr>
              <w:tab/>
            </w:r>
            <w:r w:rsidR="002D3874">
              <w:rPr>
                <w:noProof/>
                <w:webHidden/>
              </w:rPr>
              <w:fldChar w:fldCharType="begin"/>
            </w:r>
            <w:r w:rsidR="002D3874">
              <w:rPr>
                <w:noProof/>
                <w:webHidden/>
              </w:rPr>
              <w:instrText xml:space="preserve"> PAGEREF _Toc52188105 \h </w:instrText>
            </w:r>
            <w:r w:rsidR="002D3874">
              <w:rPr>
                <w:noProof/>
                <w:webHidden/>
              </w:rPr>
            </w:r>
            <w:r w:rsidR="002D3874">
              <w:rPr>
                <w:noProof/>
                <w:webHidden/>
              </w:rPr>
              <w:fldChar w:fldCharType="separate"/>
            </w:r>
            <w:r w:rsidR="002D3874">
              <w:rPr>
                <w:noProof/>
                <w:webHidden/>
              </w:rPr>
              <w:t>4</w:t>
            </w:r>
            <w:r w:rsidR="002D3874">
              <w:rPr>
                <w:noProof/>
                <w:webHidden/>
              </w:rPr>
              <w:fldChar w:fldCharType="end"/>
            </w:r>
          </w:hyperlink>
        </w:p>
        <w:p w14:paraId="64616263" w14:textId="623B800A" w:rsidR="002D3874" w:rsidRDefault="002D3874">
          <w:pPr>
            <w:pStyle w:val="TOC1"/>
            <w:rPr>
              <w:rFonts w:asciiTheme="minorHAnsi" w:eastAsiaTheme="minorEastAsia" w:hAnsiTheme="minorHAnsi" w:cstheme="minorBidi"/>
              <w:b w:val="0"/>
              <w:noProof/>
              <w:sz w:val="22"/>
              <w:lang w:eastAsia="en-AU"/>
            </w:rPr>
          </w:pPr>
          <w:hyperlink w:anchor="_Toc52188106" w:history="1">
            <w:r w:rsidRPr="007471C3">
              <w:rPr>
                <w:rStyle w:val="Hyperlink"/>
                <w:noProof/>
              </w:rPr>
              <w:t>I. Introduction to product submission</w:t>
            </w:r>
            <w:r>
              <w:rPr>
                <w:noProof/>
                <w:webHidden/>
              </w:rPr>
              <w:tab/>
            </w:r>
            <w:r>
              <w:rPr>
                <w:noProof/>
                <w:webHidden/>
              </w:rPr>
              <w:fldChar w:fldCharType="begin"/>
            </w:r>
            <w:r>
              <w:rPr>
                <w:noProof/>
                <w:webHidden/>
              </w:rPr>
              <w:instrText xml:space="preserve"> PAGEREF _Toc52188106 \h </w:instrText>
            </w:r>
            <w:r>
              <w:rPr>
                <w:noProof/>
                <w:webHidden/>
              </w:rPr>
            </w:r>
            <w:r>
              <w:rPr>
                <w:noProof/>
                <w:webHidden/>
              </w:rPr>
              <w:fldChar w:fldCharType="separate"/>
            </w:r>
            <w:r>
              <w:rPr>
                <w:noProof/>
                <w:webHidden/>
              </w:rPr>
              <w:t>7</w:t>
            </w:r>
            <w:r>
              <w:rPr>
                <w:noProof/>
                <w:webHidden/>
              </w:rPr>
              <w:fldChar w:fldCharType="end"/>
            </w:r>
          </w:hyperlink>
        </w:p>
        <w:p w14:paraId="070854E6" w14:textId="0F58C74C" w:rsidR="002D3874" w:rsidRDefault="002D3874">
          <w:pPr>
            <w:pStyle w:val="TOC2"/>
            <w:rPr>
              <w:rFonts w:asciiTheme="minorHAnsi" w:eastAsiaTheme="minorEastAsia" w:hAnsiTheme="minorHAnsi" w:cstheme="minorBidi"/>
              <w:b w:val="0"/>
              <w:noProof/>
              <w:sz w:val="22"/>
              <w:lang w:eastAsia="en-AU"/>
            </w:rPr>
          </w:pPr>
          <w:hyperlink w:anchor="_Toc52188107" w:history="1">
            <w:r w:rsidRPr="007471C3">
              <w:rPr>
                <w:rStyle w:val="Hyperlink"/>
                <w:noProof/>
                <w:lang w:eastAsia="en-AU"/>
              </w:rPr>
              <w:t>Submission details</w:t>
            </w:r>
            <w:r>
              <w:rPr>
                <w:noProof/>
                <w:webHidden/>
              </w:rPr>
              <w:tab/>
            </w:r>
            <w:r>
              <w:rPr>
                <w:noProof/>
                <w:webHidden/>
              </w:rPr>
              <w:fldChar w:fldCharType="begin"/>
            </w:r>
            <w:r>
              <w:rPr>
                <w:noProof/>
                <w:webHidden/>
              </w:rPr>
              <w:instrText xml:space="preserve"> PAGEREF _Toc52188107 \h </w:instrText>
            </w:r>
            <w:r>
              <w:rPr>
                <w:noProof/>
                <w:webHidden/>
              </w:rPr>
            </w:r>
            <w:r>
              <w:rPr>
                <w:noProof/>
                <w:webHidden/>
              </w:rPr>
              <w:fldChar w:fldCharType="separate"/>
            </w:r>
            <w:r>
              <w:rPr>
                <w:noProof/>
                <w:webHidden/>
              </w:rPr>
              <w:t>7</w:t>
            </w:r>
            <w:r>
              <w:rPr>
                <w:noProof/>
                <w:webHidden/>
              </w:rPr>
              <w:fldChar w:fldCharType="end"/>
            </w:r>
          </w:hyperlink>
        </w:p>
        <w:p w14:paraId="65ADA25E" w14:textId="4C63F79C" w:rsidR="002D3874" w:rsidRDefault="002D3874">
          <w:pPr>
            <w:pStyle w:val="TOC2"/>
            <w:rPr>
              <w:rFonts w:asciiTheme="minorHAnsi" w:eastAsiaTheme="minorEastAsia" w:hAnsiTheme="minorHAnsi" w:cstheme="minorBidi"/>
              <w:b w:val="0"/>
              <w:noProof/>
              <w:sz w:val="22"/>
              <w:lang w:eastAsia="en-AU"/>
            </w:rPr>
          </w:pPr>
          <w:hyperlink w:anchor="_Toc52188108" w:history="1">
            <w:r w:rsidRPr="007471C3">
              <w:rPr>
                <w:rStyle w:val="Hyperlink"/>
                <w:noProof/>
              </w:rPr>
              <w:t>Product background</w:t>
            </w:r>
            <w:r>
              <w:rPr>
                <w:noProof/>
                <w:webHidden/>
              </w:rPr>
              <w:tab/>
            </w:r>
            <w:r>
              <w:rPr>
                <w:noProof/>
                <w:webHidden/>
              </w:rPr>
              <w:fldChar w:fldCharType="begin"/>
            </w:r>
            <w:r>
              <w:rPr>
                <w:noProof/>
                <w:webHidden/>
              </w:rPr>
              <w:instrText xml:space="preserve"> PAGEREF _Toc52188108 \h </w:instrText>
            </w:r>
            <w:r>
              <w:rPr>
                <w:noProof/>
                <w:webHidden/>
              </w:rPr>
            </w:r>
            <w:r>
              <w:rPr>
                <w:noProof/>
                <w:webHidden/>
              </w:rPr>
              <w:fldChar w:fldCharType="separate"/>
            </w:r>
            <w:r>
              <w:rPr>
                <w:noProof/>
                <w:webHidden/>
              </w:rPr>
              <w:t>8</w:t>
            </w:r>
            <w:r>
              <w:rPr>
                <w:noProof/>
                <w:webHidden/>
              </w:rPr>
              <w:fldChar w:fldCharType="end"/>
            </w:r>
          </w:hyperlink>
        </w:p>
        <w:p w14:paraId="513ACD6F" w14:textId="48D68497" w:rsidR="002D3874" w:rsidRDefault="002D3874">
          <w:pPr>
            <w:pStyle w:val="TOC2"/>
            <w:rPr>
              <w:rFonts w:asciiTheme="minorHAnsi" w:eastAsiaTheme="minorEastAsia" w:hAnsiTheme="minorHAnsi" w:cstheme="minorBidi"/>
              <w:b w:val="0"/>
              <w:noProof/>
              <w:sz w:val="22"/>
              <w:lang w:eastAsia="en-AU"/>
            </w:rPr>
          </w:pPr>
          <w:hyperlink w:anchor="_Toc52188109" w:history="1">
            <w:r w:rsidRPr="007471C3">
              <w:rPr>
                <w:rStyle w:val="Hyperlink"/>
                <w:noProof/>
              </w:rPr>
              <w:t>Regulatory status</w:t>
            </w:r>
            <w:r>
              <w:rPr>
                <w:noProof/>
                <w:webHidden/>
              </w:rPr>
              <w:tab/>
            </w:r>
            <w:r>
              <w:rPr>
                <w:noProof/>
                <w:webHidden/>
              </w:rPr>
              <w:fldChar w:fldCharType="begin"/>
            </w:r>
            <w:r>
              <w:rPr>
                <w:noProof/>
                <w:webHidden/>
              </w:rPr>
              <w:instrText xml:space="preserve"> PAGEREF _Toc52188109 \h </w:instrText>
            </w:r>
            <w:r>
              <w:rPr>
                <w:noProof/>
                <w:webHidden/>
              </w:rPr>
            </w:r>
            <w:r>
              <w:rPr>
                <w:noProof/>
                <w:webHidden/>
              </w:rPr>
              <w:fldChar w:fldCharType="separate"/>
            </w:r>
            <w:r>
              <w:rPr>
                <w:noProof/>
                <w:webHidden/>
              </w:rPr>
              <w:t>9</w:t>
            </w:r>
            <w:r>
              <w:rPr>
                <w:noProof/>
                <w:webHidden/>
              </w:rPr>
              <w:fldChar w:fldCharType="end"/>
            </w:r>
          </w:hyperlink>
        </w:p>
        <w:p w14:paraId="57E7FAA2" w14:textId="09FF9151" w:rsidR="002D3874" w:rsidRDefault="002D3874">
          <w:pPr>
            <w:pStyle w:val="TOC2"/>
            <w:rPr>
              <w:rFonts w:asciiTheme="minorHAnsi" w:eastAsiaTheme="minorEastAsia" w:hAnsiTheme="minorHAnsi" w:cstheme="minorBidi"/>
              <w:b w:val="0"/>
              <w:noProof/>
              <w:sz w:val="22"/>
              <w:lang w:eastAsia="en-AU"/>
            </w:rPr>
          </w:pPr>
          <w:hyperlink w:anchor="_Toc52188110" w:history="1">
            <w:r w:rsidRPr="007471C3">
              <w:rPr>
                <w:rStyle w:val="Hyperlink"/>
                <w:noProof/>
              </w:rPr>
              <w:t>Product Information</w:t>
            </w:r>
            <w:r>
              <w:rPr>
                <w:noProof/>
                <w:webHidden/>
              </w:rPr>
              <w:tab/>
            </w:r>
            <w:r>
              <w:rPr>
                <w:noProof/>
                <w:webHidden/>
              </w:rPr>
              <w:fldChar w:fldCharType="begin"/>
            </w:r>
            <w:r>
              <w:rPr>
                <w:noProof/>
                <w:webHidden/>
              </w:rPr>
              <w:instrText xml:space="preserve"> PAGEREF _Toc52188110 \h </w:instrText>
            </w:r>
            <w:r>
              <w:rPr>
                <w:noProof/>
                <w:webHidden/>
              </w:rPr>
            </w:r>
            <w:r>
              <w:rPr>
                <w:noProof/>
                <w:webHidden/>
              </w:rPr>
              <w:fldChar w:fldCharType="separate"/>
            </w:r>
            <w:r>
              <w:rPr>
                <w:noProof/>
                <w:webHidden/>
              </w:rPr>
              <w:t>10</w:t>
            </w:r>
            <w:r>
              <w:rPr>
                <w:noProof/>
                <w:webHidden/>
              </w:rPr>
              <w:fldChar w:fldCharType="end"/>
            </w:r>
          </w:hyperlink>
        </w:p>
        <w:p w14:paraId="7986F47C" w14:textId="7FF1FFBC" w:rsidR="002D3874" w:rsidRDefault="002D3874">
          <w:pPr>
            <w:pStyle w:val="TOC1"/>
            <w:rPr>
              <w:rFonts w:asciiTheme="minorHAnsi" w:eastAsiaTheme="minorEastAsia" w:hAnsiTheme="minorHAnsi" w:cstheme="minorBidi"/>
              <w:b w:val="0"/>
              <w:noProof/>
              <w:sz w:val="22"/>
              <w:lang w:eastAsia="en-AU"/>
            </w:rPr>
          </w:pPr>
          <w:hyperlink w:anchor="_Toc52188111" w:history="1">
            <w:r w:rsidRPr="007471C3">
              <w:rPr>
                <w:rStyle w:val="Hyperlink"/>
                <w:noProof/>
              </w:rPr>
              <w:t>II. Registration timeline</w:t>
            </w:r>
            <w:r>
              <w:rPr>
                <w:noProof/>
                <w:webHidden/>
              </w:rPr>
              <w:tab/>
            </w:r>
            <w:r>
              <w:rPr>
                <w:noProof/>
                <w:webHidden/>
              </w:rPr>
              <w:fldChar w:fldCharType="begin"/>
            </w:r>
            <w:r>
              <w:rPr>
                <w:noProof/>
                <w:webHidden/>
              </w:rPr>
              <w:instrText xml:space="preserve"> PAGEREF _Toc52188111 \h </w:instrText>
            </w:r>
            <w:r>
              <w:rPr>
                <w:noProof/>
                <w:webHidden/>
              </w:rPr>
            </w:r>
            <w:r>
              <w:rPr>
                <w:noProof/>
                <w:webHidden/>
              </w:rPr>
              <w:fldChar w:fldCharType="separate"/>
            </w:r>
            <w:r>
              <w:rPr>
                <w:noProof/>
                <w:webHidden/>
              </w:rPr>
              <w:t>10</w:t>
            </w:r>
            <w:r>
              <w:rPr>
                <w:noProof/>
                <w:webHidden/>
              </w:rPr>
              <w:fldChar w:fldCharType="end"/>
            </w:r>
          </w:hyperlink>
        </w:p>
        <w:p w14:paraId="495E3EDE" w14:textId="57CB53FA" w:rsidR="002D3874" w:rsidRDefault="002D3874">
          <w:pPr>
            <w:pStyle w:val="TOC1"/>
            <w:rPr>
              <w:rFonts w:asciiTheme="minorHAnsi" w:eastAsiaTheme="minorEastAsia" w:hAnsiTheme="minorHAnsi" w:cstheme="minorBidi"/>
              <w:b w:val="0"/>
              <w:noProof/>
              <w:sz w:val="22"/>
              <w:lang w:eastAsia="en-AU"/>
            </w:rPr>
          </w:pPr>
          <w:hyperlink w:anchor="_Toc52188112" w:history="1">
            <w:r w:rsidRPr="007471C3">
              <w:rPr>
                <w:rStyle w:val="Hyperlink"/>
                <w:noProof/>
              </w:rPr>
              <w:t>III. Submission overview and risk/benefit assessment</w:t>
            </w:r>
            <w:r>
              <w:rPr>
                <w:noProof/>
                <w:webHidden/>
              </w:rPr>
              <w:tab/>
            </w:r>
            <w:r>
              <w:rPr>
                <w:noProof/>
                <w:webHidden/>
              </w:rPr>
              <w:fldChar w:fldCharType="begin"/>
            </w:r>
            <w:r>
              <w:rPr>
                <w:noProof/>
                <w:webHidden/>
              </w:rPr>
              <w:instrText xml:space="preserve"> PAGEREF _Toc52188112 \h </w:instrText>
            </w:r>
            <w:r>
              <w:rPr>
                <w:noProof/>
                <w:webHidden/>
              </w:rPr>
            </w:r>
            <w:r>
              <w:rPr>
                <w:noProof/>
                <w:webHidden/>
              </w:rPr>
              <w:fldChar w:fldCharType="separate"/>
            </w:r>
            <w:r>
              <w:rPr>
                <w:noProof/>
                <w:webHidden/>
              </w:rPr>
              <w:t>11</w:t>
            </w:r>
            <w:r>
              <w:rPr>
                <w:noProof/>
                <w:webHidden/>
              </w:rPr>
              <w:fldChar w:fldCharType="end"/>
            </w:r>
          </w:hyperlink>
        </w:p>
        <w:p w14:paraId="3F9EB45F" w14:textId="169A6DDD" w:rsidR="002D3874" w:rsidRDefault="002D3874">
          <w:pPr>
            <w:pStyle w:val="TOC2"/>
            <w:rPr>
              <w:rFonts w:asciiTheme="minorHAnsi" w:eastAsiaTheme="minorEastAsia" w:hAnsiTheme="minorHAnsi" w:cstheme="minorBidi"/>
              <w:b w:val="0"/>
              <w:noProof/>
              <w:sz w:val="22"/>
              <w:lang w:eastAsia="en-AU"/>
            </w:rPr>
          </w:pPr>
          <w:hyperlink w:anchor="_Toc52188113" w:history="1">
            <w:r w:rsidRPr="007471C3">
              <w:rPr>
                <w:rStyle w:val="Hyperlink"/>
                <w:noProof/>
              </w:rPr>
              <w:t>Quality</w:t>
            </w:r>
            <w:r>
              <w:rPr>
                <w:noProof/>
                <w:webHidden/>
              </w:rPr>
              <w:tab/>
            </w:r>
            <w:r>
              <w:rPr>
                <w:noProof/>
                <w:webHidden/>
              </w:rPr>
              <w:fldChar w:fldCharType="begin"/>
            </w:r>
            <w:r>
              <w:rPr>
                <w:noProof/>
                <w:webHidden/>
              </w:rPr>
              <w:instrText xml:space="preserve"> PAGEREF _Toc52188113 \h </w:instrText>
            </w:r>
            <w:r>
              <w:rPr>
                <w:noProof/>
                <w:webHidden/>
              </w:rPr>
            </w:r>
            <w:r>
              <w:rPr>
                <w:noProof/>
                <w:webHidden/>
              </w:rPr>
              <w:fldChar w:fldCharType="separate"/>
            </w:r>
            <w:r>
              <w:rPr>
                <w:noProof/>
                <w:webHidden/>
              </w:rPr>
              <w:t>11</w:t>
            </w:r>
            <w:r>
              <w:rPr>
                <w:noProof/>
                <w:webHidden/>
              </w:rPr>
              <w:fldChar w:fldCharType="end"/>
            </w:r>
          </w:hyperlink>
        </w:p>
        <w:p w14:paraId="467A85AA" w14:textId="6A417F76" w:rsidR="002D3874" w:rsidRDefault="002D3874">
          <w:pPr>
            <w:pStyle w:val="TOC2"/>
            <w:rPr>
              <w:rFonts w:asciiTheme="minorHAnsi" w:eastAsiaTheme="minorEastAsia" w:hAnsiTheme="minorHAnsi" w:cstheme="minorBidi"/>
              <w:b w:val="0"/>
              <w:noProof/>
              <w:sz w:val="22"/>
              <w:lang w:eastAsia="en-AU"/>
            </w:rPr>
          </w:pPr>
          <w:hyperlink w:anchor="_Toc52188114" w:history="1">
            <w:r w:rsidRPr="007471C3">
              <w:rPr>
                <w:rStyle w:val="Hyperlink"/>
                <w:noProof/>
              </w:rPr>
              <w:t>Nonclinical</w:t>
            </w:r>
            <w:r>
              <w:rPr>
                <w:noProof/>
                <w:webHidden/>
              </w:rPr>
              <w:tab/>
            </w:r>
            <w:r>
              <w:rPr>
                <w:noProof/>
                <w:webHidden/>
              </w:rPr>
              <w:fldChar w:fldCharType="begin"/>
            </w:r>
            <w:r>
              <w:rPr>
                <w:noProof/>
                <w:webHidden/>
              </w:rPr>
              <w:instrText xml:space="preserve"> PAGEREF _Toc52188114 \h </w:instrText>
            </w:r>
            <w:r>
              <w:rPr>
                <w:noProof/>
                <w:webHidden/>
              </w:rPr>
            </w:r>
            <w:r>
              <w:rPr>
                <w:noProof/>
                <w:webHidden/>
              </w:rPr>
              <w:fldChar w:fldCharType="separate"/>
            </w:r>
            <w:r>
              <w:rPr>
                <w:noProof/>
                <w:webHidden/>
              </w:rPr>
              <w:t>11</w:t>
            </w:r>
            <w:r>
              <w:rPr>
                <w:noProof/>
                <w:webHidden/>
              </w:rPr>
              <w:fldChar w:fldCharType="end"/>
            </w:r>
          </w:hyperlink>
        </w:p>
        <w:p w14:paraId="6566ACD6" w14:textId="7F902A02" w:rsidR="002D3874" w:rsidRDefault="002D3874">
          <w:pPr>
            <w:pStyle w:val="TOC2"/>
            <w:rPr>
              <w:rFonts w:asciiTheme="minorHAnsi" w:eastAsiaTheme="minorEastAsia" w:hAnsiTheme="minorHAnsi" w:cstheme="minorBidi"/>
              <w:b w:val="0"/>
              <w:noProof/>
              <w:sz w:val="22"/>
              <w:lang w:eastAsia="en-AU"/>
            </w:rPr>
          </w:pPr>
          <w:hyperlink w:anchor="_Toc52188115" w:history="1">
            <w:r w:rsidRPr="007471C3">
              <w:rPr>
                <w:rStyle w:val="Hyperlink"/>
                <w:noProof/>
              </w:rPr>
              <w:t>Clinical</w:t>
            </w:r>
            <w:r>
              <w:rPr>
                <w:noProof/>
                <w:webHidden/>
              </w:rPr>
              <w:tab/>
            </w:r>
            <w:r>
              <w:rPr>
                <w:noProof/>
                <w:webHidden/>
              </w:rPr>
              <w:fldChar w:fldCharType="begin"/>
            </w:r>
            <w:r>
              <w:rPr>
                <w:noProof/>
                <w:webHidden/>
              </w:rPr>
              <w:instrText xml:space="preserve"> PAGEREF _Toc52188115 \h </w:instrText>
            </w:r>
            <w:r>
              <w:rPr>
                <w:noProof/>
                <w:webHidden/>
              </w:rPr>
            </w:r>
            <w:r>
              <w:rPr>
                <w:noProof/>
                <w:webHidden/>
              </w:rPr>
              <w:fldChar w:fldCharType="separate"/>
            </w:r>
            <w:r>
              <w:rPr>
                <w:noProof/>
                <w:webHidden/>
              </w:rPr>
              <w:t>13</w:t>
            </w:r>
            <w:r>
              <w:rPr>
                <w:noProof/>
                <w:webHidden/>
              </w:rPr>
              <w:fldChar w:fldCharType="end"/>
            </w:r>
          </w:hyperlink>
        </w:p>
        <w:p w14:paraId="2F018508" w14:textId="11CC50B7" w:rsidR="002D3874" w:rsidRDefault="002D3874">
          <w:pPr>
            <w:pStyle w:val="TOC2"/>
            <w:rPr>
              <w:rFonts w:asciiTheme="minorHAnsi" w:eastAsiaTheme="minorEastAsia" w:hAnsiTheme="minorHAnsi" w:cstheme="minorBidi"/>
              <w:b w:val="0"/>
              <w:noProof/>
              <w:sz w:val="22"/>
              <w:lang w:eastAsia="en-AU"/>
            </w:rPr>
          </w:pPr>
          <w:hyperlink w:anchor="_Toc52188116" w:history="1">
            <w:r w:rsidRPr="007471C3">
              <w:rPr>
                <w:rStyle w:val="Hyperlink"/>
                <w:noProof/>
                <w:lang w:eastAsia="en-AU"/>
              </w:rPr>
              <w:t>Risk management plan</w:t>
            </w:r>
            <w:r>
              <w:rPr>
                <w:noProof/>
                <w:webHidden/>
              </w:rPr>
              <w:tab/>
            </w:r>
            <w:r>
              <w:rPr>
                <w:noProof/>
                <w:webHidden/>
              </w:rPr>
              <w:fldChar w:fldCharType="begin"/>
            </w:r>
            <w:r>
              <w:rPr>
                <w:noProof/>
                <w:webHidden/>
              </w:rPr>
              <w:instrText xml:space="preserve"> PAGEREF _Toc52188116 \h </w:instrText>
            </w:r>
            <w:r>
              <w:rPr>
                <w:noProof/>
                <w:webHidden/>
              </w:rPr>
            </w:r>
            <w:r>
              <w:rPr>
                <w:noProof/>
                <w:webHidden/>
              </w:rPr>
              <w:fldChar w:fldCharType="separate"/>
            </w:r>
            <w:r>
              <w:rPr>
                <w:noProof/>
                <w:webHidden/>
              </w:rPr>
              <w:t>24</w:t>
            </w:r>
            <w:r>
              <w:rPr>
                <w:noProof/>
                <w:webHidden/>
              </w:rPr>
              <w:fldChar w:fldCharType="end"/>
            </w:r>
          </w:hyperlink>
        </w:p>
        <w:p w14:paraId="68593DF9" w14:textId="375C5F7B" w:rsidR="002D3874" w:rsidRDefault="002D3874">
          <w:pPr>
            <w:pStyle w:val="TOC2"/>
            <w:rPr>
              <w:rFonts w:asciiTheme="minorHAnsi" w:eastAsiaTheme="minorEastAsia" w:hAnsiTheme="minorHAnsi" w:cstheme="minorBidi"/>
              <w:b w:val="0"/>
              <w:noProof/>
              <w:sz w:val="22"/>
              <w:lang w:eastAsia="en-AU"/>
            </w:rPr>
          </w:pPr>
          <w:hyperlink w:anchor="_Toc52188117" w:history="1">
            <w:r w:rsidRPr="007471C3">
              <w:rPr>
                <w:rStyle w:val="Hyperlink"/>
                <w:noProof/>
              </w:rPr>
              <w:t>Risk-benefit analysis</w:t>
            </w:r>
            <w:r>
              <w:rPr>
                <w:noProof/>
                <w:webHidden/>
              </w:rPr>
              <w:tab/>
            </w:r>
            <w:r>
              <w:rPr>
                <w:noProof/>
                <w:webHidden/>
              </w:rPr>
              <w:fldChar w:fldCharType="begin"/>
            </w:r>
            <w:r>
              <w:rPr>
                <w:noProof/>
                <w:webHidden/>
              </w:rPr>
              <w:instrText xml:space="preserve"> PAGEREF _Toc52188117 \h </w:instrText>
            </w:r>
            <w:r>
              <w:rPr>
                <w:noProof/>
                <w:webHidden/>
              </w:rPr>
            </w:r>
            <w:r>
              <w:rPr>
                <w:noProof/>
                <w:webHidden/>
              </w:rPr>
              <w:fldChar w:fldCharType="separate"/>
            </w:r>
            <w:r>
              <w:rPr>
                <w:noProof/>
                <w:webHidden/>
              </w:rPr>
              <w:t>25</w:t>
            </w:r>
            <w:r>
              <w:rPr>
                <w:noProof/>
                <w:webHidden/>
              </w:rPr>
              <w:fldChar w:fldCharType="end"/>
            </w:r>
          </w:hyperlink>
        </w:p>
        <w:p w14:paraId="42AB70E5" w14:textId="466EDAA7" w:rsidR="002D3874" w:rsidRDefault="002D3874">
          <w:pPr>
            <w:pStyle w:val="TOC2"/>
            <w:rPr>
              <w:rFonts w:asciiTheme="minorHAnsi" w:eastAsiaTheme="minorEastAsia" w:hAnsiTheme="minorHAnsi" w:cstheme="minorBidi"/>
              <w:b w:val="0"/>
              <w:noProof/>
              <w:sz w:val="22"/>
              <w:lang w:eastAsia="en-AU"/>
            </w:rPr>
          </w:pPr>
          <w:hyperlink w:anchor="_Toc52188118" w:history="1">
            <w:r w:rsidRPr="007471C3">
              <w:rPr>
                <w:rStyle w:val="Hyperlink"/>
                <w:noProof/>
              </w:rPr>
              <w:t>Outcome</w:t>
            </w:r>
            <w:r>
              <w:rPr>
                <w:noProof/>
                <w:webHidden/>
              </w:rPr>
              <w:tab/>
            </w:r>
            <w:r>
              <w:rPr>
                <w:noProof/>
                <w:webHidden/>
              </w:rPr>
              <w:fldChar w:fldCharType="begin"/>
            </w:r>
            <w:r>
              <w:rPr>
                <w:noProof/>
                <w:webHidden/>
              </w:rPr>
              <w:instrText xml:space="preserve"> PAGEREF _Toc52188118 \h </w:instrText>
            </w:r>
            <w:r>
              <w:rPr>
                <w:noProof/>
                <w:webHidden/>
              </w:rPr>
            </w:r>
            <w:r>
              <w:rPr>
                <w:noProof/>
                <w:webHidden/>
              </w:rPr>
              <w:fldChar w:fldCharType="separate"/>
            </w:r>
            <w:r>
              <w:rPr>
                <w:noProof/>
                <w:webHidden/>
              </w:rPr>
              <w:t>26</w:t>
            </w:r>
            <w:r>
              <w:rPr>
                <w:noProof/>
                <w:webHidden/>
              </w:rPr>
              <w:fldChar w:fldCharType="end"/>
            </w:r>
          </w:hyperlink>
        </w:p>
        <w:p w14:paraId="4616C933" w14:textId="06E04A2B" w:rsidR="002D3874" w:rsidRDefault="002D3874">
          <w:pPr>
            <w:pStyle w:val="TOC1"/>
            <w:rPr>
              <w:rFonts w:asciiTheme="minorHAnsi" w:eastAsiaTheme="minorEastAsia" w:hAnsiTheme="minorHAnsi" w:cstheme="minorBidi"/>
              <w:b w:val="0"/>
              <w:noProof/>
              <w:sz w:val="22"/>
              <w:lang w:eastAsia="en-AU"/>
            </w:rPr>
          </w:pPr>
          <w:hyperlink w:anchor="_Toc52188119" w:history="1">
            <w:r w:rsidRPr="007471C3">
              <w:rPr>
                <w:rStyle w:val="Hyperlink"/>
                <w:noProof/>
              </w:rPr>
              <w:t>Attachment 1. Product Information</w:t>
            </w:r>
            <w:r>
              <w:rPr>
                <w:noProof/>
                <w:webHidden/>
              </w:rPr>
              <w:tab/>
            </w:r>
            <w:r>
              <w:rPr>
                <w:noProof/>
                <w:webHidden/>
              </w:rPr>
              <w:fldChar w:fldCharType="begin"/>
            </w:r>
            <w:r>
              <w:rPr>
                <w:noProof/>
                <w:webHidden/>
              </w:rPr>
              <w:instrText xml:space="preserve"> PAGEREF _Toc52188119 \h </w:instrText>
            </w:r>
            <w:r>
              <w:rPr>
                <w:noProof/>
                <w:webHidden/>
              </w:rPr>
            </w:r>
            <w:r>
              <w:rPr>
                <w:noProof/>
                <w:webHidden/>
              </w:rPr>
              <w:fldChar w:fldCharType="separate"/>
            </w:r>
            <w:r>
              <w:rPr>
                <w:noProof/>
                <w:webHidden/>
              </w:rPr>
              <w:t>27</w:t>
            </w:r>
            <w:r>
              <w:rPr>
                <w:noProof/>
                <w:webHidden/>
              </w:rPr>
              <w:fldChar w:fldCharType="end"/>
            </w:r>
          </w:hyperlink>
        </w:p>
        <w:p w14:paraId="4FCED045" w14:textId="17881DDD" w:rsidR="003A7F6C" w:rsidRPr="00B811C6" w:rsidRDefault="00C525A2" w:rsidP="00B811C6">
          <w:pPr>
            <w:pStyle w:val="TOC2"/>
          </w:pPr>
          <w:r>
            <w:fldChar w:fldCharType="end"/>
          </w:r>
        </w:p>
      </w:sdtContent>
    </w:sdt>
    <w:bookmarkStart w:id="3" w:name="_Toc314842482" w:displacedByCustomXml="prev"/>
    <w:p w14:paraId="4C18D86F" w14:textId="77777777" w:rsidR="00FD119B" w:rsidRDefault="00FD119B">
      <w:pPr>
        <w:spacing w:before="0" w:after="200" w:line="0" w:lineRule="auto"/>
      </w:pPr>
      <w:r>
        <w:br w:type="page"/>
      </w:r>
    </w:p>
    <w:p w14:paraId="7033ED58" w14:textId="77777777" w:rsidR="00C52E24" w:rsidRPr="00C52E24" w:rsidRDefault="00441C3F" w:rsidP="0083125A">
      <w:pPr>
        <w:pStyle w:val="Heading2"/>
      </w:pPr>
      <w:bookmarkStart w:id="4" w:name="_Toc351716269"/>
      <w:bookmarkStart w:id="5" w:name="_Toc351718881"/>
      <w:bookmarkStart w:id="6" w:name="_Toc355338616"/>
      <w:bookmarkStart w:id="7" w:name="_Toc356306144"/>
      <w:bookmarkStart w:id="8" w:name="_Toc52188105"/>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231098" w:rsidRPr="00FD119B" w14:paraId="5A88B4A2"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4E7FFA6A" w14:textId="77777777" w:rsidR="00231098" w:rsidRPr="00FD119B" w:rsidRDefault="00231098" w:rsidP="00231098">
            <w:pPr>
              <w:keepNext w:val="0"/>
              <w:ind w:left="0"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1EB6813D" w14:textId="77777777" w:rsidR="00231098" w:rsidRPr="00FD119B" w:rsidRDefault="00231098" w:rsidP="00231098">
            <w:pPr>
              <w:keepNext w:val="0"/>
              <w:ind w:left="0" w:right="0"/>
              <w:rPr>
                <w:szCs w:val="22"/>
                <w:lang w:eastAsia="en-US"/>
              </w:rPr>
            </w:pPr>
            <w:r w:rsidRPr="00FD119B">
              <w:rPr>
                <w:szCs w:val="22"/>
                <w:lang w:eastAsia="en-US"/>
              </w:rPr>
              <w:t>Meaning</w:t>
            </w:r>
          </w:p>
        </w:tc>
      </w:tr>
      <w:tr w:rsidR="00231098" w:rsidRPr="00FD119B" w14:paraId="52A2FC09" w14:textId="77777777" w:rsidTr="00FD119B">
        <w:tc>
          <w:tcPr>
            <w:tcW w:w="1809" w:type="dxa"/>
          </w:tcPr>
          <w:p w14:paraId="387D5CC6" w14:textId="77777777" w:rsidR="00231098" w:rsidRPr="00FD119B" w:rsidRDefault="00231098" w:rsidP="00231098">
            <w:pPr>
              <w:ind w:left="0" w:right="0"/>
              <w:rPr>
                <w:color w:val="auto"/>
                <w:szCs w:val="22"/>
                <w:lang w:eastAsia="en-US"/>
              </w:rPr>
            </w:pPr>
            <w:r w:rsidRPr="00DB283D">
              <w:t>5-HT</w:t>
            </w:r>
            <w:r w:rsidRPr="0083125A">
              <w:rPr>
                <w:vertAlign w:val="subscript"/>
              </w:rPr>
              <w:t>3</w:t>
            </w:r>
          </w:p>
        </w:tc>
        <w:tc>
          <w:tcPr>
            <w:tcW w:w="6911" w:type="dxa"/>
          </w:tcPr>
          <w:p w14:paraId="3C5CE3FC" w14:textId="26239F7A" w:rsidR="00231098" w:rsidRPr="00FD119B" w:rsidRDefault="00231098" w:rsidP="00231098">
            <w:pPr>
              <w:ind w:left="0" w:right="0"/>
              <w:rPr>
                <w:color w:val="auto"/>
                <w:szCs w:val="22"/>
                <w:lang w:eastAsia="en-US"/>
              </w:rPr>
            </w:pPr>
            <w:r>
              <w:t>Serotonin subtype 3</w:t>
            </w:r>
            <w:r w:rsidR="0056590B">
              <w:t xml:space="preserve"> (receptor)</w:t>
            </w:r>
          </w:p>
        </w:tc>
      </w:tr>
      <w:tr w:rsidR="00231098" w:rsidRPr="00FD119B" w14:paraId="1D0127A3" w14:textId="77777777" w:rsidTr="00CF5DAD">
        <w:tc>
          <w:tcPr>
            <w:tcW w:w="1809" w:type="dxa"/>
            <w:tcBorders>
              <w:top w:val="single" w:sz="4" w:space="0" w:color="auto"/>
            </w:tcBorders>
          </w:tcPr>
          <w:p w14:paraId="51ABB5AB" w14:textId="77777777" w:rsidR="00231098" w:rsidRPr="00FD119B" w:rsidRDefault="00231098" w:rsidP="00231098">
            <w:pPr>
              <w:ind w:left="0" w:right="0"/>
            </w:pPr>
            <w:r>
              <w:t>ACM</w:t>
            </w:r>
          </w:p>
        </w:tc>
        <w:tc>
          <w:tcPr>
            <w:tcW w:w="6911" w:type="dxa"/>
            <w:tcBorders>
              <w:top w:val="single" w:sz="4" w:space="0" w:color="auto"/>
            </w:tcBorders>
          </w:tcPr>
          <w:p w14:paraId="43653724" w14:textId="77777777" w:rsidR="00231098" w:rsidRPr="00FD119B" w:rsidRDefault="00231098" w:rsidP="00231098">
            <w:pPr>
              <w:ind w:left="0" w:right="0"/>
            </w:pPr>
            <w:r w:rsidRPr="00460036">
              <w:t>Advisory Committee on Medicines</w:t>
            </w:r>
          </w:p>
        </w:tc>
      </w:tr>
      <w:tr w:rsidR="00231098" w:rsidRPr="00FD119B" w14:paraId="786783B6" w14:textId="77777777" w:rsidTr="00FD119B">
        <w:tc>
          <w:tcPr>
            <w:tcW w:w="1809" w:type="dxa"/>
          </w:tcPr>
          <w:p w14:paraId="505A5D99" w14:textId="77777777" w:rsidR="00231098" w:rsidRDefault="00231098" w:rsidP="00231098">
            <w:pPr>
              <w:ind w:left="0"/>
            </w:pPr>
            <w:r>
              <w:t>ALT</w:t>
            </w:r>
          </w:p>
        </w:tc>
        <w:tc>
          <w:tcPr>
            <w:tcW w:w="6911" w:type="dxa"/>
          </w:tcPr>
          <w:p w14:paraId="35C59811" w14:textId="77777777" w:rsidR="00231098" w:rsidRDefault="00231098" w:rsidP="00231098">
            <w:pPr>
              <w:ind w:left="0"/>
            </w:pPr>
            <w:r>
              <w:t>A</w:t>
            </w:r>
            <w:r w:rsidRPr="004F4279">
              <w:t>lanine aminotransferase</w:t>
            </w:r>
          </w:p>
        </w:tc>
      </w:tr>
      <w:tr w:rsidR="00231098" w:rsidRPr="00FD119B" w14:paraId="0B535A62" w14:textId="77777777" w:rsidTr="00FD119B">
        <w:tc>
          <w:tcPr>
            <w:tcW w:w="1809" w:type="dxa"/>
          </w:tcPr>
          <w:p w14:paraId="3634DE85" w14:textId="77777777" w:rsidR="00231098" w:rsidRPr="00FD119B" w:rsidRDefault="00231098" w:rsidP="00231098">
            <w:pPr>
              <w:ind w:left="0" w:right="0"/>
            </w:pPr>
            <w:r>
              <w:t>ARTG</w:t>
            </w:r>
          </w:p>
        </w:tc>
        <w:tc>
          <w:tcPr>
            <w:tcW w:w="6911" w:type="dxa"/>
          </w:tcPr>
          <w:p w14:paraId="25496278" w14:textId="77777777" w:rsidR="00231098" w:rsidRPr="00FD119B" w:rsidRDefault="00231098" w:rsidP="00231098">
            <w:pPr>
              <w:ind w:left="0" w:right="0"/>
            </w:pPr>
            <w:r w:rsidRPr="00460036">
              <w:t>Australian Register of Therapeutic Goods</w:t>
            </w:r>
          </w:p>
        </w:tc>
      </w:tr>
      <w:tr w:rsidR="00231098" w:rsidRPr="00FD119B" w14:paraId="2B9617CB" w14:textId="77777777" w:rsidTr="00FD119B">
        <w:tc>
          <w:tcPr>
            <w:tcW w:w="1809" w:type="dxa"/>
          </w:tcPr>
          <w:p w14:paraId="17BF0B57" w14:textId="77777777" w:rsidR="00231098" w:rsidRPr="00DB283D" w:rsidRDefault="00231098" w:rsidP="00231098">
            <w:pPr>
              <w:ind w:left="0"/>
            </w:pPr>
            <w:r>
              <w:t>ASCO</w:t>
            </w:r>
          </w:p>
        </w:tc>
        <w:tc>
          <w:tcPr>
            <w:tcW w:w="6911" w:type="dxa"/>
          </w:tcPr>
          <w:p w14:paraId="1722C2C1" w14:textId="77777777" w:rsidR="00231098" w:rsidRDefault="00231098" w:rsidP="00231098">
            <w:pPr>
              <w:ind w:left="0"/>
            </w:pPr>
            <w:r w:rsidRPr="006A10F5">
              <w:t>Americ</w:t>
            </w:r>
            <w:r>
              <w:t>an Society of Clinical Oncology</w:t>
            </w:r>
          </w:p>
        </w:tc>
      </w:tr>
      <w:tr w:rsidR="00231098" w:rsidRPr="00FD119B" w14:paraId="50672EAF" w14:textId="77777777" w:rsidTr="00FD119B">
        <w:tc>
          <w:tcPr>
            <w:tcW w:w="1809" w:type="dxa"/>
          </w:tcPr>
          <w:p w14:paraId="381B8AA2" w14:textId="77777777" w:rsidR="00231098" w:rsidRDefault="00231098" w:rsidP="00231098">
            <w:pPr>
              <w:ind w:left="0"/>
            </w:pPr>
            <w:r>
              <w:t>AST</w:t>
            </w:r>
          </w:p>
        </w:tc>
        <w:tc>
          <w:tcPr>
            <w:tcW w:w="6911" w:type="dxa"/>
          </w:tcPr>
          <w:p w14:paraId="13A2320F" w14:textId="77777777" w:rsidR="00231098" w:rsidRDefault="00231098" w:rsidP="00231098">
            <w:pPr>
              <w:ind w:left="0"/>
            </w:pPr>
            <w:r>
              <w:t>Aspartate aminotransferase</w:t>
            </w:r>
          </w:p>
        </w:tc>
      </w:tr>
      <w:tr w:rsidR="00231098" w:rsidRPr="00FD119B" w14:paraId="77C73448" w14:textId="77777777" w:rsidTr="00FD119B">
        <w:tc>
          <w:tcPr>
            <w:tcW w:w="1809" w:type="dxa"/>
          </w:tcPr>
          <w:p w14:paraId="2176C31F" w14:textId="77777777" w:rsidR="00231098" w:rsidRDefault="00231098" w:rsidP="00231098">
            <w:pPr>
              <w:ind w:left="0"/>
            </w:pPr>
            <w:r>
              <w:t>AUC</w:t>
            </w:r>
          </w:p>
        </w:tc>
        <w:tc>
          <w:tcPr>
            <w:tcW w:w="6911" w:type="dxa"/>
          </w:tcPr>
          <w:p w14:paraId="6428440B" w14:textId="77777777" w:rsidR="00231098" w:rsidRDefault="00231098" w:rsidP="00231098">
            <w:pPr>
              <w:ind w:left="0"/>
            </w:pPr>
            <w:r>
              <w:t>Area under the plasma concentration time curve</w:t>
            </w:r>
          </w:p>
        </w:tc>
      </w:tr>
      <w:tr w:rsidR="00231098" w:rsidRPr="00FD119B" w14:paraId="22BC5000" w14:textId="77777777" w:rsidTr="00FD119B">
        <w:tc>
          <w:tcPr>
            <w:tcW w:w="1809" w:type="dxa"/>
          </w:tcPr>
          <w:p w14:paraId="302DA9A4" w14:textId="77777777" w:rsidR="00231098" w:rsidRDefault="00231098" w:rsidP="00231098">
            <w:pPr>
              <w:ind w:left="0"/>
            </w:pPr>
            <w:r>
              <w:t>AUC</w:t>
            </w:r>
            <w:r w:rsidRPr="007F6FFE">
              <w:rPr>
                <w:vertAlign w:val="subscript"/>
              </w:rPr>
              <w:t>0-120</w:t>
            </w:r>
            <w:r w:rsidRPr="00EA7F15">
              <w:rPr>
                <w:vertAlign w:val="subscript"/>
              </w:rPr>
              <w:t>h</w:t>
            </w:r>
          </w:p>
        </w:tc>
        <w:tc>
          <w:tcPr>
            <w:tcW w:w="6911" w:type="dxa"/>
          </w:tcPr>
          <w:p w14:paraId="62D1B93D" w14:textId="77777777" w:rsidR="00231098" w:rsidRDefault="00231098" w:rsidP="00231098">
            <w:pPr>
              <w:ind w:left="0"/>
            </w:pPr>
            <w:r>
              <w:t>Area under the plasma concentration time curve from time 0 to 120 hours</w:t>
            </w:r>
          </w:p>
        </w:tc>
      </w:tr>
      <w:tr w:rsidR="00231098" w:rsidRPr="00FD119B" w14:paraId="110F7913" w14:textId="77777777" w:rsidTr="00FD119B">
        <w:tc>
          <w:tcPr>
            <w:tcW w:w="1809" w:type="dxa"/>
          </w:tcPr>
          <w:p w14:paraId="2D55C6A0" w14:textId="77777777" w:rsidR="00231098" w:rsidRDefault="00231098" w:rsidP="00231098">
            <w:pPr>
              <w:ind w:left="0"/>
            </w:pPr>
            <w:r>
              <w:t>AUC</w:t>
            </w:r>
            <w:r w:rsidRPr="007F6FFE">
              <w:rPr>
                <w:vertAlign w:val="subscript"/>
              </w:rPr>
              <w:t>0-∞</w:t>
            </w:r>
          </w:p>
        </w:tc>
        <w:tc>
          <w:tcPr>
            <w:tcW w:w="6911" w:type="dxa"/>
          </w:tcPr>
          <w:p w14:paraId="4EB1AB8F" w14:textId="77777777" w:rsidR="00231098" w:rsidRDefault="00231098" w:rsidP="00231098">
            <w:pPr>
              <w:ind w:left="0"/>
            </w:pPr>
            <w:r>
              <w:t>Area under the plasma concentration time curve from time 0 to infinity</w:t>
            </w:r>
          </w:p>
        </w:tc>
      </w:tr>
      <w:tr w:rsidR="00231098" w:rsidRPr="00FD119B" w14:paraId="09027F06" w14:textId="77777777" w:rsidTr="00FD119B">
        <w:tc>
          <w:tcPr>
            <w:tcW w:w="1809" w:type="dxa"/>
          </w:tcPr>
          <w:p w14:paraId="19A48580" w14:textId="77777777" w:rsidR="00231098" w:rsidRDefault="00231098" w:rsidP="00231098">
            <w:pPr>
              <w:ind w:left="0"/>
              <w:rPr>
                <w:rFonts w:asciiTheme="minorHAnsi" w:hAnsiTheme="minorHAnsi" w:cstheme="minorHAnsi"/>
              </w:rPr>
            </w:pPr>
            <w:r>
              <w:rPr>
                <w:rFonts w:asciiTheme="minorHAnsi" w:hAnsiTheme="minorHAnsi" w:cstheme="minorHAnsi"/>
              </w:rPr>
              <w:t>BID</w:t>
            </w:r>
          </w:p>
        </w:tc>
        <w:tc>
          <w:tcPr>
            <w:tcW w:w="6911" w:type="dxa"/>
          </w:tcPr>
          <w:p w14:paraId="57A250CC" w14:textId="77777777" w:rsidR="00231098" w:rsidRDefault="00231098" w:rsidP="00231098">
            <w:pPr>
              <w:ind w:left="0"/>
            </w:pPr>
            <w:r>
              <w:t xml:space="preserve">Twice daily, Latin: </w:t>
            </w:r>
            <w:proofErr w:type="spellStart"/>
            <w:r w:rsidRPr="00182BCC">
              <w:rPr>
                <w:i/>
              </w:rPr>
              <w:t>bis</w:t>
            </w:r>
            <w:proofErr w:type="spellEnd"/>
            <w:r w:rsidRPr="00182BCC">
              <w:rPr>
                <w:i/>
              </w:rPr>
              <w:t xml:space="preserve"> in die</w:t>
            </w:r>
          </w:p>
        </w:tc>
      </w:tr>
      <w:tr w:rsidR="00231098" w:rsidRPr="00FD119B" w14:paraId="089157AA" w14:textId="77777777" w:rsidTr="00FD119B">
        <w:tc>
          <w:tcPr>
            <w:tcW w:w="1809" w:type="dxa"/>
          </w:tcPr>
          <w:p w14:paraId="3FCFC5A6" w14:textId="77777777" w:rsidR="00231098" w:rsidRDefault="00231098" w:rsidP="00231098">
            <w:pPr>
              <w:ind w:left="0"/>
            </w:pPr>
            <w:r>
              <w:t>CHMP</w:t>
            </w:r>
          </w:p>
        </w:tc>
        <w:tc>
          <w:tcPr>
            <w:tcW w:w="6911" w:type="dxa"/>
          </w:tcPr>
          <w:p w14:paraId="20DE3B30" w14:textId="5364EE6C" w:rsidR="00231098" w:rsidRDefault="00231098" w:rsidP="00231098">
            <w:pPr>
              <w:ind w:left="0"/>
            </w:pPr>
            <w:r>
              <w:t>Committee for Human Medicinal Products</w:t>
            </w:r>
            <w:r w:rsidR="0056590B">
              <w:t xml:space="preserve"> (European Union)</w:t>
            </w:r>
          </w:p>
        </w:tc>
      </w:tr>
      <w:tr w:rsidR="00231098" w:rsidRPr="00FD119B" w14:paraId="5158594F" w14:textId="77777777" w:rsidTr="00FD119B">
        <w:tc>
          <w:tcPr>
            <w:tcW w:w="1809" w:type="dxa"/>
          </w:tcPr>
          <w:p w14:paraId="4ADCC337" w14:textId="77777777" w:rsidR="00231098" w:rsidRDefault="00231098" w:rsidP="00231098">
            <w:pPr>
              <w:ind w:left="0"/>
            </w:pPr>
            <w:r>
              <w:t>CHO</w:t>
            </w:r>
          </w:p>
        </w:tc>
        <w:tc>
          <w:tcPr>
            <w:tcW w:w="6911" w:type="dxa"/>
          </w:tcPr>
          <w:p w14:paraId="1239E023" w14:textId="63C44859" w:rsidR="00231098" w:rsidRDefault="00231098" w:rsidP="00231098">
            <w:pPr>
              <w:ind w:left="0"/>
            </w:pPr>
            <w:r>
              <w:t xml:space="preserve">Chinese </w:t>
            </w:r>
            <w:r w:rsidR="0056590B">
              <w:t>h</w:t>
            </w:r>
            <w:r>
              <w:t xml:space="preserve">amster </w:t>
            </w:r>
            <w:r w:rsidR="0056590B">
              <w:t>o</w:t>
            </w:r>
            <w:r>
              <w:t>vary</w:t>
            </w:r>
          </w:p>
        </w:tc>
      </w:tr>
      <w:tr w:rsidR="00231098" w:rsidRPr="00FD119B" w14:paraId="30D1E1D2" w14:textId="77777777" w:rsidTr="00FD119B">
        <w:tc>
          <w:tcPr>
            <w:tcW w:w="1809" w:type="dxa"/>
          </w:tcPr>
          <w:p w14:paraId="45670730" w14:textId="77777777" w:rsidR="00231098" w:rsidRPr="002F5CA3" w:rsidRDefault="00231098" w:rsidP="00231098">
            <w:pPr>
              <w:ind w:left="0"/>
              <w:rPr>
                <w:rFonts w:asciiTheme="minorHAnsi" w:hAnsiTheme="minorHAnsi" w:cstheme="minorHAnsi"/>
              </w:rPr>
            </w:pPr>
            <w:r>
              <w:rPr>
                <w:rFonts w:asciiTheme="minorHAnsi" w:hAnsiTheme="minorHAnsi" w:cstheme="minorHAnsi"/>
              </w:rPr>
              <w:t>CI</w:t>
            </w:r>
          </w:p>
        </w:tc>
        <w:tc>
          <w:tcPr>
            <w:tcW w:w="6911" w:type="dxa"/>
          </w:tcPr>
          <w:p w14:paraId="1C8B8DF6" w14:textId="77777777" w:rsidR="00231098" w:rsidRDefault="00231098" w:rsidP="00231098">
            <w:pPr>
              <w:ind w:left="0"/>
              <w:rPr>
                <w:rFonts w:asciiTheme="minorHAnsi" w:hAnsiTheme="minorHAnsi" w:cstheme="minorHAnsi"/>
              </w:rPr>
            </w:pPr>
            <w:r>
              <w:rPr>
                <w:rFonts w:asciiTheme="minorHAnsi" w:hAnsiTheme="minorHAnsi" w:cstheme="minorHAnsi"/>
              </w:rPr>
              <w:t>Confidence interval</w:t>
            </w:r>
          </w:p>
        </w:tc>
      </w:tr>
      <w:tr w:rsidR="00231098" w:rsidRPr="00FD119B" w14:paraId="4C632DC7" w14:textId="77777777" w:rsidTr="00FD119B">
        <w:tc>
          <w:tcPr>
            <w:tcW w:w="1809" w:type="dxa"/>
          </w:tcPr>
          <w:p w14:paraId="7ED10BC1" w14:textId="77777777" w:rsidR="00231098" w:rsidRPr="00FD119B" w:rsidRDefault="00231098" w:rsidP="00231098">
            <w:pPr>
              <w:ind w:left="0" w:right="0"/>
              <w:rPr>
                <w:color w:val="auto"/>
                <w:szCs w:val="22"/>
                <w:lang w:eastAsia="en-US"/>
              </w:rPr>
            </w:pPr>
            <w:r w:rsidRPr="0083125A">
              <w:rPr>
                <w:color w:val="auto"/>
                <w:szCs w:val="22"/>
                <w:lang w:eastAsia="en-US"/>
              </w:rPr>
              <w:t>CINV</w:t>
            </w:r>
          </w:p>
        </w:tc>
        <w:tc>
          <w:tcPr>
            <w:tcW w:w="6911" w:type="dxa"/>
          </w:tcPr>
          <w:p w14:paraId="34BCDC7B" w14:textId="77777777" w:rsidR="00231098" w:rsidRPr="00FD119B" w:rsidRDefault="00231098" w:rsidP="00231098">
            <w:pPr>
              <w:ind w:left="0" w:right="0"/>
              <w:rPr>
                <w:color w:val="auto"/>
                <w:szCs w:val="22"/>
                <w:lang w:eastAsia="en-US"/>
              </w:rPr>
            </w:pPr>
            <w:r>
              <w:rPr>
                <w:color w:val="auto"/>
                <w:szCs w:val="22"/>
                <w:lang w:eastAsia="en-US"/>
              </w:rPr>
              <w:t>C</w:t>
            </w:r>
            <w:r w:rsidRPr="0083125A">
              <w:rPr>
                <w:color w:val="auto"/>
                <w:szCs w:val="22"/>
                <w:lang w:eastAsia="en-US"/>
              </w:rPr>
              <w:t>hemothera</w:t>
            </w:r>
            <w:r>
              <w:rPr>
                <w:color w:val="auto"/>
                <w:szCs w:val="22"/>
                <w:lang w:eastAsia="en-US"/>
              </w:rPr>
              <w:t>py induced nausea and vomiting</w:t>
            </w:r>
          </w:p>
        </w:tc>
      </w:tr>
      <w:tr w:rsidR="00231098" w:rsidRPr="00FD119B" w14:paraId="3EC3BFF8" w14:textId="77777777" w:rsidTr="00FD119B">
        <w:tc>
          <w:tcPr>
            <w:tcW w:w="1809" w:type="dxa"/>
          </w:tcPr>
          <w:p w14:paraId="13E015FE" w14:textId="77777777" w:rsidR="00231098" w:rsidRDefault="00231098" w:rsidP="00231098">
            <w:pPr>
              <w:ind w:left="0"/>
              <w:rPr>
                <w:rFonts w:asciiTheme="minorHAnsi" w:hAnsiTheme="minorHAnsi" w:cstheme="minorHAnsi"/>
              </w:rPr>
            </w:pPr>
            <w:proofErr w:type="spellStart"/>
            <w:r>
              <w:t>C</w:t>
            </w:r>
            <w:r w:rsidRPr="000427FD">
              <w:rPr>
                <w:vertAlign w:val="subscript"/>
              </w:rPr>
              <w:t>max</w:t>
            </w:r>
            <w:proofErr w:type="spellEnd"/>
          </w:p>
        </w:tc>
        <w:tc>
          <w:tcPr>
            <w:tcW w:w="6911" w:type="dxa"/>
          </w:tcPr>
          <w:p w14:paraId="16B87DEE" w14:textId="77777777" w:rsidR="00231098" w:rsidRDefault="00231098" w:rsidP="00231098">
            <w:pPr>
              <w:ind w:left="0"/>
            </w:pPr>
            <w:r>
              <w:t>Maximum plasma concentration</w:t>
            </w:r>
          </w:p>
        </w:tc>
      </w:tr>
      <w:tr w:rsidR="00231098" w:rsidRPr="00FD119B" w14:paraId="08827B6F" w14:textId="77777777" w:rsidTr="00FD119B">
        <w:tc>
          <w:tcPr>
            <w:tcW w:w="1809" w:type="dxa"/>
          </w:tcPr>
          <w:p w14:paraId="76A862E2" w14:textId="77777777" w:rsidR="00231098" w:rsidRPr="00485C56" w:rsidRDefault="00231098" w:rsidP="00231098">
            <w:pPr>
              <w:ind w:left="0"/>
            </w:pPr>
            <w:r>
              <w:t>CMI</w:t>
            </w:r>
          </w:p>
        </w:tc>
        <w:tc>
          <w:tcPr>
            <w:tcW w:w="6911" w:type="dxa"/>
          </w:tcPr>
          <w:p w14:paraId="34E6777B" w14:textId="77777777" w:rsidR="00231098" w:rsidRDefault="00231098" w:rsidP="00231098">
            <w:pPr>
              <w:ind w:left="0"/>
            </w:pPr>
            <w:r>
              <w:t>Consumer Medicines Information</w:t>
            </w:r>
          </w:p>
        </w:tc>
      </w:tr>
      <w:tr w:rsidR="00231098" w:rsidRPr="00FD119B" w14:paraId="42BAA752" w14:textId="77777777" w:rsidTr="00FD119B">
        <w:tc>
          <w:tcPr>
            <w:tcW w:w="1809" w:type="dxa"/>
          </w:tcPr>
          <w:p w14:paraId="10C60B52" w14:textId="77777777" w:rsidR="00231098" w:rsidRDefault="00231098" w:rsidP="00231098">
            <w:pPr>
              <w:ind w:left="0"/>
            </w:pPr>
            <w:r>
              <w:t>CNS</w:t>
            </w:r>
          </w:p>
        </w:tc>
        <w:tc>
          <w:tcPr>
            <w:tcW w:w="6911" w:type="dxa"/>
          </w:tcPr>
          <w:p w14:paraId="18AD12E5" w14:textId="77777777" w:rsidR="00231098" w:rsidRDefault="00231098" w:rsidP="00231098">
            <w:pPr>
              <w:ind w:left="0"/>
            </w:pPr>
            <w:r>
              <w:t>Central nervous system</w:t>
            </w:r>
          </w:p>
        </w:tc>
      </w:tr>
      <w:tr w:rsidR="00231098" w:rsidRPr="00FD119B" w14:paraId="3B4BAFA7" w14:textId="77777777" w:rsidTr="00FD119B">
        <w:tc>
          <w:tcPr>
            <w:tcW w:w="1809" w:type="dxa"/>
          </w:tcPr>
          <w:p w14:paraId="0DB1BD40" w14:textId="77777777" w:rsidR="00231098" w:rsidRDefault="00231098" w:rsidP="00231098">
            <w:pPr>
              <w:ind w:left="0"/>
            </w:pPr>
            <w:r>
              <w:t>CPMP</w:t>
            </w:r>
          </w:p>
        </w:tc>
        <w:tc>
          <w:tcPr>
            <w:tcW w:w="6911" w:type="dxa"/>
          </w:tcPr>
          <w:p w14:paraId="76B5E629" w14:textId="1780EE71" w:rsidR="00231098" w:rsidRDefault="00231098" w:rsidP="00231098">
            <w:pPr>
              <w:ind w:left="0"/>
            </w:pPr>
            <w:r w:rsidRPr="00B80FB5">
              <w:t>Committee for Proprietary Medicinal Products</w:t>
            </w:r>
            <w:r w:rsidR="0056590B">
              <w:t xml:space="preserve"> (European Union)</w:t>
            </w:r>
          </w:p>
        </w:tc>
      </w:tr>
      <w:tr w:rsidR="00231098" w:rsidRPr="00FD119B" w14:paraId="42BE43A7" w14:textId="77777777" w:rsidTr="00FD119B">
        <w:tc>
          <w:tcPr>
            <w:tcW w:w="1809" w:type="dxa"/>
          </w:tcPr>
          <w:p w14:paraId="619E5DC7" w14:textId="77777777" w:rsidR="00231098" w:rsidRDefault="00231098" w:rsidP="00231098">
            <w:pPr>
              <w:ind w:left="0"/>
              <w:rPr>
                <w:rFonts w:asciiTheme="minorHAnsi" w:hAnsiTheme="minorHAnsi" w:cstheme="minorHAnsi"/>
              </w:rPr>
            </w:pPr>
            <w:r w:rsidRPr="002F5CA3">
              <w:rPr>
                <w:rFonts w:asciiTheme="minorHAnsi" w:hAnsiTheme="minorHAnsi" w:cstheme="minorHAnsi"/>
              </w:rPr>
              <w:t>CR</w:t>
            </w:r>
          </w:p>
        </w:tc>
        <w:tc>
          <w:tcPr>
            <w:tcW w:w="6911" w:type="dxa"/>
          </w:tcPr>
          <w:p w14:paraId="13807968" w14:textId="77777777" w:rsidR="00231098" w:rsidRDefault="00231098" w:rsidP="00231098">
            <w:pPr>
              <w:ind w:left="0"/>
            </w:pPr>
            <w:r>
              <w:rPr>
                <w:rFonts w:asciiTheme="minorHAnsi" w:hAnsiTheme="minorHAnsi" w:cstheme="minorHAnsi"/>
              </w:rPr>
              <w:t>Complete response</w:t>
            </w:r>
          </w:p>
        </w:tc>
      </w:tr>
      <w:tr w:rsidR="00231098" w:rsidRPr="00FD119B" w14:paraId="1A64917E" w14:textId="77777777" w:rsidTr="00FD119B">
        <w:tc>
          <w:tcPr>
            <w:tcW w:w="1809" w:type="dxa"/>
          </w:tcPr>
          <w:p w14:paraId="18363257" w14:textId="77777777" w:rsidR="00231098" w:rsidRDefault="00231098" w:rsidP="00231098">
            <w:pPr>
              <w:ind w:left="0"/>
            </w:pPr>
            <w:r>
              <w:t>CYP</w:t>
            </w:r>
          </w:p>
        </w:tc>
        <w:tc>
          <w:tcPr>
            <w:tcW w:w="6911" w:type="dxa"/>
          </w:tcPr>
          <w:p w14:paraId="7235F0D2" w14:textId="77777777" w:rsidR="00231098" w:rsidRDefault="00231098" w:rsidP="00231098">
            <w:pPr>
              <w:ind w:left="0"/>
            </w:pPr>
            <w:r>
              <w:t>C</w:t>
            </w:r>
            <w:r w:rsidRPr="0074577F">
              <w:t>y</w:t>
            </w:r>
            <w:r>
              <w:t>tochrome P</w:t>
            </w:r>
            <w:r w:rsidRPr="0074577F">
              <w:t>450</w:t>
            </w:r>
          </w:p>
        </w:tc>
      </w:tr>
      <w:tr w:rsidR="00231098" w:rsidRPr="00FD119B" w14:paraId="511CC7D0" w14:textId="77777777" w:rsidTr="00FD119B">
        <w:tc>
          <w:tcPr>
            <w:tcW w:w="1809" w:type="dxa"/>
          </w:tcPr>
          <w:p w14:paraId="1F2E4327" w14:textId="77777777" w:rsidR="00231098" w:rsidRDefault="00231098" w:rsidP="00231098">
            <w:pPr>
              <w:ind w:left="0"/>
              <w:rPr>
                <w:rFonts w:asciiTheme="minorHAnsi" w:hAnsiTheme="minorHAnsi" w:cstheme="minorHAnsi"/>
              </w:rPr>
            </w:pPr>
            <w:r>
              <w:rPr>
                <w:rFonts w:asciiTheme="minorHAnsi" w:hAnsiTheme="minorHAnsi" w:cstheme="minorHAnsi"/>
              </w:rPr>
              <w:t>DSMB</w:t>
            </w:r>
          </w:p>
        </w:tc>
        <w:tc>
          <w:tcPr>
            <w:tcW w:w="6911" w:type="dxa"/>
          </w:tcPr>
          <w:p w14:paraId="4CD2E15F" w14:textId="77777777" w:rsidR="00231098" w:rsidRDefault="00231098" w:rsidP="00231098">
            <w:pPr>
              <w:ind w:left="0"/>
            </w:pPr>
            <w:r>
              <w:rPr>
                <w:rFonts w:asciiTheme="minorHAnsi" w:hAnsiTheme="minorHAnsi" w:cstheme="minorHAnsi"/>
              </w:rPr>
              <w:t>Drug safety monitoring board</w:t>
            </w:r>
          </w:p>
        </w:tc>
      </w:tr>
      <w:tr w:rsidR="00231098" w:rsidRPr="00FD119B" w14:paraId="60216D21" w14:textId="77777777" w:rsidTr="00FD119B">
        <w:tc>
          <w:tcPr>
            <w:tcW w:w="1809" w:type="dxa"/>
          </w:tcPr>
          <w:p w14:paraId="582A4948" w14:textId="77777777" w:rsidR="00231098" w:rsidRDefault="00231098" w:rsidP="00231098">
            <w:pPr>
              <w:ind w:left="0"/>
            </w:pPr>
            <w:r>
              <w:t>ECG</w:t>
            </w:r>
          </w:p>
        </w:tc>
        <w:tc>
          <w:tcPr>
            <w:tcW w:w="6911" w:type="dxa"/>
          </w:tcPr>
          <w:p w14:paraId="694A3D60" w14:textId="77777777" w:rsidR="00231098" w:rsidRDefault="00231098" w:rsidP="00231098">
            <w:pPr>
              <w:ind w:left="0"/>
            </w:pPr>
            <w:r>
              <w:t>E</w:t>
            </w:r>
            <w:r w:rsidRPr="00FB7462">
              <w:t>lectrocardiogram</w:t>
            </w:r>
          </w:p>
        </w:tc>
      </w:tr>
      <w:tr w:rsidR="00231098" w:rsidRPr="00FD119B" w14:paraId="7EA3343F" w14:textId="77777777" w:rsidTr="00FD119B">
        <w:tc>
          <w:tcPr>
            <w:tcW w:w="1809" w:type="dxa"/>
          </w:tcPr>
          <w:p w14:paraId="7D648258" w14:textId="77777777" w:rsidR="00231098" w:rsidRDefault="00231098" w:rsidP="00231098">
            <w:pPr>
              <w:ind w:left="0"/>
            </w:pPr>
            <w:r>
              <w:t>EMA</w:t>
            </w:r>
          </w:p>
        </w:tc>
        <w:tc>
          <w:tcPr>
            <w:tcW w:w="6911" w:type="dxa"/>
          </w:tcPr>
          <w:p w14:paraId="13E977BC" w14:textId="5AA11072" w:rsidR="00231098" w:rsidRDefault="00231098" w:rsidP="00231098">
            <w:pPr>
              <w:ind w:left="0"/>
            </w:pPr>
            <w:r>
              <w:t>European Medicines Agency</w:t>
            </w:r>
            <w:r w:rsidR="0056590B">
              <w:t xml:space="preserve"> (European Union)</w:t>
            </w:r>
          </w:p>
        </w:tc>
      </w:tr>
      <w:tr w:rsidR="00231098" w:rsidRPr="00FD119B" w14:paraId="76D9B625" w14:textId="77777777" w:rsidTr="00FD119B">
        <w:tc>
          <w:tcPr>
            <w:tcW w:w="1809" w:type="dxa"/>
          </w:tcPr>
          <w:p w14:paraId="561843A1" w14:textId="77777777" w:rsidR="00231098" w:rsidRPr="00DB283D" w:rsidRDefault="00231098" w:rsidP="00231098">
            <w:pPr>
              <w:ind w:left="0"/>
            </w:pPr>
            <w:r>
              <w:t>ESMO</w:t>
            </w:r>
          </w:p>
        </w:tc>
        <w:tc>
          <w:tcPr>
            <w:tcW w:w="6911" w:type="dxa"/>
          </w:tcPr>
          <w:p w14:paraId="7BE7634F" w14:textId="77777777" w:rsidR="00231098" w:rsidRDefault="00231098" w:rsidP="00231098">
            <w:pPr>
              <w:ind w:left="0"/>
            </w:pPr>
            <w:r w:rsidRPr="006A10F5">
              <w:t>European Society for Medical Oncology</w:t>
            </w:r>
          </w:p>
        </w:tc>
      </w:tr>
      <w:tr w:rsidR="00231098" w:rsidRPr="00FD119B" w14:paraId="21C01C7D" w14:textId="77777777" w:rsidTr="00FD119B">
        <w:tc>
          <w:tcPr>
            <w:tcW w:w="1809" w:type="dxa"/>
          </w:tcPr>
          <w:p w14:paraId="192DB1BD" w14:textId="77777777" w:rsidR="00231098" w:rsidRDefault="00231098" w:rsidP="00231098">
            <w:pPr>
              <w:ind w:left="0"/>
            </w:pPr>
            <w:r>
              <w:lastRenderedPageBreak/>
              <w:t>EU</w:t>
            </w:r>
          </w:p>
        </w:tc>
        <w:tc>
          <w:tcPr>
            <w:tcW w:w="6911" w:type="dxa"/>
          </w:tcPr>
          <w:p w14:paraId="090862BA" w14:textId="77777777" w:rsidR="00231098" w:rsidRDefault="00231098" w:rsidP="00231098">
            <w:pPr>
              <w:ind w:left="0"/>
            </w:pPr>
            <w:r>
              <w:t>European Union</w:t>
            </w:r>
          </w:p>
        </w:tc>
      </w:tr>
      <w:tr w:rsidR="00231098" w:rsidRPr="00FD119B" w14:paraId="7A224005" w14:textId="77777777" w:rsidTr="00FD119B">
        <w:tc>
          <w:tcPr>
            <w:tcW w:w="1809" w:type="dxa"/>
          </w:tcPr>
          <w:p w14:paraId="6211B39C" w14:textId="77777777" w:rsidR="00231098" w:rsidRPr="002F5CA3" w:rsidRDefault="00231098" w:rsidP="00231098">
            <w:pPr>
              <w:ind w:left="0"/>
              <w:rPr>
                <w:rFonts w:asciiTheme="minorHAnsi" w:hAnsiTheme="minorHAnsi" w:cstheme="minorHAnsi"/>
              </w:rPr>
            </w:pPr>
            <w:r w:rsidRPr="00485C56">
              <w:t>EU-RMP</w:t>
            </w:r>
          </w:p>
        </w:tc>
        <w:tc>
          <w:tcPr>
            <w:tcW w:w="6911" w:type="dxa"/>
          </w:tcPr>
          <w:p w14:paraId="5C245D75" w14:textId="77777777" w:rsidR="00231098" w:rsidRDefault="00231098" w:rsidP="00231098">
            <w:pPr>
              <w:ind w:left="0"/>
              <w:rPr>
                <w:rFonts w:asciiTheme="minorHAnsi" w:hAnsiTheme="minorHAnsi" w:cstheme="minorHAnsi"/>
              </w:rPr>
            </w:pPr>
            <w:r>
              <w:t>European Union risk management plan</w:t>
            </w:r>
          </w:p>
        </w:tc>
      </w:tr>
      <w:tr w:rsidR="00231098" w:rsidRPr="00FD119B" w14:paraId="52890C06" w14:textId="77777777" w:rsidTr="00FD119B">
        <w:tc>
          <w:tcPr>
            <w:tcW w:w="1809" w:type="dxa"/>
          </w:tcPr>
          <w:p w14:paraId="0EFEFCF3" w14:textId="77777777" w:rsidR="00231098" w:rsidRPr="002F5CA3" w:rsidRDefault="00231098" w:rsidP="00231098">
            <w:pPr>
              <w:ind w:left="0"/>
              <w:rPr>
                <w:rFonts w:asciiTheme="minorHAnsi" w:hAnsiTheme="minorHAnsi" w:cstheme="minorHAnsi"/>
              </w:rPr>
            </w:pPr>
            <w:r w:rsidRPr="00482640">
              <w:rPr>
                <w:rFonts w:asciiTheme="minorHAnsi" w:hAnsiTheme="minorHAnsi" w:cstheme="minorHAnsi"/>
              </w:rPr>
              <w:t>FAS</w:t>
            </w:r>
          </w:p>
        </w:tc>
        <w:tc>
          <w:tcPr>
            <w:tcW w:w="6911" w:type="dxa"/>
          </w:tcPr>
          <w:p w14:paraId="673AB6F0" w14:textId="77777777" w:rsidR="00231098" w:rsidRDefault="00231098" w:rsidP="00231098">
            <w:pPr>
              <w:ind w:left="0"/>
              <w:rPr>
                <w:rFonts w:asciiTheme="minorHAnsi" w:hAnsiTheme="minorHAnsi" w:cstheme="minorHAnsi"/>
              </w:rPr>
            </w:pPr>
            <w:r>
              <w:rPr>
                <w:rFonts w:asciiTheme="minorHAnsi" w:hAnsiTheme="minorHAnsi" w:cstheme="minorHAnsi"/>
              </w:rPr>
              <w:t>Full analysis set</w:t>
            </w:r>
          </w:p>
        </w:tc>
      </w:tr>
      <w:tr w:rsidR="00231098" w:rsidRPr="00FD119B" w14:paraId="40B99D35" w14:textId="77777777" w:rsidTr="00FD119B">
        <w:tc>
          <w:tcPr>
            <w:tcW w:w="1809" w:type="dxa"/>
          </w:tcPr>
          <w:p w14:paraId="6E9F1F2A" w14:textId="77777777" w:rsidR="00231098" w:rsidRDefault="00231098" w:rsidP="00231098">
            <w:pPr>
              <w:ind w:left="0"/>
              <w:rPr>
                <w:rFonts w:asciiTheme="minorHAnsi" w:hAnsiTheme="minorHAnsi" w:cstheme="minorHAnsi"/>
              </w:rPr>
            </w:pPr>
            <w:r>
              <w:rPr>
                <w:rFonts w:asciiTheme="minorHAnsi" w:hAnsiTheme="minorHAnsi" w:cstheme="minorHAnsi"/>
              </w:rPr>
              <w:t>F-CO</w:t>
            </w:r>
          </w:p>
        </w:tc>
        <w:tc>
          <w:tcPr>
            <w:tcW w:w="6911" w:type="dxa"/>
          </w:tcPr>
          <w:p w14:paraId="697B780E" w14:textId="77777777" w:rsidR="00231098" w:rsidRDefault="00231098" w:rsidP="00231098">
            <w:pPr>
              <w:ind w:left="0"/>
            </w:pPr>
            <w:r>
              <w:rPr>
                <w:rFonts w:asciiTheme="minorHAnsi" w:hAnsiTheme="minorHAnsi" w:cstheme="minorHAnsi"/>
              </w:rPr>
              <w:t>Final crossover extension</w:t>
            </w:r>
          </w:p>
        </w:tc>
      </w:tr>
      <w:tr w:rsidR="00231098" w:rsidRPr="00FD119B" w14:paraId="50698BB4" w14:textId="77777777" w:rsidTr="00FD119B">
        <w:tc>
          <w:tcPr>
            <w:tcW w:w="1809" w:type="dxa"/>
          </w:tcPr>
          <w:p w14:paraId="2BD0D837" w14:textId="77777777" w:rsidR="00231098" w:rsidRDefault="00231098" w:rsidP="00231098">
            <w:pPr>
              <w:ind w:left="0"/>
              <w:rPr>
                <w:rFonts w:asciiTheme="minorHAnsi" w:hAnsiTheme="minorHAnsi" w:cstheme="minorHAnsi"/>
              </w:rPr>
            </w:pPr>
            <w:r>
              <w:rPr>
                <w:rFonts w:asciiTheme="minorHAnsi" w:hAnsiTheme="minorHAnsi" w:cstheme="minorHAnsi"/>
              </w:rPr>
              <w:t>FDC</w:t>
            </w:r>
          </w:p>
        </w:tc>
        <w:tc>
          <w:tcPr>
            <w:tcW w:w="6911" w:type="dxa"/>
          </w:tcPr>
          <w:p w14:paraId="06038748" w14:textId="77777777" w:rsidR="00231098" w:rsidRDefault="00231098" w:rsidP="00231098">
            <w:pPr>
              <w:ind w:left="0"/>
            </w:pPr>
            <w:r>
              <w:rPr>
                <w:rFonts w:asciiTheme="minorHAnsi" w:hAnsiTheme="minorHAnsi" w:cstheme="minorHAnsi"/>
              </w:rPr>
              <w:t>Fixed dose combination</w:t>
            </w:r>
          </w:p>
        </w:tc>
      </w:tr>
      <w:tr w:rsidR="00231098" w:rsidRPr="00FD119B" w14:paraId="17BA4F3B" w14:textId="77777777" w:rsidTr="00FD119B">
        <w:tc>
          <w:tcPr>
            <w:tcW w:w="1809" w:type="dxa"/>
          </w:tcPr>
          <w:p w14:paraId="7C215B38" w14:textId="77777777" w:rsidR="00231098" w:rsidRDefault="00231098" w:rsidP="00231098">
            <w:pPr>
              <w:ind w:left="0"/>
            </w:pPr>
            <w:proofErr w:type="spellStart"/>
            <w:r>
              <w:rPr>
                <w:rFonts w:asciiTheme="minorHAnsi" w:hAnsiTheme="minorHAnsi" w:cstheme="minorHAnsi"/>
              </w:rPr>
              <w:t>F</w:t>
            </w:r>
            <w:r w:rsidRPr="007E1ABD">
              <w:rPr>
                <w:rFonts w:asciiTheme="minorHAnsi" w:hAnsiTheme="minorHAnsi" w:cstheme="minorHAnsi"/>
                <w:vertAlign w:val="subscript"/>
              </w:rPr>
              <w:t>rel</w:t>
            </w:r>
            <w:proofErr w:type="spellEnd"/>
            <w:r>
              <w:rPr>
                <w:rFonts w:asciiTheme="minorHAnsi" w:hAnsiTheme="minorHAnsi" w:cstheme="minorHAnsi"/>
              </w:rPr>
              <w:t xml:space="preserve"> </w:t>
            </w:r>
            <w:r w:rsidRPr="00814B79">
              <w:rPr>
                <w:rFonts w:asciiTheme="minorHAnsi" w:hAnsiTheme="minorHAnsi" w:cstheme="minorHAnsi"/>
                <w:vertAlign w:val="subscript"/>
              </w:rPr>
              <w:t>IV</w:t>
            </w:r>
          </w:p>
        </w:tc>
        <w:tc>
          <w:tcPr>
            <w:tcW w:w="6911" w:type="dxa"/>
          </w:tcPr>
          <w:p w14:paraId="26B56397" w14:textId="77777777" w:rsidR="00231098" w:rsidRDefault="00231098" w:rsidP="00231098">
            <w:pPr>
              <w:ind w:left="0"/>
            </w:pPr>
            <w:r>
              <w:rPr>
                <w:rFonts w:asciiTheme="minorHAnsi" w:hAnsiTheme="minorHAnsi" w:cstheme="minorHAnsi"/>
              </w:rPr>
              <w:t>Relative availability factor (intravenous)</w:t>
            </w:r>
          </w:p>
        </w:tc>
      </w:tr>
      <w:tr w:rsidR="00231098" w:rsidRPr="00FD119B" w14:paraId="163A66CF" w14:textId="77777777" w:rsidTr="00FD119B">
        <w:tc>
          <w:tcPr>
            <w:tcW w:w="1809" w:type="dxa"/>
          </w:tcPr>
          <w:p w14:paraId="617E46D3" w14:textId="77777777" w:rsidR="00231098" w:rsidRDefault="00231098" w:rsidP="00231098">
            <w:pPr>
              <w:ind w:left="0"/>
            </w:pPr>
            <w:r>
              <w:t>GLP</w:t>
            </w:r>
          </w:p>
        </w:tc>
        <w:tc>
          <w:tcPr>
            <w:tcW w:w="6911" w:type="dxa"/>
          </w:tcPr>
          <w:p w14:paraId="446FF5ED" w14:textId="77777777" w:rsidR="00231098" w:rsidRDefault="00231098" w:rsidP="00231098">
            <w:pPr>
              <w:ind w:left="0"/>
            </w:pPr>
            <w:r>
              <w:t>Good Laboratory Practice(s)</w:t>
            </w:r>
          </w:p>
        </w:tc>
      </w:tr>
      <w:tr w:rsidR="00231098" w:rsidRPr="00FD119B" w14:paraId="39997B94" w14:textId="77777777" w:rsidTr="00FD119B">
        <w:tc>
          <w:tcPr>
            <w:tcW w:w="1809" w:type="dxa"/>
          </w:tcPr>
          <w:p w14:paraId="5986C147" w14:textId="77777777" w:rsidR="00231098" w:rsidRPr="00485C56" w:rsidRDefault="00231098" w:rsidP="00231098">
            <w:pPr>
              <w:ind w:left="0"/>
            </w:pPr>
            <w:r w:rsidRPr="00453852">
              <w:t>GVP</w:t>
            </w:r>
          </w:p>
        </w:tc>
        <w:tc>
          <w:tcPr>
            <w:tcW w:w="6911" w:type="dxa"/>
          </w:tcPr>
          <w:p w14:paraId="21B1B5D5" w14:textId="77777777" w:rsidR="00231098" w:rsidRDefault="00231098" w:rsidP="00231098">
            <w:pPr>
              <w:ind w:left="0"/>
            </w:pPr>
            <w:r w:rsidRPr="00453852">
              <w:t>G</w:t>
            </w:r>
            <w:r>
              <w:t>ood Pharmacovigilance Practice(s)</w:t>
            </w:r>
          </w:p>
        </w:tc>
      </w:tr>
      <w:tr w:rsidR="00231098" w:rsidRPr="00FD119B" w14:paraId="52DC1DE6" w14:textId="77777777" w:rsidTr="00FD119B">
        <w:tc>
          <w:tcPr>
            <w:tcW w:w="1809" w:type="dxa"/>
          </w:tcPr>
          <w:p w14:paraId="5026B661" w14:textId="77777777" w:rsidR="00231098" w:rsidRDefault="00231098" w:rsidP="00231098">
            <w:pPr>
              <w:ind w:left="0"/>
            </w:pPr>
            <w:r>
              <w:t>h5-HT</w:t>
            </w:r>
            <w:r w:rsidRPr="009F38A0">
              <w:rPr>
                <w:vertAlign w:val="subscript"/>
              </w:rPr>
              <w:t>6</w:t>
            </w:r>
          </w:p>
        </w:tc>
        <w:tc>
          <w:tcPr>
            <w:tcW w:w="6911" w:type="dxa"/>
          </w:tcPr>
          <w:p w14:paraId="782F8A5E" w14:textId="58DB60B9" w:rsidR="00231098" w:rsidRDefault="00231098" w:rsidP="00231098">
            <w:pPr>
              <w:ind w:left="0"/>
            </w:pPr>
            <w:r>
              <w:t>Human serotonin subtype 6</w:t>
            </w:r>
            <w:r w:rsidR="0056590B">
              <w:t xml:space="preserve"> (receptor)</w:t>
            </w:r>
          </w:p>
        </w:tc>
      </w:tr>
      <w:tr w:rsidR="00231098" w:rsidRPr="00FD119B" w14:paraId="7B00E18F" w14:textId="77777777" w:rsidTr="00FD119B">
        <w:tc>
          <w:tcPr>
            <w:tcW w:w="1809" w:type="dxa"/>
          </w:tcPr>
          <w:p w14:paraId="6173F42B" w14:textId="77777777" w:rsidR="00231098" w:rsidRPr="00DB283D" w:rsidRDefault="00231098" w:rsidP="00231098">
            <w:pPr>
              <w:ind w:left="0"/>
            </w:pPr>
            <w:r>
              <w:t>HEC</w:t>
            </w:r>
          </w:p>
        </w:tc>
        <w:tc>
          <w:tcPr>
            <w:tcW w:w="6911" w:type="dxa"/>
          </w:tcPr>
          <w:p w14:paraId="386AF9E0" w14:textId="77777777" w:rsidR="00231098" w:rsidRDefault="00231098" w:rsidP="00231098">
            <w:pPr>
              <w:ind w:left="0"/>
            </w:pPr>
            <w:r>
              <w:t xml:space="preserve">Highly </w:t>
            </w:r>
            <w:proofErr w:type="spellStart"/>
            <w:r>
              <w:t>emetogenic</w:t>
            </w:r>
            <w:proofErr w:type="spellEnd"/>
            <w:r>
              <w:t xml:space="preserve"> chemotherapy</w:t>
            </w:r>
          </w:p>
        </w:tc>
      </w:tr>
      <w:tr w:rsidR="00231098" w:rsidRPr="00FD119B" w14:paraId="090F3867" w14:textId="77777777" w:rsidTr="00FD119B">
        <w:tc>
          <w:tcPr>
            <w:tcW w:w="1809" w:type="dxa"/>
          </w:tcPr>
          <w:p w14:paraId="6BDA2D52" w14:textId="77777777" w:rsidR="00231098" w:rsidRPr="00CB62EC" w:rsidRDefault="00231098" w:rsidP="00231098">
            <w:pPr>
              <w:ind w:left="0"/>
              <w:rPr>
                <w:i/>
              </w:rPr>
            </w:pPr>
            <w:proofErr w:type="spellStart"/>
            <w:r w:rsidRPr="00CB62EC">
              <w:rPr>
                <w:i/>
              </w:rPr>
              <w:t>hERG</w:t>
            </w:r>
            <w:proofErr w:type="spellEnd"/>
          </w:p>
        </w:tc>
        <w:tc>
          <w:tcPr>
            <w:tcW w:w="6911" w:type="dxa"/>
          </w:tcPr>
          <w:p w14:paraId="2C09A517" w14:textId="77777777" w:rsidR="00231098" w:rsidRDefault="00231098" w:rsidP="00231098">
            <w:pPr>
              <w:ind w:left="0"/>
            </w:pPr>
            <w:r>
              <w:t>H</w:t>
            </w:r>
            <w:r w:rsidRPr="00FB7462">
              <w:t>uman ether-a-go-go-related gene</w:t>
            </w:r>
          </w:p>
        </w:tc>
      </w:tr>
      <w:tr w:rsidR="00231098" w:rsidRPr="00FD119B" w14:paraId="606A7099" w14:textId="77777777" w:rsidTr="00FD119B">
        <w:tc>
          <w:tcPr>
            <w:tcW w:w="1809" w:type="dxa"/>
          </w:tcPr>
          <w:p w14:paraId="27F3811D" w14:textId="77777777" w:rsidR="00231098" w:rsidRDefault="00231098" w:rsidP="00231098">
            <w:pPr>
              <w:ind w:left="0"/>
            </w:pPr>
            <w:r>
              <w:t>hNK</w:t>
            </w:r>
            <w:r w:rsidRPr="00CB62EC">
              <w:rPr>
                <w:vertAlign w:val="subscript"/>
              </w:rPr>
              <w:t>1</w:t>
            </w:r>
          </w:p>
        </w:tc>
        <w:tc>
          <w:tcPr>
            <w:tcW w:w="6911" w:type="dxa"/>
          </w:tcPr>
          <w:p w14:paraId="43AD0A21" w14:textId="671A6B36" w:rsidR="00231098" w:rsidRDefault="00231098" w:rsidP="00231098">
            <w:pPr>
              <w:ind w:left="0"/>
            </w:pPr>
            <w:r>
              <w:t>Human n</w:t>
            </w:r>
            <w:r w:rsidRPr="00B80FB5">
              <w:t>eurokinin 1</w:t>
            </w:r>
            <w:r w:rsidR="0056590B">
              <w:t xml:space="preserve"> (receptor)</w:t>
            </w:r>
          </w:p>
        </w:tc>
      </w:tr>
      <w:tr w:rsidR="00231098" w:rsidRPr="00FD119B" w14:paraId="4DD29864" w14:textId="77777777" w:rsidTr="00FD119B">
        <w:tc>
          <w:tcPr>
            <w:tcW w:w="1809" w:type="dxa"/>
          </w:tcPr>
          <w:p w14:paraId="6E6E8AE6" w14:textId="77777777" w:rsidR="00231098" w:rsidRDefault="00231098" w:rsidP="00231098">
            <w:pPr>
              <w:ind w:left="0"/>
            </w:pPr>
            <w:r>
              <w:t>hNK</w:t>
            </w:r>
            <w:r w:rsidRPr="00CB62EC">
              <w:rPr>
                <w:vertAlign w:val="subscript"/>
              </w:rPr>
              <w:t>3</w:t>
            </w:r>
          </w:p>
        </w:tc>
        <w:tc>
          <w:tcPr>
            <w:tcW w:w="6911" w:type="dxa"/>
          </w:tcPr>
          <w:p w14:paraId="21D39A49" w14:textId="020EF225" w:rsidR="00231098" w:rsidRDefault="00231098" w:rsidP="00231098">
            <w:pPr>
              <w:ind w:left="0"/>
            </w:pPr>
            <w:r>
              <w:t xml:space="preserve">Human neurokinin </w:t>
            </w:r>
            <w:r w:rsidRPr="009F38A0">
              <w:t>3</w:t>
            </w:r>
            <w:r w:rsidR="0056590B">
              <w:t xml:space="preserve"> (receptor)</w:t>
            </w:r>
          </w:p>
        </w:tc>
      </w:tr>
      <w:tr w:rsidR="00231098" w:rsidRPr="00FD119B" w14:paraId="5F306811" w14:textId="77777777" w:rsidTr="00FD119B">
        <w:tc>
          <w:tcPr>
            <w:tcW w:w="1809" w:type="dxa"/>
          </w:tcPr>
          <w:p w14:paraId="232D252C" w14:textId="77777777" w:rsidR="00231098" w:rsidRDefault="00231098" w:rsidP="00231098">
            <w:pPr>
              <w:ind w:left="0"/>
            </w:pPr>
            <w:r>
              <w:t>IC</w:t>
            </w:r>
            <w:r w:rsidRPr="00B80FB5">
              <w:rPr>
                <w:vertAlign w:val="subscript"/>
              </w:rPr>
              <w:t>50</w:t>
            </w:r>
          </w:p>
        </w:tc>
        <w:tc>
          <w:tcPr>
            <w:tcW w:w="6911" w:type="dxa"/>
          </w:tcPr>
          <w:p w14:paraId="15F7D198" w14:textId="77777777" w:rsidR="00231098" w:rsidRDefault="00231098" w:rsidP="00231098">
            <w:pPr>
              <w:ind w:left="0"/>
            </w:pPr>
            <w:r>
              <w:t>Half maximal inhibitory concentration</w:t>
            </w:r>
          </w:p>
        </w:tc>
      </w:tr>
      <w:tr w:rsidR="00231098" w:rsidRPr="00FD119B" w14:paraId="6355E317" w14:textId="77777777" w:rsidTr="00FD119B">
        <w:tc>
          <w:tcPr>
            <w:tcW w:w="1809" w:type="dxa"/>
          </w:tcPr>
          <w:p w14:paraId="5F1548B0" w14:textId="77777777" w:rsidR="00231098" w:rsidRDefault="00231098" w:rsidP="00231098">
            <w:pPr>
              <w:ind w:left="0"/>
            </w:pPr>
            <w:r>
              <w:t>IV</w:t>
            </w:r>
          </w:p>
        </w:tc>
        <w:tc>
          <w:tcPr>
            <w:tcW w:w="6911" w:type="dxa"/>
          </w:tcPr>
          <w:p w14:paraId="4E927316" w14:textId="77777777" w:rsidR="00231098" w:rsidRDefault="00231098" w:rsidP="00231098">
            <w:pPr>
              <w:ind w:left="0"/>
            </w:pPr>
            <w:r>
              <w:t>Intravenous(</w:t>
            </w:r>
            <w:proofErr w:type="spellStart"/>
            <w:r>
              <w:t>ly</w:t>
            </w:r>
            <w:proofErr w:type="spellEnd"/>
            <w:r>
              <w:t>)</w:t>
            </w:r>
          </w:p>
        </w:tc>
      </w:tr>
      <w:tr w:rsidR="00231098" w:rsidRPr="00FD119B" w14:paraId="6AAF8979" w14:textId="77777777" w:rsidTr="00FD119B">
        <w:tc>
          <w:tcPr>
            <w:tcW w:w="1809" w:type="dxa"/>
          </w:tcPr>
          <w:p w14:paraId="70F5C9DC" w14:textId="77777777" w:rsidR="00231098" w:rsidRDefault="00231098" w:rsidP="00231098">
            <w:pPr>
              <w:ind w:left="0"/>
            </w:pPr>
            <w:r>
              <w:t>M1</w:t>
            </w:r>
          </w:p>
        </w:tc>
        <w:tc>
          <w:tcPr>
            <w:tcW w:w="6911" w:type="dxa"/>
          </w:tcPr>
          <w:p w14:paraId="204DFB54" w14:textId="3270C758" w:rsidR="00231098" w:rsidRDefault="0056590B" w:rsidP="00231098">
            <w:pPr>
              <w:ind w:left="0"/>
            </w:pPr>
            <w:r>
              <w:t xml:space="preserve">Primary </w:t>
            </w:r>
            <w:proofErr w:type="spellStart"/>
            <w:r w:rsidR="00231098">
              <w:t>netupitant</w:t>
            </w:r>
            <w:proofErr w:type="spellEnd"/>
            <w:r w:rsidR="00231098">
              <w:t xml:space="preserve"> metabolite</w:t>
            </w:r>
          </w:p>
        </w:tc>
      </w:tr>
      <w:tr w:rsidR="00231098" w:rsidRPr="00FD119B" w14:paraId="790FF53E" w14:textId="77777777" w:rsidTr="00FD119B">
        <w:tc>
          <w:tcPr>
            <w:tcW w:w="1809" w:type="dxa"/>
          </w:tcPr>
          <w:p w14:paraId="6B39DD7E" w14:textId="77777777" w:rsidR="00231098" w:rsidRDefault="00231098" w:rsidP="00231098">
            <w:pPr>
              <w:ind w:left="0"/>
            </w:pPr>
            <w:r>
              <w:t>MATE1</w:t>
            </w:r>
          </w:p>
        </w:tc>
        <w:tc>
          <w:tcPr>
            <w:tcW w:w="6911" w:type="dxa"/>
          </w:tcPr>
          <w:p w14:paraId="25F31240" w14:textId="77777777" w:rsidR="00231098" w:rsidRDefault="00231098" w:rsidP="00231098">
            <w:pPr>
              <w:ind w:left="0"/>
            </w:pPr>
            <w:r>
              <w:t>M</w:t>
            </w:r>
            <w:r w:rsidRPr="004F4279">
              <w:t>ultidrug and toxin extrusion protein 1</w:t>
            </w:r>
          </w:p>
        </w:tc>
      </w:tr>
      <w:tr w:rsidR="00231098" w:rsidRPr="00FD119B" w14:paraId="365BAB4F" w14:textId="77777777" w:rsidTr="00FD119B">
        <w:tc>
          <w:tcPr>
            <w:tcW w:w="1809" w:type="dxa"/>
          </w:tcPr>
          <w:p w14:paraId="74403D1D" w14:textId="77777777" w:rsidR="00231098" w:rsidRPr="00CB62EC" w:rsidRDefault="00231098" w:rsidP="00231098">
            <w:pPr>
              <w:ind w:left="0"/>
              <w:rPr>
                <w:i/>
              </w:rPr>
            </w:pPr>
            <w:r w:rsidRPr="00CB62EC">
              <w:rPr>
                <w:i/>
              </w:rPr>
              <w:t>MDR1</w:t>
            </w:r>
          </w:p>
        </w:tc>
        <w:tc>
          <w:tcPr>
            <w:tcW w:w="6911" w:type="dxa"/>
          </w:tcPr>
          <w:p w14:paraId="5F756976" w14:textId="77777777" w:rsidR="00231098" w:rsidRDefault="00231098" w:rsidP="00231098">
            <w:pPr>
              <w:ind w:left="0"/>
            </w:pPr>
            <w:r>
              <w:t>M</w:t>
            </w:r>
            <w:r w:rsidRPr="004F4279">
              <w:t>ulti-drug resistance gene</w:t>
            </w:r>
          </w:p>
        </w:tc>
      </w:tr>
      <w:tr w:rsidR="00231098" w:rsidRPr="00FD119B" w14:paraId="445201B9" w14:textId="77777777" w:rsidTr="00FD119B">
        <w:tc>
          <w:tcPr>
            <w:tcW w:w="1809" w:type="dxa"/>
          </w:tcPr>
          <w:p w14:paraId="75C7CE90" w14:textId="77777777" w:rsidR="00231098" w:rsidRPr="00DB283D" w:rsidRDefault="00231098" w:rsidP="00231098">
            <w:pPr>
              <w:ind w:left="0"/>
            </w:pPr>
            <w:r>
              <w:t>MEC</w:t>
            </w:r>
          </w:p>
        </w:tc>
        <w:tc>
          <w:tcPr>
            <w:tcW w:w="6911" w:type="dxa"/>
          </w:tcPr>
          <w:p w14:paraId="0D4C547D" w14:textId="77777777" w:rsidR="00231098" w:rsidRDefault="00231098" w:rsidP="00231098">
            <w:pPr>
              <w:ind w:left="0"/>
            </w:pPr>
            <w:r>
              <w:t xml:space="preserve">Moderately </w:t>
            </w:r>
            <w:proofErr w:type="spellStart"/>
            <w:r>
              <w:t>emetogenic</w:t>
            </w:r>
            <w:proofErr w:type="spellEnd"/>
            <w:r>
              <w:t xml:space="preserve"> chemotherapy</w:t>
            </w:r>
          </w:p>
        </w:tc>
      </w:tr>
      <w:tr w:rsidR="00231098" w:rsidRPr="00FD119B" w14:paraId="13A75A2F" w14:textId="77777777" w:rsidTr="00FD119B">
        <w:tc>
          <w:tcPr>
            <w:tcW w:w="1809" w:type="dxa"/>
          </w:tcPr>
          <w:p w14:paraId="1918E688" w14:textId="77777777" w:rsidR="00231098" w:rsidRPr="002F5CA3" w:rsidRDefault="00231098" w:rsidP="00231098">
            <w:pPr>
              <w:ind w:left="0"/>
              <w:rPr>
                <w:rFonts w:asciiTheme="minorHAnsi" w:hAnsiTheme="minorHAnsi" w:cstheme="minorHAnsi"/>
              </w:rPr>
            </w:pPr>
            <w:r>
              <w:rPr>
                <w:rFonts w:asciiTheme="minorHAnsi" w:hAnsiTheme="minorHAnsi" w:cstheme="minorHAnsi"/>
              </w:rPr>
              <w:t>NEPA</w:t>
            </w:r>
          </w:p>
        </w:tc>
        <w:tc>
          <w:tcPr>
            <w:tcW w:w="6911" w:type="dxa"/>
          </w:tcPr>
          <w:p w14:paraId="6B50BE74" w14:textId="50D5F39A" w:rsidR="00231098" w:rsidRDefault="00231098" w:rsidP="00231098">
            <w:pPr>
              <w:ind w:left="0"/>
              <w:rPr>
                <w:rFonts w:asciiTheme="minorHAnsi" w:hAnsiTheme="minorHAnsi" w:cstheme="minorHAnsi"/>
              </w:rPr>
            </w:pPr>
            <w:proofErr w:type="spellStart"/>
            <w:r w:rsidRPr="000C79F9">
              <w:rPr>
                <w:rFonts w:asciiTheme="minorHAnsi" w:hAnsiTheme="minorHAnsi" w:cstheme="minorHAnsi"/>
              </w:rPr>
              <w:t>Fosnetupitant</w:t>
            </w:r>
            <w:proofErr w:type="spellEnd"/>
            <w:r w:rsidR="0056590B">
              <w:rPr>
                <w:rFonts w:asciiTheme="minorHAnsi" w:hAnsiTheme="minorHAnsi" w:cstheme="minorHAnsi"/>
              </w:rPr>
              <w:t xml:space="preserve"> </w:t>
            </w:r>
            <w:r w:rsidRPr="000C79F9">
              <w:rPr>
                <w:rFonts w:asciiTheme="minorHAnsi" w:hAnsiTheme="minorHAnsi" w:cstheme="minorHAnsi"/>
              </w:rPr>
              <w:t>/</w:t>
            </w:r>
            <w:r w:rsidR="0056590B">
              <w:rPr>
                <w:rFonts w:asciiTheme="minorHAnsi" w:hAnsiTheme="minorHAnsi" w:cstheme="minorHAnsi"/>
              </w:rPr>
              <w:t xml:space="preserve"> </w:t>
            </w:r>
            <w:proofErr w:type="spellStart"/>
            <w:r w:rsidRPr="000C79F9">
              <w:rPr>
                <w:rFonts w:asciiTheme="minorHAnsi" w:hAnsiTheme="minorHAnsi" w:cstheme="minorHAnsi"/>
              </w:rPr>
              <w:t>palonosetron</w:t>
            </w:r>
            <w:proofErr w:type="spellEnd"/>
            <w:r w:rsidR="0056590B">
              <w:rPr>
                <w:rFonts w:asciiTheme="minorHAnsi" w:hAnsiTheme="minorHAnsi" w:cstheme="minorHAnsi"/>
              </w:rPr>
              <w:t xml:space="preserve"> IV drug combination; </w:t>
            </w:r>
            <w:proofErr w:type="spellStart"/>
            <w:r w:rsidR="0056590B">
              <w:rPr>
                <w:rFonts w:asciiTheme="minorHAnsi" w:hAnsiTheme="minorHAnsi" w:cstheme="minorHAnsi"/>
              </w:rPr>
              <w:t>netupitant</w:t>
            </w:r>
            <w:proofErr w:type="spellEnd"/>
            <w:r w:rsidR="0056590B">
              <w:rPr>
                <w:rFonts w:asciiTheme="minorHAnsi" w:hAnsiTheme="minorHAnsi" w:cstheme="minorHAnsi"/>
              </w:rPr>
              <w:t> / </w:t>
            </w:r>
            <w:proofErr w:type="spellStart"/>
            <w:r w:rsidR="0056590B">
              <w:rPr>
                <w:rFonts w:asciiTheme="minorHAnsi" w:hAnsiTheme="minorHAnsi" w:cstheme="minorHAnsi"/>
              </w:rPr>
              <w:t>palonosetron</w:t>
            </w:r>
            <w:proofErr w:type="spellEnd"/>
            <w:r w:rsidR="0056590B">
              <w:rPr>
                <w:rFonts w:asciiTheme="minorHAnsi" w:hAnsiTheme="minorHAnsi" w:cstheme="minorHAnsi"/>
              </w:rPr>
              <w:t xml:space="preserve"> oral drug (capsule) combination</w:t>
            </w:r>
          </w:p>
        </w:tc>
      </w:tr>
      <w:tr w:rsidR="00231098" w:rsidRPr="00FD119B" w14:paraId="0FB4A2C8" w14:textId="77777777" w:rsidTr="00FD119B">
        <w:tc>
          <w:tcPr>
            <w:tcW w:w="1809" w:type="dxa"/>
          </w:tcPr>
          <w:p w14:paraId="163B823C" w14:textId="77777777" w:rsidR="00231098" w:rsidRPr="00DB283D" w:rsidRDefault="00231098" w:rsidP="00231098">
            <w:pPr>
              <w:ind w:left="0"/>
            </w:pPr>
            <w:r w:rsidRPr="00DB283D">
              <w:t>NK</w:t>
            </w:r>
            <w:r w:rsidRPr="00CB62EC">
              <w:rPr>
                <w:vertAlign w:val="subscript"/>
              </w:rPr>
              <w:t>1</w:t>
            </w:r>
          </w:p>
        </w:tc>
        <w:tc>
          <w:tcPr>
            <w:tcW w:w="6911" w:type="dxa"/>
          </w:tcPr>
          <w:p w14:paraId="04000461" w14:textId="4183A2A2" w:rsidR="00231098" w:rsidRDefault="00231098" w:rsidP="00231098">
            <w:pPr>
              <w:ind w:left="0"/>
            </w:pPr>
            <w:r>
              <w:t>Neurokinin 1</w:t>
            </w:r>
            <w:r w:rsidR="0056590B">
              <w:t xml:space="preserve"> (receptor)</w:t>
            </w:r>
          </w:p>
        </w:tc>
      </w:tr>
      <w:tr w:rsidR="00231098" w:rsidRPr="00FD119B" w14:paraId="24266176" w14:textId="77777777" w:rsidTr="00FD119B">
        <w:tc>
          <w:tcPr>
            <w:tcW w:w="1809" w:type="dxa"/>
          </w:tcPr>
          <w:p w14:paraId="1FD58636" w14:textId="77777777" w:rsidR="00231098" w:rsidRDefault="00231098" w:rsidP="00231098">
            <w:pPr>
              <w:ind w:left="0"/>
            </w:pPr>
            <w:r>
              <w:t>OATP</w:t>
            </w:r>
          </w:p>
        </w:tc>
        <w:tc>
          <w:tcPr>
            <w:tcW w:w="6911" w:type="dxa"/>
          </w:tcPr>
          <w:p w14:paraId="5D8A77E5" w14:textId="77777777" w:rsidR="00231098" w:rsidRDefault="00231098" w:rsidP="00231098">
            <w:pPr>
              <w:ind w:left="0"/>
            </w:pPr>
            <w:r>
              <w:t>O</w:t>
            </w:r>
            <w:r w:rsidRPr="004F4279">
              <w:t xml:space="preserve">rganic </w:t>
            </w:r>
            <w:r>
              <w:t>anion transporting polypeptides</w:t>
            </w:r>
          </w:p>
        </w:tc>
      </w:tr>
      <w:tr w:rsidR="00231098" w:rsidRPr="00FD119B" w14:paraId="3A0C5D63" w14:textId="77777777" w:rsidTr="00FD119B">
        <w:tc>
          <w:tcPr>
            <w:tcW w:w="1809" w:type="dxa"/>
          </w:tcPr>
          <w:p w14:paraId="6F75BA77" w14:textId="77777777" w:rsidR="00231098" w:rsidRDefault="00231098" w:rsidP="00231098">
            <w:pPr>
              <w:ind w:left="0"/>
              <w:rPr>
                <w:rFonts w:asciiTheme="minorHAnsi" w:hAnsiTheme="minorHAnsi" w:cstheme="minorHAnsi"/>
              </w:rPr>
            </w:pPr>
            <w:r>
              <w:rPr>
                <w:rFonts w:asciiTheme="minorHAnsi" w:hAnsiTheme="minorHAnsi" w:cstheme="minorHAnsi"/>
              </w:rPr>
              <w:t>P-CO</w:t>
            </w:r>
          </w:p>
        </w:tc>
        <w:tc>
          <w:tcPr>
            <w:tcW w:w="6911" w:type="dxa"/>
          </w:tcPr>
          <w:p w14:paraId="127F55D4" w14:textId="77777777" w:rsidR="00231098" w:rsidRDefault="00231098" w:rsidP="00231098">
            <w:pPr>
              <w:ind w:left="0"/>
            </w:pPr>
            <w:r>
              <w:rPr>
                <w:rFonts w:asciiTheme="minorHAnsi" w:hAnsiTheme="minorHAnsi" w:cstheme="minorHAnsi"/>
              </w:rPr>
              <w:t>Pilot crossover extension</w:t>
            </w:r>
          </w:p>
        </w:tc>
      </w:tr>
      <w:tr w:rsidR="00231098" w:rsidRPr="00FD119B" w14:paraId="74AFB59A" w14:textId="77777777" w:rsidTr="00FD119B">
        <w:tc>
          <w:tcPr>
            <w:tcW w:w="1809" w:type="dxa"/>
          </w:tcPr>
          <w:p w14:paraId="076781B9" w14:textId="77777777" w:rsidR="00231098" w:rsidRPr="00485C56" w:rsidRDefault="00231098" w:rsidP="00231098">
            <w:pPr>
              <w:ind w:left="0"/>
            </w:pPr>
            <w:r>
              <w:t>PI</w:t>
            </w:r>
          </w:p>
        </w:tc>
        <w:tc>
          <w:tcPr>
            <w:tcW w:w="6911" w:type="dxa"/>
          </w:tcPr>
          <w:p w14:paraId="28E8591F" w14:textId="77777777" w:rsidR="00231098" w:rsidRDefault="00231098" w:rsidP="00231098">
            <w:pPr>
              <w:ind w:left="0"/>
            </w:pPr>
            <w:r>
              <w:t>Product Information</w:t>
            </w:r>
          </w:p>
        </w:tc>
      </w:tr>
      <w:tr w:rsidR="00231098" w:rsidRPr="00FD119B" w14:paraId="466E0D74" w14:textId="77777777" w:rsidTr="00FD119B">
        <w:tc>
          <w:tcPr>
            <w:tcW w:w="1809" w:type="dxa"/>
          </w:tcPr>
          <w:p w14:paraId="13D6CFC1" w14:textId="77777777" w:rsidR="00231098" w:rsidRDefault="00231098" w:rsidP="00231098">
            <w:pPr>
              <w:ind w:left="0"/>
            </w:pPr>
            <w:r>
              <w:t>PK</w:t>
            </w:r>
          </w:p>
        </w:tc>
        <w:tc>
          <w:tcPr>
            <w:tcW w:w="6911" w:type="dxa"/>
          </w:tcPr>
          <w:p w14:paraId="32ECEDDD" w14:textId="77777777" w:rsidR="00231098" w:rsidRDefault="00231098" w:rsidP="00231098">
            <w:pPr>
              <w:ind w:left="0"/>
            </w:pPr>
            <w:r>
              <w:t>Pharmacokinetic(s)</w:t>
            </w:r>
          </w:p>
        </w:tc>
      </w:tr>
      <w:tr w:rsidR="00231098" w:rsidRPr="00FD119B" w14:paraId="2F79374A" w14:textId="77777777" w:rsidTr="00FD119B">
        <w:tc>
          <w:tcPr>
            <w:tcW w:w="1809" w:type="dxa"/>
          </w:tcPr>
          <w:p w14:paraId="0706F0A3" w14:textId="77777777" w:rsidR="00231098" w:rsidRDefault="00231098" w:rsidP="00231098">
            <w:pPr>
              <w:ind w:left="0"/>
            </w:pPr>
            <w:r w:rsidRPr="0083125A">
              <w:lastRenderedPageBreak/>
              <w:t>PONV</w:t>
            </w:r>
          </w:p>
        </w:tc>
        <w:tc>
          <w:tcPr>
            <w:tcW w:w="6911" w:type="dxa"/>
          </w:tcPr>
          <w:p w14:paraId="304A5A5C" w14:textId="77777777" w:rsidR="00231098" w:rsidRDefault="00231098" w:rsidP="00231098">
            <w:pPr>
              <w:ind w:left="0"/>
            </w:pPr>
            <w:r>
              <w:t>P</w:t>
            </w:r>
            <w:r w:rsidRPr="0083125A">
              <w:t>os</w:t>
            </w:r>
            <w:r>
              <w:t>toperative nausea and vomiting</w:t>
            </w:r>
          </w:p>
        </w:tc>
      </w:tr>
      <w:tr w:rsidR="00231098" w:rsidRPr="00FD119B" w14:paraId="5123ECCD" w14:textId="77777777" w:rsidTr="00FD119B">
        <w:tc>
          <w:tcPr>
            <w:tcW w:w="1809" w:type="dxa"/>
          </w:tcPr>
          <w:p w14:paraId="584AF0BE" w14:textId="77777777" w:rsidR="00231098" w:rsidRPr="00485C56" w:rsidRDefault="00231098" w:rsidP="00231098">
            <w:pPr>
              <w:ind w:left="0"/>
            </w:pPr>
            <w:r w:rsidRPr="00453852">
              <w:t>PSUR</w:t>
            </w:r>
          </w:p>
        </w:tc>
        <w:tc>
          <w:tcPr>
            <w:tcW w:w="6911" w:type="dxa"/>
          </w:tcPr>
          <w:p w14:paraId="4E028137" w14:textId="77777777" w:rsidR="00231098" w:rsidRDefault="00231098" w:rsidP="00231098">
            <w:pPr>
              <w:ind w:left="0"/>
            </w:pPr>
            <w:r>
              <w:t>P</w:t>
            </w:r>
            <w:r w:rsidRPr="00453852">
              <w:t>eriodic safety upd</w:t>
            </w:r>
            <w:r>
              <w:t>ate reports</w:t>
            </w:r>
          </w:p>
        </w:tc>
      </w:tr>
      <w:tr w:rsidR="00231098" w:rsidRPr="00FD119B" w14:paraId="43558E01" w14:textId="77777777" w:rsidTr="00FD119B">
        <w:tc>
          <w:tcPr>
            <w:tcW w:w="1809" w:type="dxa"/>
          </w:tcPr>
          <w:p w14:paraId="6A405BCC" w14:textId="77777777" w:rsidR="00231098" w:rsidRPr="00485C56" w:rsidRDefault="00231098" w:rsidP="00231098">
            <w:pPr>
              <w:ind w:left="0"/>
            </w:pPr>
            <w:r w:rsidRPr="00453852">
              <w:t>RMP</w:t>
            </w:r>
          </w:p>
        </w:tc>
        <w:tc>
          <w:tcPr>
            <w:tcW w:w="6911" w:type="dxa"/>
          </w:tcPr>
          <w:p w14:paraId="420E8D75" w14:textId="77777777" w:rsidR="00231098" w:rsidRDefault="00231098" w:rsidP="00231098">
            <w:pPr>
              <w:ind w:left="0"/>
            </w:pPr>
            <w:r>
              <w:t>Risk management plan</w:t>
            </w:r>
          </w:p>
        </w:tc>
      </w:tr>
      <w:tr w:rsidR="00231098" w:rsidRPr="00FD119B" w14:paraId="66AE4039" w14:textId="77777777" w:rsidTr="00FD119B">
        <w:tc>
          <w:tcPr>
            <w:tcW w:w="1809" w:type="dxa"/>
          </w:tcPr>
          <w:p w14:paraId="4435A7A9" w14:textId="77777777" w:rsidR="00231098" w:rsidRDefault="00231098" w:rsidP="00231098">
            <w:pPr>
              <w:ind w:left="0"/>
            </w:pPr>
            <w:r>
              <w:t>SAD</w:t>
            </w:r>
          </w:p>
        </w:tc>
        <w:tc>
          <w:tcPr>
            <w:tcW w:w="6911" w:type="dxa"/>
          </w:tcPr>
          <w:p w14:paraId="596DDC6E" w14:textId="77777777" w:rsidR="00231098" w:rsidRDefault="00231098" w:rsidP="00231098">
            <w:pPr>
              <w:ind w:left="0"/>
            </w:pPr>
            <w:r>
              <w:t>Single ascending dose</w:t>
            </w:r>
          </w:p>
        </w:tc>
      </w:tr>
      <w:tr w:rsidR="00231098" w:rsidRPr="00FD119B" w14:paraId="0DB11859" w14:textId="77777777" w:rsidTr="00FD119B">
        <w:tc>
          <w:tcPr>
            <w:tcW w:w="1809" w:type="dxa"/>
          </w:tcPr>
          <w:p w14:paraId="45E2C9DC" w14:textId="77777777" w:rsidR="00231098" w:rsidRDefault="00231098" w:rsidP="00231098">
            <w:pPr>
              <w:ind w:left="0"/>
            </w:pPr>
            <w:r>
              <w:rPr>
                <w:rFonts w:asciiTheme="minorHAnsi" w:hAnsiTheme="minorHAnsi" w:cstheme="minorHAnsi"/>
              </w:rPr>
              <w:t>SAD-CO</w:t>
            </w:r>
          </w:p>
        </w:tc>
        <w:tc>
          <w:tcPr>
            <w:tcW w:w="6911" w:type="dxa"/>
          </w:tcPr>
          <w:p w14:paraId="2866E021" w14:textId="77777777" w:rsidR="00231098" w:rsidRDefault="00231098" w:rsidP="00231098">
            <w:pPr>
              <w:ind w:left="0"/>
            </w:pPr>
            <w:r>
              <w:t xml:space="preserve">Single ascending dose </w:t>
            </w:r>
            <w:r>
              <w:rPr>
                <w:rFonts w:asciiTheme="minorHAnsi" w:hAnsiTheme="minorHAnsi" w:cstheme="minorHAnsi"/>
              </w:rPr>
              <w:t>crossover extension</w:t>
            </w:r>
          </w:p>
        </w:tc>
      </w:tr>
      <w:tr w:rsidR="00231098" w:rsidRPr="00FD119B" w14:paraId="3B1B4206" w14:textId="77777777" w:rsidTr="00FD119B">
        <w:tc>
          <w:tcPr>
            <w:tcW w:w="1809" w:type="dxa"/>
          </w:tcPr>
          <w:p w14:paraId="5DFFD750" w14:textId="77777777" w:rsidR="00231098" w:rsidRPr="002F5CA3" w:rsidRDefault="00231098" w:rsidP="00231098">
            <w:pPr>
              <w:ind w:left="0"/>
              <w:rPr>
                <w:rFonts w:asciiTheme="minorHAnsi" w:hAnsiTheme="minorHAnsi" w:cstheme="minorHAnsi"/>
              </w:rPr>
            </w:pPr>
            <w:r>
              <w:t>SD</w:t>
            </w:r>
          </w:p>
        </w:tc>
        <w:tc>
          <w:tcPr>
            <w:tcW w:w="6911" w:type="dxa"/>
          </w:tcPr>
          <w:p w14:paraId="3AF3EEC1" w14:textId="77777777" w:rsidR="00231098" w:rsidRDefault="00231098" w:rsidP="00231098">
            <w:pPr>
              <w:ind w:left="0"/>
              <w:rPr>
                <w:rFonts w:asciiTheme="minorHAnsi" w:hAnsiTheme="minorHAnsi" w:cstheme="minorHAnsi"/>
              </w:rPr>
            </w:pPr>
            <w:r>
              <w:t>Standard deviation</w:t>
            </w:r>
          </w:p>
        </w:tc>
      </w:tr>
      <w:tr w:rsidR="00231098" w:rsidRPr="00FD119B" w14:paraId="29CD67CB" w14:textId="77777777" w:rsidTr="00FD119B">
        <w:tc>
          <w:tcPr>
            <w:tcW w:w="1809" w:type="dxa"/>
          </w:tcPr>
          <w:p w14:paraId="1FC0A6D7" w14:textId="77777777" w:rsidR="00231098" w:rsidRPr="002F5CA3" w:rsidRDefault="00231098" w:rsidP="00231098">
            <w:pPr>
              <w:ind w:left="0"/>
              <w:rPr>
                <w:rFonts w:asciiTheme="minorHAnsi" w:hAnsiTheme="minorHAnsi" w:cstheme="minorHAnsi"/>
              </w:rPr>
            </w:pPr>
            <w:r>
              <w:t>TEAE</w:t>
            </w:r>
          </w:p>
        </w:tc>
        <w:tc>
          <w:tcPr>
            <w:tcW w:w="6911" w:type="dxa"/>
          </w:tcPr>
          <w:p w14:paraId="3CCD4499" w14:textId="77777777" w:rsidR="00231098" w:rsidRDefault="00231098" w:rsidP="00231098">
            <w:pPr>
              <w:ind w:left="0"/>
              <w:rPr>
                <w:rFonts w:asciiTheme="minorHAnsi" w:hAnsiTheme="minorHAnsi" w:cstheme="minorHAnsi"/>
              </w:rPr>
            </w:pPr>
            <w:r>
              <w:t>Treatment emergent adverse event</w:t>
            </w:r>
          </w:p>
        </w:tc>
      </w:tr>
      <w:tr w:rsidR="00231098" w:rsidRPr="00FD119B" w14:paraId="1986EF96" w14:textId="77777777" w:rsidTr="00FD119B">
        <w:tc>
          <w:tcPr>
            <w:tcW w:w="1809" w:type="dxa"/>
          </w:tcPr>
          <w:p w14:paraId="481391CA" w14:textId="77777777" w:rsidR="00231098" w:rsidRDefault="00231098" w:rsidP="00231098">
            <w:pPr>
              <w:ind w:left="0"/>
            </w:pPr>
            <w:r>
              <w:t>US</w:t>
            </w:r>
          </w:p>
        </w:tc>
        <w:tc>
          <w:tcPr>
            <w:tcW w:w="6911" w:type="dxa"/>
          </w:tcPr>
          <w:p w14:paraId="31CCD151" w14:textId="77777777" w:rsidR="00231098" w:rsidRDefault="00231098" w:rsidP="00231098">
            <w:pPr>
              <w:ind w:left="0"/>
            </w:pPr>
            <w:r>
              <w:t>United States</w:t>
            </w:r>
          </w:p>
        </w:tc>
      </w:tr>
    </w:tbl>
    <w:p w14:paraId="2EB1ECB7" w14:textId="77777777" w:rsidR="00FD119B" w:rsidRDefault="00FD119B" w:rsidP="00FD119B"/>
    <w:p w14:paraId="7AD2F54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A18ABF8" w14:textId="77777777" w:rsidR="008E7846" w:rsidRDefault="00F53C07" w:rsidP="008E7846">
      <w:pPr>
        <w:pStyle w:val="Heading2"/>
      </w:pPr>
      <w:bookmarkStart w:id="9" w:name="_Toc52188106"/>
      <w:r>
        <w:lastRenderedPageBreak/>
        <w:t>I.</w:t>
      </w:r>
      <w:r w:rsidR="008E7846">
        <w:t xml:space="preserve"> Introduction to product submission</w:t>
      </w:r>
      <w:bookmarkEnd w:id="3"/>
      <w:bookmarkEnd w:id="0"/>
      <w:bookmarkEnd w:id="9"/>
    </w:p>
    <w:p w14:paraId="6F89F047" w14:textId="77777777" w:rsidR="008E7846" w:rsidRDefault="008E7846" w:rsidP="008E7846">
      <w:pPr>
        <w:pStyle w:val="Heading3"/>
        <w:rPr>
          <w:lang w:eastAsia="en-AU"/>
        </w:rPr>
      </w:pPr>
      <w:bookmarkStart w:id="10" w:name="_Toc247691502"/>
      <w:bookmarkStart w:id="11" w:name="_Toc314842483"/>
      <w:bookmarkStart w:id="12" w:name="_Toc52188107"/>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8A998F1" w14:textId="77777777" w:rsidTr="003735BC">
        <w:tc>
          <w:tcPr>
            <w:tcW w:w="2907" w:type="dxa"/>
          </w:tcPr>
          <w:p w14:paraId="19D3D3EC"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E75CF96" w14:textId="77777777" w:rsidR="008E7846" w:rsidRPr="003D1E62" w:rsidRDefault="009722C6" w:rsidP="009722C6">
            <w:r>
              <w:t>New fixed dose combination of previously approved active ingredients</w:t>
            </w:r>
          </w:p>
        </w:tc>
      </w:tr>
      <w:tr w:rsidR="00460036" w:rsidRPr="003D1E62" w14:paraId="4DE0BBB1" w14:textId="77777777" w:rsidTr="003735BC">
        <w:tc>
          <w:tcPr>
            <w:tcW w:w="2907" w:type="dxa"/>
          </w:tcPr>
          <w:p w14:paraId="5D5D1B4F" w14:textId="77777777" w:rsidR="00460036" w:rsidRPr="003D1E62" w:rsidRDefault="009722C6" w:rsidP="003D1E62">
            <w:pPr>
              <w:rPr>
                <w:i/>
              </w:rPr>
            </w:pPr>
            <w:r>
              <w:rPr>
                <w:i/>
              </w:rPr>
              <w:t>Product name</w:t>
            </w:r>
            <w:r w:rsidR="00460036" w:rsidRPr="00460036">
              <w:rPr>
                <w:i/>
              </w:rPr>
              <w:t>:</w:t>
            </w:r>
          </w:p>
        </w:tc>
        <w:tc>
          <w:tcPr>
            <w:tcW w:w="6307" w:type="dxa"/>
          </w:tcPr>
          <w:p w14:paraId="57ED83A8" w14:textId="77777777" w:rsidR="00460036" w:rsidRPr="003D1E62" w:rsidRDefault="009722C6" w:rsidP="009722C6">
            <w:proofErr w:type="spellStart"/>
            <w:r w:rsidRPr="009722C6">
              <w:t>Akynzeo</w:t>
            </w:r>
            <w:proofErr w:type="spellEnd"/>
            <w:r w:rsidRPr="009722C6">
              <w:t xml:space="preserve"> IV</w:t>
            </w:r>
          </w:p>
        </w:tc>
      </w:tr>
      <w:tr w:rsidR="00460036" w:rsidRPr="003D1E62" w14:paraId="0A5839A9" w14:textId="77777777" w:rsidTr="003735BC">
        <w:tc>
          <w:tcPr>
            <w:tcW w:w="2907" w:type="dxa"/>
          </w:tcPr>
          <w:p w14:paraId="418D5236" w14:textId="77777777" w:rsidR="00460036" w:rsidRPr="003D1E62" w:rsidRDefault="009722C6" w:rsidP="003D1E62">
            <w:pPr>
              <w:rPr>
                <w:i/>
              </w:rPr>
            </w:pPr>
            <w:r>
              <w:rPr>
                <w:i/>
              </w:rPr>
              <w:t>Active ingredients</w:t>
            </w:r>
            <w:r w:rsidR="00460036" w:rsidRPr="00460036">
              <w:rPr>
                <w:i/>
              </w:rPr>
              <w:t>:</w:t>
            </w:r>
          </w:p>
        </w:tc>
        <w:tc>
          <w:tcPr>
            <w:tcW w:w="6307" w:type="dxa"/>
          </w:tcPr>
          <w:p w14:paraId="6597C472" w14:textId="220AC1F0" w:rsidR="00460036" w:rsidRPr="003D1E62" w:rsidRDefault="009722C6" w:rsidP="001B5C90">
            <w:proofErr w:type="spellStart"/>
            <w:r>
              <w:t>F</w:t>
            </w:r>
            <w:r w:rsidRPr="009722C6">
              <w:t>osnetupitant</w:t>
            </w:r>
            <w:proofErr w:type="spellEnd"/>
            <w:r w:rsidRPr="009722C6">
              <w:t xml:space="preserve"> (as chloride hydrochloride)</w:t>
            </w:r>
            <w:r w:rsidR="00CB62EC">
              <w:t xml:space="preserve"> </w:t>
            </w:r>
            <w:r w:rsidRPr="009722C6">
              <w:t>/</w:t>
            </w:r>
            <w:r w:rsidR="00CB62EC">
              <w:t xml:space="preserve"> </w:t>
            </w:r>
            <w:proofErr w:type="spellStart"/>
            <w:r w:rsidRPr="009722C6">
              <w:t>palonosetron</w:t>
            </w:r>
            <w:proofErr w:type="spellEnd"/>
            <w:r w:rsidRPr="009722C6">
              <w:t>(as</w:t>
            </w:r>
            <w:r w:rsidR="00F22A96">
              <w:t> </w:t>
            </w:r>
            <w:r w:rsidRPr="009722C6">
              <w:t>hydrochloride)</w:t>
            </w:r>
          </w:p>
        </w:tc>
      </w:tr>
      <w:tr w:rsidR="008E7846" w:rsidRPr="003D1E62" w14:paraId="5A25607F" w14:textId="77777777" w:rsidTr="003735BC">
        <w:tc>
          <w:tcPr>
            <w:tcW w:w="2907" w:type="dxa"/>
          </w:tcPr>
          <w:p w14:paraId="75A8BF9D" w14:textId="77777777" w:rsidR="008E7846" w:rsidRPr="003D1E62" w:rsidRDefault="008E7846" w:rsidP="003D1E62">
            <w:r w:rsidRPr="003D1E62">
              <w:rPr>
                <w:i/>
              </w:rPr>
              <w:t>Decision</w:t>
            </w:r>
            <w:r w:rsidRPr="003D1E62">
              <w:t>:</w:t>
            </w:r>
          </w:p>
        </w:tc>
        <w:tc>
          <w:tcPr>
            <w:tcW w:w="6307" w:type="dxa"/>
          </w:tcPr>
          <w:p w14:paraId="65CBE537" w14:textId="77777777" w:rsidR="008E7846" w:rsidRPr="003D1E62" w:rsidRDefault="009722C6" w:rsidP="009722C6">
            <w:r>
              <w:t>Approved</w:t>
            </w:r>
          </w:p>
        </w:tc>
      </w:tr>
      <w:tr w:rsidR="008E7846" w:rsidRPr="003D1E62" w14:paraId="2914B7C7" w14:textId="77777777" w:rsidTr="003735BC">
        <w:tc>
          <w:tcPr>
            <w:tcW w:w="2907" w:type="dxa"/>
          </w:tcPr>
          <w:p w14:paraId="66F3C918"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1767935" w14:textId="77777777" w:rsidR="008E7846" w:rsidRPr="003D1E62" w:rsidRDefault="009722C6" w:rsidP="001B5C90">
            <w:r>
              <w:t>12 March 2020</w:t>
            </w:r>
          </w:p>
        </w:tc>
      </w:tr>
      <w:tr w:rsidR="00ED2922" w:rsidRPr="003D1E62" w14:paraId="5F58F58F" w14:textId="77777777" w:rsidTr="003735BC">
        <w:tc>
          <w:tcPr>
            <w:tcW w:w="2907" w:type="dxa"/>
          </w:tcPr>
          <w:p w14:paraId="1ADB18C0" w14:textId="77777777" w:rsidR="00ED2922" w:rsidRPr="00441C3F" w:rsidRDefault="00ED2922" w:rsidP="001B5C90">
            <w:pPr>
              <w:rPr>
                <w:i/>
              </w:rPr>
            </w:pPr>
            <w:r w:rsidRPr="00441C3F">
              <w:rPr>
                <w:i/>
              </w:rPr>
              <w:t>Date of entry onto ARTG</w:t>
            </w:r>
            <w:r w:rsidR="00500337">
              <w:rPr>
                <w:i/>
              </w:rPr>
              <w:t>:</w:t>
            </w:r>
          </w:p>
        </w:tc>
        <w:tc>
          <w:tcPr>
            <w:tcW w:w="6307" w:type="dxa"/>
          </w:tcPr>
          <w:p w14:paraId="62512DDA" w14:textId="77777777" w:rsidR="00ED2922" w:rsidRPr="00441C3F" w:rsidRDefault="009722C6" w:rsidP="00D153D8">
            <w:pPr>
              <w:rPr>
                <w:i/>
              </w:rPr>
            </w:pPr>
            <w:r>
              <w:t>13 March 2020</w:t>
            </w:r>
          </w:p>
        </w:tc>
      </w:tr>
      <w:tr w:rsidR="00500337" w:rsidRPr="003D1E62" w14:paraId="1965F986" w14:textId="77777777" w:rsidTr="003735BC">
        <w:tc>
          <w:tcPr>
            <w:tcW w:w="2907" w:type="dxa"/>
          </w:tcPr>
          <w:p w14:paraId="72D16855" w14:textId="77777777" w:rsidR="00500337" w:rsidRPr="00441C3F" w:rsidRDefault="009722C6" w:rsidP="001B5C90">
            <w:pPr>
              <w:rPr>
                <w:i/>
              </w:rPr>
            </w:pPr>
            <w:r>
              <w:rPr>
                <w:i/>
              </w:rPr>
              <w:t>ARTG number</w:t>
            </w:r>
            <w:r w:rsidR="00500337">
              <w:rPr>
                <w:i/>
              </w:rPr>
              <w:t>:</w:t>
            </w:r>
          </w:p>
        </w:tc>
        <w:tc>
          <w:tcPr>
            <w:tcW w:w="6307" w:type="dxa"/>
          </w:tcPr>
          <w:p w14:paraId="669C689B" w14:textId="77777777" w:rsidR="00500337" w:rsidRPr="00441C3F" w:rsidRDefault="009722C6" w:rsidP="00EC463D">
            <w:r w:rsidRPr="009722C6">
              <w:t>316766</w:t>
            </w:r>
          </w:p>
        </w:tc>
      </w:tr>
      <w:tr w:rsidR="003735BC" w:rsidRPr="003D1E62" w14:paraId="261CFC3D" w14:textId="77777777" w:rsidTr="003735BC">
        <w:tc>
          <w:tcPr>
            <w:tcW w:w="2907" w:type="dxa"/>
          </w:tcPr>
          <w:p w14:paraId="78223CC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bookmarkStart w:id="13" w:name="_Ref51806064"/>
            <w:r w:rsidR="00460036">
              <w:rPr>
                <w:rStyle w:val="FootnoteReference"/>
                <w:i/>
              </w:rPr>
              <w:footnoteReference w:id="1"/>
            </w:r>
            <w:bookmarkEnd w:id="13"/>
          </w:p>
        </w:tc>
        <w:tc>
          <w:tcPr>
            <w:tcW w:w="6307" w:type="dxa"/>
          </w:tcPr>
          <w:p w14:paraId="548299D9" w14:textId="77777777" w:rsidR="003735BC" w:rsidRDefault="009722C6" w:rsidP="003735BC">
            <w:r>
              <w:t>Yes</w:t>
            </w:r>
          </w:p>
          <w:p w14:paraId="315507E7" w14:textId="77777777" w:rsidR="003735BC" w:rsidRPr="00487162" w:rsidRDefault="003735BC" w:rsidP="003735BC">
            <w:r>
              <w:t xml:space="preserve">This product will remain in the scheme for 5 years, starting on the date the product is first supplied in </w:t>
            </w:r>
            <w:r w:rsidR="009722C6">
              <w:t>Australia.</w:t>
            </w:r>
          </w:p>
        </w:tc>
      </w:tr>
      <w:tr w:rsidR="008E7846" w:rsidRPr="00487162" w14:paraId="29A29FC1" w14:textId="77777777" w:rsidTr="00BF1190">
        <w:tc>
          <w:tcPr>
            <w:tcW w:w="2907" w:type="dxa"/>
          </w:tcPr>
          <w:p w14:paraId="0C74F4B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DDC97BF" w14:textId="77777777" w:rsidR="009722C6" w:rsidRDefault="00D0635C" w:rsidP="009722C6">
            <w:r w:rsidRPr="00D0635C">
              <w:t>Mundipharma</w:t>
            </w:r>
            <w:r w:rsidR="009722C6">
              <w:t xml:space="preserve"> Pty Ltd</w:t>
            </w:r>
          </w:p>
          <w:p w14:paraId="12B66BFB" w14:textId="77777777" w:rsidR="009722C6" w:rsidRDefault="009722C6" w:rsidP="009722C6">
            <w:r>
              <w:t>88 Phillip Street</w:t>
            </w:r>
          </w:p>
          <w:p w14:paraId="7B593DBE" w14:textId="77777777" w:rsidR="008E7846" w:rsidRPr="00487162" w:rsidRDefault="009722C6" w:rsidP="009722C6">
            <w:r>
              <w:t>Sydney NSW 2000</w:t>
            </w:r>
          </w:p>
        </w:tc>
      </w:tr>
      <w:tr w:rsidR="008E7846" w:rsidRPr="00487162" w14:paraId="129C33D3" w14:textId="77777777" w:rsidTr="00BF1190">
        <w:tc>
          <w:tcPr>
            <w:tcW w:w="2907" w:type="dxa"/>
          </w:tcPr>
          <w:p w14:paraId="5ED78129" w14:textId="77777777" w:rsidR="008E7846" w:rsidRPr="00487162" w:rsidRDefault="009722C6" w:rsidP="00E45619">
            <w:pPr>
              <w:rPr>
                <w:i/>
              </w:rPr>
            </w:pPr>
            <w:r>
              <w:rPr>
                <w:i/>
              </w:rPr>
              <w:t>Dose form</w:t>
            </w:r>
            <w:r w:rsidR="001B5C90">
              <w:rPr>
                <w:i/>
              </w:rPr>
              <w:t>:</w:t>
            </w:r>
          </w:p>
        </w:tc>
        <w:tc>
          <w:tcPr>
            <w:tcW w:w="6307" w:type="dxa"/>
          </w:tcPr>
          <w:p w14:paraId="0C82D7C4" w14:textId="77777777" w:rsidR="008E7846" w:rsidRPr="00487162" w:rsidRDefault="009722C6" w:rsidP="00E45619">
            <w:r>
              <w:t>P</w:t>
            </w:r>
            <w:r w:rsidRPr="009722C6">
              <w:t>owder for injection</w:t>
            </w:r>
          </w:p>
        </w:tc>
      </w:tr>
      <w:tr w:rsidR="008E7846" w:rsidRPr="00487162" w14:paraId="13C5C0A1" w14:textId="77777777" w:rsidTr="00BF1190">
        <w:tc>
          <w:tcPr>
            <w:tcW w:w="2907" w:type="dxa"/>
          </w:tcPr>
          <w:p w14:paraId="0D7CF348" w14:textId="77777777" w:rsidR="008E7846" w:rsidRPr="00487162" w:rsidRDefault="009722C6" w:rsidP="00E45619">
            <w:pPr>
              <w:rPr>
                <w:i/>
              </w:rPr>
            </w:pPr>
            <w:r>
              <w:rPr>
                <w:i/>
              </w:rPr>
              <w:t>Strength:</w:t>
            </w:r>
          </w:p>
        </w:tc>
        <w:tc>
          <w:tcPr>
            <w:tcW w:w="6307" w:type="dxa"/>
          </w:tcPr>
          <w:p w14:paraId="0D8DCB87" w14:textId="48B87ED5" w:rsidR="008E7846" w:rsidRPr="00487162" w:rsidRDefault="009722C6" w:rsidP="009722C6">
            <w:r>
              <w:t xml:space="preserve">235 mg </w:t>
            </w:r>
            <w:proofErr w:type="spellStart"/>
            <w:r>
              <w:t>fosnetupitant</w:t>
            </w:r>
            <w:proofErr w:type="spellEnd"/>
            <w:r>
              <w:t xml:space="preserve"> (as chloride hydrochloride)</w:t>
            </w:r>
            <w:r w:rsidR="00CB62EC">
              <w:t xml:space="preserve"> </w:t>
            </w:r>
            <w:r>
              <w:t>/</w:t>
            </w:r>
            <w:r w:rsidR="00CB62EC">
              <w:t xml:space="preserve"> </w:t>
            </w:r>
            <w:r>
              <w:t>250</w:t>
            </w:r>
            <w:r w:rsidR="00F22A96">
              <w:t> </w:t>
            </w:r>
            <w:r>
              <w:t>µg</w:t>
            </w:r>
            <w:r w:rsidR="00F22A96">
              <w:t> </w:t>
            </w:r>
            <w:proofErr w:type="spellStart"/>
            <w:r>
              <w:t>palonosetron</w:t>
            </w:r>
            <w:proofErr w:type="spellEnd"/>
            <w:r>
              <w:t xml:space="preserve"> (as hydrochloride)</w:t>
            </w:r>
          </w:p>
        </w:tc>
      </w:tr>
      <w:tr w:rsidR="008E7846" w:rsidRPr="00487162" w14:paraId="323C6AE8" w14:textId="77777777" w:rsidTr="00BF1190">
        <w:tc>
          <w:tcPr>
            <w:tcW w:w="2907" w:type="dxa"/>
          </w:tcPr>
          <w:p w14:paraId="247B9803" w14:textId="77777777" w:rsidR="008E7846" w:rsidRPr="00487162" w:rsidRDefault="000C16FE" w:rsidP="00E45619">
            <w:pPr>
              <w:rPr>
                <w:i/>
              </w:rPr>
            </w:pPr>
            <w:r>
              <w:rPr>
                <w:i/>
              </w:rPr>
              <w:t>Container</w:t>
            </w:r>
            <w:r w:rsidR="008E7846" w:rsidRPr="00487162">
              <w:rPr>
                <w:i/>
              </w:rPr>
              <w:t>:</w:t>
            </w:r>
          </w:p>
        </w:tc>
        <w:tc>
          <w:tcPr>
            <w:tcW w:w="6307" w:type="dxa"/>
          </w:tcPr>
          <w:p w14:paraId="3483756B" w14:textId="77777777" w:rsidR="008E7846" w:rsidRPr="00487162" w:rsidRDefault="000C16FE" w:rsidP="00E45619">
            <w:r>
              <w:t>Vial</w:t>
            </w:r>
          </w:p>
        </w:tc>
      </w:tr>
      <w:tr w:rsidR="008E7846" w:rsidRPr="00487162" w14:paraId="72E1719E" w14:textId="77777777" w:rsidTr="00BF1190">
        <w:tc>
          <w:tcPr>
            <w:tcW w:w="2907" w:type="dxa"/>
          </w:tcPr>
          <w:p w14:paraId="52DE025F" w14:textId="77777777" w:rsidR="008E7846" w:rsidRPr="00487162" w:rsidRDefault="000C16FE" w:rsidP="00E45619">
            <w:pPr>
              <w:rPr>
                <w:i/>
              </w:rPr>
            </w:pPr>
            <w:r>
              <w:rPr>
                <w:i/>
              </w:rPr>
              <w:t>Pack size</w:t>
            </w:r>
            <w:r w:rsidR="008E7846" w:rsidRPr="00487162">
              <w:rPr>
                <w:i/>
              </w:rPr>
              <w:t>:</w:t>
            </w:r>
          </w:p>
        </w:tc>
        <w:tc>
          <w:tcPr>
            <w:tcW w:w="6307" w:type="dxa"/>
          </w:tcPr>
          <w:p w14:paraId="2A0DEA47" w14:textId="77777777" w:rsidR="008E7846" w:rsidRPr="00487162" w:rsidRDefault="000C16FE" w:rsidP="00E45619">
            <w:r>
              <w:t>One</w:t>
            </w:r>
          </w:p>
        </w:tc>
      </w:tr>
      <w:tr w:rsidR="008E7846" w:rsidRPr="00487162" w14:paraId="548F86AE" w14:textId="77777777" w:rsidTr="00BF1190">
        <w:tc>
          <w:tcPr>
            <w:tcW w:w="2907" w:type="dxa"/>
          </w:tcPr>
          <w:p w14:paraId="4DD0B3B5"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A8B0397" w14:textId="77777777" w:rsidR="009722C6" w:rsidRPr="009722C6" w:rsidRDefault="009722C6" w:rsidP="009722C6">
            <w:pPr>
              <w:rPr>
                <w:i/>
              </w:rPr>
            </w:pPr>
            <w:proofErr w:type="spellStart"/>
            <w:r w:rsidRPr="009722C6">
              <w:rPr>
                <w:i/>
              </w:rPr>
              <w:t>Akynzeo</w:t>
            </w:r>
            <w:proofErr w:type="spellEnd"/>
            <w:r w:rsidRPr="009722C6">
              <w:rPr>
                <w:i/>
              </w:rPr>
              <w:t xml:space="preserve"> IV is indicated in adult patients for:</w:t>
            </w:r>
          </w:p>
          <w:p w14:paraId="221593B8" w14:textId="77777777" w:rsidR="009722C6" w:rsidRPr="009722C6" w:rsidRDefault="009722C6" w:rsidP="009722C6">
            <w:pPr>
              <w:pStyle w:val="ListBullet"/>
              <w:rPr>
                <w:i/>
              </w:rPr>
            </w:pPr>
            <w:r w:rsidRPr="009722C6">
              <w:rPr>
                <w:i/>
              </w:rPr>
              <w:t xml:space="preserve">Prevention of acute and delayed nausea and vomiting associated with initial and repeat courses of highly </w:t>
            </w:r>
            <w:proofErr w:type="spellStart"/>
            <w:r w:rsidRPr="009722C6">
              <w:rPr>
                <w:i/>
              </w:rPr>
              <w:t>emetogenic</w:t>
            </w:r>
            <w:proofErr w:type="spellEnd"/>
            <w:r w:rsidRPr="009722C6">
              <w:rPr>
                <w:i/>
              </w:rPr>
              <w:t xml:space="preserve"> cancer chemotherapy.</w:t>
            </w:r>
          </w:p>
          <w:p w14:paraId="30D0C7D8" w14:textId="77777777" w:rsidR="008E7846" w:rsidRPr="009722C6" w:rsidRDefault="009722C6" w:rsidP="009722C6">
            <w:pPr>
              <w:pStyle w:val="ListBullet"/>
            </w:pPr>
            <w:r w:rsidRPr="009722C6">
              <w:rPr>
                <w:i/>
              </w:rPr>
              <w:t xml:space="preserve">Prevention of acute and delayed nausea and vomiting associated with initial and repeat courses of moderately </w:t>
            </w:r>
            <w:proofErr w:type="spellStart"/>
            <w:r w:rsidRPr="009722C6">
              <w:rPr>
                <w:i/>
              </w:rPr>
              <w:t>emetogenic</w:t>
            </w:r>
            <w:proofErr w:type="spellEnd"/>
            <w:r w:rsidRPr="009722C6">
              <w:rPr>
                <w:i/>
              </w:rPr>
              <w:t xml:space="preserve"> cancer chemotherapy.</w:t>
            </w:r>
          </w:p>
        </w:tc>
      </w:tr>
      <w:tr w:rsidR="008E7846" w:rsidRPr="00487162" w14:paraId="1E179D45" w14:textId="77777777" w:rsidTr="00BF1190">
        <w:tc>
          <w:tcPr>
            <w:tcW w:w="2907" w:type="dxa"/>
          </w:tcPr>
          <w:p w14:paraId="212E998E" w14:textId="77777777" w:rsidR="008E7846" w:rsidRPr="00487162" w:rsidRDefault="000C16FE" w:rsidP="00E45619">
            <w:pPr>
              <w:rPr>
                <w:i/>
              </w:rPr>
            </w:pPr>
            <w:r>
              <w:rPr>
                <w:i/>
              </w:rPr>
              <w:t>Route</w:t>
            </w:r>
            <w:r w:rsidR="008E7846" w:rsidRPr="00487162">
              <w:rPr>
                <w:i/>
              </w:rPr>
              <w:t xml:space="preserve"> of administration:</w:t>
            </w:r>
          </w:p>
        </w:tc>
        <w:tc>
          <w:tcPr>
            <w:tcW w:w="6307" w:type="dxa"/>
          </w:tcPr>
          <w:p w14:paraId="13C595FC" w14:textId="77777777" w:rsidR="008E7846" w:rsidRPr="00487162" w:rsidRDefault="000C16FE" w:rsidP="000C16FE">
            <w:r>
              <w:t>I</w:t>
            </w:r>
            <w:r w:rsidRPr="000C16FE">
              <w:t>ntravenous infusion</w:t>
            </w:r>
          </w:p>
        </w:tc>
      </w:tr>
      <w:tr w:rsidR="008E7846" w:rsidRPr="00487162" w14:paraId="137CB96E" w14:textId="77777777" w:rsidTr="00BF1190">
        <w:tc>
          <w:tcPr>
            <w:tcW w:w="2907" w:type="dxa"/>
          </w:tcPr>
          <w:p w14:paraId="0AF926CD" w14:textId="77777777" w:rsidR="008E7846" w:rsidRPr="00487162" w:rsidRDefault="008E7846" w:rsidP="00E45619">
            <w:pPr>
              <w:rPr>
                <w:i/>
              </w:rPr>
            </w:pPr>
            <w:r w:rsidRPr="00487162">
              <w:rPr>
                <w:i/>
              </w:rPr>
              <w:lastRenderedPageBreak/>
              <w:t>Dosage:</w:t>
            </w:r>
          </w:p>
        </w:tc>
        <w:tc>
          <w:tcPr>
            <w:tcW w:w="6307" w:type="dxa"/>
          </w:tcPr>
          <w:p w14:paraId="13524BEF" w14:textId="2DF21B03" w:rsidR="008E7846" w:rsidRDefault="009722C6" w:rsidP="009722C6">
            <w:r>
              <w:t xml:space="preserve">One vial of </w:t>
            </w:r>
            <w:proofErr w:type="spellStart"/>
            <w:r>
              <w:t>Akynzeo</w:t>
            </w:r>
            <w:proofErr w:type="spellEnd"/>
            <w:r>
              <w:t xml:space="preserve"> IV (235 mg </w:t>
            </w:r>
            <w:proofErr w:type="spellStart"/>
            <w:r>
              <w:t>fosnetupitant</w:t>
            </w:r>
            <w:proofErr w:type="spellEnd"/>
            <w:r w:rsidR="00F22A96">
              <w:t xml:space="preserve"> </w:t>
            </w:r>
            <w:r>
              <w:t>/</w:t>
            </w:r>
            <w:r w:rsidR="00F22A96">
              <w:t xml:space="preserve"> </w:t>
            </w:r>
            <w:r>
              <w:t xml:space="preserve">250 micrograms </w:t>
            </w:r>
            <w:proofErr w:type="spellStart"/>
            <w:r>
              <w:t>palonosetron</w:t>
            </w:r>
            <w:proofErr w:type="spellEnd"/>
            <w:r>
              <w:t>) should be administered as an intravenous infusion over 30 minutes, initiated approximately 30 minutes prior to the start of each chemotherapy cycle. At the end of the infusion, flush the infusion line with the same carrier solution to ensure complete drug administration.</w:t>
            </w:r>
          </w:p>
          <w:p w14:paraId="5737D1E9" w14:textId="77777777" w:rsidR="00460036" w:rsidRPr="00487162" w:rsidRDefault="00460036" w:rsidP="00E45619">
            <w:r w:rsidRPr="00460036">
              <w:t>For further information regarding dosage, refer to the Product Information.</w:t>
            </w:r>
          </w:p>
        </w:tc>
      </w:tr>
      <w:tr w:rsidR="00460036" w:rsidRPr="00487162" w14:paraId="12C308E3" w14:textId="77777777" w:rsidTr="00BF1190">
        <w:tc>
          <w:tcPr>
            <w:tcW w:w="2907" w:type="dxa"/>
          </w:tcPr>
          <w:p w14:paraId="32E26603" w14:textId="77777777" w:rsidR="00460036" w:rsidRPr="00487162" w:rsidRDefault="00460036" w:rsidP="00E45619">
            <w:pPr>
              <w:rPr>
                <w:i/>
              </w:rPr>
            </w:pPr>
            <w:r w:rsidRPr="00460036">
              <w:rPr>
                <w:i/>
              </w:rPr>
              <w:t>Pregnancy category</w:t>
            </w:r>
            <w:r>
              <w:rPr>
                <w:i/>
              </w:rPr>
              <w:t>:</w:t>
            </w:r>
          </w:p>
        </w:tc>
        <w:tc>
          <w:tcPr>
            <w:tcW w:w="6307" w:type="dxa"/>
          </w:tcPr>
          <w:p w14:paraId="32704BA5" w14:textId="77777777" w:rsidR="00460036" w:rsidRDefault="000C16FE" w:rsidP="000C16FE">
            <w:r>
              <w:t>D</w:t>
            </w:r>
          </w:p>
          <w:p w14:paraId="1912C885" w14:textId="77777777" w:rsidR="000C16FE" w:rsidRPr="000C16FE" w:rsidRDefault="000C16FE" w:rsidP="000C16FE">
            <w:r w:rsidRPr="000C16FE">
              <w:t xml:space="preserve">Drugs which have caused, are suspected to have caused or may be expected to cause, an increased incidence of human </w:t>
            </w:r>
            <w:proofErr w:type="spellStart"/>
            <w:r w:rsidRPr="000C16FE">
              <w:t>fetal</w:t>
            </w:r>
            <w:proofErr w:type="spellEnd"/>
            <w:r w:rsidRPr="000C16FE">
              <w:t xml:space="preserve"> malformations or irreversible damage. These drugs may also have adverse pharmacological effects. Accompanying texts should be consulted for further details.</w:t>
            </w:r>
          </w:p>
          <w:p w14:paraId="00A3460D"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0C16FE">
              <w:t>ces in your State or Territory.</w:t>
            </w:r>
          </w:p>
        </w:tc>
      </w:tr>
    </w:tbl>
    <w:p w14:paraId="5F38ADBA" w14:textId="77777777" w:rsidR="008E7846" w:rsidRDefault="008E7846" w:rsidP="008E7846">
      <w:pPr>
        <w:pStyle w:val="Heading3"/>
      </w:pPr>
      <w:bookmarkStart w:id="14" w:name="_Toc247691503"/>
      <w:bookmarkStart w:id="15" w:name="_Toc314842484"/>
      <w:bookmarkStart w:id="16" w:name="_Toc52188108"/>
      <w:r>
        <w:t>Product background</w:t>
      </w:r>
      <w:bookmarkEnd w:id="14"/>
      <w:bookmarkEnd w:id="15"/>
      <w:bookmarkEnd w:id="16"/>
    </w:p>
    <w:p w14:paraId="1C6DA5EE" w14:textId="6F68B060" w:rsidR="008E7846" w:rsidRDefault="00250271" w:rsidP="000C16FE">
      <w:r w:rsidRPr="00250271">
        <w:t>This AusPA</w:t>
      </w:r>
      <w:r w:rsidR="000C16FE">
        <w:t xml:space="preserve">R describes the application by </w:t>
      </w:r>
      <w:r w:rsidR="00D0635C" w:rsidRPr="00D0635C">
        <w:t>Mundipharma</w:t>
      </w:r>
      <w:r w:rsidR="000C16FE" w:rsidRPr="008B5637">
        <w:t xml:space="preserve"> Pty Ltd</w:t>
      </w:r>
      <w:r w:rsidR="000C16FE" w:rsidRPr="00250271">
        <w:t xml:space="preserve"> </w:t>
      </w:r>
      <w:r w:rsidRPr="00250271">
        <w:t xml:space="preserve">(the sponsor) to register </w:t>
      </w:r>
      <w:proofErr w:type="spellStart"/>
      <w:r w:rsidR="000C16FE">
        <w:t>Akynzeo</w:t>
      </w:r>
      <w:proofErr w:type="spellEnd"/>
      <w:r w:rsidR="000C16FE">
        <w:t xml:space="preserve"> IV (</w:t>
      </w:r>
      <w:proofErr w:type="spellStart"/>
      <w:r w:rsidR="000C16FE">
        <w:t>fosnetupitant</w:t>
      </w:r>
      <w:proofErr w:type="spellEnd"/>
      <w:r w:rsidR="000C16FE">
        <w:t xml:space="preserve"> (as chloride hydrochloride)</w:t>
      </w:r>
      <w:r w:rsidR="00F22A96">
        <w:t xml:space="preserve"> </w:t>
      </w:r>
      <w:r w:rsidR="000C16FE">
        <w:t>/</w:t>
      </w:r>
      <w:r w:rsidR="00F22A96">
        <w:t xml:space="preserve"> </w:t>
      </w:r>
      <w:proofErr w:type="spellStart"/>
      <w:r w:rsidR="000C16FE">
        <w:t>palonosetron</w:t>
      </w:r>
      <w:proofErr w:type="spellEnd"/>
      <w:r w:rsidR="000C16FE">
        <w:t xml:space="preserve"> (as hydrochloride))</w:t>
      </w:r>
      <w:r w:rsidRPr="00250271">
        <w:t xml:space="preserve"> </w:t>
      </w:r>
      <w:r w:rsidR="000C16FE">
        <w:t xml:space="preserve">powder for injection </w:t>
      </w:r>
      <w:r w:rsidRPr="00250271">
        <w:t>for th</w:t>
      </w:r>
      <w:r w:rsidR="000C16FE">
        <w:t>e following proposed indication</w:t>
      </w:r>
      <w:r w:rsidR="00CF5DAD">
        <w:t>:</w:t>
      </w:r>
    </w:p>
    <w:p w14:paraId="35836617" w14:textId="77777777" w:rsidR="000C16FE" w:rsidRPr="000C16FE" w:rsidRDefault="000C16FE" w:rsidP="000C16FE">
      <w:pPr>
        <w:ind w:left="360"/>
        <w:rPr>
          <w:i/>
        </w:rPr>
      </w:pPr>
      <w:proofErr w:type="spellStart"/>
      <w:r w:rsidRPr="000C16FE">
        <w:rPr>
          <w:i/>
        </w:rPr>
        <w:t>Akynzeo</w:t>
      </w:r>
      <w:proofErr w:type="spellEnd"/>
      <w:r w:rsidRPr="000C16FE">
        <w:rPr>
          <w:i/>
        </w:rPr>
        <w:t xml:space="preserve"> IV is indicated in adult patients for:</w:t>
      </w:r>
    </w:p>
    <w:p w14:paraId="0CF056E7" w14:textId="77777777" w:rsidR="000C16FE" w:rsidRPr="000C16FE" w:rsidRDefault="000C16FE" w:rsidP="000C16FE">
      <w:pPr>
        <w:pStyle w:val="ListBullet"/>
        <w:ind w:left="720"/>
        <w:rPr>
          <w:i/>
        </w:rPr>
      </w:pPr>
      <w:r w:rsidRPr="000C16FE">
        <w:rPr>
          <w:i/>
        </w:rPr>
        <w:t xml:space="preserve">Prevention of acute and delayed nausea and vomiting associated with initial and repeat courses of highly </w:t>
      </w:r>
      <w:proofErr w:type="spellStart"/>
      <w:r w:rsidRPr="000C16FE">
        <w:rPr>
          <w:i/>
        </w:rPr>
        <w:t>emetogenic</w:t>
      </w:r>
      <w:proofErr w:type="spellEnd"/>
      <w:r w:rsidRPr="000C16FE">
        <w:rPr>
          <w:i/>
        </w:rPr>
        <w:t xml:space="preserve"> cancer chemotherapy.</w:t>
      </w:r>
    </w:p>
    <w:p w14:paraId="7B428786" w14:textId="77777777" w:rsidR="000C16FE" w:rsidRPr="000C16FE" w:rsidRDefault="000C16FE" w:rsidP="000C16FE">
      <w:pPr>
        <w:pStyle w:val="ListBullet"/>
        <w:ind w:left="720"/>
        <w:rPr>
          <w:i/>
        </w:rPr>
      </w:pPr>
      <w:r w:rsidRPr="000C16FE">
        <w:rPr>
          <w:i/>
        </w:rPr>
        <w:t xml:space="preserve">Prevention of acute and delayed nausea and vomiting associated with initial and repeat courses of moderately </w:t>
      </w:r>
      <w:proofErr w:type="spellStart"/>
      <w:r w:rsidRPr="000C16FE">
        <w:rPr>
          <w:i/>
        </w:rPr>
        <w:t>emetogenic</w:t>
      </w:r>
      <w:proofErr w:type="spellEnd"/>
      <w:r w:rsidRPr="000C16FE">
        <w:rPr>
          <w:i/>
        </w:rPr>
        <w:t xml:space="preserve"> cancer chemotherapy.</w:t>
      </w:r>
    </w:p>
    <w:p w14:paraId="425614F1" w14:textId="668CCD12" w:rsidR="000C16FE" w:rsidRDefault="00DB283D" w:rsidP="000C16FE">
      <w:r w:rsidRPr="00DB283D">
        <w:t xml:space="preserve">Chemotherapeutic drugs can cause nausea and vomiting </w:t>
      </w:r>
      <w:r w:rsidR="006273D5">
        <w:t xml:space="preserve">(emesis) </w:t>
      </w:r>
      <w:r w:rsidRPr="00DB283D">
        <w:t xml:space="preserve">by </w:t>
      </w:r>
      <w:r>
        <w:t>two main pathways; peripheral or</w:t>
      </w:r>
      <w:r w:rsidR="006A10F5">
        <w:t xml:space="preserve"> central</w:t>
      </w:r>
      <w:r>
        <w:t>. The peripheral</w:t>
      </w:r>
      <w:r w:rsidRPr="00DB283D">
        <w:t xml:space="preserve"> </w:t>
      </w:r>
      <w:r>
        <w:t xml:space="preserve">pathway of </w:t>
      </w:r>
      <w:r w:rsidRPr="00DB283D">
        <w:t xml:space="preserve">chemotherapy induced nausea and vomiting (CINV) occurs through the release of serotonin from </w:t>
      </w:r>
      <w:proofErr w:type="spellStart"/>
      <w:r w:rsidRPr="00DB283D">
        <w:t>enterochromaffin</w:t>
      </w:r>
      <w:proofErr w:type="spellEnd"/>
      <w:r>
        <w:t xml:space="preserve"> cells of the small intestine. </w:t>
      </w:r>
      <w:r w:rsidRPr="00DB283D">
        <w:t xml:space="preserve">Serotonin then activates </w:t>
      </w:r>
      <w:r w:rsidR="006A10F5">
        <w:t>serotonin subtype 3 (</w:t>
      </w:r>
      <w:r w:rsidRPr="00DB283D">
        <w:t>5-HT</w:t>
      </w:r>
      <w:r w:rsidRPr="0083125A">
        <w:rPr>
          <w:vertAlign w:val="subscript"/>
        </w:rPr>
        <w:t>3</w:t>
      </w:r>
      <w:r w:rsidR="006A10F5">
        <w:t>)</w:t>
      </w:r>
      <w:r w:rsidRPr="00DB283D">
        <w:t xml:space="preserve"> receptors located on vagal afferents to</w:t>
      </w:r>
      <w:r>
        <w:t xml:space="preserve"> initiate the vomiting reflex. </w:t>
      </w:r>
      <w:r w:rsidRPr="009F2A4E">
        <w:rPr>
          <w:rFonts w:asciiTheme="minorHAnsi" w:hAnsiTheme="minorHAnsi" w:cstheme="minorHAnsi"/>
        </w:rPr>
        <w:t>The peripheral pathway, which is activated within 24 hours after initiation of chemotherapy, is associated primarily with acute chemotherapy induced emesis (occurring 0 to 24 hours after chemotherapy).</w:t>
      </w:r>
      <w:r>
        <w:rPr>
          <w:rFonts w:asciiTheme="minorHAnsi" w:hAnsiTheme="minorHAnsi" w:cstheme="minorHAnsi"/>
        </w:rPr>
        <w:t xml:space="preserve"> The </w:t>
      </w:r>
      <w:r>
        <w:t>central</w:t>
      </w:r>
      <w:r w:rsidRPr="00DB283D">
        <w:t xml:space="preserve"> </w:t>
      </w:r>
      <w:r>
        <w:t xml:space="preserve">pathway of </w:t>
      </w:r>
      <w:r w:rsidRPr="00DB283D">
        <w:t xml:space="preserve">CINV </w:t>
      </w:r>
      <w:r w:rsidR="006273D5">
        <w:t xml:space="preserve">is </w:t>
      </w:r>
      <w:r w:rsidR="006273D5" w:rsidRPr="006273D5">
        <w:t>located primarily in the brain</w:t>
      </w:r>
      <w:r w:rsidR="0083125A">
        <w:t>,</w:t>
      </w:r>
      <w:r w:rsidRPr="00DB283D">
        <w:t xml:space="preserve"> and relates to the activation of n</w:t>
      </w:r>
      <w:r w:rsidR="00903743">
        <w:t>eurokinin 1 (NK</w:t>
      </w:r>
      <w:r w:rsidR="00903743" w:rsidRPr="00CB62EC">
        <w:rPr>
          <w:vertAlign w:val="subscript"/>
        </w:rPr>
        <w:t>1</w:t>
      </w:r>
      <w:r w:rsidR="00903743">
        <w:t>) receptors by s</w:t>
      </w:r>
      <w:r w:rsidRPr="00DB283D">
        <w:t>ubstance P.</w:t>
      </w:r>
      <w:r w:rsidR="006273D5">
        <w:t xml:space="preserve"> </w:t>
      </w:r>
      <w:r w:rsidR="006273D5" w:rsidRPr="006273D5">
        <w:t>The central pathway is activated after the first 24 hours after chemotherapy and is associated mainly with delayed chemotherapy-induced emesis (occurring 25 to 120 hours after chemotherapy), although it can also induce acute chemotherapy induced emesis.</w:t>
      </w:r>
      <w:r w:rsidR="006273D5">
        <w:t xml:space="preserve"> Chemotherapeutic agents </w:t>
      </w:r>
      <w:r w:rsidR="00391EE0">
        <w:t>can be</w:t>
      </w:r>
      <w:r w:rsidR="006273D5">
        <w:t xml:space="preserve"> classified into 4 categories based on their likelihood of causing emesis </w:t>
      </w:r>
      <w:r w:rsidR="006273D5" w:rsidRPr="00DB283D">
        <w:t>in the absence of antiemetic prophylaxis</w:t>
      </w:r>
      <w:r w:rsidR="006273D5">
        <w:t xml:space="preserve">; </w:t>
      </w:r>
      <w:r w:rsidR="006273D5" w:rsidRPr="00DB283D">
        <w:t>high (</w:t>
      </w:r>
      <w:r w:rsidR="006273D5">
        <w:t xml:space="preserve">causes emesis in </w:t>
      </w:r>
      <w:r w:rsidR="006273D5" w:rsidRPr="00DB283D">
        <w:t>&gt; 90%</w:t>
      </w:r>
      <w:r w:rsidR="006273D5">
        <w:t xml:space="preserve"> of patients</w:t>
      </w:r>
      <w:r w:rsidR="006273D5" w:rsidRPr="00DB283D">
        <w:t>), moderate (30% to 90%</w:t>
      </w:r>
      <w:r w:rsidR="006273D5">
        <w:t xml:space="preserve"> of </w:t>
      </w:r>
      <w:r w:rsidR="006273D5">
        <w:lastRenderedPageBreak/>
        <w:t>patients</w:t>
      </w:r>
      <w:r w:rsidR="006273D5" w:rsidRPr="00DB283D">
        <w:t>), low (10% to 30%</w:t>
      </w:r>
      <w:r w:rsidR="006273D5">
        <w:t xml:space="preserve"> of patients</w:t>
      </w:r>
      <w:r w:rsidR="006273D5" w:rsidRPr="00DB283D">
        <w:t>), and minimal (&lt; 10%</w:t>
      </w:r>
      <w:r w:rsidR="006273D5">
        <w:t xml:space="preserve"> of patients</w:t>
      </w:r>
      <w:r w:rsidR="006273D5" w:rsidRPr="00DB283D">
        <w:t>)</w:t>
      </w:r>
      <w:r w:rsidR="006273D5">
        <w:t>.</w:t>
      </w:r>
      <w:bookmarkStart w:id="17" w:name="_Ref47383426"/>
      <w:r w:rsidR="006A10F5">
        <w:rPr>
          <w:rStyle w:val="FootnoteReference"/>
        </w:rPr>
        <w:footnoteReference w:id="2"/>
      </w:r>
      <w:bookmarkEnd w:id="17"/>
      <w:r w:rsidR="00391EE0">
        <w:t xml:space="preserve"> </w:t>
      </w:r>
      <w:r w:rsidR="00D0635C" w:rsidRPr="009F2A4E">
        <w:rPr>
          <w:rFonts w:asciiTheme="minorHAnsi" w:hAnsiTheme="minorHAnsi" w:cstheme="minorHAnsi"/>
        </w:rPr>
        <w:t>Most drugs used as prophylaxis for chemotherapy-induced emesis belong to the classes of dopamine</w:t>
      </w:r>
      <w:r w:rsidR="00705532">
        <w:rPr>
          <w:rFonts w:asciiTheme="minorHAnsi" w:hAnsiTheme="minorHAnsi" w:cstheme="minorHAnsi"/>
        </w:rPr>
        <w:t xml:space="preserve"> receptor</w:t>
      </w:r>
      <w:r w:rsidR="00D0635C" w:rsidRPr="009F2A4E">
        <w:rPr>
          <w:rFonts w:asciiTheme="minorHAnsi" w:hAnsiTheme="minorHAnsi" w:cstheme="minorHAnsi"/>
        </w:rPr>
        <w:t>, 5-HT</w:t>
      </w:r>
      <w:r w:rsidR="00D0635C" w:rsidRPr="00CB62EC">
        <w:rPr>
          <w:rFonts w:asciiTheme="minorHAnsi" w:hAnsiTheme="minorHAnsi" w:cstheme="minorHAnsi"/>
          <w:vertAlign w:val="subscript"/>
        </w:rPr>
        <w:t>3</w:t>
      </w:r>
      <w:r w:rsidR="00F22A96">
        <w:rPr>
          <w:rFonts w:asciiTheme="minorHAnsi" w:hAnsiTheme="minorHAnsi" w:cstheme="minorHAnsi"/>
          <w:vertAlign w:val="subscript"/>
        </w:rPr>
        <w:t xml:space="preserve"> </w:t>
      </w:r>
      <w:r w:rsidR="00F22A96">
        <w:rPr>
          <w:rFonts w:asciiTheme="minorHAnsi" w:hAnsiTheme="minorHAnsi" w:cstheme="minorHAnsi"/>
        </w:rPr>
        <w:t>receptor</w:t>
      </w:r>
      <w:r w:rsidR="00D0635C" w:rsidRPr="009F2A4E">
        <w:rPr>
          <w:rFonts w:asciiTheme="minorHAnsi" w:hAnsiTheme="minorHAnsi" w:cstheme="minorHAnsi"/>
        </w:rPr>
        <w:t>, and NK</w:t>
      </w:r>
      <w:r w:rsidR="00D0635C" w:rsidRPr="00CB62EC">
        <w:rPr>
          <w:rFonts w:asciiTheme="minorHAnsi" w:hAnsiTheme="minorHAnsi" w:cstheme="minorHAnsi"/>
          <w:vertAlign w:val="subscript"/>
        </w:rPr>
        <w:t>1</w:t>
      </w:r>
      <w:r w:rsidR="00D0635C" w:rsidRPr="009F2A4E">
        <w:rPr>
          <w:rFonts w:asciiTheme="minorHAnsi" w:hAnsiTheme="minorHAnsi" w:cstheme="minorHAnsi"/>
        </w:rPr>
        <w:t xml:space="preserve"> receptor antagonists</w:t>
      </w:r>
      <w:r w:rsidR="00D0635C">
        <w:t xml:space="preserve">. </w:t>
      </w:r>
      <w:r w:rsidR="00F22A96">
        <w:t xml:space="preserve">The </w:t>
      </w:r>
      <w:r w:rsidR="006A10F5" w:rsidRPr="006A10F5">
        <w:t xml:space="preserve">American Society of Clinical Oncology </w:t>
      </w:r>
      <w:r w:rsidR="006A10F5">
        <w:t>(</w:t>
      </w:r>
      <w:r w:rsidR="000C16FE">
        <w:t>ASCO</w:t>
      </w:r>
      <w:r w:rsidR="006A10F5">
        <w:t>)</w:t>
      </w:r>
      <w:r w:rsidR="00F22A96">
        <w:t>;</w:t>
      </w:r>
      <w:r w:rsidR="006A10F5">
        <w:fldChar w:fldCharType="begin"/>
      </w:r>
      <w:r w:rsidR="006A10F5">
        <w:instrText xml:space="preserve"> NOTEREF _Ref47383426 \f \h </w:instrText>
      </w:r>
      <w:r w:rsidR="006A10F5">
        <w:fldChar w:fldCharType="separate"/>
      </w:r>
      <w:r w:rsidR="004A5B00" w:rsidRPr="004A5B00">
        <w:rPr>
          <w:rStyle w:val="FootnoteReference"/>
        </w:rPr>
        <w:t>2</w:t>
      </w:r>
      <w:r w:rsidR="006A10F5">
        <w:fldChar w:fldCharType="end"/>
      </w:r>
      <w:r w:rsidR="000C16FE">
        <w:t xml:space="preserve"> </w:t>
      </w:r>
      <w:r w:rsidR="006A10F5" w:rsidRPr="006A10F5">
        <w:t>European Society for Medical Oncology</w:t>
      </w:r>
      <w:r w:rsidR="006A10F5">
        <w:t xml:space="preserve"> (</w:t>
      </w:r>
      <w:r w:rsidR="000C16FE">
        <w:t>ESMO</w:t>
      </w:r>
      <w:r w:rsidR="006A10F5">
        <w:t>)</w:t>
      </w:r>
      <w:r w:rsidR="006A10F5">
        <w:rPr>
          <w:rStyle w:val="FootnoteReference"/>
        </w:rPr>
        <w:footnoteReference w:id="3"/>
      </w:r>
      <w:r w:rsidR="000C16FE">
        <w:t xml:space="preserve"> and </w:t>
      </w:r>
      <w:proofErr w:type="spellStart"/>
      <w:r w:rsidR="000C16FE">
        <w:t>eviQ</w:t>
      </w:r>
      <w:proofErr w:type="spellEnd"/>
      <w:r w:rsidR="00E97DC3">
        <w:t>;</w:t>
      </w:r>
      <w:r w:rsidR="00E97DC3">
        <w:rPr>
          <w:rStyle w:val="FootnoteReference"/>
        </w:rPr>
        <w:footnoteReference w:id="4"/>
      </w:r>
      <w:r w:rsidR="000C16FE">
        <w:t xml:space="preserve"> guidelines provide guidance on the use of antiemetic treatment in association with highly </w:t>
      </w:r>
      <w:proofErr w:type="spellStart"/>
      <w:r w:rsidR="000C16FE">
        <w:t>emetogenic</w:t>
      </w:r>
      <w:proofErr w:type="spellEnd"/>
      <w:r w:rsidR="000C16FE">
        <w:t xml:space="preserve"> chemotherapy (HEC) and moderately </w:t>
      </w:r>
      <w:proofErr w:type="spellStart"/>
      <w:r w:rsidR="000C16FE">
        <w:t>emetogenic</w:t>
      </w:r>
      <w:proofErr w:type="spellEnd"/>
      <w:r w:rsidR="000C16FE">
        <w:t xml:space="preserve"> chemotherapy (MEC).</w:t>
      </w:r>
    </w:p>
    <w:p w14:paraId="7B6E45BA" w14:textId="219E1DE2" w:rsidR="005A6A38" w:rsidRDefault="005A6A38" w:rsidP="005A6A38">
      <w:proofErr w:type="spellStart"/>
      <w:r>
        <w:t>Netupitant</w:t>
      </w:r>
      <w:proofErr w:type="spellEnd"/>
      <w:r>
        <w:t xml:space="preserve"> </w:t>
      </w:r>
      <w:r w:rsidR="00F22A96">
        <w:t xml:space="preserve">(the active moiety of </w:t>
      </w:r>
      <w:proofErr w:type="spellStart"/>
      <w:r w:rsidR="00F22A96">
        <w:t>fosnetupitant</w:t>
      </w:r>
      <w:proofErr w:type="spellEnd"/>
      <w:r w:rsidR="00F22A96">
        <w:t xml:space="preserve">) </w:t>
      </w:r>
      <w:r>
        <w:t>is a selective antagonist of human substance P/</w:t>
      </w:r>
      <w:r w:rsidR="00391EE0">
        <w:t>NK</w:t>
      </w:r>
      <w:r w:rsidR="00391EE0" w:rsidRPr="00CB62EC">
        <w:rPr>
          <w:vertAlign w:val="subscript"/>
        </w:rPr>
        <w:t>1</w:t>
      </w:r>
      <w:r w:rsidR="00391EE0">
        <w:t xml:space="preserve"> receptors. </w:t>
      </w:r>
      <w:proofErr w:type="spellStart"/>
      <w:r>
        <w:t>Fosnetupitant</w:t>
      </w:r>
      <w:proofErr w:type="spellEnd"/>
      <w:r>
        <w:t xml:space="preserve"> is a water soluble phosphorylated pro-drug of </w:t>
      </w:r>
      <w:proofErr w:type="spellStart"/>
      <w:r>
        <w:t>netupitant</w:t>
      </w:r>
      <w:proofErr w:type="spellEnd"/>
      <w:r>
        <w:t xml:space="preserve"> that was developed to overcome solubility challenges wit</w:t>
      </w:r>
      <w:r w:rsidR="00391EE0">
        <w:t xml:space="preserve">h </w:t>
      </w:r>
      <w:proofErr w:type="spellStart"/>
      <w:r w:rsidR="00391EE0">
        <w:t>netupitant</w:t>
      </w:r>
      <w:proofErr w:type="spellEnd"/>
      <w:r w:rsidR="00391EE0">
        <w:t xml:space="preserve">. </w:t>
      </w:r>
      <w:r>
        <w:t xml:space="preserve">The dossier contends that the pharmacology of </w:t>
      </w:r>
      <w:proofErr w:type="spellStart"/>
      <w:r>
        <w:t>fosnetupitant</w:t>
      </w:r>
      <w:proofErr w:type="spellEnd"/>
      <w:r>
        <w:t xml:space="preserve"> is attributable to </w:t>
      </w:r>
      <w:proofErr w:type="spellStart"/>
      <w:r>
        <w:t>netupitant</w:t>
      </w:r>
      <w:proofErr w:type="spellEnd"/>
      <w:r>
        <w:t xml:space="preserve"> because </w:t>
      </w:r>
      <w:proofErr w:type="spellStart"/>
      <w:r>
        <w:t>fosnetupitant</w:t>
      </w:r>
      <w:proofErr w:type="spellEnd"/>
      <w:r>
        <w:t xml:space="preserve"> is rapidly converted to </w:t>
      </w:r>
      <w:proofErr w:type="spellStart"/>
      <w:r>
        <w:t>netupitant</w:t>
      </w:r>
      <w:proofErr w:type="spellEnd"/>
      <w:r>
        <w:t xml:space="preserve"> </w:t>
      </w:r>
      <w:r w:rsidRPr="00391EE0">
        <w:rPr>
          <w:i/>
        </w:rPr>
        <w:t>in vivo</w:t>
      </w:r>
      <w:r>
        <w:t xml:space="preserve"> following intravenous </w:t>
      </w:r>
      <w:r w:rsidR="00391EE0">
        <w:t xml:space="preserve">(IV) </w:t>
      </w:r>
      <w:r>
        <w:t>administration.</w:t>
      </w:r>
    </w:p>
    <w:p w14:paraId="5075EB27" w14:textId="77777777" w:rsidR="00D0635C" w:rsidRPr="002C00EE" w:rsidRDefault="005A6A38" w:rsidP="005A6A38">
      <w:proofErr w:type="spellStart"/>
      <w:r>
        <w:t>Palonosetron</w:t>
      </w:r>
      <w:proofErr w:type="spellEnd"/>
      <w:r>
        <w:t xml:space="preserve"> is a selective </w:t>
      </w:r>
      <w:r w:rsidR="00391EE0">
        <w:t>5-HT</w:t>
      </w:r>
      <w:r w:rsidR="00391EE0" w:rsidRPr="0083125A">
        <w:rPr>
          <w:vertAlign w:val="subscript"/>
        </w:rPr>
        <w:t>3</w:t>
      </w:r>
      <w:r>
        <w:t xml:space="preserve"> receptor antagonist with a strong binding affinity for this receptor.</w:t>
      </w:r>
    </w:p>
    <w:p w14:paraId="56CB174D" w14:textId="6BF023C1" w:rsidR="000C16FE" w:rsidRDefault="000C16FE" w:rsidP="000C16FE">
      <w:r>
        <w:t>A</w:t>
      </w:r>
      <w:r w:rsidRPr="00442129">
        <w:t xml:space="preserve"> fixed combination of </w:t>
      </w:r>
      <w:proofErr w:type="spellStart"/>
      <w:r w:rsidRPr="00442129">
        <w:t>netupitant</w:t>
      </w:r>
      <w:proofErr w:type="spellEnd"/>
      <w:r w:rsidR="00E7309B">
        <w:t xml:space="preserve"> 300 mg and </w:t>
      </w:r>
      <w:proofErr w:type="spellStart"/>
      <w:r w:rsidR="00E7309B">
        <w:t>palonosetron</w:t>
      </w:r>
      <w:proofErr w:type="spellEnd"/>
      <w:r w:rsidR="00E7309B">
        <w:t xml:space="preserve"> 500 µ</w:t>
      </w:r>
      <w:r>
        <w:t>g in oral capsule form</w:t>
      </w:r>
      <w:r w:rsidRPr="00442129">
        <w:t xml:space="preserve"> </w:t>
      </w:r>
      <w:r>
        <w:t>(</w:t>
      </w:r>
      <w:proofErr w:type="spellStart"/>
      <w:r w:rsidR="00391EE0">
        <w:t>Akynzeo</w:t>
      </w:r>
      <w:proofErr w:type="spellEnd"/>
      <w:r w:rsidR="00F22A96">
        <w:t xml:space="preserve"> capsule</w:t>
      </w:r>
      <w:r>
        <w:t>)</w:t>
      </w:r>
      <w:r w:rsidR="00F22A96">
        <w:t>;</w:t>
      </w:r>
      <w:r w:rsidR="00391EE0">
        <w:rPr>
          <w:rStyle w:val="FootnoteReference"/>
        </w:rPr>
        <w:footnoteReference w:id="5"/>
      </w:r>
      <w:r>
        <w:t xml:space="preserve"> i</w:t>
      </w:r>
      <w:r w:rsidRPr="00442129">
        <w:t xml:space="preserve">s </w:t>
      </w:r>
      <w:r>
        <w:t xml:space="preserve">registered in Australia with the same indication as proposed in this submission for </w:t>
      </w:r>
      <w:proofErr w:type="spellStart"/>
      <w:r w:rsidR="00391EE0">
        <w:t>Akynzeo</w:t>
      </w:r>
      <w:proofErr w:type="spellEnd"/>
      <w:r>
        <w:t xml:space="preserve"> IV. </w:t>
      </w:r>
      <w:proofErr w:type="spellStart"/>
      <w:r>
        <w:t>Netupitant</w:t>
      </w:r>
      <w:proofErr w:type="spellEnd"/>
      <w:r>
        <w:t xml:space="preserve"> is not registered a</w:t>
      </w:r>
      <w:r w:rsidR="00391EE0">
        <w:t xml:space="preserve">s a single agent. </w:t>
      </w:r>
      <w:proofErr w:type="spellStart"/>
      <w:r>
        <w:t>Palonosetron</w:t>
      </w:r>
      <w:proofErr w:type="spellEnd"/>
      <w:r>
        <w:t xml:space="preserve"> hydrochloride solution for injection is regi</w:t>
      </w:r>
      <w:r w:rsidR="00391EE0">
        <w:t>stered as a single agent (</w:t>
      </w:r>
      <w:proofErr w:type="spellStart"/>
      <w:r w:rsidR="00391EE0">
        <w:t>Aloxi</w:t>
      </w:r>
      <w:proofErr w:type="spellEnd"/>
      <w:r>
        <w:t>)</w:t>
      </w:r>
      <w:r w:rsidR="00F22A96">
        <w:t>;</w:t>
      </w:r>
      <w:r w:rsidR="00391EE0">
        <w:rPr>
          <w:rStyle w:val="FootnoteReference"/>
        </w:rPr>
        <w:footnoteReference w:id="6"/>
      </w:r>
      <w:r>
        <w:t xml:space="preserve"> and is supplied in two strengths: 250 </w:t>
      </w:r>
      <w:r w:rsidR="00391EE0">
        <w:t>µ</w:t>
      </w:r>
      <w:r>
        <w:t xml:space="preserve">g/5 mL and 75 </w:t>
      </w:r>
      <w:r w:rsidR="00391EE0">
        <w:t xml:space="preserve">µg/1.5 </w:t>
      </w:r>
      <w:proofErr w:type="spellStart"/>
      <w:r w:rsidR="00391EE0">
        <w:t>mL.</w:t>
      </w:r>
      <w:proofErr w:type="spellEnd"/>
      <w:r w:rsidR="00391EE0">
        <w:t xml:space="preserve"> </w:t>
      </w:r>
      <w:r>
        <w:t>The current indications are:</w:t>
      </w:r>
    </w:p>
    <w:p w14:paraId="4849C089" w14:textId="77777777" w:rsidR="000C16FE" w:rsidRPr="00391EE0" w:rsidRDefault="00391EE0" w:rsidP="00391EE0">
      <w:pPr>
        <w:ind w:left="360"/>
        <w:rPr>
          <w:i/>
        </w:rPr>
      </w:pPr>
      <w:proofErr w:type="spellStart"/>
      <w:r w:rsidRPr="00391EE0">
        <w:rPr>
          <w:i/>
        </w:rPr>
        <w:t>Aloxi</w:t>
      </w:r>
      <w:proofErr w:type="spellEnd"/>
      <w:r w:rsidRPr="00391EE0">
        <w:rPr>
          <w:i/>
        </w:rPr>
        <w:t xml:space="preserve"> is indicated for:</w:t>
      </w:r>
    </w:p>
    <w:p w14:paraId="506C2042" w14:textId="77777777" w:rsidR="000C16FE" w:rsidRPr="00391EE0" w:rsidRDefault="000C16FE" w:rsidP="00391EE0">
      <w:pPr>
        <w:pStyle w:val="ListBullet"/>
        <w:ind w:left="720"/>
        <w:rPr>
          <w:i/>
        </w:rPr>
      </w:pPr>
      <w:r w:rsidRPr="00391EE0">
        <w:rPr>
          <w:i/>
        </w:rPr>
        <w:t>prevention of nausea and vomiting in</w:t>
      </w:r>
      <w:r w:rsidR="00391EE0">
        <w:rPr>
          <w:i/>
        </w:rPr>
        <w:t>duced by cytotoxic chemotherapy</w:t>
      </w:r>
    </w:p>
    <w:p w14:paraId="5F1E71AC" w14:textId="77777777" w:rsidR="000C16FE" w:rsidRPr="00391EE0" w:rsidRDefault="000C16FE" w:rsidP="00391EE0">
      <w:pPr>
        <w:pStyle w:val="ListBullet"/>
        <w:ind w:left="720"/>
        <w:rPr>
          <w:i/>
        </w:rPr>
      </w:pPr>
      <w:r w:rsidRPr="00391EE0">
        <w:rPr>
          <w:i/>
        </w:rPr>
        <w:t>prevention of postoperative nausea and vomiting (PONV) for up to 24 hours following surgery.</w:t>
      </w:r>
    </w:p>
    <w:p w14:paraId="2DFBAA54" w14:textId="77777777" w:rsidR="00940A89" w:rsidRDefault="000C16FE" w:rsidP="000C16FE">
      <w:r>
        <w:t xml:space="preserve">The rationale </w:t>
      </w:r>
      <w:r w:rsidR="006273D5">
        <w:t xml:space="preserve">provided by the sponsor </w:t>
      </w:r>
      <w:r>
        <w:t xml:space="preserve">for the registration of </w:t>
      </w:r>
      <w:proofErr w:type="spellStart"/>
      <w:r w:rsidR="00391EE0">
        <w:t>Akynzeo</w:t>
      </w:r>
      <w:proofErr w:type="spellEnd"/>
      <w:r>
        <w:t xml:space="preserve"> IV is that it will provide an alternative treatment option for </w:t>
      </w:r>
      <w:r w:rsidR="006273D5">
        <w:t>CINV</w:t>
      </w:r>
      <w:r>
        <w:t>, particularly for patients who are unable to tolerate an oral formulation.</w:t>
      </w:r>
    </w:p>
    <w:p w14:paraId="2AC22000" w14:textId="77777777" w:rsidR="008E7846" w:rsidRPr="003F31A2" w:rsidRDefault="00386150" w:rsidP="008E7846">
      <w:pPr>
        <w:pStyle w:val="Heading3"/>
      </w:pPr>
      <w:bookmarkStart w:id="18" w:name="_Toc314842485"/>
      <w:bookmarkStart w:id="19" w:name="_Toc247691504"/>
      <w:bookmarkStart w:id="20" w:name="_Toc52188109"/>
      <w:r>
        <w:t>Regulatory s</w:t>
      </w:r>
      <w:r w:rsidR="008E7846">
        <w:t>tatus</w:t>
      </w:r>
      <w:bookmarkEnd w:id="18"/>
      <w:bookmarkEnd w:id="19"/>
      <w:bookmarkEnd w:id="20"/>
    </w:p>
    <w:p w14:paraId="74525E6A" w14:textId="77777777" w:rsidR="00940A89" w:rsidRDefault="00006FAB" w:rsidP="00940A89">
      <w:bookmarkStart w:id="21" w:name="_Toc247691505"/>
      <w:bookmarkStart w:id="22" w:name="_Toc314842486"/>
      <w:r w:rsidRPr="00006FAB">
        <w:t xml:space="preserve">This product is considered a </w:t>
      </w:r>
      <w:r w:rsidR="000C16FE">
        <w:t>new fixed dose combination medicine</w:t>
      </w:r>
      <w:r w:rsidRPr="00006FAB">
        <w:t xml:space="preserve"> for Australian regulatory purposes.</w:t>
      </w:r>
    </w:p>
    <w:p w14:paraId="16FCEE1D" w14:textId="77777777" w:rsidR="00006FAB" w:rsidRDefault="00006FAB" w:rsidP="00006FAB">
      <w:r>
        <w:t xml:space="preserve">At the time the TGA considered this application, a similar application had been approved </w:t>
      </w:r>
      <w:r w:rsidR="001C4368">
        <w:t xml:space="preserve">in the United States (US) on 19 April 2018, and </w:t>
      </w:r>
      <w:r>
        <w:t>was under consid</w:t>
      </w:r>
      <w:r w:rsidR="001C4368">
        <w:t xml:space="preserve">eration in the European Union (EU; submitted </w:t>
      </w:r>
      <w:r w:rsidR="001C4368" w:rsidRPr="001C4368">
        <w:t>29 November 2018</w:t>
      </w:r>
      <w:r w:rsidR="001C4368">
        <w:t>)</w:t>
      </w:r>
      <w:r>
        <w:t>.</w:t>
      </w:r>
    </w:p>
    <w:p w14:paraId="00478DB4" w14:textId="0A945B25" w:rsidR="001C4368" w:rsidRDefault="001C4368" w:rsidP="00AA5106">
      <w:pPr>
        <w:pageBreakBefore/>
      </w:pPr>
      <w:r>
        <w:lastRenderedPageBreak/>
        <w:t xml:space="preserve">The indications approved </w:t>
      </w:r>
      <w:r w:rsidR="00705532">
        <w:t>by the US Food and Drug Administration (FDA)</w:t>
      </w:r>
      <w:r>
        <w:t xml:space="preserve"> were:</w:t>
      </w:r>
    </w:p>
    <w:p w14:paraId="7703518B" w14:textId="17129AC3" w:rsidR="00705532" w:rsidRPr="00CB62EC" w:rsidRDefault="001C4368" w:rsidP="00705532">
      <w:pPr>
        <w:ind w:left="720"/>
        <w:rPr>
          <w:i/>
        </w:rPr>
      </w:pPr>
      <w:proofErr w:type="spellStart"/>
      <w:r w:rsidRPr="001C4368">
        <w:rPr>
          <w:i/>
        </w:rPr>
        <w:t>Akynzeo</w:t>
      </w:r>
      <w:proofErr w:type="spellEnd"/>
      <w:r w:rsidRPr="001C4368">
        <w:rPr>
          <w:i/>
        </w:rPr>
        <w:t xml:space="preserve"> for injection is indicated in combination with dexamethasone in adults for the prevention of acute and delayed nausea and vomiting associated with initial and repeat courses of highly </w:t>
      </w:r>
      <w:proofErr w:type="spellStart"/>
      <w:r w:rsidRPr="001C4368">
        <w:rPr>
          <w:i/>
        </w:rPr>
        <w:t>emetogenic</w:t>
      </w:r>
      <w:proofErr w:type="spellEnd"/>
      <w:r w:rsidRPr="001C4368">
        <w:rPr>
          <w:i/>
        </w:rPr>
        <w:t xml:space="preserve"> cancer chemotherapy. Limitations of Use: </w:t>
      </w:r>
      <w:proofErr w:type="spellStart"/>
      <w:r w:rsidRPr="001C4368">
        <w:rPr>
          <w:i/>
        </w:rPr>
        <w:t>Akynzeo</w:t>
      </w:r>
      <w:proofErr w:type="spellEnd"/>
      <w:r w:rsidRPr="001C4368">
        <w:rPr>
          <w:i/>
        </w:rPr>
        <w:t xml:space="preserve"> for injection has not been studied for the prevention of nausea and vomiting associated with </w:t>
      </w:r>
      <w:proofErr w:type="spellStart"/>
      <w:r w:rsidRPr="001C4368">
        <w:rPr>
          <w:i/>
        </w:rPr>
        <w:t>anthracycline</w:t>
      </w:r>
      <w:proofErr w:type="spellEnd"/>
      <w:r w:rsidRPr="001C4368">
        <w:rPr>
          <w:i/>
        </w:rPr>
        <w:t xml:space="preserve"> plus cyclophosphamide chemotherapy.</w:t>
      </w:r>
    </w:p>
    <w:p w14:paraId="1B1B5F2D" w14:textId="77777777" w:rsidR="008E7846" w:rsidRDefault="008E7846" w:rsidP="00940A89">
      <w:pPr>
        <w:pStyle w:val="Heading3"/>
      </w:pPr>
      <w:bookmarkStart w:id="23" w:name="_Toc52188110"/>
      <w:r>
        <w:t>Product Information</w:t>
      </w:r>
      <w:bookmarkEnd w:id="21"/>
      <w:bookmarkEnd w:id="22"/>
      <w:bookmarkEnd w:id="23"/>
    </w:p>
    <w:p w14:paraId="041F0BAE" w14:textId="42A412C1"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360FCCE1" w14:textId="77777777" w:rsidR="00500337" w:rsidRDefault="00500337" w:rsidP="00500337">
      <w:pPr>
        <w:pStyle w:val="Heading2"/>
      </w:pPr>
      <w:bookmarkStart w:id="26" w:name="_Toc504480011"/>
      <w:bookmarkStart w:id="27" w:name="_Toc52188111"/>
      <w:r>
        <w:t>II. Registration timeline</w:t>
      </w:r>
      <w:bookmarkEnd w:id="26"/>
      <w:bookmarkEnd w:id="27"/>
    </w:p>
    <w:p w14:paraId="1733B632" w14:textId="1AE3B185" w:rsidR="00500337" w:rsidRDefault="00500337" w:rsidP="00500337">
      <w:r>
        <w:t>The following table captures the key steps and</w:t>
      </w:r>
      <w:r w:rsidR="001D16FD">
        <w:t xml:space="preserve"> dates for this application </w:t>
      </w:r>
      <w:r>
        <w:t>which are detailed and discussed in this AusPAR.</w:t>
      </w:r>
    </w:p>
    <w:p w14:paraId="35E16991" w14:textId="5886BD27" w:rsidR="00500337" w:rsidRPr="00377BD4" w:rsidRDefault="00E7309B" w:rsidP="00E7309B">
      <w:pPr>
        <w:pStyle w:val="TableTitle"/>
      </w:pPr>
      <w:r>
        <w:t xml:space="preserve">Table </w:t>
      </w:r>
      <w:fldSimple w:instr=" SEQ Table \* ARABIC ">
        <w:r w:rsidR="004A5B00">
          <w:rPr>
            <w:noProof/>
          </w:rPr>
          <w:t>1</w:t>
        </w:r>
      </w:fldSimple>
      <w:r w:rsidR="00006FAB">
        <w:t>:</w:t>
      </w:r>
      <w:r w:rsidR="006A58A8" w:rsidRPr="006A58A8">
        <w:t xml:space="preserve"> Timeline for Submission </w:t>
      </w:r>
      <w:r w:rsidR="001C4368" w:rsidRPr="008B5637">
        <w:t>PM-2019-01560-1-4</w:t>
      </w:r>
    </w:p>
    <w:tbl>
      <w:tblPr>
        <w:tblStyle w:val="TableTGAblue"/>
        <w:tblW w:w="0" w:type="auto"/>
        <w:tblLook w:val="04A0" w:firstRow="1" w:lastRow="0" w:firstColumn="1" w:lastColumn="0" w:noHBand="0" w:noVBand="1"/>
      </w:tblPr>
      <w:tblGrid>
        <w:gridCol w:w="4360"/>
        <w:gridCol w:w="4360"/>
      </w:tblGrid>
      <w:tr w:rsidR="00500337" w14:paraId="331C4FF6"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239BAB81"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260F46D0" w14:textId="77777777" w:rsidR="00500337" w:rsidRDefault="00500337" w:rsidP="00500337">
            <w:pPr>
              <w:ind w:left="0" w:right="0"/>
            </w:pPr>
            <w:r>
              <w:t>Date</w:t>
            </w:r>
          </w:p>
        </w:tc>
      </w:tr>
      <w:tr w:rsidR="00500337" w14:paraId="69C8C4B3" w14:textId="77777777" w:rsidTr="00CF5DAD">
        <w:tc>
          <w:tcPr>
            <w:tcW w:w="4360" w:type="dxa"/>
            <w:tcBorders>
              <w:top w:val="single" w:sz="4" w:space="0" w:color="auto"/>
            </w:tcBorders>
          </w:tcPr>
          <w:p w14:paraId="60346542" w14:textId="77777777" w:rsidR="00500337" w:rsidRDefault="00500337" w:rsidP="00500337">
            <w:pPr>
              <w:ind w:left="0" w:right="0"/>
            </w:pPr>
            <w:r>
              <w:t>Submission dossier accepted and first round evaluation commenced</w:t>
            </w:r>
          </w:p>
        </w:tc>
        <w:tc>
          <w:tcPr>
            <w:tcW w:w="4360" w:type="dxa"/>
            <w:tcBorders>
              <w:top w:val="single" w:sz="4" w:space="0" w:color="auto"/>
            </w:tcBorders>
          </w:tcPr>
          <w:p w14:paraId="551D8D76" w14:textId="77777777" w:rsidR="00500337" w:rsidRDefault="001C4368" w:rsidP="00500337">
            <w:pPr>
              <w:ind w:left="0" w:right="0"/>
            </w:pPr>
            <w:r>
              <w:t>3 June 2019</w:t>
            </w:r>
          </w:p>
        </w:tc>
      </w:tr>
      <w:tr w:rsidR="00500337" w14:paraId="6689F43E" w14:textId="77777777" w:rsidTr="00500337">
        <w:tc>
          <w:tcPr>
            <w:tcW w:w="4360" w:type="dxa"/>
          </w:tcPr>
          <w:p w14:paraId="562F0940" w14:textId="77777777" w:rsidR="00500337" w:rsidRDefault="00500337" w:rsidP="00500337">
            <w:pPr>
              <w:ind w:left="0" w:right="0"/>
            </w:pPr>
            <w:r>
              <w:t>First round evaluation completed</w:t>
            </w:r>
          </w:p>
        </w:tc>
        <w:tc>
          <w:tcPr>
            <w:tcW w:w="4360" w:type="dxa"/>
          </w:tcPr>
          <w:p w14:paraId="6582D09D" w14:textId="77777777" w:rsidR="00500337" w:rsidRDefault="001C4368" w:rsidP="00500337">
            <w:pPr>
              <w:ind w:left="0" w:right="0"/>
            </w:pPr>
            <w:r>
              <w:t>15 November 2019</w:t>
            </w:r>
          </w:p>
        </w:tc>
      </w:tr>
      <w:tr w:rsidR="00500337" w14:paraId="3818091A" w14:textId="77777777" w:rsidTr="00500337">
        <w:tc>
          <w:tcPr>
            <w:tcW w:w="4360" w:type="dxa"/>
          </w:tcPr>
          <w:p w14:paraId="556BED3A" w14:textId="77777777" w:rsidR="00500337" w:rsidRDefault="00500337" w:rsidP="00500337">
            <w:pPr>
              <w:ind w:left="0" w:right="0"/>
            </w:pPr>
            <w:r>
              <w:t>Sponsor provides responses on questions raised in first round evaluation</w:t>
            </w:r>
          </w:p>
        </w:tc>
        <w:tc>
          <w:tcPr>
            <w:tcW w:w="4360" w:type="dxa"/>
          </w:tcPr>
          <w:p w14:paraId="2878A9D5" w14:textId="77777777" w:rsidR="00500337" w:rsidRDefault="001C4368" w:rsidP="00500337">
            <w:pPr>
              <w:ind w:left="0" w:right="0"/>
            </w:pPr>
            <w:r>
              <w:t>17 December 2019</w:t>
            </w:r>
          </w:p>
        </w:tc>
      </w:tr>
      <w:tr w:rsidR="00500337" w14:paraId="0A075513" w14:textId="77777777" w:rsidTr="00500337">
        <w:tc>
          <w:tcPr>
            <w:tcW w:w="4360" w:type="dxa"/>
          </w:tcPr>
          <w:p w14:paraId="0D21F12E" w14:textId="77777777" w:rsidR="00500337" w:rsidRDefault="00500337" w:rsidP="00500337">
            <w:pPr>
              <w:ind w:left="0" w:right="0"/>
            </w:pPr>
            <w:r>
              <w:t>Second round evaluation completed</w:t>
            </w:r>
          </w:p>
        </w:tc>
        <w:tc>
          <w:tcPr>
            <w:tcW w:w="4360" w:type="dxa"/>
          </w:tcPr>
          <w:p w14:paraId="6A2E372B" w14:textId="77777777" w:rsidR="00500337" w:rsidRDefault="001C4368" w:rsidP="00500337">
            <w:pPr>
              <w:ind w:left="0" w:right="0"/>
            </w:pPr>
            <w:r>
              <w:t>31 January 2020</w:t>
            </w:r>
          </w:p>
        </w:tc>
      </w:tr>
      <w:tr w:rsidR="00500337" w14:paraId="55C0E371" w14:textId="77777777" w:rsidTr="00500337">
        <w:tc>
          <w:tcPr>
            <w:tcW w:w="4360" w:type="dxa"/>
          </w:tcPr>
          <w:p w14:paraId="56577552" w14:textId="77777777" w:rsidR="00500337" w:rsidRDefault="00500337" w:rsidP="001C4368">
            <w:pPr>
              <w:ind w:left="0" w:right="0"/>
            </w:pPr>
            <w:r>
              <w:t xml:space="preserve">Delegate’s </w:t>
            </w:r>
            <w:r w:rsidR="001C4368">
              <w:t>Overall benefit-risk assessment</w:t>
            </w:r>
          </w:p>
        </w:tc>
        <w:tc>
          <w:tcPr>
            <w:tcW w:w="4360" w:type="dxa"/>
          </w:tcPr>
          <w:p w14:paraId="743CA633" w14:textId="77777777" w:rsidR="00500337" w:rsidRDefault="001C4368" w:rsidP="00500337">
            <w:pPr>
              <w:ind w:left="0" w:right="0"/>
            </w:pPr>
            <w:r>
              <w:t>27 February 2020</w:t>
            </w:r>
          </w:p>
        </w:tc>
      </w:tr>
      <w:tr w:rsidR="00500337" w14:paraId="622B91C7" w14:textId="77777777" w:rsidTr="00500337">
        <w:tc>
          <w:tcPr>
            <w:tcW w:w="4360" w:type="dxa"/>
          </w:tcPr>
          <w:p w14:paraId="63E25C10" w14:textId="77777777" w:rsidR="00500337" w:rsidRDefault="00500337" w:rsidP="00500337">
            <w:pPr>
              <w:ind w:left="0" w:right="0"/>
            </w:pPr>
            <w:r>
              <w:t>Sponsor’s pre-Advisory Committee response</w:t>
            </w:r>
          </w:p>
        </w:tc>
        <w:tc>
          <w:tcPr>
            <w:tcW w:w="4360" w:type="dxa"/>
          </w:tcPr>
          <w:p w14:paraId="7DF2AEDF" w14:textId="77777777" w:rsidR="00500337" w:rsidRDefault="001C4368" w:rsidP="00500337">
            <w:pPr>
              <w:ind w:left="0" w:right="0"/>
            </w:pPr>
            <w:r>
              <w:t>Not applicable</w:t>
            </w:r>
          </w:p>
        </w:tc>
      </w:tr>
      <w:tr w:rsidR="00500337" w14:paraId="122D39CC" w14:textId="77777777" w:rsidTr="00500337">
        <w:tc>
          <w:tcPr>
            <w:tcW w:w="4360" w:type="dxa"/>
          </w:tcPr>
          <w:p w14:paraId="3C84675E" w14:textId="77777777" w:rsidR="00500337" w:rsidRDefault="00500337" w:rsidP="00500337">
            <w:pPr>
              <w:ind w:left="0" w:right="0"/>
            </w:pPr>
            <w:r>
              <w:t>Advisory Committee meeting</w:t>
            </w:r>
          </w:p>
        </w:tc>
        <w:tc>
          <w:tcPr>
            <w:tcW w:w="4360" w:type="dxa"/>
          </w:tcPr>
          <w:p w14:paraId="3E7E6674" w14:textId="77777777" w:rsidR="00500337" w:rsidRDefault="001C4368" w:rsidP="00500337">
            <w:pPr>
              <w:ind w:left="0" w:right="0"/>
            </w:pPr>
            <w:r>
              <w:t>Not applicable</w:t>
            </w:r>
          </w:p>
        </w:tc>
      </w:tr>
      <w:tr w:rsidR="00500337" w14:paraId="085919C9" w14:textId="77777777" w:rsidTr="00500337">
        <w:tc>
          <w:tcPr>
            <w:tcW w:w="4360" w:type="dxa"/>
          </w:tcPr>
          <w:p w14:paraId="6C0F0FCA" w14:textId="77777777" w:rsidR="00500337" w:rsidRDefault="00500337" w:rsidP="00500337">
            <w:pPr>
              <w:ind w:left="0" w:right="0"/>
            </w:pPr>
            <w:r>
              <w:t>Registration decision (Outcome)</w:t>
            </w:r>
          </w:p>
        </w:tc>
        <w:tc>
          <w:tcPr>
            <w:tcW w:w="4360" w:type="dxa"/>
          </w:tcPr>
          <w:p w14:paraId="18DD9991" w14:textId="77777777" w:rsidR="00500337" w:rsidRDefault="009722C6" w:rsidP="00500337">
            <w:pPr>
              <w:ind w:left="0" w:right="0"/>
            </w:pPr>
            <w:r>
              <w:t>12 March 2020</w:t>
            </w:r>
          </w:p>
        </w:tc>
      </w:tr>
      <w:tr w:rsidR="00500337" w14:paraId="5B8C6099" w14:textId="77777777" w:rsidTr="00500337">
        <w:tc>
          <w:tcPr>
            <w:tcW w:w="4360" w:type="dxa"/>
          </w:tcPr>
          <w:p w14:paraId="5D3ED9C8"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4F35BC79" w14:textId="77777777" w:rsidR="00500337" w:rsidRDefault="009722C6" w:rsidP="00500337">
            <w:pPr>
              <w:ind w:left="0" w:right="0"/>
            </w:pPr>
            <w:r>
              <w:t>13 March 2020</w:t>
            </w:r>
          </w:p>
        </w:tc>
      </w:tr>
      <w:tr w:rsidR="00500337" w14:paraId="38D1B5B3" w14:textId="77777777" w:rsidTr="00500337">
        <w:tc>
          <w:tcPr>
            <w:tcW w:w="4360" w:type="dxa"/>
          </w:tcPr>
          <w:p w14:paraId="3362A3FA" w14:textId="77777777" w:rsidR="00500337" w:rsidRDefault="00500337" w:rsidP="00500337">
            <w:pPr>
              <w:ind w:left="0" w:right="0"/>
            </w:pPr>
            <w:r>
              <w:t>Number of working days from submission dossier acceptance to registration decision*</w:t>
            </w:r>
          </w:p>
        </w:tc>
        <w:tc>
          <w:tcPr>
            <w:tcW w:w="4360" w:type="dxa"/>
          </w:tcPr>
          <w:p w14:paraId="6A3971DA" w14:textId="77777777" w:rsidR="00500337" w:rsidRDefault="001C4368" w:rsidP="00500337">
            <w:pPr>
              <w:ind w:left="0" w:right="0"/>
            </w:pPr>
            <w:r>
              <w:t>172</w:t>
            </w:r>
          </w:p>
        </w:tc>
      </w:tr>
    </w:tbl>
    <w:p w14:paraId="60347761"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57D4BEE5" w14:textId="77777777" w:rsidR="008E7846" w:rsidRPr="00792A32" w:rsidRDefault="00456765" w:rsidP="008E7846">
      <w:pPr>
        <w:pStyle w:val="Heading2"/>
      </w:pPr>
      <w:bookmarkStart w:id="28" w:name="_Toc196046504"/>
      <w:bookmarkStart w:id="29" w:name="_Toc247691527"/>
      <w:bookmarkStart w:id="30" w:name="_Toc314842510"/>
      <w:bookmarkStart w:id="31" w:name="_Toc163441390"/>
      <w:bookmarkStart w:id="32" w:name="_Toc52188112"/>
      <w:bookmarkEnd w:id="24"/>
      <w:bookmarkEnd w:id="25"/>
      <w:bookmarkEnd w:id="1"/>
      <w:r>
        <w:lastRenderedPageBreak/>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2"/>
    </w:p>
    <w:p w14:paraId="17AC3E4C" w14:textId="77777777" w:rsidR="00006FAB" w:rsidRDefault="00006FAB" w:rsidP="00006FAB">
      <w:bookmarkStart w:id="33" w:name="_Toc247691528"/>
      <w:r>
        <w:t>The submission was summarised in the following Delegate’s overview and recommendations.</w:t>
      </w:r>
    </w:p>
    <w:p w14:paraId="45DE9AB0" w14:textId="77777777" w:rsidR="008E7846" w:rsidRDefault="008E7846" w:rsidP="008E7846">
      <w:pPr>
        <w:pStyle w:val="Heading3"/>
      </w:pPr>
      <w:bookmarkStart w:id="34" w:name="_Toc314842511"/>
      <w:bookmarkStart w:id="35" w:name="_Toc52188113"/>
      <w:r>
        <w:t>Quality</w:t>
      </w:r>
      <w:bookmarkEnd w:id="33"/>
      <w:bookmarkEnd w:id="34"/>
      <w:bookmarkEnd w:id="35"/>
    </w:p>
    <w:p w14:paraId="07E12ACE" w14:textId="689CF5F1" w:rsidR="00485C56" w:rsidRDefault="00485C56" w:rsidP="00485C56">
      <w:proofErr w:type="spellStart"/>
      <w:r>
        <w:t>F</w:t>
      </w:r>
      <w:r w:rsidRPr="00B82013">
        <w:t>osnetupitant</w:t>
      </w:r>
      <w:proofErr w:type="spellEnd"/>
      <w:r>
        <w:t xml:space="preserve"> (structure </w:t>
      </w:r>
      <w:r w:rsidR="0056590B">
        <w:t xml:space="preserve">shown </w:t>
      </w:r>
      <w:r>
        <w:t>below</w:t>
      </w:r>
      <w:r w:rsidR="005A560D">
        <w:t xml:space="preserve"> </w:t>
      </w:r>
      <w:r w:rsidR="0056590B">
        <w:t>(left)</w:t>
      </w:r>
      <w:r w:rsidR="005A560D">
        <w:t xml:space="preserve"> </w:t>
      </w:r>
      <w:r w:rsidR="005A560D">
        <w:fldChar w:fldCharType="begin"/>
      </w:r>
      <w:r w:rsidR="005A560D">
        <w:instrText xml:space="preserve"> REF _Ref48231907 \h </w:instrText>
      </w:r>
      <w:r w:rsidR="005A560D">
        <w:fldChar w:fldCharType="separate"/>
      </w:r>
      <w:r w:rsidR="004A5B00">
        <w:t xml:space="preserve">Figure </w:t>
      </w:r>
      <w:r w:rsidR="004A5B00">
        <w:rPr>
          <w:noProof/>
        </w:rPr>
        <w:t>1</w:t>
      </w:r>
      <w:r w:rsidR="005A560D">
        <w:fldChar w:fldCharType="end"/>
      </w:r>
      <w:r>
        <w:t xml:space="preserve">) is a water-soluble phosphorylated pro-drug of </w:t>
      </w:r>
      <w:proofErr w:type="spellStart"/>
      <w:r>
        <w:t>netupitant</w:t>
      </w:r>
      <w:proofErr w:type="spellEnd"/>
      <w:r>
        <w:t xml:space="preserve"> that rapidly converts to </w:t>
      </w:r>
      <w:proofErr w:type="spellStart"/>
      <w:r>
        <w:t>netupitant</w:t>
      </w:r>
      <w:proofErr w:type="spellEnd"/>
      <w:r>
        <w:t xml:space="preserve"> </w:t>
      </w:r>
      <w:r w:rsidRPr="005A560D">
        <w:rPr>
          <w:i/>
        </w:rPr>
        <w:t>in vivo</w:t>
      </w:r>
      <w:r>
        <w:t xml:space="preserve"> following </w:t>
      </w:r>
      <w:r w:rsidR="005A560D">
        <w:t>IV</w:t>
      </w:r>
      <w:r>
        <w:t xml:space="preserve"> administratio</w:t>
      </w:r>
      <w:r w:rsidRPr="005D0CB6">
        <w:t xml:space="preserve">n, the pharmacology of </w:t>
      </w:r>
      <w:proofErr w:type="spellStart"/>
      <w:r w:rsidRPr="005D0CB6">
        <w:t>fosnetupitant</w:t>
      </w:r>
      <w:proofErr w:type="spellEnd"/>
      <w:r w:rsidRPr="005D0CB6">
        <w:t xml:space="preserve"> is attributable to</w:t>
      </w:r>
      <w:r w:rsidR="0056590B">
        <w:t xml:space="preserve"> the active moiety</w:t>
      </w:r>
      <w:r w:rsidRPr="005D0CB6">
        <w:t xml:space="preserve"> </w:t>
      </w:r>
      <w:proofErr w:type="spellStart"/>
      <w:r w:rsidRPr="005D0CB6">
        <w:t>netupitant</w:t>
      </w:r>
      <w:proofErr w:type="spellEnd"/>
      <w:r w:rsidR="0083125A">
        <w:t xml:space="preserve"> (structure shown </w:t>
      </w:r>
      <w:r w:rsidR="0056590B">
        <w:t xml:space="preserve">below (right) </w:t>
      </w:r>
      <w:r w:rsidR="0083125A">
        <w:t xml:space="preserve">in </w:t>
      </w:r>
      <w:r w:rsidR="005A560D">
        <w:fldChar w:fldCharType="begin"/>
      </w:r>
      <w:r w:rsidR="005A560D">
        <w:instrText xml:space="preserve"> REF _Ref48231907 \h </w:instrText>
      </w:r>
      <w:r w:rsidR="005A560D">
        <w:fldChar w:fldCharType="separate"/>
      </w:r>
      <w:r w:rsidR="004A5B00">
        <w:t xml:space="preserve">Figure </w:t>
      </w:r>
      <w:r w:rsidR="004A5B00">
        <w:rPr>
          <w:noProof/>
        </w:rPr>
        <w:t>1</w:t>
      </w:r>
      <w:r w:rsidR="005A560D">
        <w:fldChar w:fldCharType="end"/>
      </w:r>
      <w:r w:rsidR="005A560D">
        <w:t xml:space="preserve">). </w:t>
      </w:r>
      <w:proofErr w:type="spellStart"/>
      <w:r w:rsidRPr="005D0CB6">
        <w:t>Fosnetupitant</w:t>
      </w:r>
      <w:proofErr w:type="spellEnd"/>
      <w:r w:rsidRPr="005D0CB6">
        <w:t xml:space="preserve"> chloride hyd</w:t>
      </w:r>
      <w:r>
        <w:t>rochlor</w:t>
      </w:r>
      <w:r w:rsidR="005A560D">
        <w:t>ide exists as a single isomer.</w:t>
      </w:r>
    </w:p>
    <w:p w14:paraId="6433E4A5" w14:textId="70B362E0" w:rsidR="0083125A" w:rsidRDefault="0083125A" w:rsidP="005A560D">
      <w:pPr>
        <w:pStyle w:val="FigureTitle"/>
      </w:pPr>
      <w:bookmarkStart w:id="36" w:name="_Ref48231907"/>
      <w:r>
        <w:t xml:space="preserve">Figure </w:t>
      </w:r>
      <w:fldSimple w:instr=" SEQ Figure \* ARABIC ">
        <w:r w:rsidR="004A5B00">
          <w:rPr>
            <w:noProof/>
          </w:rPr>
          <w:t>1</w:t>
        </w:r>
      </w:fldSimple>
      <w:bookmarkEnd w:id="36"/>
      <w:r>
        <w:t xml:space="preserve">: Structures of </w:t>
      </w:r>
      <w:proofErr w:type="spellStart"/>
      <w:r w:rsidR="005A560D">
        <w:t>f</w:t>
      </w:r>
      <w:r w:rsidRPr="0083125A">
        <w:t>osnetupitant</w:t>
      </w:r>
      <w:proofErr w:type="spellEnd"/>
      <w:r w:rsidRPr="0083125A">
        <w:t xml:space="preserve"> chloride hydrochloride</w:t>
      </w:r>
      <w:r>
        <w:t xml:space="preserve"> and </w:t>
      </w:r>
      <w:proofErr w:type="spellStart"/>
      <w:r>
        <w:t>netupitant</w:t>
      </w:r>
      <w:proofErr w:type="spellEnd"/>
    </w:p>
    <w:p w14:paraId="35D7768B" w14:textId="77777777" w:rsidR="0083125A" w:rsidRPr="0083125A" w:rsidRDefault="0083125A" w:rsidP="0083125A">
      <w:r>
        <w:rPr>
          <w:noProof/>
          <w:lang w:eastAsia="en-AU"/>
        </w:rPr>
        <w:drawing>
          <wp:inline distT="0" distB="0" distL="0" distR="0" wp14:anchorId="2DDCE6F9" wp14:editId="0E95B8D3">
            <wp:extent cx="5400040" cy="1758950"/>
            <wp:effectExtent l="0" t="0" r="0" b="0"/>
            <wp:docPr id="7" name="Picture 7" descr="Structures of fosnetupitant chloride hydrochloride and netup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758950"/>
                    </a:xfrm>
                    <a:prstGeom prst="rect">
                      <a:avLst/>
                    </a:prstGeom>
                  </pic:spPr>
                </pic:pic>
              </a:graphicData>
            </a:graphic>
          </wp:inline>
        </w:drawing>
      </w:r>
    </w:p>
    <w:p w14:paraId="25EB7BDA" w14:textId="112B3885" w:rsidR="00EA1EF3" w:rsidRDefault="00EA1EF3" w:rsidP="00EA1EF3">
      <w:proofErr w:type="spellStart"/>
      <w:r w:rsidRPr="0079744F">
        <w:t>Palonosetron</w:t>
      </w:r>
      <w:proofErr w:type="spellEnd"/>
      <w:r w:rsidRPr="0079744F">
        <w:t xml:space="preserve"> is a selective 5-HT</w:t>
      </w:r>
      <w:r w:rsidRPr="0079744F">
        <w:rPr>
          <w:vertAlign w:val="subscript"/>
        </w:rPr>
        <w:t>3</w:t>
      </w:r>
      <w:r w:rsidRPr="0079744F">
        <w:t xml:space="preserve"> receptor antagonist with a strong bind</w:t>
      </w:r>
      <w:r w:rsidR="005A560D">
        <w:t xml:space="preserve">ing affinity for this receptor, and </w:t>
      </w:r>
      <w:r w:rsidRPr="0079744F">
        <w:t>ha</w:t>
      </w:r>
      <w:r w:rsidR="005A560D">
        <w:t>s t</w:t>
      </w:r>
      <w:r w:rsidR="00B80FB5">
        <w:t xml:space="preserve">he chemical structure shown below in </w:t>
      </w:r>
      <w:r w:rsidR="00B80FB5">
        <w:fldChar w:fldCharType="begin"/>
      </w:r>
      <w:r w:rsidR="00B80FB5">
        <w:instrText xml:space="preserve"> REF _Ref48232777 \h </w:instrText>
      </w:r>
      <w:r w:rsidR="00B80FB5">
        <w:fldChar w:fldCharType="separate"/>
      </w:r>
      <w:r w:rsidR="004A5B00">
        <w:t xml:space="preserve">Figure </w:t>
      </w:r>
      <w:r w:rsidR="004A5B00">
        <w:rPr>
          <w:noProof/>
        </w:rPr>
        <w:t>2</w:t>
      </w:r>
      <w:r w:rsidR="00B80FB5">
        <w:fldChar w:fldCharType="end"/>
      </w:r>
      <w:r w:rsidR="00B80FB5">
        <w:t>.</w:t>
      </w:r>
    </w:p>
    <w:p w14:paraId="55FB2D5D" w14:textId="0A72DFB2" w:rsidR="00B80FB5" w:rsidRPr="005A560D" w:rsidRDefault="00B80FB5" w:rsidP="00B80FB5">
      <w:pPr>
        <w:pStyle w:val="FigureTitle"/>
      </w:pPr>
      <w:bookmarkStart w:id="37" w:name="_Ref48232777"/>
      <w:r>
        <w:t xml:space="preserve">Figure </w:t>
      </w:r>
      <w:fldSimple w:instr=" SEQ Figure \* ARABIC ">
        <w:r w:rsidR="004A5B00">
          <w:rPr>
            <w:noProof/>
          </w:rPr>
          <w:t>2</w:t>
        </w:r>
      </w:fldSimple>
      <w:bookmarkEnd w:id="37"/>
      <w:r>
        <w:t xml:space="preserve">: Structure of </w:t>
      </w:r>
      <w:proofErr w:type="spellStart"/>
      <w:r>
        <w:t>p</w:t>
      </w:r>
      <w:r w:rsidRPr="0079744F">
        <w:t>alonosetron</w:t>
      </w:r>
      <w:proofErr w:type="spellEnd"/>
      <w:r w:rsidRPr="0079744F">
        <w:t xml:space="preserve"> hydrochloride</w:t>
      </w:r>
    </w:p>
    <w:p w14:paraId="20083A74" w14:textId="77777777" w:rsidR="00EA1EF3" w:rsidRPr="0079744F" w:rsidRDefault="00EA1EF3" w:rsidP="00B80FB5">
      <w:r>
        <w:rPr>
          <w:noProof/>
          <w:lang w:eastAsia="en-AU"/>
        </w:rPr>
        <w:drawing>
          <wp:inline distT="0" distB="0" distL="0" distR="0" wp14:anchorId="20E02C61" wp14:editId="531341C8">
            <wp:extent cx="2220686" cy="1540884"/>
            <wp:effectExtent l="0" t="0" r="8255" b="2540"/>
            <wp:docPr id="11" name="Picture 11" descr="Structure of palonosetron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2072" cy="1562662"/>
                    </a:xfrm>
                    <a:prstGeom prst="rect">
                      <a:avLst/>
                    </a:prstGeom>
                  </pic:spPr>
                </pic:pic>
              </a:graphicData>
            </a:graphic>
          </wp:inline>
        </w:drawing>
      </w:r>
    </w:p>
    <w:p w14:paraId="76B73CAB" w14:textId="77777777" w:rsidR="00485C56" w:rsidRDefault="00EA1EF3" w:rsidP="00006FAB">
      <w:r w:rsidRPr="0079744F">
        <w:t>The proposed product is for administration by IV infusion f</w:t>
      </w:r>
      <w:r w:rsidR="00B80FB5">
        <w:t>ollowing reconstitution with 20 </w:t>
      </w:r>
      <w:r w:rsidRPr="0079744F">
        <w:t>mL of either 5% glucose solution for injection or 0.9% sodium chloride solution for injection and</w:t>
      </w:r>
      <w:r w:rsidRPr="00874251">
        <w:t xml:space="preserve"> further dilution with 30 mL of either 5% glucose solution for injection or 0.9% sodium chloride solution for injection in an infusion vial or bag.</w:t>
      </w:r>
    </w:p>
    <w:p w14:paraId="6E9F65BA" w14:textId="77777777" w:rsidR="00E45619" w:rsidRDefault="00485C56" w:rsidP="00006FAB">
      <w:r>
        <w:t>There are no outstanding issues from the microbiological, pharmaceutical chemistry and quality evaluations.</w:t>
      </w:r>
    </w:p>
    <w:p w14:paraId="740E8947" w14:textId="77777777" w:rsidR="008E7846" w:rsidRDefault="008E7846" w:rsidP="008E7846">
      <w:pPr>
        <w:pStyle w:val="Heading3"/>
      </w:pPr>
      <w:bookmarkStart w:id="38" w:name="_Toc314842512"/>
      <w:bookmarkStart w:id="39" w:name="_Toc52188114"/>
      <w:r>
        <w:t>Nonclinical</w:t>
      </w:r>
      <w:bookmarkEnd w:id="38"/>
      <w:bookmarkEnd w:id="39"/>
    </w:p>
    <w:p w14:paraId="6CB55A9B" w14:textId="77777777" w:rsidR="00EA1EF3" w:rsidRDefault="00EA1EF3" w:rsidP="00006FAB">
      <w:r>
        <w:t>The following conclusions and recommendations were summarised in the nonclinical evaluation:</w:t>
      </w:r>
    </w:p>
    <w:p w14:paraId="0461E938" w14:textId="77777777" w:rsidR="00EA1EF3" w:rsidRDefault="00E7309B" w:rsidP="00E7309B">
      <w:pPr>
        <w:pStyle w:val="ListBullet"/>
      </w:pPr>
      <w:r>
        <w:t>The nonclinical dossier</w:t>
      </w:r>
      <w:r w:rsidR="00EA1EF3">
        <w:t xml:space="preserve"> contained studies with </w:t>
      </w:r>
      <w:proofErr w:type="spellStart"/>
      <w:r w:rsidR="00EA1EF3">
        <w:t>fosnetupitant</w:t>
      </w:r>
      <w:proofErr w:type="spellEnd"/>
      <w:r w:rsidR="00EA1EF3">
        <w:t xml:space="preserve"> and with </w:t>
      </w:r>
      <w:proofErr w:type="spellStart"/>
      <w:r w:rsidR="00EA1EF3">
        <w:t>fosnetupitant</w:t>
      </w:r>
      <w:proofErr w:type="spellEnd"/>
      <w:r w:rsidR="00EA1EF3">
        <w:t xml:space="preserve"> and </w:t>
      </w:r>
      <w:proofErr w:type="spellStart"/>
      <w:r w:rsidR="00EA1EF3">
        <w:t>palonosetron</w:t>
      </w:r>
      <w:proofErr w:type="spellEnd"/>
      <w:r w:rsidR="00EA1EF3">
        <w:t xml:space="preserve"> in combination, as well as previously evaluated data for </w:t>
      </w:r>
      <w:proofErr w:type="spellStart"/>
      <w:r w:rsidR="00EA1EF3">
        <w:t>netupitant</w:t>
      </w:r>
      <w:proofErr w:type="spellEnd"/>
      <w:r w:rsidR="00EA1EF3">
        <w:t xml:space="preserve"> </w:t>
      </w:r>
      <w:r w:rsidR="00EA1EF3">
        <w:lastRenderedPageBreak/>
        <w:t xml:space="preserve">as a single agent. </w:t>
      </w:r>
      <w:r>
        <w:t>Nonclinical</w:t>
      </w:r>
      <w:r w:rsidR="00EA1EF3">
        <w:t xml:space="preserve"> data are consistent with the relevant </w:t>
      </w:r>
      <w:r w:rsidR="00735506">
        <w:t xml:space="preserve">TGA-adopted </w:t>
      </w:r>
      <w:r w:rsidR="00EA1EF3">
        <w:t>guideline,</w:t>
      </w:r>
      <w:r w:rsidR="00B80FB5">
        <w:rPr>
          <w:rStyle w:val="FootnoteReference"/>
        </w:rPr>
        <w:footnoteReference w:id="7"/>
      </w:r>
      <w:r w:rsidR="00EA1EF3">
        <w:t xml:space="preserve"> and all pivotal safety related studies </w:t>
      </w:r>
      <w:r w:rsidR="004F4279">
        <w:t xml:space="preserve">were </w:t>
      </w:r>
      <w:r w:rsidR="00B80FB5">
        <w:t>Good Laboratory Practice (</w:t>
      </w:r>
      <w:r w:rsidR="00EA1EF3">
        <w:t>GLP</w:t>
      </w:r>
      <w:r w:rsidR="00B80FB5">
        <w:t>)</w:t>
      </w:r>
      <w:r w:rsidR="00EA1EF3">
        <w:t xml:space="preserve"> compliant.</w:t>
      </w:r>
    </w:p>
    <w:p w14:paraId="3B3CB507" w14:textId="60B05B29" w:rsidR="00EA1EF3" w:rsidRDefault="00EA1EF3" w:rsidP="009F38A0">
      <w:pPr>
        <w:pStyle w:val="ListBullet"/>
      </w:pPr>
      <w:r>
        <w:t xml:space="preserve">No animal studies were submitted to support the efficacy of the proposed combination. Primary pharmacodynamic studies with </w:t>
      </w:r>
      <w:proofErr w:type="spellStart"/>
      <w:r>
        <w:t>fosnetupitant</w:t>
      </w:r>
      <w:proofErr w:type="spellEnd"/>
      <w:r>
        <w:t xml:space="preserve"> established affinity for recombinant human NK</w:t>
      </w:r>
      <w:r w:rsidRPr="00CB62EC">
        <w:rPr>
          <w:vertAlign w:val="subscript"/>
        </w:rPr>
        <w:t>1</w:t>
      </w:r>
      <w:r>
        <w:t xml:space="preserve"> (hNK</w:t>
      </w:r>
      <w:r w:rsidRPr="00CB62EC">
        <w:rPr>
          <w:vertAlign w:val="subscript"/>
        </w:rPr>
        <w:t>1</w:t>
      </w:r>
      <w:r>
        <w:t>)</w:t>
      </w:r>
      <w:r w:rsidR="009F38A0">
        <w:t xml:space="preserve"> receptors</w:t>
      </w:r>
      <w:r>
        <w:t xml:space="preserve"> (</w:t>
      </w:r>
      <w:r w:rsidR="00B80FB5">
        <w:t>half maximal inhibitory concentration (</w:t>
      </w:r>
      <w:r>
        <w:t>IC</w:t>
      </w:r>
      <w:r w:rsidRPr="00B80FB5">
        <w:rPr>
          <w:vertAlign w:val="subscript"/>
        </w:rPr>
        <w:t>50</w:t>
      </w:r>
      <w:r w:rsidR="00B80FB5">
        <w:t>)</w:t>
      </w:r>
      <w:r>
        <w:t xml:space="preserve"> &lt;</w:t>
      </w:r>
      <w:r w:rsidR="00FB7462">
        <w:t xml:space="preserve"> </w:t>
      </w:r>
      <w:r>
        <w:t xml:space="preserve">0.28 </w:t>
      </w:r>
      <w:proofErr w:type="spellStart"/>
      <w:r>
        <w:t>nM</w:t>
      </w:r>
      <w:proofErr w:type="spellEnd"/>
      <w:r>
        <w:t xml:space="preserve">), </w:t>
      </w:r>
      <w:r w:rsidR="009F38A0">
        <w:t xml:space="preserve">human neurokinin </w:t>
      </w:r>
      <w:r w:rsidR="009F38A0" w:rsidRPr="009F38A0">
        <w:t>3</w:t>
      </w:r>
      <w:r w:rsidR="009F38A0">
        <w:t xml:space="preserve"> (</w:t>
      </w:r>
      <w:r>
        <w:t>hNK</w:t>
      </w:r>
      <w:r w:rsidRPr="00CB62EC">
        <w:rPr>
          <w:vertAlign w:val="subscript"/>
        </w:rPr>
        <w:t>3</w:t>
      </w:r>
      <w:r w:rsidR="009F38A0">
        <w:t>)</w:t>
      </w:r>
      <w:r w:rsidR="0056590B">
        <w:t xml:space="preserve"> </w:t>
      </w:r>
      <w:r>
        <w:t>antagonist and agonist ligands (IC</w:t>
      </w:r>
      <w:r w:rsidRPr="009F38A0">
        <w:rPr>
          <w:vertAlign w:val="subscript"/>
        </w:rPr>
        <w:t>50</w:t>
      </w:r>
      <w:r>
        <w:t xml:space="preserve"> = 0.58 and 0.42 </w:t>
      </w:r>
      <w:proofErr w:type="spellStart"/>
      <w:r>
        <w:t>μM</w:t>
      </w:r>
      <w:proofErr w:type="spellEnd"/>
      <w:r>
        <w:t xml:space="preserve">, respectively), </w:t>
      </w:r>
      <w:r w:rsidR="009F38A0">
        <w:t>human serotonin subtype 6 (h5-</w:t>
      </w:r>
      <w:r>
        <w:t>HT</w:t>
      </w:r>
      <w:r w:rsidRPr="009F38A0">
        <w:rPr>
          <w:vertAlign w:val="subscript"/>
        </w:rPr>
        <w:t>6</w:t>
      </w:r>
      <w:r w:rsidR="009F38A0">
        <w:t>)</w:t>
      </w:r>
      <w:r>
        <w:t xml:space="preserve"> antagonist (IC</w:t>
      </w:r>
      <w:r w:rsidRPr="009F38A0">
        <w:rPr>
          <w:vertAlign w:val="subscript"/>
        </w:rPr>
        <w:t>50</w:t>
      </w:r>
      <w:r>
        <w:t xml:space="preserve"> = 6.3 </w:t>
      </w:r>
      <w:proofErr w:type="spellStart"/>
      <w:r>
        <w:t>μM</w:t>
      </w:r>
      <w:proofErr w:type="spellEnd"/>
      <w:r>
        <w:t>), Ca</w:t>
      </w:r>
      <w:r w:rsidRPr="009F38A0">
        <w:rPr>
          <w:vertAlign w:val="superscript"/>
        </w:rPr>
        <w:t>2+</w:t>
      </w:r>
      <w:r>
        <w:t xml:space="preserve"> channel (diltiazem site) antagonist (IC</w:t>
      </w:r>
      <w:r w:rsidRPr="009F38A0">
        <w:rPr>
          <w:vertAlign w:val="subscript"/>
        </w:rPr>
        <w:t>50</w:t>
      </w:r>
      <w:r>
        <w:t xml:space="preserve"> = 2 </w:t>
      </w:r>
      <w:proofErr w:type="spellStart"/>
      <w:r>
        <w:t>μM</w:t>
      </w:r>
      <w:proofErr w:type="spellEnd"/>
      <w:r>
        <w:t>), and Ca</w:t>
      </w:r>
      <w:r w:rsidRPr="009F38A0">
        <w:rPr>
          <w:vertAlign w:val="superscript"/>
        </w:rPr>
        <w:t>2+</w:t>
      </w:r>
      <w:r>
        <w:t xml:space="preserve"> channel (verapamil site) antagonist (IC</w:t>
      </w:r>
      <w:r w:rsidRPr="00903743">
        <w:rPr>
          <w:vertAlign w:val="subscript"/>
        </w:rPr>
        <w:t>50</w:t>
      </w:r>
      <w:r>
        <w:t xml:space="preserve"> = 5.4 </w:t>
      </w:r>
      <w:proofErr w:type="spellStart"/>
      <w:r>
        <w:t>μM</w:t>
      </w:r>
      <w:proofErr w:type="spellEnd"/>
      <w:r>
        <w:t xml:space="preserve">), similar to the activities of </w:t>
      </w:r>
      <w:proofErr w:type="spellStart"/>
      <w:r>
        <w:t>netupitant</w:t>
      </w:r>
      <w:proofErr w:type="spellEnd"/>
      <w:r>
        <w:t xml:space="preserve">. </w:t>
      </w:r>
      <w:proofErr w:type="spellStart"/>
      <w:r>
        <w:t>Fosnetupitant</w:t>
      </w:r>
      <w:proofErr w:type="spellEnd"/>
      <w:r>
        <w:t xml:space="preserve"> was more potent t</w:t>
      </w:r>
      <w:r w:rsidR="00903743">
        <w:t xml:space="preserve">han </w:t>
      </w:r>
      <w:proofErr w:type="spellStart"/>
      <w:r w:rsidR="00903743">
        <w:t>netupitant</w:t>
      </w:r>
      <w:proofErr w:type="spellEnd"/>
      <w:r w:rsidR="00903743">
        <w:t xml:space="preserve"> in shifting the s</w:t>
      </w:r>
      <w:r>
        <w:t>ubstance P re</w:t>
      </w:r>
      <w:r w:rsidR="00903743">
        <w:t>sponse to the right (</w:t>
      </w:r>
      <w:proofErr w:type="spellStart"/>
      <w:r w:rsidR="00903743">
        <w:t>pKB</w:t>
      </w:r>
      <w:proofErr w:type="spellEnd"/>
      <w:r w:rsidR="001D16FD">
        <w:t>;</w:t>
      </w:r>
      <w:r w:rsidR="001D16FD">
        <w:rPr>
          <w:rStyle w:val="FootnoteReference"/>
        </w:rPr>
        <w:footnoteReference w:id="8"/>
      </w:r>
      <w:r w:rsidR="00903743">
        <w:t xml:space="preserve"> 8.72 versus</w:t>
      </w:r>
      <w:r>
        <w:t xml:space="preserve"> 7.54, respectively) in </w:t>
      </w:r>
      <w:r w:rsidR="00903743">
        <w:t xml:space="preserve">Chinese </w:t>
      </w:r>
      <w:r w:rsidR="0056590B">
        <w:t>h</w:t>
      </w:r>
      <w:r w:rsidR="00903743">
        <w:t xml:space="preserve">amster </w:t>
      </w:r>
      <w:r w:rsidR="0056590B">
        <w:t>o</w:t>
      </w:r>
      <w:r w:rsidR="00903743">
        <w:t>vary (</w:t>
      </w:r>
      <w:r>
        <w:t>CHO</w:t>
      </w:r>
      <w:r w:rsidR="00903743">
        <w:t>)</w:t>
      </w:r>
      <w:r>
        <w:t xml:space="preserve"> cells expressing</w:t>
      </w:r>
      <w:r w:rsidR="00903743">
        <w:t xml:space="preserve"> hNK</w:t>
      </w:r>
      <w:r w:rsidR="00903743" w:rsidRPr="00CB62EC">
        <w:rPr>
          <w:vertAlign w:val="subscript"/>
        </w:rPr>
        <w:t>1</w:t>
      </w:r>
      <w:r w:rsidR="00903743">
        <w:t xml:space="preserve">. </w:t>
      </w:r>
      <w:proofErr w:type="spellStart"/>
      <w:r w:rsidR="00903743">
        <w:t>Fosnetupitant</w:t>
      </w:r>
      <w:proofErr w:type="spellEnd"/>
      <w:r w:rsidR="00903743">
        <w:t xml:space="preserve"> inhibited s</w:t>
      </w:r>
      <w:r>
        <w:t>ubstance P induced contraction of the gui</w:t>
      </w:r>
      <w:r w:rsidR="00903743">
        <w:t>nea pig ilium and inhibited of s</w:t>
      </w:r>
      <w:r>
        <w:t xml:space="preserve">ubstance P induced nociceptive behaviour in mice displaying similar potency to </w:t>
      </w:r>
      <w:proofErr w:type="spellStart"/>
      <w:r>
        <w:t>netupitant</w:t>
      </w:r>
      <w:proofErr w:type="spellEnd"/>
      <w:r>
        <w:t>.</w:t>
      </w:r>
    </w:p>
    <w:p w14:paraId="22F9A36A" w14:textId="31E73106" w:rsidR="00EA1EF3" w:rsidRDefault="00EA1EF3" w:rsidP="00FB7462">
      <w:pPr>
        <w:pStyle w:val="ListBullet"/>
      </w:pPr>
      <w:proofErr w:type="spellStart"/>
      <w:r>
        <w:t>Fosnetupitant</w:t>
      </w:r>
      <w:proofErr w:type="spellEnd"/>
      <w:r>
        <w:t xml:space="preserve"> did not have any notable effects on </w:t>
      </w:r>
      <w:r w:rsidR="00FB7462">
        <w:t>central nervous system (</w:t>
      </w:r>
      <w:r>
        <w:t>CNS</w:t>
      </w:r>
      <w:r w:rsidR="00FB7462">
        <w:t>)</w:t>
      </w:r>
      <w:r>
        <w:t xml:space="preserve"> or respiratory function following IV administration and did not produce any </w:t>
      </w:r>
      <w:proofErr w:type="spellStart"/>
      <w:r>
        <w:t>proconvulsant</w:t>
      </w:r>
      <w:proofErr w:type="spellEnd"/>
      <w:r>
        <w:t xml:space="preserve"> or anticonvulsant activity. </w:t>
      </w:r>
      <w:proofErr w:type="spellStart"/>
      <w:r>
        <w:t>Fosnetupitant</w:t>
      </w:r>
      <w:proofErr w:type="spellEnd"/>
      <w:r>
        <w:t xml:space="preserve"> at up to 30 </w:t>
      </w:r>
      <w:proofErr w:type="spellStart"/>
      <w:r>
        <w:t>μM</w:t>
      </w:r>
      <w:proofErr w:type="spellEnd"/>
      <w:r>
        <w:t xml:space="preserve"> had negligible effects on the </w:t>
      </w:r>
      <w:r w:rsidR="00FB7462" w:rsidRPr="00FB7462">
        <w:t xml:space="preserve">human ether-a-go-go-related gene </w:t>
      </w:r>
      <w:r w:rsidR="00FB7462">
        <w:t>(</w:t>
      </w:r>
      <w:proofErr w:type="spellStart"/>
      <w:r>
        <w:t>hERG</w:t>
      </w:r>
      <w:proofErr w:type="spellEnd"/>
      <w:r w:rsidR="00FB7462">
        <w:t>)</w:t>
      </w:r>
      <w:r>
        <w:t xml:space="preserve"> channel </w:t>
      </w:r>
      <w:r w:rsidRPr="00FB7462">
        <w:rPr>
          <w:i/>
        </w:rPr>
        <w:t>in vitro</w:t>
      </w:r>
      <w:r>
        <w:t xml:space="preserve">. Cardiovascular parameters including heart rate, blood pressure and </w:t>
      </w:r>
      <w:r w:rsidR="00FB7462" w:rsidRPr="00FB7462">
        <w:t xml:space="preserve">electrocardiogram </w:t>
      </w:r>
      <w:r w:rsidR="00FB7462">
        <w:t>(</w:t>
      </w:r>
      <w:r>
        <w:t>ECG</w:t>
      </w:r>
      <w:r w:rsidR="00FB7462">
        <w:t>)</w:t>
      </w:r>
      <w:r>
        <w:t xml:space="preserve"> were unaffected by </w:t>
      </w:r>
      <w:proofErr w:type="spellStart"/>
      <w:r>
        <w:t>fosnetupitant</w:t>
      </w:r>
      <w:proofErr w:type="spellEnd"/>
      <w:r>
        <w:t xml:space="preserve"> in dogs at doses up to 13.16 mg/kg/day. In studies conducted with the combination</w:t>
      </w:r>
      <w:r w:rsidR="001D16FD">
        <w:t xml:space="preserve"> in dogs, changes </w:t>
      </w:r>
      <w:r w:rsidR="006273D5">
        <w:t xml:space="preserve">in </w:t>
      </w:r>
      <w:proofErr w:type="spellStart"/>
      <w:r w:rsidR="006273D5">
        <w:t>atrio</w:t>
      </w:r>
      <w:proofErr w:type="spellEnd"/>
      <w:r w:rsidR="006273D5">
        <w:t xml:space="preserve"> </w:t>
      </w:r>
      <w:r>
        <w:t xml:space="preserve">ventricular conduction, ventricular depolarisation and repolarisation (increases in PR, PQ, </w:t>
      </w:r>
      <w:proofErr w:type="spellStart"/>
      <w:r>
        <w:t>QTc</w:t>
      </w:r>
      <w:proofErr w:type="spellEnd"/>
      <w:r>
        <w:t xml:space="preserve"> interval</w:t>
      </w:r>
      <w:r w:rsidR="0074577F">
        <w:t>;</w:t>
      </w:r>
      <w:r w:rsidR="0074577F">
        <w:rPr>
          <w:rStyle w:val="FootnoteReference"/>
        </w:rPr>
        <w:footnoteReference w:id="9"/>
      </w:r>
      <w:r>
        <w:t xml:space="preserve"> and QRS duration) were observed at </w:t>
      </w:r>
      <w:proofErr w:type="spellStart"/>
      <w:r>
        <w:t>fosnetupitant</w:t>
      </w:r>
      <w:proofErr w:type="spellEnd"/>
      <w:r>
        <w:t>/</w:t>
      </w:r>
      <w:proofErr w:type="spellStart"/>
      <w:r>
        <w:t>palnosetron</w:t>
      </w:r>
      <w:proofErr w:type="spellEnd"/>
      <w:r>
        <w:t xml:space="preserve"> doses of 13.2/6 mg/kg/day. Changes in QT and QRS complex were probably due to the main </w:t>
      </w:r>
      <w:proofErr w:type="spellStart"/>
      <w:r>
        <w:t>netupitant</w:t>
      </w:r>
      <w:proofErr w:type="spellEnd"/>
      <w:r>
        <w:t xml:space="preserve"> metabolite, M1</w:t>
      </w:r>
      <w:r w:rsidR="00FB7462">
        <w:t>,</w:t>
      </w:r>
      <w:r>
        <w:t xml:space="preserve"> with high concentrations of this metabolite detected in the plasma and heart tissue. Similarly, increased heart rate and prolonged </w:t>
      </w:r>
      <w:proofErr w:type="spellStart"/>
      <w:r>
        <w:t>QTc</w:t>
      </w:r>
      <w:proofErr w:type="spellEnd"/>
      <w:r>
        <w:t xml:space="preserve"> interval were observed in repeat dose toxicity studies in dogs following treatment with </w:t>
      </w:r>
      <w:proofErr w:type="spellStart"/>
      <w:r>
        <w:t>fosnetupitant</w:t>
      </w:r>
      <w:proofErr w:type="spellEnd"/>
      <w:r>
        <w:t xml:space="preserve"> in combination with </w:t>
      </w:r>
      <w:proofErr w:type="spellStart"/>
      <w:r>
        <w:t>palonosetron</w:t>
      </w:r>
      <w:proofErr w:type="spellEnd"/>
      <w:r>
        <w:t xml:space="preserve"> from doses of 3.95</w:t>
      </w:r>
      <w:r w:rsidR="0056590B">
        <w:t xml:space="preserve"> </w:t>
      </w:r>
      <w:r>
        <w:t>/</w:t>
      </w:r>
      <w:r w:rsidR="0056590B">
        <w:t xml:space="preserve"> </w:t>
      </w:r>
      <w:r>
        <w:t>3</w:t>
      </w:r>
      <w:r w:rsidR="0056590B">
        <w:t> </w:t>
      </w:r>
      <w:r>
        <w:t xml:space="preserve">mg/kg/day. </w:t>
      </w:r>
      <w:proofErr w:type="spellStart"/>
      <w:r>
        <w:t>Fosnetupitant</w:t>
      </w:r>
      <w:proofErr w:type="spellEnd"/>
      <w:r>
        <w:t xml:space="preserve"> and </w:t>
      </w:r>
      <w:proofErr w:type="spellStart"/>
      <w:r>
        <w:t>palonosetron</w:t>
      </w:r>
      <w:proofErr w:type="spellEnd"/>
      <w:r>
        <w:t xml:space="preserve"> may have additive effects on cardiac conduction.</w:t>
      </w:r>
    </w:p>
    <w:p w14:paraId="5DFED320" w14:textId="77777777" w:rsidR="00EA1EF3" w:rsidRDefault="00EA1EF3" w:rsidP="00E7309B">
      <w:pPr>
        <w:pStyle w:val="ListBullet"/>
      </w:pPr>
      <w:r>
        <w:t xml:space="preserve">Following IV administration, </w:t>
      </w:r>
      <w:proofErr w:type="spellStart"/>
      <w:r>
        <w:t>fosnetupitant</w:t>
      </w:r>
      <w:proofErr w:type="spellEnd"/>
      <w:r>
        <w:t xml:space="preserve"> is rapidly converted to </w:t>
      </w:r>
      <w:proofErr w:type="spellStart"/>
      <w:r>
        <w:t>netupitant</w:t>
      </w:r>
      <w:proofErr w:type="spellEnd"/>
      <w:r>
        <w:t xml:space="preserve"> in animal species and humans. Accumulation of </w:t>
      </w:r>
      <w:proofErr w:type="spellStart"/>
      <w:r>
        <w:t>fosnetupitant</w:t>
      </w:r>
      <w:proofErr w:type="spellEnd"/>
      <w:r>
        <w:t xml:space="preserve"> was not observed, however accumulation of </w:t>
      </w:r>
      <w:proofErr w:type="spellStart"/>
      <w:r>
        <w:t>netupitant</w:t>
      </w:r>
      <w:proofErr w:type="spellEnd"/>
      <w:r>
        <w:t xml:space="preserve"> and its metabolites was observed 14 and 28 days of treatment. Plasma protein binding by </w:t>
      </w:r>
      <w:proofErr w:type="spellStart"/>
      <w:r>
        <w:t>fosnetupitant</w:t>
      </w:r>
      <w:proofErr w:type="spellEnd"/>
      <w:r>
        <w:t xml:space="preserve"> was high in humans (92% at 1 </w:t>
      </w:r>
      <w:proofErr w:type="spellStart"/>
      <w:r>
        <w:t>μM</w:t>
      </w:r>
      <w:proofErr w:type="spellEnd"/>
      <w:r>
        <w:t xml:space="preserve"> and 95% at 10 </w:t>
      </w:r>
      <w:proofErr w:type="spellStart"/>
      <w:r>
        <w:t>μM</w:t>
      </w:r>
      <w:proofErr w:type="spellEnd"/>
      <w:r>
        <w:t xml:space="preserve">), but there were no protein binding data for animal species. Distribution of </w:t>
      </w:r>
      <w:proofErr w:type="spellStart"/>
      <w:r>
        <w:t>netupitant</w:t>
      </w:r>
      <w:proofErr w:type="spellEnd"/>
      <w:r>
        <w:t xml:space="preserve"> and metabolites, but not </w:t>
      </w:r>
      <w:proofErr w:type="spellStart"/>
      <w:r>
        <w:t>fosnetupitant</w:t>
      </w:r>
      <w:proofErr w:type="spellEnd"/>
      <w:r>
        <w:t xml:space="preserve">, to </w:t>
      </w:r>
      <w:r w:rsidR="0074577F">
        <w:t xml:space="preserve">the </w:t>
      </w:r>
      <w:r>
        <w:t xml:space="preserve">brain was evident in rats. The administered dose of </w:t>
      </w:r>
      <w:proofErr w:type="spellStart"/>
      <w:r>
        <w:t>fosnetupitant</w:t>
      </w:r>
      <w:proofErr w:type="spellEnd"/>
      <w:r>
        <w:t xml:space="preserve"> was almost quantitatively converted to </w:t>
      </w:r>
      <w:proofErr w:type="spellStart"/>
      <w:r>
        <w:t>netupitant</w:t>
      </w:r>
      <w:proofErr w:type="spellEnd"/>
      <w:r>
        <w:t xml:space="preserve"> which was then eliminated by biliary excretion and hepatic metabolism. There were no pharmacokinetic </w:t>
      </w:r>
      <w:r w:rsidR="0074577F">
        <w:t xml:space="preserve">(PK) </w:t>
      </w:r>
      <w:r>
        <w:t xml:space="preserve">interactions between </w:t>
      </w:r>
      <w:proofErr w:type="spellStart"/>
      <w:r>
        <w:t>palonosetron</w:t>
      </w:r>
      <w:proofErr w:type="spellEnd"/>
      <w:r>
        <w:t xml:space="preserve"> and </w:t>
      </w:r>
      <w:proofErr w:type="spellStart"/>
      <w:r>
        <w:t>fosnetupitant</w:t>
      </w:r>
      <w:proofErr w:type="spellEnd"/>
      <w:r>
        <w:t xml:space="preserve"> in animal species.</w:t>
      </w:r>
    </w:p>
    <w:p w14:paraId="13F6669E" w14:textId="77777777" w:rsidR="00EA1EF3" w:rsidRDefault="00EA1EF3" w:rsidP="004F4279">
      <w:pPr>
        <w:pStyle w:val="ListBullet"/>
      </w:pPr>
      <w:proofErr w:type="spellStart"/>
      <w:r>
        <w:t>Fosnetupitant</w:t>
      </w:r>
      <w:proofErr w:type="spellEnd"/>
      <w:r>
        <w:t xml:space="preserve"> was a moderate inhibitor of </w:t>
      </w:r>
      <w:r w:rsidR="0074577F">
        <w:t>c</w:t>
      </w:r>
      <w:r w:rsidR="0074577F" w:rsidRPr="0074577F">
        <w:t>y</w:t>
      </w:r>
      <w:r w:rsidR="0074577F">
        <w:t>tochrome P</w:t>
      </w:r>
      <w:r w:rsidR="0074577F" w:rsidRPr="0074577F">
        <w:t xml:space="preserve">450 </w:t>
      </w:r>
      <w:r w:rsidR="004F4279">
        <w:t>(</w:t>
      </w:r>
      <w:r>
        <w:t>CYP</w:t>
      </w:r>
      <w:r w:rsidR="004F4279">
        <w:t>)</w:t>
      </w:r>
      <w:r>
        <w:t xml:space="preserve">2C9, CYP2C19, CYP2C8 and transporters </w:t>
      </w:r>
      <w:r w:rsidR="004F4279">
        <w:t>o</w:t>
      </w:r>
      <w:r w:rsidR="004F4279" w:rsidRPr="004F4279">
        <w:t xml:space="preserve">rganic anion transporting polypeptides </w:t>
      </w:r>
      <w:r w:rsidR="004F4279">
        <w:t>(</w:t>
      </w:r>
      <w:r>
        <w:t>OATP</w:t>
      </w:r>
      <w:r w:rsidR="004F4279">
        <w:t>)</w:t>
      </w:r>
      <w:r>
        <w:t xml:space="preserve">1B3, </w:t>
      </w:r>
      <w:r>
        <w:lastRenderedPageBreak/>
        <w:t xml:space="preserve">OATP1B1, </w:t>
      </w:r>
      <w:r w:rsidR="004F4279">
        <w:t>m</w:t>
      </w:r>
      <w:r w:rsidR="004F4279" w:rsidRPr="004F4279">
        <w:t xml:space="preserve">ultidrug and toxin extrusion protein 1 </w:t>
      </w:r>
      <w:r w:rsidR="004F4279">
        <w:t>(</w:t>
      </w:r>
      <w:r>
        <w:t>MATE1</w:t>
      </w:r>
      <w:r w:rsidR="004F4279">
        <w:t>)</w:t>
      </w:r>
      <w:r>
        <w:t xml:space="preserve"> and </w:t>
      </w:r>
      <w:r w:rsidR="004F4279" w:rsidRPr="004F4279">
        <w:t>multi-drug resistance gene</w:t>
      </w:r>
      <w:r w:rsidR="004F4279">
        <w:t xml:space="preserve"> (</w:t>
      </w:r>
      <w:r>
        <w:t>MDR1</w:t>
      </w:r>
      <w:r w:rsidR="004F4279">
        <w:t>)</w:t>
      </w:r>
      <w:r>
        <w:t xml:space="preserve">. In addition, </w:t>
      </w:r>
      <w:proofErr w:type="spellStart"/>
      <w:r>
        <w:t>fosnetupitant</w:t>
      </w:r>
      <w:proofErr w:type="spellEnd"/>
      <w:r>
        <w:t xml:space="preserve"> was a substrate for OATP1B1 and OATP1B3. However, considering the low concentration of </w:t>
      </w:r>
      <w:proofErr w:type="spellStart"/>
      <w:r>
        <w:t>fosnetupitant</w:t>
      </w:r>
      <w:proofErr w:type="spellEnd"/>
      <w:r>
        <w:t xml:space="preserve"> in human plasma and the high plasma protein binding (92 95%), clinically relevant </w:t>
      </w:r>
      <w:r w:rsidR="004F4279">
        <w:t>PK</w:t>
      </w:r>
      <w:r>
        <w:t xml:space="preserve"> intera</w:t>
      </w:r>
      <w:r w:rsidR="004F4279">
        <w:t xml:space="preserve">ctions of </w:t>
      </w:r>
      <w:proofErr w:type="spellStart"/>
      <w:r w:rsidR="004F4279">
        <w:t>fosnetupitant</w:t>
      </w:r>
      <w:proofErr w:type="spellEnd"/>
      <w:r w:rsidR="004F4279">
        <w:t xml:space="preserve"> with co-</w:t>
      </w:r>
      <w:r>
        <w:t>administered drugs is considered unlikely.</w:t>
      </w:r>
    </w:p>
    <w:p w14:paraId="6ECB75C4" w14:textId="77777777" w:rsidR="00EA1EF3" w:rsidRDefault="00EA1EF3" w:rsidP="00E7309B">
      <w:pPr>
        <w:pStyle w:val="ListBullet"/>
      </w:pPr>
      <w:r>
        <w:t xml:space="preserve">Repeat dose studies in rats and dogs of 4 weeks duration with </w:t>
      </w:r>
      <w:proofErr w:type="spellStart"/>
      <w:r>
        <w:t>fosnetupitant</w:t>
      </w:r>
      <w:proofErr w:type="spellEnd"/>
      <w:r>
        <w:t xml:space="preserve"> alone did not identify any novel toxicity when compared to treatment with </w:t>
      </w:r>
      <w:proofErr w:type="spellStart"/>
      <w:r>
        <w:t>netupitant</w:t>
      </w:r>
      <w:proofErr w:type="spellEnd"/>
      <w:r>
        <w:t xml:space="preserve">. The major target organ identified was the liver, with increased liver weights observed at the high dose of 39.47 mg/kg/day in rats which resolved after the recovery period. This was associated with liver </w:t>
      </w:r>
      <w:proofErr w:type="spellStart"/>
      <w:r>
        <w:t>centrilobular</w:t>
      </w:r>
      <w:proofErr w:type="spellEnd"/>
      <w:r>
        <w:t xml:space="preserve"> hypertrophy with cytoplasmic eosinophilia.</w:t>
      </w:r>
    </w:p>
    <w:p w14:paraId="0E71CD27" w14:textId="77777777" w:rsidR="00EA1EF3" w:rsidRDefault="00EA1EF3" w:rsidP="004F4279">
      <w:pPr>
        <w:pStyle w:val="ListBullet"/>
      </w:pPr>
      <w:r>
        <w:t xml:space="preserve">Repeat dose studies in rats and dogs of 4 weeks duration with </w:t>
      </w:r>
      <w:proofErr w:type="spellStart"/>
      <w:r>
        <w:t>fosnetupitant</w:t>
      </w:r>
      <w:proofErr w:type="spellEnd"/>
      <w:r>
        <w:t xml:space="preserve"> alone or the </w:t>
      </w:r>
      <w:proofErr w:type="spellStart"/>
      <w:r>
        <w:t>fosnetupitant</w:t>
      </w:r>
      <w:proofErr w:type="spellEnd"/>
      <w:r>
        <w:t>/</w:t>
      </w:r>
      <w:proofErr w:type="spellStart"/>
      <w:r>
        <w:t>palonosetron</w:t>
      </w:r>
      <w:proofErr w:type="spellEnd"/>
      <w:r>
        <w:t xml:space="preserve"> combination did not identify any novel toxicity when compared to treatment with </w:t>
      </w:r>
      <w:proofErr w:type="spellStart"/>
      <w:r>
        <w:t>netupitant</w:t>
      </w:r>
      <w:proofErr w:type="spellEnd"/>
      <w:r>
        <w:t xml:space="preserve"> or </w:t>
      </w:r>
      <w:proofErr w:type="spellStart"/>
      <w:r>
        <w:t>netupitant</w:t>
      </w:r>
      <w:proofErr w:type="spellEnd"/>
      <w:r>
        <w:t>/</w:t>
      </w:r>
      <w:proofErr w:type="spellStart"/>
      <w:r>
        <w:t>palonosetron</w:t>
      </w:r>
      <w:proofErr w:type="spellEnd"/>
      <w:r>
        <w:t xml:space="preserve">. The major target organ identified was the liver, with increased liver weights observed at the high dose of 39.47 mg/kg/day </w:t>
      </w:r>
      <w:proofErr w:type="spellStart"/>
      <w:r>
        <w:t>fosnetupitant</w:t>
      </w:r>
      <w:proofErr w:type="spellEnd"/>
      <w:r>
        <w:t xml:space="preserve"> or 13.16/3 mg/kg/day </w:t>
      </w:r>
      <w:proofErr w:type="spellStart"/>
      <w:r>
        <w:t>fosnetupitant</w:t>
      </w:r>
      <w:proofErr w:type="spellEnd"/>
      <w:r>
        <w:t>/</w:t>
      </w:r>
      <w:proofErr w:type="spellStart"/>
      <w:r>
        <w:t>palonosetron</w:t>
      </w:r>
      <w:proofErr w:type="spellEnd"/>
      <w:r>
        <w:t xml:space="preserve"> in rats which resolved after the recovery period. This was associated with liver </w:t>
      </w:r>
      <w:proofErr w:type="spellStart"/>
      <w:r>
        <w:t>centrilobular</w:t>
      </w:r>
      <w:proofErr w:type="spellEnd"/>
      <w:r>
        <w:t xml:space="preserve"> hypertrophy with cytoplasmic eosinophilia. There were also increased liver enzymes (</w:t>
      </w:r>
      <w:r w:rsidR="004F4279">
        <w:t>a</w:t>
      </w:r>
      <w:r w:rsidR="004F4279" w:rsidRPr="004F4279">
        <w:t xml:space="preserve">spartate aminotransferase </w:t>
      </w:r>
      <w:r w:rsidR="004F4279">
        <w:t>(</w:t>
      </w:r>
      <w:r>
        <w:t>AST</w:t>
      </w:r>
      <w:r w:rsidR="004F4279">
        <w:t>)</w:t>
      </w:r>
      <w:r>
        <w:t xml:space="preserve"> and </w:t>
      </w:r>
      <w:r w:rsidR="004F4279">
        <w:t>a</w:t>
      </w:r>
      <w:r w:rsidR="004F4279" w:rsidRPr="004F4279">
        <w:t xml:space="preserve">lanine aminotransferase </w:t>
      </w:r>
      <w:r w:rsidR="004F4279">
        <w:t>(</w:t>
      </w:r>
      <w:r>
        <w:t>ALT</w:t>
      </w:r>
      <w:r w:rsidR="004F4279">
        <w:t>)</w:t>
      </w:r>
      <w:r>
        <w:t xml:space="preserve">) and convulsions observed at 39.47/10 mg/kg/day. Interestingly, </w:t>
      </w:r>
      <w:proofErr w:type="spellStart"/>
      <w:r>
        <w:t>phospholipidosis</w:t>
      </w:r>
      <w:proofErr w:type="spellEnd"/>
      <w:r>
        <w:t xml:space="preserve">, which was a prominent finding in rats and dogs dosed with </w:t>
      </w:r>
      <w:proofErr w:type="spellStart"/>
      <w:r>
        <w:t>netupitant</w:t>
      </w:r>
      <w:proofErr w:type="spellEnd"/>
      <w:r>
        <w:t xml:space="preserve"> by the oral route, was not observed in repeat dose toxicity studies with </w:t>
      </w:r>
      <w:proofErr w:type="spellStart"/>
      <w:r>
        <w:t>fosnetupitant</w:t>
      </w:r>
      <w:proofErr w:type="spellEnd"/>
      <w:r>
        <w:t>.</w:t>
      </w:r>
    </w:p>
    <w:p w14:paraId="3ED808D7" w14:textId="77777777" w:rsidR="00EA1EF3" w:rsidRDefault="00EA1EF3" w:rsidP="00E7309B">
      <w:pPr>
        <w:pStyle w:val="ListBullet"/>
      </w:pPr>
      <w:r>
        <w:t xml:space="preserve">The potential </w:t>
      </w:r>
      <w:proofErr w:type="spellStart"/>
      <w:r>
        <w:t>genotoxicity</w:t>
      </w:r>
      <w:proofErr w:type="spellEnd"/>
      <w:r>
        <w:t xml:space="preserve"> of </w:t>
      </w:r>
      <w:proofErr w:type="spellStart"/>
      <w:r>
        <w:t>fosnetupitant</w:t>
      </w:r>
      <w:proofErr w:type="spellEnd"/>
      <w:r>
        <w:t xml:space="preserve"> was investigated in a standard battery of tests. The results were negative in all tests and </w:t>
      </w:r>
      <w:proofErr w:type="spellStart"/>
      <w:r>
        <w:t>fosnetupitant</w:t>
      </w:r>
      <w:proofErr w:type="spellEnd"/>
      <w:r>
        <w:t xml:space="preserve"> is unlikely to pose a mutagenic or </w:t>
      </w:r>
      <w:proofErr w:type="spellStart"/>
      <w:r>
        <w:t>clastogenic</w:t>
      </w:r>
      <w:proofErr w:type="spellEnd"/>
      <w:r>
        <w:t xml:space="preserve"> risk to humans.</w:t>
      </w:r>
    </w:p>
    <w:p w14:paraId="00D7F860" w14:textId="77777777" w:rsidR="00EA1EF3" w:rsidRDefault="00EA1EF3" w:rsidP="00E7309B">
      <w:pPr>
        <w:pStyle w:val="ListBullet"/>
      </w:pPr>
      <w:r>
        <w:t xml:space="preserve">No carcinogenicity studies conducted with </w:t>
      </w:r>
      <w:proofErr w:type="spellStart"/>
      <w:r>
        <w:t>fosnetupitant</w:t>
      </w:r>
      <w:proofErr w:type="spellEnd"/>
      <w:r>
        <w:t>. This is acceptable for the proposed indication and dosing regimen.</w:t>
      </w:r>
    </w:p>
    <w:p w14:paraId="78602D4C" w14:textId="77777777" w:rsidR="00EA1EF3" w:rsidRDefault="00EA1EF3" w:rsidP="00E7309B">
      <w:pPr>
        <w:pStyle w:val="ListBullet"/>
      </w:pPr>
      <w:proofErr w:type="spellStart"/>
      <w:r>
        <w:t>Fosnetupitant</w:t>
      </w:r>
      <w:proofErr w:type="spellEnd"/>
      <w:r>
        <w:t xml:space="preserve"> had no effects on fertility or reproductive performance in rats. In </w:t>
      </w:r>
      <w:proofErr w:type="spellStart"/>
      <w:r>
        <w:t>embryofetal</w:t>
      </w:r>
      <w:proofErr w:type="spellEnd"/>
      <w:r>
        <w:t xml:space="preserve"> development studies, </w:t>
      </w:r>
      <w:proofErr w:type="spellStart"/>
      <w:r>
        <w:t>unossified</w:t>
      </w:r>
      <w:proofErr w:type="spellEnd"/>
      <w:r>
        <w:t xml:space="preserve"> pubis in 6 </w:t>
      </w:r>
      <w:proofErr w:type="spellStart"/>
      <w:r>
        <w:t>fetuses</w:t>
      </w:r>
      <w:proofErr w:type="spellEnd"/>
      <w:r>
        <w:t xml:space="preserve"> from 3 different litters were observed in rats, and an increase in intrauterine deaths was observed in rabbits at doses of ≥</w:t>
      </w:r>
      <w:r w:rsidR="004F4279">
        <w:t xml:space="preserve"> </w:t>
      </w:r>
      <w:r>
        <w:t xml:space="preserve">6.25 mg/kg/day. In a pre and postnatal development study in rats, there was an increased incidence of </w:t>
      </w:r>
      <w:r w:rsidR="004F4279">
        <w:t>pre-birth</w:t>
      </w:r>
      <w:r>
        <w:t xml:space="preserve"> loss and pup loss, decreased mean pup weight, and delayed development (pinna detachment, preputial separation, startle response to sound and eye opening) at 39.47 mg/kg/day. A Pregnancy Category of D</w:t>
      </w:r>
      <w:r w:rsidR="004F4279">
        <w:t>;</w:t>
      </w:r>
      <w:r w:rsidR="004F4279">
        <w:rPr>
          <w:rStyle w:val="FootnoteReference"/>
        </w:rPr>
        <w:footnoteReference w:id="10"/>
      </w:r>
      <w:r>
        <w:t xml:space="preserve"> is recommended as for </w:t>
      </w:r>
      <w:proofErr w:type="spellStart"/>
      <w:r>
        <w:t>netupitant</w:t>
      </w:r>
      <w:proofErr w:type="spellEnd"/>
      <w:r>
        <w:t>.</w:t>
      </w:r>
    </w:p>
    <w:p w14:paraId="1CB6C62E" w14:textId="77777777" w:rsidR="00EA1EF3" w:rsidRDefault="00EA1EF3" w:rsidP="00E7309B">
      <w:pPr>
        <w:pStyle w:val="ListBullet"/>
      </w:pPr>
      <w:proofErr w:type="spellStart"/>
      <w:r>
        <w:t>Fosnetupitant</w:t>
      </w:r>
      <w:proofErr w:type="spellEnd"/>
      <w:r>
        <w:t xml:space="preserve"> did not show evidence of local tolerance or antigenicity and is unlikely to be phototoxic.</w:t>
      </w:r>
    </w:p>
    <w:p w14:paraId="2ADDA49C" w14:textId="77777777" w:rsidR="008E7846" w:rsidRDefault="00485C56" w:rsidP="00006FAB">
      <w:r w:rsidRPr="00485C56">
        <w:t xml:space="preserve">There are no objections on nonclinical grounds to the registration of </w:t>
      </w:r>
      <w:proofErr w:type="spellStart"/>
      <w:r w:rsidRPr="00485C56">
        <w:t>Akynzeo</w:t>
      </w:r>
      <w:proofErr w:type="spellEnd"/>
      <w:r>
        <w:t xml:space="preserve"> IV. </w:t>
      </w:r>
      <w:r w:rsidRPr="00485C56">
        <w:t>The recommended</w:t>
      </w:r>
      <w:r>
        <w:t xml:space="preserve"> PI changes have been included by the sponsor</w:t>
      </w:r>
      <w:r w:rsidRPr="00485C56">
        <w:t>.</w:t>
      </w:r>
    </w:p>
    <w:p w14:paraId="1400BC9B" w14:textId="77777777" w:rsidR="008E7846" w:rsidRDefault="008E7846" w:rsidP="008E7846">
      <w:pPr>
        <w:pStyle w:val="Heading3"/>
      </w:pPr>
      <w:bookmarkStart w:id="40" w:name="_Toc247691530"/>
      <w:bookmarkStart w:id="41" w:name="_Toc314842513"/>
      <w:bookmarkStart w:id="42" w:name="_Toc52188115"/>
      <w:r>
        <w:t>Clinical</w:t>
      </w:r>
      <w:bookmarkEnd w:id="40"/>
      <w:bookmarkEnd w:id="41"/>
      <w:bookmarkEnd w:id="42"/>
    </w:p>
    <w:p w14:paraId="7B50482B" w14:textId="24D2359C" w:rsidR="00485C56" w:rsidRDefault="00485C56" w:rsidP="00E7309B">
      <w:r w:rsidRPr="00C52D29">
        <w:t xml:space="preserve">The clinical studies submitted to support the efficacy and safety of </w:t>
      </w:r>
      <w:proofErr w:type="spellStart"/>
      <w:r w:rsidR="000D14E3" w:rsidRPr="00C52D29">
        <w:t>Akynzeo</w:t>
      </w:r>
      <w:proofErr w:type="spellEnd"/>
      <w:r w:rsidRPr="00C52D29">
        <w:t xml:space="preserve"> IV (</w:t>
      </w:r>
      <w:r w:rsidR="00C801BC">
        <w:t xml:space="preserve">see </w:t>
      </w:r>
      <w:r w:rsidRPr="00C52D29">
        <w:fldChar w:fldCharType="begin"/>
      </w:r>
      <w:r w:rsidRPr="00C52D29">
        <w:instrText xml:space="preserve"> REF _Ref25668709 \h </w:instrText>
      </w:r>
      <w:r>
        <w:instrText xml:space="preserve"> \* MERGEFORMAT </w:instrText>
      </w:r>
      <w:r w:rsidRPr="00C52D29">
        <w:fldChar w:fldCharType="separate"/>
      </w:r>
      <w:r w:rsidR="004A5B00" w:rsidRPr="00C52D29">
        <w:t xml:space="preserve">Table </w:t>
      </w:r>
      <w:r w:rsidR="004A5B00">
        <w:rPr>
          <w:noProof/>
        </w:rPr>
        <w:t>2</w:t>
      </w:r>
      <w:r w:rsidRPr="00C52D29">
        <w:fldChar w:fldCharType="end"/>
      </w:r>
      <w:r w:rsidR="00492B8C">
        <w:t>, reproduced from a US Food and Drug Administration (FDA) multidiscipline review</w:t>
      </w:r>
      <w:r w:rsidRPr="00C52D29">
        <w:t>)</w:t>
      </w:r>
      <w:r>
        <w:t xml:space="preserve"> build on the established efficacy and safety of </w:t>
      </w:r>
      <w:proofErr w:type="spellStart"/>
      <w:r w:rsidR="000D14E3">
        <w:t>Akynzeo</w:t>
      </w:r>
      <w:proofErr w:type="spellEnd"/>
      <w:r>
        <w:t xml:space="preserve"> oral capsules and </w:t>
      </w:r>
      <w:proofErr w:type="spellStart"/>
      <w:r w:rsidR="000D14E3">
        <w:t>Aloxi</w:t>
      </w:r>
      <w:proofErr w:type="spellEnd"/>
      <w:r>
        <w:t xml:space="preserve"> solution for</w:t>
      </w:r>
      <w:r w:rsidR="000D14E3">
        <w:t xml:space="preserve"> </w:t>
      </w:r>
      <w:r w:rsidR="000D14E3">
        <w:lastRenderedPageBreak/>
        <w:t xml:space="preserve">injection. </w:t>
      </w:r>
      <w:r>
        <w:t>Two clinical pharmacology studies (</w:t>
      </w:r>
      <w:r w:rsidR="000D14E3">
        <w:t xml:space="preserve">Study </w:t>
      </w:r>
      <w:r>
        <w:t>PNET-13-63</w:t>
      </w:r>
      <w:r w:rsidR="00492B8C">
        <w:t>;</w:t>
      </w:r>
      <w:bookmarkStart w:id="43" w:name="_Ref51801877"/>
      <w:r w:rsidR="00492B8C">
        <w:rPr>
          <w:rStyle w:val="FootnoteReference"/>
        </w:rPr>
        <w:footnoteReference w:id="11"/>
      </w:r>
      <w:bookmarkEnd w:id="43"/>
      <w:r>
        <w:t xml:space="preserve"> drug-drug interaction in healthy subjects; </w:t>
      </w:r>
      <w:r w:rsidR="000D14E3">
        <w:t xml:space="preserve">Study </w:t>
      </w:r>
      <w:r>
        <w:t>NEPA-15-19</w:t>
      </w:r>
      <w:r w:rsidR="00492B8C">
        <w:t>;</w:t>
      </w:r>
      <w:r w:rsidR="00492B8C">
        <w:rPr>
          <w:rStyle w:val="FootnoteReference"/>
        </w:rPr>
        <w:footnoteReference w:id="12"/>
      </w:r>
      <w:r>
        <w:t xml:space="preserve"> PK in cancer patients) were also submitted.</w:t>
      </w:r>
    </w:p>
    <w:p w14:paraId="51ED8CDC" w14:textId="59A55F07" w:rsidR="00485C56" w:rsidRDefault="000D14E3" w:rsidP="00E7309B">
      <w:r>
        <w:t xml:space="preserve">Study </w:t>
      </w:r>
      <w:r w:rsidR="00485C56">
        <w:t>PALO-</w:t>
      </w:r>
      <w:r w:rsidR="00485C56" w:rsidRPr="008A1BCA">
        <w:t>15-1</w:t>
      </w:r>
      <w:r>
        <w:t>7</w:t>
      </w:r>
      <w:r w:rsidR="00C801BC">
        <w:t>;</w:t>
      </w:r>
      <w:bookmarkStart w:id="44" w:name="_Ref51801928"/>
      <w:r w:rsidR="00BA6999">
        <w:rPr>
          <w:rStyle w:val="FootnoteReference"/>
        </w:rPr>
        <w:footnoteReference w:id="13"/>
      </w:r>
      <w:bookmarkEnd w:id="44"/>
      <w:r>
        <w:t xml:space="preserve"> was a Phase III</w:t>
      </w:r>
      <w:r w:rsidR="00485C56">
        <w:t xml:space="preserve"> non-inferiority study comparing the efficacy of </w:t>
      </w:r>
      <w:proofErr w:type="spellStart"/>
      <w:r w:rsidR="00485C56" w:rsidRPr="008A1BCA">
        <w:t>palonosetron</w:t>
      </w:r>
      <w:proofErr w:type="spellEnd"/>
      <w:r w:rsidR="00485C56" w:rsidRPr="008A1BCA">
        <w:t xml:space="preserve"> 0.25 mg </w:t>
      </w:r>
      <w:r w:rsidR="00485C56">
        <w:t xml:space="preserve">IV infusion </w:t>
      </w:r>
      <w:r w:rsidR="00485C56" w:rsidRPr="008A1BCA">
        <w:t xml:space="preserve">over 30 minutes </w:t>
      </w:r>
      <w:r w:rsidR="00485C56">
        <w:t xml:space="preserve">(as proposed for </w:t>
      </w:r>
      <w:proofErr w:type="spellStart"/>
      <w:r>
        <w:t>Akynzeo</w:t>
      </w:r>
      <w:proofErr w:type="spellEnd"/>
      <w:r w:rsidR="00485C56">
        <w:t xml:space="preserve"> IV) to</w:t>
      </w:r>
      <w:r w:rsidR="00485C56" w:rsidRPr="008A1BCA">
        <w:t xml:space="preserve"> </w:t>
      </w:r>
      <w:proofErr w:type="spellStart"/>
      <w:r w:rsidR="00485C56" w:rsidRPr="008A1BCA">
        <w:t>palonosetron</w:t>
      </w:r>
      <w:proofErr w:type="spellEnd"/>
      <w:r w:rsidR="00485C56" w:rsidRPr="008A1BCA">
        <w:t xml:space="preserve"> 0.25</w:t>
      </w:r>
      <w:r w:rsidR="00485C56">
        <w:t xml:space="preserve"> mg IV bolus over 30 seconds (the a</w:t>
      </w:r>
      <w:r>
        <w:t xml:space="preserve">pproved posology for </w:t>
      </w:r>
      <w:proofErr w:type="spellStart"/>
      <w:r>
        <w:t>Aloxi</w:t>
      </w:r>
      <w:proofErr w:type="spellEnd"/>
      <w:r>
        <w:t>).</w:t>
      </w:r>
    </w:p>
    <w:p w14:paraId="2141BBDA" w14:textId="68A74709" w:rsidR="00485C56" w:rsidRDefault="000D14E3" w:rsidP="00E7309B">
      <w:r>
        <w:t>Study PNET-12-23</w:t>
      </w:r>
      <w:r w:rsidR="00BA6999">
        <w:t>;</w:t>
      </w:r>
      <w:bookmarkStart w:id="45" w:name="_Ref51801599"/>
      <w:r w:rsidR="000D54E0">
        <w:rPr>
          <w:rStyle w:val="FootnoteReference"/>
        </w:rPr>
        <w:footnoteReference w:id="14"/>
      </w:r>
      <w:bookmarkEnd w:id="45"/>
      <w:r>
        <w:t xml:space="preserve"> was a Phase I</w:t>
      </w:r>
      <w:r w:rsidR="00485C56">
        <w:t xml:space="preserve"> study assessing the safety and PK of single ascending doses of IV </w:t>
      </w:r>
      <w:proofErr w:type="spellStart"/>
      <w:r w:rsidR="00485C56">
        <w:t>fosnetupitant</w:t>
      </w:r>
      <w:proofErr w:type="spellEnd"/>
      <w:r w:rsidR="00485C56">
        <w:t>, and included a</w:t>
      </w:r>
      <w:r w:rsidR="00485C56" w:rsidRPr="008A1BCA">
        <w:t xml:space="preserve"> relative bioavailability </w:t>
      </w:r>
      <w:r w:rsidR="00485C56">
        <w:t xml:space="preserve">assessment comparing the PK of </w:t>
      </w:r>
      <w:proofErr w:type="spellStart"/>
      <w:r w:rsidR="00485C56">
        <w:t>fosnetupitant</w:t>
      </w:r>
      <w:proofErr w:type="spellEnd"/>
      <w:r w:rsidR="00485C56">
        <w:t xml:space="preserve"> chloride hydrochloride </w:t>
      </w:r>
      <w:r w:rsidR="00485C56" w:rsidRPr="0015398B">
        <w:t>260 mg</w:t>
      </w:r>
      <w:r w:rsidR="00485C56">
        <w:t xml:space="preserve"> IV (equivalent to 235 mg </w:t>
      </w:r>
      <w:proofErr w:type="spellStart"/>
      <w:r w:rsidR="00485C56">
        <w:t>fosnetupitant</w:t>
      </w:r>
      <w:proofErr w:type="spellEnd"/>
      <w:r w:rsidR="00485C56">
        <w:t xml:space="preserve"> free base) to </w:t>
      </w:r>
      <w:proofErr w:type="spellStart"/>
      <w:r>
        <w:t>Akynzeo</w:t>
      </w:r>
      <w:proofErr w:type="spellEnd"/>
      <w:r w:rsidR="00485C56">
        <w:t xml:space="preserve"> capsules (oral </w:t>
      </w:r>
      <w:proofErr w:type="spellStart"/>
      <w:r w:rsidR="00485C56">
        <w:t>netupitant</w:t>
      </w:r>
      <w:proofErr w:type="spellEnd"/>
      <w:r w:rsidR="00485C56">
        <w:t xml:space="preserve"> 300 mg) in healthy subjects.</w:t>
      </w:r>
      <w:r w:rsidR="00485C56" w:rsidRPr="008A1BCA">
        <w:t xml:space="preserve"> </w:t>
      </w:r>
      <w:r w:rsidR="00485C56">
        <w:t xml:space="preserve">This study is used to </w:t>
      </w:r>
      <w:r w:rsidR="00485C56" w:rsidRPr="008A1BCA">
        <w:t>bridg</w:t>
      </w:r>
      <w:r w:rsidR="00485C56">
        <w:t xml:space="preserve">e the efficacy of </w:t>
      </w:r>
      <w:proofErr w:type="spellStart"/>
      <w:r>
        <w:t>Akynzeo</w:t>
      </w:r>
      <w:proofErr w:type="spellEnd"/>
      <w:r w:rsidR="00485C56">
        <w:t xml:space="preserve"> IV (containing </w:t>
      </w:r>
      <w:proofErr w:type="spellStart"/>
      <w:r w:rsidR="00485C56">
        <w:t>fosnetupitant</w:t>
      </w:r>
      <w:proofErr w:type="spellEnd"/>
      <w:r w:rsidR="00485C56">
        <w:t xml:space="preserve"> 235 mg) from the established efficacy of </w:t>
      </w:r>
      <w:proofErr w:type="spellStart"/>
      <w:r>
        <w:t>Akynzeo</w:t>
      </w:r>
      <w:proofErr w:type="spellEnd"/>
      <w:r w:rsidR="00485C56">
        <w:t xml:space="preserve"> capsules</w:t>
      </w:r>
      <w:r w:rsidR="00485C56" w:rsidRPr="008A1BCA">
        <w:t xml:space="preserve">, based on </w:t>
      </w:r>
      <w:r w:rsidR="00485C56">
        <w:t xml:space="preserve">equivalent </w:t>
      </w:r>
      <w:proofErr w:type="spellStart"/>
      <w:r w:rsidR="00485C56" w:rsidRPr="008A1BCA">
        <w:t>netupitant</w:t>
      </w:r>
      <w:proofErr w:type="spellEnd"/>
      <w:r w:rsidR="00485C56" w:rsidRPr="008A1BCA">
        <w:t xml:space="preserve"> exposure</w:t>
      </w:r>
      <w:r w:rsidR="00485C56">
        <w:t xml:space="preserve"> (</w:t>
      </w:r>
      <w:r>
        <w:t>area under the plasma concentration time curve (</w:t>
      </w:r>
      <w:r w:rsidR="00485C56">
        <w:t>AUC</w:t>
      </w:r>
      <w:r>
        <w:t>)</w:t>
      </w:r>
      <w:r w:rsidR="00485C56">
        <w:t>).</w:t>
      </w:r>
    </w:p>
    <w:p w14:paraId="71D04B32" w14:textId="2A836D57" w:rsidR="00485C56" w:rsidRDefault="000D14E3" w:rsidP="00485C56">
      <w:pPr>
        <w:rPr>
          <w:rFonts w:asciiTheme="minorHAnsi" w:hAnsiTheme="minorHAnsi" w:cstheme="minorHAnsi"/>
        </w:rPr>
      </w:pPr>
      <w:r>
        <w:rPr>
          <w:rFonts w:asciiTheme="minorHAnsi" w:hAnsiTheme="minorHAnsi" w:cstheme="minorHAnsi"/>
        </w:rPr>
        <w:t>Study NEPA-15-18</w:t>
      </w:r>
      <w:r w:rsidR="000D54E0">
        <w:rPr>
          <w:rFonts w:asciiTheme="minorHAnsi" w:hAnsiTheme="minorHAnsi" w:cstheme="minorHAnsi"/>
        </w:rPr>
        <w:t>;</w:t>
      </w:r>
      <w:bookmarkStart w:id="46" w:name="_Ref51804906"/>
      <w:r w:rsidR="000D54E0">
        <w:rPr>
          <w:rStyle w:val="FootnoteReference"/>
          <w:rFonts w:asciiTheme="minorHAnsi" w:hAnsiTheme="minorHAnsi" w:cstheme="minorHAnsi"/>
        </w:rPr>
        <w:footnoteReference w:id="15"/>
      </w:r>
      <w:bookmarkEnd w:id="46"/>
      <w:r>
        <w:rPr>
          <w:rFonts w:asciiTheme="minorHAnsi" w:hAnsiTheme="minorHAnsi" w:cstheme="minorHAnsi"/>
        </w:rPr>
        <w:t xml:space="preserve"> was a Phase III</w:t>
      </w:r>
      <w:r w:rsidR="00485C56">
        <w:rPr>
          <w:rFonts w:asciiTheme="minorHAnsi" w:hAnsiTheme="minorHAnsi" w:cstheme="minorHAnsi"/>
        </w:rPr>
        <w:t xml:space="preserve"> safety study, with eff</w:t>
      </w:r>
      <w:r>
        <w:rPr>
          <w:rFonts w:asciiTheme="minorHAnsi" w:hAnsiTheme="minorHAnsi" w:cstheme="minorHAnsi"/>
        </w:rPr>
        <w:t>icacy as a secondary objective.</w:t>
      </w:r>
      <w:r w:rsidR="00485C56">
        <w:rPr>
          <w:rFonts w:asciiTheme="minorHAnsi" w:hAnsiTheme="minorHAnsi" w:cstheme="minorHAnsi"/>
        </w:rPr>
        <w:t xml:space="preserve"> T</w:t>
      </w:r>
      <w:r w:rsidR="00485C56" w:rsidRPr="008A1BCA">
        <w:rPr>
          <w:rFonts w:asciiTheme="minorHAnsi" w:hAnsiTheme="minorHAnsi" w:cstheme="minorHAnsi"/>
        </w:rPr>
        <w:t>h</w:t>
      </w:r>
      <w:r w:rsidR="00485C56">
        <w:rPr>
          <w:rFonts w:asciiTheme="minorHAnsi" w:hAnsiTheme="minorHAnsi" w:cstheme="minorHAnsi"/>
        </w:rPr>
        <w:t>is study</w:t>
      </w:r>
      <w:r w:rsidR="00485C56" w:rsidRPr="008A1BCA">
        <w:rPr>
          <w:rFonts w:asciiTheme="minorHAnsi" w:hAnsiTheme="minorHAnsi" w:cstheme="minorHAnsi"/>
        </w:rPr>
        <w:t xml:space="preserve"> was not designed</w:t>
      </w:r>
      <w:r w:rsidR="00485C56">
        <w:rPr>
          <w:rFonts w:asciiTheme="minorHAnsi" w:hAnsiTheme="minorHAnsi" w:cstheme="minorHAnsi"/>
        </w:rPr>
        <w:t xml:space="preserve"> or </w:t>
      </w:r>
      <w:r w:rsidR="00485C56" w:rsidRPr="008A1BCA">
        <w:rPr>
          <w:rFonts w:asciiTheme="minorHAnsi" w:hAnsiTheme="minorHAnsi" w:cstheme="minorHAnsi"/>
        </w:rPr>
        <w:t>powered to demonstrate non-inferiority</w:t>
      </w:r>
      <w:r w:rsidR="00485C56">
        <w:rPr>
          <w:rFonts w:asciiTheme="minorHAnsi" w:hAnsiTheme="minorHAnsi" w:cstheme="minorHAnsi"/>
        </w:rPr>
        <w:t>, so d</w:t>
      </w:r>
      <w:r w:rsidR="00485C56" w:rsidRPr="008A1BCA">
        <w:rPr>
          <w:rFonts w:asciiTheme="minorHAnsi" w:hAnsiTheme="minorHAnsi" w:cstheme="minorHAnsi"/>
        </w:rPr>
        <w:t xml:space="preserve">escriptive efficacy </w:t>
      </w:r>
      <w:r w:rsidR="00485C56">
        <w:rPr>
          <w:rFonts w:asciiTheme="minorHAnsi" w:hAnsiTheme="minorHAnsi" w:cstheme="minorHAnsi"/>
        </w:rPr>
        <w:t>findings</w:t>
      </w:r>
      <w:r w:rsidR="00485C56" w:rsidRPr="008A1BCA">
        <w:rPr>
          <w:rFonts w:asciiTheme="minorHAnsi" w:hAnsiTheme="minorHAnsi" w:cstheme="minorHAnsi"/>
        </w:rPr>
        <w:t xml:space="preserve"> </w:t>
      </w:r>
      <w:r w:rsidR="00485C56">
        <w:rPr>
          <w:rFonts w:asciiTheme="minorHAnsi" w:hAnsiTheme="minorHAnsi" w:cstheme="minorHAnsi"/>
        </w:rPr>
        <w:t>are provided as supportive evidence.</w:t>
      </w:r>
    </w:p>
    <w:p w14:paraId="5EE1B56C" w14:textId="62E35037" w:rsidR="00485C56" w:rsidRPr="00C52D29" w:rsidRDefault="00485C56" w:rsidP="000D14E3">
      <w:pPr>
        <w:pStyle w:val="TableTitle"/>
      </w:pPr>
      <w:bookmarkStart w:id="47" w:name="_Ref25668709"/>
      <w:r w:rsidRPr="00C52D29">
        <w:t xml:space="preserve">Table </w:t>
      </w:r>
      <w:fldSimple w:instr=" SEQ Table \* ARABIC ">
        <w:r w:rsidR="004A5B00">
          <w:rPr>
            <w:noProof/>
          </w:rPr>
          <w:t>2</w:t>
        </w:r>
      </w:fldSimple>
      <w:bookmarkEnd w:id="47"/>
      <w:r w:rsidR="000D14E3">
        <w:t>:</w:t>
      </w:r>
      <w:r w:rsidRPr="00C52D29">
        <w:t xml:space="preserve"> Clinical </w:t>
      </w:r>
      <w:r w:rsidR="000D14E3" w:rsidRPr="00C52D29">
        <w:t xml:space="preserve">studies to support safety and efficacy of </w:t>
      </w:r>
      <w:proofErr w:type="spellStart"/>
      <w:r w:rsidR="000D14E3">
        <w:t>Akynzeo</w:t>
      </w:r>
      <w:proofErr w:type="spellEnd"/>
      <w:r w:rsidRPr="00C52D29">
        <w:t xml:space="preserve"> IV</w:t>
      </w:r>
    </w:p>
    <w:p w14:paraId="13F9DE9B" w14:textId="06531C04" w:rsidR="00485C56" w:rsidRPr="007D3293" w:rsidRDefault="00485C56" w:rsidP="00C55896">
      <w:pPr>
        <w:pStyle w:val="TableDescription"/>
      </w:pPr>
      <w:r>
        <w:rPr>
          <w:noProof/>
          <w:lang w:eastAsia="en-AU"/>
        </w:rPr>
        <w:drawing>
          <wp:inline distT="0" distB="0" distL="0" distR="0" wp14:anchorId="5661E765" wp14:editId="3AA5D044">
            <wp:extent cx="4864608" cy="2734912"/>
            <wp:effectExtent l="0" t="0" r="0" b="8890"/>
            <wp:docPr id="1" name="Picture 1" descr="Clinical studies to support safety and efficacy of Akynzeo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3712" cy="2740030"/>
                    </a:xfrm>
                    <a:prstGeom prst="rect">
                      <a:avLst/>
                    </a:prstGeom>
                  </pic:spPr>
                </pic:pic>
              </a:graphicData>
            </a:graphic>
          </wp:inline>
        </w:drawing>
      </w:r>
      <w:r>
        <w:br/>
      </w:r>
      <w:r w:rsidR="000D14E3">
        <w:t>S</w:t>
      </w:r>
      <w:r w:rsidRPr="007D3293">
        <w:t xml:space="preserve">ource: </w:t>
      </w:r>
      <w:r w:rsidR="009C5889">
        <w:t xml:space="preserve">United States </w:t>
      </w:r>
      <w:r w:rsidR="000D14E3">
        <w:t>Food and Drug Administration (</w:t>
      </w:r>
      <w:r w:rsidRPr="007D3293">
        <w:t>FDA</w:t>
      </w:r>
      <w:r w:rsidR="000D14E3">
        <w:t>)</w:t>
      </w:r>
      <w:r w:rsidRPr="007D3293">
        <w:t xml:space="preserve"> </w:t>
      </w:r>
      <w:r w:rsidR="009C5889">
        <w:t xml:space="preserve">Multi-discipline </w:t>
      </w:r>
      <w:r w:rsidRPr="007D3293">
        <w:t>review</w:t>
      </w:r>
      <w:r w:rsidR="000D14E3">
        <w:t>.</w:t>
      </w:r>
      <w:bookmarkStart w:id="48" w:name="_Ref48239590"/>
      <w:r w:rsidR="000D14E3">
        <w:rPr>
          <w:rStyle w:val="FootnoteReference"/>
          <w:sz w:val="16"/>
          <w:szCs w:val="16"/>
        </w:rPr>
        <w:footnoteReference w:id="16"/>
      </w:r>
      <w:bookmarkEnd w:id="48"/>
      <w:r w:rsidR="000D54E0">
        <w:t xml:space="preserve"> </w:t>
      </w:r>
    </w:p>
    <w:p w14:paraId="73DDA923" w14:textId="77777777" w:rsidR="00485C56" w:rsidRDefault="00485C56" w:rsidP="00485C56">
      <w:pPr>
        <w:pStyle w:val="Heading4"/>
      </w:pPr>
      <w:r>
        <w:lastRenderedPageBreak/>
        <w:t>Pharmacology</w:t>
      </w:r>
    </w:p>
    <w:p w14:paraId="19AE92D6" w14:textId="77777777" w:rsidR="00485C56" w:rsidRDefault="00485C56" w:rsidP="00485C56">
      <w:r>
        <w:t xml:space="preserve">The pharmacology of oral </w:t>
      </w:r>
      <w:proofErr w:type="spellStart"/>
      <w:r w:rsidR="000D14E3">
        <w:t>Akynzeo</w:t>
      </w:r>
      <w:proofErr w:type="spellEnd"/>
      <w:r>
        <w:t xml:space="preserve"> and IV </w:t>
      </w:r>
      <w:proofErr w:type="spellStart"/>
      <w:r>
        <w:t>palonosetron</w:t>
      </w:r>
      <w:proofErr w:type="spellEnd"/>
      <w:r>
        <w:t xml:space="preserve"> (</w:t>
      </w:r>
      <w:proofErr w:type="spellStart"/>
      <w:r w:rsidR="00F86B41">
        <w:t>Aloxi</w:t>
      </w:r>
      <w:proofErr w:type="spellEnd"/>
      <w:r>
        <w:t>) was established at the time of registration and is described in the PIs for these products.</w:t>
      </w:r>
    </w:p>
    <w:p w14:paraId="5943DD9A" w14:textId="77777777" w:rsidR="00F86B41" w:rsidRPr="009E5B7F" w:rsidRDefault="00F86B41" w:rsidP="00F86B41">
      <w:pPr>
        <w:pStyle w:val="Heading5"/>
      </w:pPr>
      <w:r>
        <w:t xml:space="preserve">Study </w:t>
      </w:r>
      <w:r w:rsidRPr="00F86B41">
        <w:t>PNET-12-23</w:t>
      </w:r>
    </w:p>
    <w:p w14:paraId="1B995030" w14:textId="79D367A2" w:rsidR="00485C56" w:rsidRDefault="00F86B41" w:rsidP="00485C56">
      <w:r w:rsidRPr="00F86B41">
        <w:t xml:space="preserve">Study </w:t>
      </w:r>
      <w:r w:rsidR="00485C56" w:rsidRPr="00F86B41">
        <w:t>PNET-12-23</w:t>
      </w:r>
      <w:r w:rsidR="009C5889">
        <w:t>;</w:t>
      </w:r>
      <w:r w:rsidR="009C5889" w:rsidRPr="00CB62EC">
        <w:rPr>
          <w:vertAlign w:val="superscript"/>
        </w:rPr>
        <w:fldChar w:fldCharType="begin"/>
      </w:r>
      <w:r w:rsidR="009C5889" w:rsidRPr="00CB62EC">
        <w:rPr>
          <w:vertAlign w:val="superscript"/>
        </w:rPr>
        <w:instrText xml:space="preserve"> NOTEREF _Ref51801599 \h </w:instrText>
      </w:r>
      <w:r w:rsidR="009C5889">
        <w:rPr>
          <w:vertAlign w:val="superscript"/>
        </w:rPr>
        <w:instrText xml:space="preserve"> \* MERGEFORMAT </w:instrText>
      </w:r>
      <w:r w:rsidR="009C5889" w:rsidRPr="00CB62EC">
        <w:rPr>
          <w:vertAlign w:val="superscript"/>
        </w:rPr>
      </w:r>
      <w:r w:rsidR="009C5889" w:rsidRPr="00CB62EC">
        <w:rPr>
          <w:vertAlign w:val="superscript"/>
        </w:rPr>
        <w:fldChar w:fldCharType="separate"/>
      </w:r>
      <w:r w:rsidR="004A5B00">
        <w:rPr>
          <w:vertAlign w:val="superscript"/>
        </w:rPr>
        <w:t>14</w:t>
      </w:r>
      <w:r w:rsidR="009C5889" w:rsidRPr="00CB62EC">
        <w:rPr>
          <w:vertAlign w:val="superscript"/>
        </w:rPr>
        <w:fldChar w:fldCharType="end"/>
      </w:r>
      <w:r w:rsidR="00485C56">
        <w:t xml:space="preserve"> </w:t>
      </w:r>
      <w:r>
        <w:t>was a Phase I</w:t>
      </w:r>
      <w:r w:rsidR="00485C56">
        <w:t xml:space="preserve">, randomised, double-blind, parallel group, three-part trial assessing the safety and PK of single ascending doses of IV </w:t>
      </w:r>
      <w:proofErr w:type="spellStart"/>
      <w:r w:rsidR="00485C56">
        <w:t>fosnetupitant</w:t>
      </w:r>
      <w:proofErr w:type="spellEnd"/>
      <w:r w:rsidR="00485C56">
        <w:t xml:space="preserve"> in healthy subjects, with crossover extensions to establish the dose of </w:t>
      </w:r>
      <w:proofErr w:type="spellStart"/>
      <w:r w:rsidR="00485C56">
        <w:t>fosnetupitant</w:t>
      </w:r>
      <w:proofErr w:type="spellEnd"/>
      <w:r w:rsidR="00485C56">
        <w:t xml:space="preserve"> yielding equivalent </w:t>
      </w:r>
      <w:proofErr w:type="spellStart"/>
      <w:r w:rsidR="00485C56">
        <w:t>netupitant</w:t>
      </w:r>
      <w:proofErr w:type="spellEnd"/>
      <w:r w:rsidR="00485C56">
        <w:t xml:space="preserve"> exposure to </w:t>
      </w:r>
      <w:proofErr w:type="spellStart"/>
      <w:r w:rsidR="000D14E3">
        <w:t>Akynzeo</w:t>
      </w:r>
      <w:proofErr w:type="spellEnd"/>
      <w:r>
        <w:t xml:space="preserve"> capsules.</w:t>
      </w:r>
    </w:p>
    <w:p w14:paraId="63A602D9" w14:textId="37D19646" w:rsidR="00485C56" w:rsidRDefault="00485C56" w:rsidP="00485C56">
      <w:pPr>
        <w:rPr>
          <w:rFonts w:asciiTheme="minorHAnsi" w:hAnsiTheme="minorHAnsi" w:cstheme="minorHAnsi"/>
        </w:rPr>
      </w:pPr>
      <w:r>
        <w:rPr>
          <w:rFonts w:asciiTheme="minorHAnsi" w:hAnsiTheme="minorHAnsi" w:cstheme="minorHAnsi"/>
        </w:rPr>
        <w:t xml:space="preserve">The primary objective was to assess the safety of </w:t>
      </w:r>
      <w:proofErr w:type="spellStart"/>
      <w:r>
        <w:rPr>
          <w:rFonts w:asciiTheme="minorHAnsi" w:hAnsiTheme="minorHAnsi" w:cstheme="minorHAnsi"/>
        </w:rPr>
        <w:t>fosnetupitant</w:t>
      </w:r>
      <w:proofErr w:type="spellEnd"/>
      <w:r>
        <w:rPr>
          <w:rFonts w:asciiTheme="minorHAnsi" w:hAnsiTheme="minorHAnsi" w:cstheme="minorHAnsi"/>
        </w:rPr>
        <w:t xml:space="preserve"> administered by IV infusion as single ascending</w:t>
      </w:r>
      <w:r w:rsidR="00F86B41">
        <w:rPr>
          <w:rFonts w:asciiTheme="minorHAnsi" w:hAnsiTheme="minorHAnsi" w:cstheme="minorHAnsi"/>
        </w:rPr>
        <w:t xml:space="preserve"> doses from 19.5 mg to 390 mg. </w:t>
      </w:r>
      <w:r>
        <w:rPr>
          <w:rFonts w:asciiTheme="minorHAnsi" w:hAnsiTheme="minorHAnsi" w:cstheme="minorHAnsi"/>
        </w:rPr>
        <w:t xml:space="preserve">The secondary objective was to investigate the PK of </w:t>
      </w:r>
      <w:proofErr w:type="spellStart"/>
      <w:r>
        <w:rPr>
          <w:rFonts w:asciiTheme="minorHAnsi" w:hAnsiTheme="minorHAnsi" w:cstheme="minorHAnsi"/>
        </w:rPr>
        <w:t>fosnetupitant</w:t>
      </w:r>
      <w:proofErr w:type="spellEnd"/>
      <w:r>
        <w:rPr>
          <w:rFonts w:asciiTheme="minorHAnsi" w:hAnsiTheme="minorHAnsi" w:cstheme="minorHAnsi"/>
        </w:rPr>
        <w:t xml:space="preserve">, </w:t>
      </w:r>
      <w:proofErr w:type="spellStart"/>
      <w:r>
        <w:rPr>
          <w:rFonts w:asciiTheme="minorHAnsi" w:hAnsiTheme="minorHAnsi" w:cstheme="minorHAnsi"/>
        </w:rPr>
        <w:t>netupitant</w:t>
      </w:r>
      <w:proofErr w:type="spellEnd"/>
      <w:r>
        <w:rPr>
          <w:rFonts w:asciiTheme="minorHAnsi" w:hAnsiTheme="minorHAnsi" w:cstheme="minorHAnsi"/>
        </w:rPr>
        <w:t xml:space="preserve"> and </w:t>
      </w:r>
      <w:proofErr w:type="spellStart"/>
      <w:r>
        <w:rPr>
          <w:rFonts w:asciiTheme="minorHAnsi" w:hAnsiTheme="minorHAnsi" w:cstheme="minorHAnsi"/>
        </w:rPr>
        <w:t>netupitant</w:t>
      </w:r>
      <w:proofErr w:type="spellEnd"/>
      <w:r>
        <w:rPr>
          <w:rFonts w:asciiTheme="minorHAnsi" w:hAnsiTheme="minorHAnsi" w:cstheme="minorHAnsi"/>
        </w:rPr>
        <w:t xml:space="preserve"> metabolites, and estimate the relative availability factor (</w:t>
      </w:r>
      <w:proofErr w:type="spellStart"/>
      <w:r>
        <w:rPr>
          <w:rFonts w:asciiTheme="minorHAnsi" w:hAnsiTheme="minorHAnsi" w:cstheme="minorHAnsi"/>
        </w:rPr>
        <w:t>F</w:t>
      </w:r>
      <w:r w:rsidRPr="007E1ABD">
        <w:rPr>
          <w:rFonts w:asciiTheme="minorHAnsi" w:hAnsiTheme="minorHAnsi" w:cstheme="minorHAnsi"/>
          <w:vertAlign w:val="subscript"/>
        </w:rPr>
        <w:t>rel</w:t>
      </w:r>
      <w:proofErr w:type="spellEnd"/>
      <w:r>
        <w:rPr>
          <w:rFonts w:asciiTheme="minorHAnsi" w:hAnsiTheme="minorHAnsi" w:cstheme="minorHAnsi"/>
        </w:rPr>
        <w:t xml:space="preserve"> </w:t>
      </w:r>
      <w:r w:rsidRPr="00814B79">
        <w:rPr>
          <w:rFonts w:asciiTheme="minorHAnsi" w:hAnsiTheme="minorHAnsi" w:cstheme="minorHAnsi"/>
          <w:vertAlign w:val="subscript"/>
        </w:rPr>
        <w:t>IV</w:t>
      </w:r>
      <w:r>
        <w:rPr>
          <w:rFonts w:asciiTheme="minorHAnsi" w:hAnsiTheme="minorHAnsi" w:cstheme="minorHAnsi"/>
        </w:rPr>
        <w:t xml:space="preserve">) for </w:t>
      </w:r>
      <w:proofErr w:type="spellStart"/>
      <w:r>
        <w:rPr>
          <w:rFonts w:asciiTheme="minorHAnsi" w:hAnsiTheme="minorHAnsi" w:cstheme="minorHAnsi"/>
        </w:rPr>
        <w:t>netupitant</w:t>
      </w:r>
      <w:proofErr w:type="spellEnd"/>
      <w:r>
        <w:rPr>
          <w:rFonts w:asciiTheme="minorHAnsi" w:hAnsiTheme="minorHAnsi" w:cstheme="minorHAnsi"/>
        </w:rPr>
        <w:t xml:space="preserve"> when given in the form of IV </w:t>
      </w:r>
      <w:proofErr w:type="spellStart"/>
      <w:r>
        <w:rPr>
          <w:rFonts w:asciiTheme="minorHAnsi" w:hAnsiTheme="minorHAnsi" w:cstheme="minorHAnsi"/>
        </w:rPr>
        <w:t>fosnetupitant</w:t>
      </w:r>
      <w:proofErr w:type="spellEnd"/>
      <w:r>
        <w:rPr>
          <w:rFonts w:asciiTheme="minorHAnsi" w:hAnsiTheme="minorHAnsi" w:cstheme="minorHAnsi"/>
        </w:rPr>
        <w:t xml:space="preserve"> in comparison to </w:t>
      </w:r>
      <w:proofErr w:type="spellStart"/>
      <w:r w:rsidR="000D14E3">
        <w:rPr>
          <w:rFonts w:asciiTheme="minorHAnsi" w:hAnsiTheme="minorHAnsi" w:cstheme="minorHAnsi"/>
        </w:rPr>
        <w:t>Akynzeo</w:t>
      </w:r>
      <w:proofErr w:type="spellEnd"/>
      <w:r>
        <w:rPr>
          <w:rFonts w:asciiTheme="minorHAnsi" w:hAnsiTheme="minorHAnsi" w:cstheme="minorHAnsi"/>
        </w:rPr>
        <w:t xml:space="preserve"> capsules (oral </w:t>
      </w:r>
      <w:proofErr w:type="spellStart"/>
      <w:r>
        <w:rPr>
          <w:rFonts w:asciiTheme="minorHAnsi" w:hAnsiTheme="minorHAnsi" w:cstheme="minorHAnsi"/>
        </w:rPr>
        <w:t>netupitan</w:t>
      </w:r>
      <w:r w:rsidR="00F86B41">
        <w:rPr>
          <w:rFonts w:asciiTheme="minorHAnsi" w:hAnsiTheme="minorHAnsi" w:cstheme="minorHAnsi"/>
        </w:rPr>
        <w:t>t</w:t>
      </w:r>
      <w:proofErr w:type="spellEnd"/>
      <w:r w:rsidR="00F86B41">
        <w:rPr>
          <w:rFonts w:asciiTheme="minorHAnsi" w:hAnsiTheme="minorHAnsi" w:cstheme="minorHAnsi"/>
        </w:rPr>
        <w:t xml:space="preserve"> 300 mg</w:t>
      </w:r>
      <w:r w:rsidR="009C5889">
        <w:rPr>
          <w:rFonts w:asciiTheme="minorHAnsi" w:hAnsiTheme="minorHAnsi" w:cstheme="minorHAnsi"/>
        </w:rPr>
        <w:t xml:space="preserve"> </w:t>
      </w:r>
      <w:r w:rsidR="00F86B41">
        <w:rPr>
          <w:rFonts w:asciiTheme="minorHAnsi" w:hAnsiTheme="minorHAnsi" w:cstheme="minorHAnsi"/>
        </w:rPr>
        <w:t>/</w:t>
      </w:r>
      <w:r w:rsidR="009C5889">
        <w:rPr>
          <w:rFonts w:asciiTheme="minorHAnsi" w:hAnsiTheme="minorHAnsi" w:cstheme="minorHAnsi"/>
        </w:rPr>
        <w:t xml:space="preserve"> </w:t>
      </w:r>
      <w:proofErr w:type="spellStart"/>
      <w:r w:rsidR="00F86B41">
        <w:rPr>
          <w:rFonts w:asciiTheme="minorHAnsi" w:hAnsiTheme="minorHAnsi" w:cstheme="minorHAnsi"/>
        </w:rPr>
        <w:t>palonosetron</w:t>
      </w:r>
      <w:proofErr w:type="spellEnd"/>
      <w:r w:rsidR="009C5889">
        <w:rPr>
          <w:rFonts w:asciiTheme="minorHAnsi" w:hAnsiTheme="minorHAnsi" w:cstheme="minorHAnsi"/>
        </w:rPr>
        <w:t> </w:t>
      </w:r>
      <w:r w:rsidR="00F86B41">
        <w:rPr>
          <w:rFonts w:asciiTheme="minorHAnsi" w:hAnsiTheme="minorHAnsi" w:cstheme="minorHAnsi"/>
        </w:rPr>
        <w:t xml:space="preserve">0.5 mg). </w:t>
      </w:r>
      <w:r>
        <w:rPr>
          <w:rFonts w:asciiTheme="minorHAnsi" w:hAnsiTheme="minorHAnsi" w:cstheme="minorHAnsi"/>
        </w:rPr>
        <w:t xml:space="preserve">This allowed the identification of the IV </w:t>
      </w:r>
      <w:proofErr w:type="spellStart"/>
      <w:r>
        <w:rPr>
          <w:rFonts w:asciiTheme="minorHAnsi" w:hAnsiTheme="minorHAnsi" w:cstheme="minorHAnsi"/>
        </w:rPr>
        <w:t>fosnetupitant</w:t>
      </w:r>
      <w:proofErr w:type="spellEnd"/>
      <w:r>
        <w:rPr>
          <w:rFonts w:asciiTheme="minorHAnsi" w:hAnsiTheme="minorHAnsi" w:cstheme="minorHAnsi"/>
        </w:rPr>
        <w:t xml:space="preserve"> dose yielding a </w:t>
      </w:r>
      <w:proofErr w:type="spellStart"/>
      <w:r>
        <w:rPr>
          <w:rFonts w:asciiTheme="minorHAnsi" w:hAnsiTheme="minorHAnsi" w:cstheme="minorHAnsi"/>
        </w:rPr>
        <w:t>netupitant</w:t>
      </w:r>
      <w:proofErr w:type="spellEnd"/>
      <w:r>
        <w:rPr>
          <w:rFonts w:asciiTheme="minorHAnsi" w:hAnsiTheme="minorHAnsi" w:cstheme="minorHAnsi"/>
        </w:rPr>
        <w:t xml:space="preserve"> exposure (</w:t>
      </w:r>
      <w:r w:rsidR="009C5889">
        <w:rPr>
          <w:rFonts w:asciiTheme="minorHAnsi" w:hAnsiTheme="minorHAnsi" w:cstheme="minorHAnsi"/>
        </w:rPr>
        <w:t xml:space="preserve">area under the curve; </w:t>
      </w:r>
      <w:r>
        <w:rPr>
          <w:rFonts w:asciiTheme="minorHAnsi" w:hAnsiTheme="minorHAnsi" w:cstheme="minorHAnsi"/>
        </w:rPr>
        <w:t>AUC) equivalent to that provided by a 300</w:t>
      </w:r>
      <w:r w:rsidR="009C5889">
        <w:rPr>
          <w:rFonts w:asciiTheme="minorHAnsi" w:hAnsiTheme="minorHAnsi" w:cstheme="minorHAnsi"/>
        </w:rPr>
        <w:t> </w:t>
      </w:r>
      <w:r>
        <w:rPr>
          <w:rFonts w:asciiTheme="minorHAnsi" w:hAnsiTheme="minorHAnsi" w:cstheme="minorHAnsi"/>
        </w:rPr>
        <w:t xml:space="preserve">mg dose of oral </w:t>
      </w:r>
      <w:proofErr w:type="spellStart"/>
      <w:r>
        <w:rPr>
          <w:rFonts w:asciiTheme="minorHAnsi" w:hAnsiTheme="minorHAnsi" w:cstheme="minorHAnsi"/>
        </w:rPr>
        <w:t>netupitant</w:t>
      </w:r>
      <w:proofErr w:type="spellEnd"/>
      <w:r>
        <w:rPr>
          <w:rFonts w:asciiTheme="minorHAnsi" w:hAnsiTheme="minorHAnsi" w:cstheme="minorHAnsi"/>
        </w:rPr>
        <w:t>.</w:t>
      </w:r>
    </w:p>
    <w:p w14:paraId="72C82E9F" w14:textId="77777777" w:rsidR="00485C56" w:rsidRDefault="00485C56" w:rsidP="00485C56">
      <w:pPr>
        <w:rPr>
          <w:rFonts w:asciiTheme="minorHAnsi" w:eastAsiaTheme="minorHAnsi" w:hAnsiTheme="minorHAnsi" w:cstheme="minorHAnsi"/>
        </w:rPr>
      </w:pPr>
      <w:r>
        <w:t xml:space="preserve">Part 1 (single ascending dose, SAD) was a parallel group assessment </w:t>
      </w:r>
      <w:r>
        <w:rPr>
          <w:rFonts w:asciiTheme="minorHAnsi" w:hAnsiTheme="minorHAnsi" w:cstheme="minorHAnsi"/>
        </w:rPr>
        <w:t xml:space="preserve">consisting of predefined doses with a crossover extension </w:t>
      </w:r>
      <w:r w:rsidR="00F86B41">
        <w:rPr>
          <w:rFonts w:asciiTheme="minorHAnsi" w:hAnsiTheme="minorHAnsi" w:cstheme="minorHAnsi"/>
        </w:rPr>
        <w:t xml:space="preserve">(SAD-CO) for applicable doses. </w:t>
      </w:r>
      <w:r>
        <w:rPr>
          <w:rFonts w:asciiTheme="minorHAnsi" w:hAnsiTheme="minorHAnsi" w:cstheme="minorHAnsi"/>
        </w:rPr>
        <w:t xml:space="preserve">It was conducted in dose cohorts of 10 subjects (4:1 ratio </w:t>
      </w:r>
      <w:r w:rsidR="00F86B41">
        <w:rPr>
          <w:rFonts w:asciiTheme="minorHAnsi" w:hAnsiTheme="minorHAnsi" w:cstheme="minorHAnsi"/>
        </w:rPr>
        <w:t xml:space="preserve">for </w:t>
      </w:r>
      <w:proofErr w:type="spellStart"/>
      <w:r w:rsidR="00F86B41">
        <w:rPr>
          <w:rFonts w:asciiTheme="minorHAnsi" w:hAnsiTheme="minorHAnsi" w:cstheme="minorHAnsi"/>
        </w:rPr>
        <w:t>fosnetupitant</w:t>
      </w:r>
      <w:proofErr w:type="spellEnd"/>
      <w:r w:rsidR="00F86B41">
        <w:rPr>
          <w:rFonts w:asciiTheme="minorHAnsi" w:hAnsiTheme="minorHAnsi" w:cstheme="minorHAnsi"/>
        </w:rPr>
        <w:t xml:space="preserve"> versus</w:t>
      </w:r>
      <w:r>
        <w:rPr>
          <w:rFonts w:asciiTheme="minorHAnsi" w:hAnsiTheme="minorHAnsi" w:cstheme="minorHAnsi"/>
        </w:rPr>
        <w:t xml:space="preserve"> oral </w:t>
      </w:r>
      <w:r w:rsidR="00F86B41">
        <w:rPr>
          <w:rFonts w:asciiTheme="minorHAnsi" w:hAnsiTheme="minorHAnsi" w:cstheme="minorHAnsi"/>
        </w:rPr>
        <w:t>fixed dose combination (</w:t>
      </w:r>
      <w:r>
        <w:rPr>
          <w:rFonts w:asciiTheme="minorHAnsi" w:hAnsiTheme="minorHAnsi" w:cstheme="minorHAnsi"/>
        </w:rPr>
        <w:t>FDC</w:t>
      </w:r>
      <w:r w:rsidR="00F86B41">
        <w:rPr>
          <w:rFonts w:asciiTheme="minorHAnsi" w:hAnsiTheme="minorHAnsi" w:cstheme="minorHAnsi"/>
        </w:rPr>
        <w:t>)). Eight</w:t>
      </w:r>
      <w:r>
        <w:rPr>
          <w:rFonts w:asciiTheme="minorHAnsi" w:hAnsiTheme="minorHAnsi" w:cstheme="minorHAnsi"/>
        </w:rPr>
        <w:t xml:space="preserve"> doses (19.5, 32.5, 65, 130, 195, 260, 325, 390 mg </w:t>
      </w:r>
      <w:proofErr w:type="spellStart"/>
      <w:r>
        <w:rPr>
          <w:rFonts w:asciiTheme="minorHAnsi" w:hAnsiTheme="minorHAnsi" w:cstheme="minorHAnsi"/>
        </w:rPr>
        <w:t>fosnetupitant</w:t>
      </w:r>
      <w:proofErr w:type="spellEnd"/>
      <w:r>
        <w:rPr>
          <w:rFonts w:asciiTheme="minorHAnsi" w:hAnsiTheme="minorHAnsi" w:cstheme="minorHAnsi"/>
        </w:rPr>
        <w:t xml:space="preserve"> chloride hydrochloride) were pre-defined, with the crossover extension fo</w:t>
      </w:r>
      <w:r w:rsidR="00F86B41">
        <w:rPr>
          <w:rFonts w:asciiTheme="minorHAnsi" w:hAnsiTheme="minorHAnsi" w:cstheme="minorHAnsi"/>
        </w:rPr>
        <w:t xml:space="preserve">r doses from 130 mg to 390 mg. </w:t>
      </w:r>
      <w:r>
        <w:rPr>
          <w:rFonts w:asciiTheme="minorHAnsi" w:hAnsiTheme="minorHAnsi" w:cstheme="minorHAnsi"/>
        </w:rPr>
        <w:t>The safety of each dose was assessed by an independent drug safety monitoring board (DSMB).</w:t>
      </w:r>
    </w:p>
    <w:p w14:paraId="04B18A45" w14:textId="54C5529B" w:rsidR="00485C56" w:rsidRDefault="00485C56" w:rsidP="00485C56">
      <w:pPr>
        <w:rPr>
          <w:rFonts w:asciiTheme="minorHAnsi" w:hAnsiTheme="minorHAnsi" w:cstheme="minorHAnsi"/>
        </w:rPr>
      </w:pPr>
      <w:r>
        <w:rPr>
          <w:rFonts w:asciiTheme="minorHAnsi" w:hAnsiTheme="minorHAnsi" w:cstheme="minorHAnsi"/>
        </w:rPr>
        <w:t>Part 2 (pilot crossover extension</w:t>
      </w:r>
      <w:r w:rsidR="009C5889">
        <w:rPr>
          <w:rFonts w:asciiTheme="minorHAnsi" w:hAnsiTheme="minorHAnsi" w:cstheme="minorHAnsi"/>
        </w:rPr>
        <w:t>;</w:t>
      </w:r>
      <w:r>
        <w:rPr>
          <w:rFonts w:asciiTheme="minorHAnsi" w:hAnsiTheme="minorHAnsi" w:cstheme="minorHAnsi"/>
        </w:rPr>
        <w:t xml:space="preserve"> P-CO) was conducted in dose cohorts of 20 subjects each</w:t>
      </w:r>
      <w:r w:rsidR="00F86B41">
        <w:rPr>
          <w:rFonts w:asciiTheme="minorHAnsi" w:hAnsiTheme="minorHAnsi" w:cstheme="minorHAnsi"/>
        </w:rPr>
        <w:t xml:space="preserve"> (1:1 ratio for </w:t>
      </w:r>
      <w:proofErr w:type="spellStart"/>
      <w:r w:rsidR="00F86B41">
        <w:rPr>
          <w:rFonts w:asciiTheme="minorHAnsi" w:hAnsiTheme="minorHAnsi" w:cstheme="minorHAnsi"/>
        </w:rPr>
        <w:t>fosnetupitant</w:t>
      </w:r>
      <w:proofErr w:type="spellEnd"/>
      <w:r w:rsidR="00F86B41">
        <w:rPr>
          <w:rFonts w:asciiTheme="minorHAnsi" w:hAnsiTheme="minorHAnsi" w:cstheme="minorHAnsi"/>
        </w:rPr>
        <w:t xml:space="preserve"> versus oral FDC). </w:t>
      </w:r>
      <w:r>
        <w:rPr>
          <w:rFonts w:asciiTheme="minorHAnsi" w:hAnsiTheme="minorHAnsi" w:cstheme="minorHAnsi"/>
        </w:rPr>
        <w:t xml:space="preserve">Two doses of </w:t>
      </w:r>
      <w:proofErr w:type="spellStart"/>
      <w:r>
        <w:rPr>
          <w:rFonts w:asciiTheme="minorHAnsi" w:hAnsiTheme="minorHAnsi" w:cstheme="minorHAnsi"/>
        </w:rPr>
        <w:t>fosnetupitant</w:t>
      </w:r>
      <w:proofErr w:type="spellEnd"/>
      <w:r>
        <w:rPr>
          <w:rFonts w:asciiTheme="minorHAnsi" w:hAnsiTheme="minorHAnsi" w:cstheme="minorHAnsi"/>
        </w:rPr>
        <w:t xml:space="preserve"> chloride hydrochloride (195 and 260 mg) were selected bas</w:t>
      </w:r>
      <w:r w:rsidR="00F86B41">
        <w:rPr>
          <w:rFonts w:asciiTheme="minorHAnsi" w:hAnsiTheme="minorHAnsi" w:cstheme="minorHAnsi"/>
        </w:rPr>
        <w:t xml:space="preserve">ed on PK data from the SAD-CO. </w:t>
      </w:r>
      <w:r>
        <w:rPr>
          <w:rFonts w:asciiTheme="minorHAnsi" w:hAnsiTheme="minorHAnsi" w:cstheme="minorHAnsi"/>
        </w:rPr>
        <w:t xml:space="preserve">The 260 mg dose studied is equivalent to 235 mg </w:t>
      </w:r>
      <w:proofErr w:type="spellStart"/>
      <w:r>
        <w:rPr>
          <w:rFonts w:asciiTheme="minorHAnsi" w:hAnsiTheme="minorHAnsi" w:cstheme="minorHAnsi"/>
        </w:rPr>
        <w:t>fosnetupitant</w:t>
      </w:r>
      <w:proofErr w:type="spellEnd"/>
      <w:r>
        <w:rPr>
          <w:rFonts w:asciiTheme="minorHAnsi" w:hAnsiTheme="minorHAnsi" w:cstheme="minorHAnsi"/>
        </w:rPr>
        <w:t xml:space="preserve"> free-base (</w:t>
      </w:r>
      <w:proofErr w:type="spellStart"/>
      <w:r w:rsidR="000D14E3">
        <w:rPr>
          <w:rFonts w:asciiTheme="minorHAnsi" w:hAnsiTheme="minorHAnsi" w:cstheme="minorHAnsi"/>
        </w:rPr>
        <w:t>Akynzeo</w:t>
      </w:r>
      <w:proofErr w:type="spellEnd"/>
      <w:r>
        <w:rPr>
          <w:rFonts w:asciiTheme="minorHAnsi" w:hAnsiTheme="minorHAnsi" w:cstheme="minorHAnsi"/>
        </w:rPr>
        <w:t xml:space="preserve"> IV).</w:t>
      </w:r>
    </w:p>
    <w:p w14:paraId="2A1219F6" w14:textId="6F63226E" w:rsidR="00485C56" w:rsidRDefault="00485C56" w:rsidP="00485C56">
      <w:pPr>
        <w:rPr>
          <w:rFonts w:asciiTheme="minorHAnsi" w:hAnsiTheme="minorHAnsi" w:cstheme="minorHAnsi"/>
        </w:rPr>
      </w:pPr>
      <w:r>
        <w:rPr>
          <w:rFonts w:asciiTheme="minorHAnsi" w:hAnsiTheme="minorHAnsi" w:cstheme="minorHAnsi"/>
        </w:rPr>
        <w:t>Part 3 (final crossover extension</w:t>
      </w:r>
      <w:r w:rsidR="009C5889">
        <w:rPr>
          <w:rFonts w:asciiTheme="minorHAnsi" w:hAnsiTheme="minorHAnsi" w:cstheme="minorHAnsi"/>
        </w:rPr>
        <w:t>;</w:t>
      </w:r>
      <w:r>
        <w:rPr>
          <w:rFonts w:asciiTheme="minorHAnsi" w:hAnsiTheme="minorHAnsi" w:cstheme="minorHAnsi"/>
        </w:rPr>
        <w:t xml:space="preserve"> F-CO) was conducted in 2 dose cohorts of 20 subjects with 2 doses of </w:t>
      </w:r>
      <w:proofErr w:type="spellStart"/>
      <w:r>
        <w:rPr>
          <w:rFonts w:asciiTheme="minorHAnsi" w:hAnsiTheme="minorHAnsi" w:cstheme="minorHAnsi"/>
        </w:rPr>
        <w:t>fosnetupitant</w:t>
      </w:r>
      <w:proofErr w:type="spellEnd"/>
      <w:r>
        <w:rPr>
          <w:rFonts w:asciiTheme="minorHAnsi" w:hAnsiTheme="minorHAnsi" w:cstheme="minorHAnsi"/>
        </w:rPr>
        <w:t xml:space="preserve"> chloride hydrochloride (234 mg and 286 mg, re</w:t>
      </w:r>
      <w:r w:rsidR="00F86B41">
        <w:rPr>
          <w:rFonts w:asciiTheme="minorHAnsi" w:hAnsiTheme="minorHAnsi" w:cstheme="minorHAnsi"/>
        </w:rPr>
        <w:t>presenting 90% and 110% of the ‘target dose’</w:t>
      </w:r>
      <w:r>
        <w:rPr>
          <w:rFonts w:asciiTheme="minorHAnsi" w:hAnsiTheme="minorHAnsi" w:cstheme="minorHAnsi"/>
        </w:rPr>
        <w:t xml:space="preserve"> of 260 mg determined based on the </w:t>
      </w:r>
      <w:proofErr w:type="spellStart"/>
      <w:r>
        <w:rPr>
          <w:rFonts w:asciiTheme="minorHAnsi" w:hAnsiTheme="minorHAnsi" w:cstheme="minorHAnsi"/>
        </w:rPr>
        <w:t>F</w:t>
      </w:r>
      <w:r w:rsidRPr="00814B79">
        <w:rPr>
          <w:rFonts w:asciiTheme="minorHAnsi" w:hAnsiTheme="minorHAnsi" w:cstheme="minorHAnsi"/>
          <w:vertAlign w:val="subscript"/>
        </w:rPr>
        <w:t>rel</w:t>
      </w:r>
      <w:proofErr w:type="spellEnd"/>
      <w:r w:rsidRPr="00814B79">
        <w:rPr>
          <w:rFonts w:asciiTheme="minorHAnsi" w:hAnsiTheme="minorHAnsi" w:cstheme="minorHAnsi"/>
          <w:vertAlign w:val="subscript"/>
        </w:rPr>
        <w:t xml:space="preserve"> IV</w:t>
      </w:r>
      <w:r>
        <w:rPr>
          <w:rFonts w:asciiTheme="minorHAnsi" w:hAnsiTheme="minorHAnsi" w:cstheme="minorHAnsi"/>
        </w:rPr>
        <w:t xml:space="preserve"> </w:t>
      </w:r>
      <w:r w:rsidR="00F86B41">
        <w:rPr>
          <w:rFonts w:asciiTheme="minorHAnsi" w:hAnsiTheme="minorHAnsi" w:cstheme="minorHAnsi"/>
        </w:rPr>
        <w:t xml:space="preserve">derived from </w:t>
      </w:r>
      <w:r w:rsidR="009C5889">
        <w:rPr>
          <w:rFonts w:asciiTheme="minorHAnsi" w:hAnsiTheme="minorHAnsi" w:cstheme="minorHAnsi"/>
        </w:rPr>
        <w:t xml:space="preserve">the </w:t>
      </w:r>
      <w:r w:rsidR="00F86B41">
        <w:rPr>
          <w:rFonts w:asciiTheme="minorHAnsi" w:hAnsiTheme="minorHAnsi" w:cstheme="minorHAnsi"/>
        </w:rPr>
        <w:t>SAD-CO and P-CO.</w:t>
      </w:r>
    </w:p>
    <w:p w14:paraId="137AC23E" w14:textId="36FB79CC" w:rsidR="00485C56" w:rsidRDefault="00485C56" w:rsidP="00F86B41">
      <w:r>
        <w:t>A total of 160 subjects were randomised into the study, of whom 130 were randomised to the crossover treatment (</w:t>
      </w:r>
      <w:r>
        <w:fldChar w:fldCharType="begin"/>
      </w:r>
      <w:r>
        <w:instrText xml:space="preserve"> REF _Ref31612654 \h </w:instrText>
      </w:r>
      <w:r w:rsidR="00F86B41">
        <w:instrText xml:space="preserve"> \* MERGEFORMAT </w:instrText>
      </w:r>
      <w:r>
        <w:fldChar w:fldCharType="separate"/>
      </w:r>
      <w:r w:rsidR="004A5B00" w:rsidRPr="004A5B00">
        <w:rPr>
          <w:szCs w:val="19"/>
        </w:rPr>
        <w:t xml:space="preserve">Figure </w:t>
      </w:r>
      <w:r w:rsidR="004A5B00" w:rsidRPr="004A5B00">
        <w:rPr>
          <w:noProof/>
          <w:szCs w:val="19"/>
        </w:rPr>
        <w:t>3</w:t>
      </w:r>
      <w:r>
        <w:fldChar w:fldCharType="end"/>
      </w:r>
      <w:r w:rsidR="00F86B41">
        <w:t>).</w:t>
      </w:r>
    </w:p>
    <w:p w14:paraId="677A9020" w14:textId="520DF952" w:rsidR="00485C56" w:rsidRPr="002D25D3" w:rsidRDefault="00485C56" w:rsidP="00F86B41">
      <w:pPr>
        <w:pStyle w:val="TableTitle"/>
        <w:rPr>
          <w:rFonts w:asciiTheme="minorHAnsi" w:hAnsiTheme="minorHAnsi" w:cstheme="minorHAnsi"/>
        </w:rPr>
      </w:pPr>
      <w:bookmarkStart w:id="49" w:name="_Ref31612654"/>
      <w:r w:rsidRPr="002D25D3">
        <w:lastRenderedPageBreak/>
        <w:t xml:space="preserve">Figure </w:t>
      </w:r>
      <w:fldSimple w:instr=" SEQ Figure \* ARABIC ">
        <w:r w:rsidR="004A5B00">
          <w:rPr>
            <w:noProof/>
          </w:rPr>
          <w:t>3</w:t>
        </w:r>
      </w:fldSimple>
      <w:bookmarkEnd w:id="49"/>
      <w:r w:rsidR="00F86B41">
        <w:t>: Study PNET-12-23</w:t>
      </w:r>
      <w:r w:rsidR="009C5889">
        <w:t xml:space="preserve"> Schema and </w:t>
      </w:r>
      <w:r w:rsidR="009C5889">
        <w:rPr>
          <w:rFonts w:asciiTheme="minorHAnsi" w:hAnsiTheme="minorHAnsi" w:cstheme="minorHAnsi"/>
        </w:rPr>
        <w:t>s</w:t>
      </w:r>
      <w:r w:rsidRPr="002D25D3">
        <w:rPr>
          <w:rFonts w:asciiTheme="minorHAnsi" w:hAnsiTheme="minorHAnsi" w:cstheme="minorHAnsi"/>
        </w:rPr>
        <w:t>ubject disposition</w:t>
      </w:r>
    </w:p>
    <w:p w14:paraId="63F80007" w14:textId="77777777" w:rsidR="00BD4505" w:rsidRPr="00BD4505" w:rsidRDefault="00BD4505" w:rsidP="00485C56">
      <w:pPr>
        <w:rPr>
          <w:rFonts w:asciiTheme="minorHAnsi" w:hAnsiTheme="minorHAnsi" w:cstheme="minorHAnsi"/>
        </w:rPr>
      </w:pPr>
      <w:r>
        <w:rPr>
          <w:noProof/>
          <w:lang w:eastAsia="en-AU"/>
        </w:rPr>
        <w:drawing>
          <wp:inline distT="0" distB="0" distL="0" distR="0" wp14:anchorId="2EEF9AEB" wp14:editId="1D135C15">
            <wp:extent cx="5400040" cy="2622550"/>
            <wp:effectExtent l="0" t="0" r="0" b="6350"/>
            <wp:docPr id="19" name="Picture 19" descr="Study PNET-12-23 Schema and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622550"/>
                    </a:xfrm>
                    <a:prstGeom prst="rect">
                      <a:avLst/>
                    </a:prstGeom>
                  </pic:spPr>
                </pic:pic>
              </a:graphicData>
            </a:graphic>
          </wp:inline>
        </w:drawing>
      </w:r>
    </w:p>
    <w:p w14:paraId="3C25F5AB" w14:textId="77777777" w:rsidR="00485C56" w:rsidRDefault="00485C56" w:rsidP="00485C56">
      <w:r>
        <w:t xml:space="preserve">After single dose administration of </w:t>
      </w:r>
      <w:proofErr w:type="spellStart"/>
      <w:r w:rsidR="000D14E3">
        <w:t>Akynzeo</w:t>
      </w:r>
      <w:proofErr w:type="spellEnd"/>
      <w:r w:rsidR="00C55896">
        <w:t xml:space="preserve"> as a 30 </w:t>
      </w:r>
      <w:r>
        <w:t xml:space="preserve">minute IV infusion, </w:t>
      </w:r>
      <w:proofErr w:type="spellStart"/>
      <w:r>
        <w:t>fosnetupitant</w:t>
      </w:r>
      <w:proofErr w:type="spellEnd"/>
      <w:r>
        <w:t xml:space="preserve"> achieved </w:t>
      </w:r>
      <w:r w:rsidR="00C55896">
        <w:t>a maximum plasma concentration (</w:t>
      </w:r>
      <w:proofErr w:type="spellStart"/>
      <w:r>
        <w:t>C</w:t>
      </w:r>
      <w:r w:rsidRPr="000427FD">
        <w:rPr>
          <w:vertAlign w:val="subscript"/>
        </w:rPr>
        <w:t>max</w:t>
      </w:r>
      <w:proofErr w:type="spellEnd"/>
      <w:r w:rsidR="00C55896">
        <w:t>)</w:t>
      </w:r>
      <w:r>
        <w:t xml:space="preserve"> at the end of the infusion and disappeared rapidly from the systemic circulation with an apparent terminal half-life </w:t>
      </w:r>
      <w:r w:rsidR="00C55896">
        <w:t xml:space="preserve">lower than one hour. </w:t>
      </w:r>
      <w:r>
        <w:t xml:space="preserve">Within 30 minutes of infusion completion, </w:t>
      </w:r>
      <w:proofErr w:type="spellStart"/>
      <w:r>
        <w:t>fosnetupitant</w:t>
      </w:r>
      <w:proofErr w:type="spellEnd"/>
      <w:r>
        <w:t xml:space="preserve"> concentration decreased to less than 1% of </w:t>
      </w:r>
      <w:proofErr w:type="spellStart"/>
      <w:r>
        <w:t>C</w:t>
      </w:r>
      <w:r w:rsidRPr="000427FD">
        <w:rPr>
          <w:vertAlign w:val="subscript"/>
        </w:rPr>
        <w:t>max</w:t>
      </w:r>
      <w:proofErr w:type="spellEnd"/>
      <w:r>
        <w:t>.</w:t>
      </w:r>
    </w:p>
    <w:p w14:paraId="174E74E5" w14:textId="258A7287" w:rsidR="00485C56" w:rsidRDefault="00485C56" w:rsidP="00485C56">
      <w:r>
        <w:t xml:space="preserve">Bioequivalence with regard to </w:t>
      </w:r>
      <w:proofErr w:type="spellStart"/>
      <w:r>
        <w:t>netupitant</w:t>
      </w:r>
      <w:proofErr w:type="spellEnd"/>
      <w:r>
        <w:t xml:space="preserve"> exposure (AUC) was established for 260 mg IV </w:t>
      </w:r>
      <w:proofErr w:type="spellStart"/>
      <w:r>
        <w:t>fosnetupitant</w:t>
      </w:r>
      <w:proofErr w:type="spellEnd"/>
      <w:r>
        <w:t xml:space="preserve"> relative to 300 mg oral </w:t>
      </w:r>
      <w:proofErr w:type="spellStart"/>
      <w:r>
        <w:t>netupitant</w:t>
      </w:r>
      <w:proofErr w:type="spellEnd"/>
      <w:r>
        <w:t xml:space="preserve"> (</w:t>
      </w:r>
      <w:r>
        <w:fldChar w:fldCharType="begin"/>
      </w:r>
      <w:r>
        <w:instrText xml:space="preserve"> REF _Ref25832931 \h </w:instrText>
      </w:r>
      <w:r>
        <w:fldChar w:fldCharType="separate"/>
      </w:r>
      <w:r w:rsidR="004A5B00">
        <w:t xml:space="preserve">Table </w:t>
      </w:r>
      <w:r w:rsidR="004A5B00">
        <w:rPr>
          <w:noProof/>
        </w:rPr>
        <w:t>3</w:t>
      </w:r>
      <w:r>
        <w:fldChar w:fldCharType="end"/>
      </w:r>
      <w:r w:rsidR="00C55896">
        <w:t xml:space="preserve">). The </w:t>
      </w:r>
      <w:proofErr w:type="spellStart"/>
      <w:r>
        <w:t>C</w:t>
      </w:r>
      <w:r w:rsidRPr="00916510">
        <w:rPr>
          <w:vertAlign w:val="subscript"/>
        </w:rPr>
        <w:t>max</w:t>
      </w:r>
      <w:proofErr w:type="spellEnd"/>
      <w:r>
        <w:t xml:space="preserve"> of </w:t>
      </w:r>
      <w:proofErr w:type="spellStart"/>
      <w:r>
        <w:t>n</w:t>
      </w:r>
      <w:r w:rsidR="00C55896">
        <w:t>etupitant</w:t>
      </w:r>
      <w:proofErr w:type="spellEnd"/>
      <w:r w:rsidR="00C55896">
        <w:t xml:space="preserve"> was approximately 1.5 </w:t>
      </w:r>
      <w:r>
        <w:t xml:space="preserve">fold higher for 260 mg IV </w:t>
      </w:r>
      <w:proofErr w:type="spellStart"/>
      <w:r>
        <w:t>fosnetupitant</w:t>
      </w:r>
      <w:proofErr w:type="spellEnd"/>
      <w:r>
        <w:t xml:space="preserve"> compared to 300 mg oral </w:t>
      </w:r>
      <w:proofErr w:type="spellStart"/>
      <w:r>
        <w:t>netupitant</w:t>
      </w:r>
      <w:proofErr w:type="spellEnd"/>
      <w:r>
        <w:t>.</w:t>
      </w:r>
    </w:p>
    <w:p w14:paraId="37E72B84" w14:textId="2D21ADCE" w:rsidR="00C55896" w:rsidRDefault="00C55896" w:rsidP="00C55896">
      <w:pPr>
        <w:pStyle w:val="TableTitle"/>
      </w:pPr>
      <w:bookmarkStart w:id="50" w:name="_Ref25832931"/>
      <w:r>
        <w:t xml:space="preserve">Table </w:t>
      </w:r>
      <w:fldSimple w:instr=" SEQ Table \* ARABIC ">
        <w:r w:rsidR="004A5B00">
          <w:rPr>
            <w:noProof/>
          </w:rPr>
          <w:t>3</w:t>
        </w:r>
      </w:fldSimple>
      <w:bookmarkEnd w:id="50"/>
      <w:r>
        <w:t xml:space="preserve">: Study PNET-12-23 Bioequivalence assessment of 260 mg intravenous </w:t>
      </w:r>
      <w:proofErr w:type="spellStart"/>
      <w:r>
        <w:t>fosnetupitant</w:t>
      </w:r>
      <w:proofErr w:type="spellEnd"/>
      <w:r>
        <w:t xml:space="preserve"> versus 300 mg oral </w:t>
      </w:r>
      <w:proofErr w:type="spellStart"/>
      <w:r>
        <w:t>netupitant</w:t>
      </w:r>
      <w:proofErr w:type="spellEnd"/>
      <w:r>
        <w:t xml:space="preserve"> based on </w:t>
      </w:r>
      <w:proofErr w:type="spellStart"/>
      <w:r>
        <w:t>netupitant</w:t>
      </w:r>
      <w:proofErr w:type="spellEnd"/>
      <w:r>
        <w:t xml:space="preserve"> pharmacokinetic parameters</w:t>
      </w:r>
    </w:p>
    <w:p w14:paraId="3A7D34E1" w14:textId="77777777" w:rsidR="00C55896" w:rsidRPr="00C55896" w:rsidRDefault="00C55896" w:rsidP="00C55896">
      <w:pPr>
        <w:pStyle w:val="TableDescription"/>
      </w:pPr>
      <w:r>
        <w:rPr>
          <w:noProof/>
          <w:lang w:eastAsia="en-AU"/>
        </w:rPr>
        <w:drawing>
          <wp:inline distT="0" distB="0" distL="0" distR="0" wp14:anchorId="3B87EB73" wp14:editId="65013A47">
            <wp:extent cx="5095875" cy="2462247"/>
            <wp:effectExtent l="0" t="0" r="0" b="0"/>
            <wp:docPr id="2" name="Picture 2" descr="Study PNET-12-23 Bioequivalence assessment of 260 mg intravenous fosnetupitant versus 300 mg oral netupitant based on netupitant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6003" cy="2471972"/>
                    </a:xfrm>
                    <a:prstGeom prst="rect">
                      <a:avLst/>
                    </a:prstGeom>
                  </pic:spPr>
                </pic:pic>
              </a:graphicData>
            </a:graphic>
          </wp:inline>
        </w:drawing>
      </w:r>
    </w:p>
    <w:p w14:paraId="706271FA" w14:textId="17C4526E" w:rsidR="00C55896" w:rsidRPr="00C55896" w:rsidRDefault="00C55896" w:rsidP="00C55896">
      <w:pPr>
        <w:pStyle w:val="TableDescription"/>
      </w:pPr>
      <w:r>
        <w:t>S</w:t>
      </w:r>
      <w:r w:rsidRPr="00C55896">
        <w:t>ource: FDA review</w:t>
      </w:r>
      <w:r>
        <w:t>.</w:t>
      </w:r>
      <w:r>
        <w:fldChar w:fldCharType="begin"/>
      </w:r>
      <w:r>
        <w:instrText xml:space="preserve"> NOTEREF _Ref48239590 \f \h </w:instrText>
      </w:r>
      <w:r>
        <w:fldChar w:fldCharType="separate"/>
      </w:r>
      <w:r w:rsidR="004A5B00" w:rsidRPr="004A5B00">
        <w:rPr>
          <w:rStyle w:val="FootnoteReference"/>
        </w:rPr>
        <w:t>16</w:t>
      </w:r>
      <w:r>
        <w:fldChar w:fldCharType="end"/>
      </w:r>
    </w:p>
    <w:p w14:paraId="0BBB86A6" w14:textId="77777777" w:rsidR="00C55896" w:rsidRDefault="00C55896" w:rsidP="002D3874">
      <w:pPr>
        <w:pStyle w:val="Heading5"/>
        <w:pageBreakBefore/>
      </w:pPr>
      <w:r>
        <w:lastRenderedPageBreak/>
        <w:t xml:space="preserve">Study </w:t>
      </w:r>
      <w:r w:rsidR="00182BCC" w:rsidRPr="00182BCC">
        <w:t>PNET-13-63</w:t>
      </w:r>
    </w:p>
    <w:p w14:paraId="3429477A" w14:textId="137F56EB" w:rsidR="00485C56" w:rsidRDefault="00182BCC" w:rsidP="00485C56">
      <w:r w:rsidRPr="00182BCC">
        <w:t xml:space="preserve">Study </w:t>
      </w:r>
      <w:r w:rsidR="00485C56" w:rsidRPr="00182BCC">
        <w:t>PNET-13-63</w:t>
      </w:r>
      <w:r w:rsidR="009C5889">
        <w:t>;</w:t>
      </w:r>
      <w:r w:rsidR="009C5889" w:rsidRPr="00CB62EC">
        <w:rPr>
          <w:vertAlign w:val="superscript"/>
        </w:rPr>
        <w:fldChar w:fldCharType="begin"/>
      </w:r>
      <w:r w:rsidR="009C5889" w:rsidRPr="00CB62EC">
        <w:rPr>
          <w:vertAlign w:val="superscript"/>
        </w:rPr>
        <w:instrText xml:space="preserve"> NOTEREF _Ref51801877 \h </w:instrText>
      </w:r>
      <w:r w:rsidR="009C5889">
        <w:rPr>
          <w:vertAlign w:val="superscript"/>
        </w:rPr>
        <w:instrText xml:space="preserve"> \* MERGEFORMAT </w:instrText>
      </w:r>
      <w:r w:rsidR="009C5889" w:rsidRPr="00CB62EC">
        <w:rPr>
          <w:vertAlign w:val="superscript"/>
        </w:rPr>
      </w:r>
      <w:r w:rsidR="009C5889" w:rsidRPr="00CB62EC">
        <w:rPr>
          <w:vertAlign w:val="superscript"/>
        </w:rPr>
        <w:fldChar w:fldCharType="separate"/>
      </w:r>
      <w:r w:rsidR="004A5B00">
        <w:rPr>
          <w:vertAlign w:val="superscript"/>
        </w:rPr>
        <w:t>11</w:t>
      </w:r>
      <w:r w:rsidR="009C5889" w:rsidRPr="00CB62EC">
        <w:rPr>
          <w:vertAlign w:val="superscript"/>
        </w:rPr>
        <w:fldChar w:fldCharType="end"/>
      </w:r>
      <w:r w:rsidR="00485C56" w:rsidRPr="00182BCC">
        <w:t xml:space="preserve"> was</w:t>
      </w:r>
      <w:r w:rsidR="00485C56">
        <w:t xml:space="preserve"> </w:t>
      </w:r>
      <w:r>
        <w:t xml:space="preserve">a randomised three </w:t>
      </w:r>
      <w:r w:rsidR="00485C56">
        <w:t xml:space="preserve">period, crossover study in healthy subjects to assess the effect of single dose IV </w:t>
      </w:r>
      <w:proofErr w:type="spellStart"/>
      <w:r w:rsidR="00485C56">
        <w:t>fosnetupitant</w:t>
      </w:r>
      <w:proofErr w:type="spellEnd"/>
      <w:r w:rsidR="00485C56">
        <w:t xml:space="preserve"> on</w:t>
      </w:r>
      <w:r>
        <w:t xml:space="preserve"> the PK of oral dexamethasone. </w:t>
      </w:r>
      <w:r w:rsidR="00485C56">
        <w:t xml:space="preserve">The study tested three IV doses of </w:t>
      </w:r>
      <w:proofErr w:type="spellStart"/>
      <w:r w:rsidR="00485C56">
        <w:t>fosnetupitant</w:t>
      </w:r>
      <w:proofErr w:type="spellEnd"/>
      <w:r w:rsidR="00485C56">
        <w:t xml:space="preserve"> (130 mg, </w:t>
      </w:r>
      <w:r>
        <w:t xml:space="preserve">195 mg, 260 mg) and a placebo. </w:t>
      </w:r>
      <w:r w:rsidR="00485C56">
        <w:t xml:space="preserve">The dose of oral dexamethasone was 20 mg on Day 1, and 8 mg </w:t>
      </w:r>
      <w:r>
        <w:t>twice daily (</w:t>
      </w:r>
      <w:r w:rsidR="00485C56">
        <w:t>BID</w:t>
      </w:r>
      <w:r>
        <w:t xml:space="preserve">) on Days 2, 3 and 4. </w:t>
      </w:r>
      <w:r w:rsidR="00485C56">
        <w:t>Dexamethason</w:t>
      </w:r>
      <w:r>
        <w:t xml:space="preserve">e exposure (AUC) was increased approximately 1.5 fold on Day 1 and approximately 2.4 </w:t>
      </w:r>
      <w:r w:rsidR="00485C56">
        <w:t xml:space="preserve">fold on Day 4 when co-administered with a single IV dose of </w:t>
      </w:r>
      <w:proofErr w:type="spellStart"/>
      <w:r w:rsidR="00485C56">
        <w:t>fosnetupitant</w:t>
      </w:r>
      <w:proofErr w:type="spellEnd"/>
      <w:r w:rsidR="00485C56">
        <w:t xml:space="preserve"> 260 mg.</w:t>
      </w:r>
    </w:p>
    <w:p w14:paraId="2EA7DD80" w14:textId="77777777" w:rsidR="00182BCC" w:rsidRDefault="00182BCC" w:rsidP="00182BCC">
      <w:pPr>
        <w:pStyle w:val="Heading5"/>
      </w:pPr>
      <w:r>
        <w:t xml:space="preserve">Study </w:t>
      </w:r>
      <w:r w:rsidRPr="00182BCC">
        <w:t>NEPA-15-19</w:t>
      </w:r>
    </w:p>
    <w:p w14:paraId="78E94A98" w14:textId="77777777" w:rsidR="00485C56" w:rsidRDefault="00182BCC" w:rsidP="00485C56">
      <w:r w:rsidRPr="00182BCC">
        <w:t xml:space="preserve">Study </w:t>
      </w:r>
      <w:r w:rsidR="00485C56" w:rsidRPr="00182BCC">
        <w:t>NEPA-15-19 was</w:t>
      </w:r>
      <w:r w:rsidR="00485C56">
        <w:t xml:space="preserve"> </w:t>
      </w:r>
      <w:r>
        <w:t xml:space="preserve">a Phase I, open </w:t>
      </w:r>
      <w:r w:rsidR="00485C56">
        <w:t xml:space="preserve">label study to evaluate the PK and safety of </w:t>
      </w:r>
      <w:proofErr w:type="spellStart"/>
      <w:r w:rsidR="000D14E3">
        <w:t>Akynzeo</w:t>
      </w:r>
      <w:proofErr w:type="spellEnd"/>
      <w:r>
        <w:t xml:space="preserve"> IV administered by 30 </w:t>
      </w:r>
      <w:r w:rsidR="00485C56">
        <w:t>minute IV infusion in cancer patie</w:t>
      </w:r>
      <w:r>
        <w:t xml:space="preserve">nts receiving HEC (cisplatin). </w:t>
      </w:r>
      <w:proofErr w:type="spellStart"/>
      <w:r w:rsidR="00485C56">
        <w:t>C</w:t>
      </w:r>
      <w:r w:rsidR="00485C56" w:rsidRPr="00D855FF">
        <w:rPr>
          <w:vertAlign w:val="subscript"/>
        </w:rPr>
        <w:t>max</w:t>
      </w:r>
      <w:proofErr w:type="spellEnd"/>
      <w:r w:rsidR="00485C56">
        <w:t xml:space="preserve"> of </w:t>
      </w:r>
      <w:proofErr w:type="spellStart"/>
      <w:r w:rsidR="00485C56">
        <w:t>netupitant</w:t>
      </w:r>
      <w:proofErr w:type="spellEnd"/>
      <w:r w:rsidR="00485C56">
        <w:t xml:space="preserve"> and </w:t>
      </w:r>
      <w:proofErr w:type="spellStart"/>
      <w:r w:rsidR="00485C56">
        <w:t>palonosetron</w:t>
      </w:r>
      <w:proofErr w:type="spellEnd"/>
      <w:r w:rsidR="00485C56">
        <w:t xml:space="preserve"> wa</w:t>
      </w:r>
      <w:r>
        <w:t>s achieved at the end of the 30 minute infusion. S</w:t>
      </w:r>
      <w:r w:rsidR="00485C56">
        <w:t xml:space="preserve">ystemic exposure to </w:t>
      </w:r>
      <w:proofErr w:type="spellStart"/>
      <w:r w:rsidR="00485C56">
        <w:t>netupitant</w:t>
      </w:r>
      <w:proofErr w:type="spellEnd"/>
      <w:r w:rsidR="00485C56">
        <w:t xml:space="preserve"> and </w:t>
      </w:r>
      <w:proofErr w:type="spellStart"/>
      <w:r w:rsidR="00485C56">
        <w:t>palonosetron</w:t>
      </w:r>
      <w:proofErr w:type="spellEnd"/>
      <w:r w:rsidR="00485C56">
        <w:t xml:space="preserve"> was comparable in cancer</w:t>
      </w:r>
      <w:r>
        <w:t xml:space="preserve"> patients and healthy subjects.</w:t>
      </w:r>
    </w:p>
    <w:p w14:paraId="28DF93EB" w14:textId="77777777" w:rsidR="00485C56" w:rsidRDefault="00485C56" w:rsidP="00485C56">
      <w:pPr>
        <w:pStyle w:val="Heading4"/>
        <w:spacing w:before="240"/>
      </w:pPr>
      <w:r>
        <w:t>Efficacy</w:t>
      </w:r>
    </w:p>
    <w:p w14:paraId="243A6B06" w14:textId="77777777" w:rsidR="00182BCC" w:rsidRPr="00182BCC" w:rsidRDefault="00182BCC" w:rsidP="00182BCC">
      <w:pPr>
        <w:pStyle w:val="Heading5"/>
      </w:pPr>
      <w:r>
        <w:t xml:space="preserve">Study </w:t>
      </w:r>
      <w:r w:rsidRPr="00182BCC">
        <w:t>PALO-15-17</w:t>
      </w:r>
    </w:p>
    <w:p w14:paraId="7028980C" w14:textId="75532D43" w:rsidR="00485C56" w:rsidRDefault="00182BCC" w:rsidP="00485C56">
      <w:r w:rsidRPr="00182BCC">
        <w:t xml:space="preserve">Study </w:t>
      </w:r>
      <w:r w:rsidR="00485C56" w:rsidRPr="00182BCC">
        <w:t>PALO-15-17</w:t>
      </w:r>
      <w:r w:rsidR="00C801BC">
        <w:t>;</w:t>
      </w:r>
      <w:r w:rsidR="009C5889" w:rsidRPr="00CB62EC">
        <w:rPr>
          <w:vertAlign w:val="superscript"/>
        </w:rPr>
        <w:fldChar w:fldCharType="begin"/>
      </w:r>
      <w:r w:rsidR="009C5889" w:rsidRPr="00CB62EC">
        <w:rPr>
          <w:vertAlign w:val="superscript"/>
        </w:rPr>
        <w:instrText xml:space="preserve"> NOTEREF _Ref51801928 \h </w:instrText>
      </w:r>
      <w:r w:rsidR="009C5889">
        <w:rPr>
          <w:vertAlign w:val="superscript"/>
        </w:rPr>
        <w:instrText xml:space="preserve"> \* MERGEFORMAT </w:instrText>
      </w:r>
      <w:r w:rsidR="009C5889" w:rsidRPr="00CB62EC">
        <w:rPr>
          <w:vertAlign w:val="superscript"/>
        </w:rPr>
      </w:r>
      <w:r w:rsidR="009C5889" w:rsidRPr="00CB62EC">
        <w:rPr>
          <w:vertAlign w:val="superscript"/>
        </w:rPr>
        <w:fldChar w:fldCharType="separate"/>
      </w:r>
      <w:r w:rsidR="004A5B00">
        <w:rPr>
          <w:vertAlign w:val="superscript"/>
        </w:rPr>
        <w:t>13</w:t>
      </w:r>
      <w:r w:rsidR="009C5889" w:rsidRPr="00CB62EC">
        <w:rPr>
          <w:vertAlign w:val="superscript"/>
        </w:rPr>
        <w:fldChar w:fldCharType="end"/>
      </w:r>
      <w:r w:rsidR="00485C56" w:rsidRPr="00182BCC">
        <w:t xml:space="preserve"> </w:t>
      </w:r>
      <w:r w:rsidR="00485C56">
        <w:t xml:space="preserve">was a </w:t>
      </w:r>
      <w:r>
        <w:rPr>
          <w:rFonts w:asciiTheme="minorHAnsi" w:hAnsiTheme="minorHAnsi" w:cstheme="minorHAnsi"/>
        </w:rPr>
        <w:t>Phase III</w:t>
      </w:r>
      <w:r w:rsidR="00485C56">
        <w:rPr>
          <w:rFonts w:asciiTheme="minorHAnsi" w:hAnsiTheme="minorHAnsi" w:cstheme="minorHAnsi"/>
        </w:rPr>
        <w:t>, single-dose, multi-centre</w:t>
      </w:r>
      <w:r w:rsidR="00485C56" w:rsidRPr="001C0879">
        <w:rPr>
          <w:rFonts w:asciiTheme="minorHAnsi" w:hAnsiTheme="minorHAnsi" w:cstheme="minorHAnsi"/>
        </w:rPr>
        <w:t>, randomi</w:t>
      </w:r>
      <w:r w:rsidR="00485C56">
        <w:rPr>
          <w:rFonts w:asciiTheme="minorHAnsi" w:hAnsiTheme="minorHAnsi" w:cstheme="minorHAnsi"/>
        </w:rPr>
        <w:t>s</w:t>
      </w:r>
      <w:r w:rsidR="00485C56" w:rsidRPr="001C0879">
        <w:rPr>
          <w:rFonts w:asciiTheme="minorHAnsi" w:hAnsiTheme="minorHAnsi" w:cstheme="minorHAnsi"/>
        </w:rPr>
        <w:t xml:space="preserve">ed, double-blind, parallel group study to assess the efficacy and safety of </w:t>
      </w:r>
      <w:proofErr w:type="spellStart"/>
      <w:r w:rsidR="00485C56" w:rsidRPr="001C0879">
        <w:rPr>
          <w:rFonts w:asciiTheme="minorHAnsi" w:hAnsiTheme="minorHAnsi" w:cstheme="minorHAnsi"/>
        </w:rPr>
        <w:t>palonosetron</w:t>
      </w:r>
      <w:proofErr w:type="spellEnd"/>
      <w:r w:rsidR="00485C56" w:rsidRPr="001C0879">
        <w:rPr>
          <w:rFonts w:asciiTheme="minorHAnsi" w:hAnsiTheme="minorHAnsi" w:cstheme="minorHAnsi"/>
        </w:rPr>
        <w:t xml:space="preserve"> 0.25 mg administered as a 30</w:t>
      </w:r>
      <w:r>
        <w:rPr>
          <w:rFonts w:asciiTheme="minorHAnsi" w:hAnsiTheme="minorHAnsi" w:cstheme="minorHAnsi"/>
        </w:rPr>
        <w:t xml:space="preserve"> </w:t>
      </w:r>
      <w:r w:rsidR="00485C56" w:rsidRPr="001C0879">
        <w:rPr>
          <w:rFonts w:asciiTheme="minorHAnsi" w:hAnsiTheme="minorHAnsi" w:cstheme="minorHAnsi"/>
        </w:rPr>
        <w:t xml:space="preserve">minute IV infusion compared to </w:t>
      </w:r>
      <w:proofErr w:type="spellStart"/>
      <w:r w:rsidR="00485C56" w:rsidRPr="001C0879">
        <w:rPr>
          <w:rFonts w:asciiTheme="minorHAnsi" w:hAnsiTheme="minorHAnsi" w:cstheme="minorHAnsi"/>
        </w:rPr>
        <w:t>palonosetron</w:t>
      </w:r>
      <w:proofErr w:type="spellEnd"/>
      <w:r w:rsidR="00485C56" w:rsidRPr="001C0879">
        <w:rPr>
          <w:rFonts w:asciiTheme="minorHAnsi" w:hAnsiTheme="minorHAnsi" w:cstheme="minorHAnsi"/>
        </w:rPr>
        <w:t xml:space="preserve"> 0.25 mg administered as a 3</w:t>
      </w:r>
      <w:r>
        <w:rPr>
          <w:rFonts w:asciiTheme="minorHAnsi" w:hAnsiTheme="minorHAnsi" w:cstheme="minorHAnsi"/>
        </w:rPr>
        <w:t xml:space="preserve">0 </w:t>
      </w:r>
      <w:r w:rsidR="00485C56" w:rsidRPr="001C0879">
        <w:rPr>
          <w:rFonts w:asciiTheme="minorHAnsi" w:hAnsiTheme="minorHAnsi" w:cstheme="minorHAnsi"/>
        </w:rPr>
        <w:t xml:space="preserve">second IV bolus for the prevention of </w:t>
      </w:r>
      <w:r>
        <w:rPr>
          <w:rFonts w:asciiTheme="minorHAnsi" w:hAnsiTheme="minorHAnsi" w:cstheme="minorHAnsi"/>
        </w:rPr>
        <w:t>CINV</w:t>
      </w:r>
      <w:r w:rsidR="00485C56">
        <w:rPr>
          <w:rFonts w:asciiTheme="minorHAnsi" w:hAnsiTheme="minorHAnsi" w:cstheme="minorHAnsi"/>
        </w:rPr>
        <w:t xml:space="preserve"> </w:t>
      </w:r>
      <w:r w:rsidR="00485C56" w:rsidRPr="001C0879">
        <w:rPr>
          <w:rFonts w:asciiTheme="minorHAnsi" w:hAnsiTheme="minorHAnsi" w:cstheme="minorHAnsi"/>
        </w:rPr>
        <w:t xml:space="preserve">in cancer patients receiving </w:t>
      </w:r>
      <w:r>
        <w:rPr>
          <w:rFonts w:asciiTheme="minorHAnsi" w:hAnsiTheme="minorHAnsi" w:cstheme="minorHAnsi"/>
        </w:rPr>
        <w:t>HEC</w:t>
      </w:r>
      <w:r w:rsidR="00703871">
        <w:rPr>
          <w:rFonts w:asciiTheme="minorHAnsi" w:hAnsiTheme="minorHAnsi" w:cstheme="minorHAnsi"/>
        </w:rPr>
        <w:t xml:space="preserve"> (</w:t>
      </w:r>
      <w:r w:rsidR="00703871">
        <w:rPr>
          <w:rFonts w:asciiTheme="minorHAnsi" w:hAnsiTheme="minorHAnsi" w:cstheme="minorHAnsi"/>
        </w:rPr>
        <w:fldChar w:fldCharType="begin"/>
      </w:r>
      <w:r w:rsidR="00703871">
        <w:rPr>
          <w:rFonts w:asciiTheme="minorHAnsi" w:hAnsiTheme="minorHAnsi" w:cstheme="minorHAnsi"/>
        </w:rPr>
        <w:instrText xml:space="preserve"> REF _Ref48240640 \h </w:instrText>
      </w:r>
      <w:r w:rsidR="00703871">
        <w:rPr>
          <w:rFonts w:asciiTheme="minorHAnsi" w:hAnsiTheme="minorHAnsi" w:cstheme="minorHAnsi"/>
        </w:rPr>
      </w:r>
      <w:r w:rsidR="00703871">
        <w:rPr>
          <w:rFonts w:asciiTheme="minorHAnsi" w:hAnsiTheme="minorHAnsi" w:cstheme="minorHAnsi"/>
        </w:rPr>
        <w:fldChar w:fldCharType="separate"/>
      </w:r>
      <w:r w:rsidR="004A5B00">
        <w:t xml:space="preserve">Table </w:t>
      </w:r>
      <w:r w:rsidR="004A5B00">
        <w:rPr>
          <w:noProof/>
        </w:rPr>
        <w:t>4</w:t>
      </w:r>
      <w:r w:rsidR="00703871">
        <w:rPr>
          <w:rFonts w:asciiTheme="minorHAnsi" w:hAnsiTheme="minorHAnsi" w:cstheme="minorHAnsi"/>
        </w:rPr>
        <w:fldChar w:fldCharType="end"/>
      </w:r>
      <w:r w:rsidR="00703871">
        <w:rPr>
          <w:rFonts w:asciiTheme="minorHAnsi" w:hAnsiTheme="minorHAnsi" w:cstheme="minorHAnsi"/>
        </w:rPr>
        <w:t>).</w:t>
      </w:r>
      <w:r>
        <w:rPr>
          <w:rFonts w:asciiTheme="minorHAnsi" w:hAnsiTheme="minorHAnsi" w:cstheme="minorHAnsi"/>
        </w:rPr>
        <w:t xml:space="preserve"> </w:t>
      </w:r>
      <w:r w:rsidR="00485C56">
        <w:t>The primary objective was to demons</w:t>
      </w:r>
      <w:r w:rsidR="00B5402D">
        <w:t xml:space="preserve">trate non-inferiority of the 30 </w:t>
      </w:r>
      <w:r w:rsidR="00485C56">
        <w:t>m</w:t>
      </w:r>
      <w:r w:rsidR="00B5402D">
        <w:t xml:space="preserve">inute IV infusion versus the 30 </w:t>
      </w:r>
      <w:r w:rsidR="00485C56">
        <w:t>second IV bolus in terms of a complet</w:t>
      </w:r>
      <w:r w:rsidR="00B5402D">
        <w:t xml:space="preserve">e response in the acute phase. </w:t>
      </w:r>
      <w:r w:rsidR="00485C56">
        <w:t xml:space="preserve">This would establish the efficacy of the </w:t>
      </w:r>
      <w:proofErr w:type="spellStart"/>
      <w:r w:rsidR="00485C56">
        <w:t>palonosetron</w:t>
      </w:r>
      <w:proofErr w:type="spellEnd"/>
      <w:r w:rsidR="00485C56">
        <w:t xml:space="preserve"> component of </w:t>
      </w:r>
      <w:proofErr w:type="spellStart"/>
      <w:r w:rsidR="000D14E3">
        <w:t>Akynzeo</w:t>
      </w:r>
      <w:proofErr w:type="spellEnd"/>
      <w:r w:rsidR="00485C56">
        <w:t xml:space="preserve"> IV, based on the established efficacy of </w:t>
      </w:r>
      <w:proofErr w:type="spellStart"/>
      <w:r w:rsidR="00B5402D">
        <w:t>Aloxi</w:t>
      </w:r>
      <w:proofErr w:type="spellEnd"/>
      <w:r w:rsidR="004C6B9B">
        <w:t xml:space="preserve"> (</w:t>
      </w:r>
      <w:proofErr w:type="spellStart"/>
      <w:r w:rsidR="004C6B9B">
        <w:t>palonestron</w:t>
      </w:r>
      <w:proofErr w:type="spellEnd"/>
      <w:r w:rsidR="004C6B9B">
        <w:t>, solution for IV injection)</w:t>
      </w:r>
      <w:r w:rsidR="00485C56">
        <w:t>.</w:t>
      </w:r>
    </w:p>
    <w:p w14:paraId="7286CB02" w14:textId="4135BE01" w:rsidR="00703871" w:rsidRDefault="00703871" w:rsidP="00703871">
      <w:pPr>
        <w:pStyle w:val="TableTitle"/>
      </w:pPr>
      <w:bookmarkStart w:id="51" w:name="_Ref48240640"/>
      <w:r>
        <w:t xml:space="preserve">Table </w:t>
      </w:r>
      <w:fldSimple w:instr=" SEQ Table \* ARABIC ">
        <w:r w:rsidR="004A5B00">
          <w:rPr>
            <w:noProof/>
          </w:rPr>
          <w:t>4</w:t>
        </w:r>
      </w:fldSimple>
      <w:bookmarkEnd w:id="51"/>
      <w:r>
        <w:t>: Study PALO 15-17 Dosing schedule</w:t>
      </w:r>
    </w:p>
    <w:p w14:paraId="382708A2" w14:textId="77777777" w:rsidR="00703871" w:rsidRDefault="00703871" w:rsidP="00703871">
      <w:r>
        <w:rPr>
          <w:noProof/>
          <w:lang w:eastAsia="en-AU"/>
        </w:rPr>
        <w:drawing>
          <wp:inline distT="0" distB="0" distL="0" distR="0" wp14:anchorId="4C8300E6" wp14:editId="58C64D6C">
            <wp:extent cx="5400040" cy="3395980"/>
            <wp:effectExtent l="0" t="0" r="0" b="0"/>
            <wp:docPr id="21" name="Picture 21" descr="Study PALO 15-17 Dos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395980"/>
                    </a:xfrm>
                    <a:prstGeom prst="rect">
                      <a:avLst/>
                    </a:prstGeom>
                  </pic:spPr>
                </pic:pic>
              </a:graphicData>
            </a:graphic>
          </wp:inline>
        </w:drawing>
      </w:r>
    </w:p>
    <w:p w14:paraId="605E0084" w14:textId="2DB7ADFB" w:rsidR="00485C56" w:rsidRDefault="00485C56" w:rsidP="002D3874">
      <w:pPr>
        <w:pageBreakBefore/>
        <w:rPr>
          <w:rFonts w:asciiTheme="minorHAnsi" w:hAnsiTheme="minorHAnsi" w:cstheme="minorHAnsi"/>
        </w:rPr>
      </w:pPr>
      <w:r>
        <w:lastRenderedPageBreak/>
        <w:t xml:space="preserve">The study recruited adult patients with histologically or </w:t>
      </w:r>
      <w:proofErr w:type="spellStart"/>
      <w:r>
        <w:t>cytologically</w:t>
      </w:r>
      <w:proofErr w:type="spellEnd"/>
      <w:r>
        <w:t xml:space="preserve"> confirmed solid tumour malignancy who were naïve to cytotoxic chemotherapy and were </w:t>
      </w:r>
      <w:r>
        <w:rPr>
          <w:rFonts w:asciiTheme="minorHAnsi" w:hAnsiTheme="minorHAnsi" w:cstheme="minorHAnsi"/>
        </w:rPr>
        <w:t>s</w:t>
      </w:r>
      <w:r w:rsidRPr="001C0879">
        <w:rPr>
          <w:rFonts w:asciiTheme="minorHAnsi" w:hAnsiTheme="minorHAnsi" w:cstheme="minorHAnsi"/>
        </w:rPr>
        <w:t xml:space="preserve">cheduled to receive </w:t>
      </w:r>
      <w:r>
        <w:rPr>
          <w:rFonts w:asciiTheme="minorHAnsi" w:hAnsiTheme="minorHAnsi" w:cstheme="minorHAnsi"/>
        </w:rPr>
        <w:t xml:space="preserve">the </w:t>
      </w:r>
      <w:r w:rsidRPr="001C0879">
        <w:rPr>
          <w:rFonts w:asciiTheme="minorHAnsi" w:hAnsiTheme="minorHAnsi" w:cstheme="minorHAnsi"/>
        </w:rPr>
        <w:t>first course of one of the following reference HEC, alone or in combination with other chemotherapeutic agents on Day 1: cisplatin administe</w:t>
      </w:r>
      <w:r w:rsidR="00B5402D">
        <w:rPr>
          <w:rFonts w:asciiTheme="minorHAnsi" w:hAnsiTheme="minorHAnsi" w:cstheme="minorHAnsi"/>
        </w:rPr>
        <w:t xml:space="preserve">red as a single IV dose of </w:t>
      </w:r>
      <w:r w:rsidR="002D3874">
        <w:sym w:font="Symbol" w:char="F0B3"/>
      </w:r>
      <w:r w:rsidR="00B5402D">
        <w:rPr>
          <w:rFonts w:asciiTheme="minorHAnsi" w:hAnsiTheme="minorHAnsi" w:cstheme="minorHAnsi"/>
        </w:rPr>
        <w:t> 70 </w:t>
      </w:r>
      <w:r w:rsidRPr="001C0879">
        <w:rPr>
          <w:rFonts w:asciiTheme="minorHAnsi" w:hAnsiTheme="minorHAnsi" w:cstheme="minorHAnsi"/>
        </w:rPr>
        <w:t>mg/m</w:t>
      </w:r>
      <w:r w:rsidRPr="00F42961">
        <w:rPr>
          <w:rFonts w:asciiTheme="minorHAnsi" w:hAnsiTheme="minorHAnsi" w:cstheme="minorHAnsi"/>
          <w:vertAlign w:val="superscript"/>
        </w:rPr>
        <w:t>2</w:t>
      </w:r>
      <w:r>
        <w:rPr>
          <w:rFonts w:asciiTheme="minorHAnsi" w:hAnsiTheme="minorHAnsi" w:cstheme="minorHAnsi"/>
        </w:rPr>
        <w:t>,</w:t>
      </w:r>
      <w:r w:rsidRPr="001C0879">
        <w:rPr>
          <w:rFonts w:asciiTheme="minorHAnsi" w:hAnsiTheme="minorHAnsi" w:cstheme="minorHAnsi"/>
        </w:rPr>
        <w:t xml:space="preserve"> cyclophosphamide </w:t>
      </w:r>
      <w:r w:rsidRPr="00B5402D">
        <w:t>≥</w:t>
      </w:r>
      <w:r w:rsidRPr="001C0879">
        <w:rPr>
          <w:rFonts w:asciiTheme="minorHAnsi" w:hAnsiTheme="minorHAnsi" w:cstheme="minorHAnsi"/>
        </w:rPr>
        <w:t>1500 mg/m</w:t>
      </w:r>
      <w:r w:rsidRPr="00F42961">
        <w:rPr>
          <w:rFonts w:asciiTheme="minorHAnsi" w:hAnsiTheme="minorHAnsi" w:cstheme="minorHAnsi"/>
          <w:vertAlign w:val="superscript"/>
        </w:rPr>
        <w:t>2</w:t>
      </w:r>
      <w:r>
        <w:rPr>
          <w:rFonts w:asciiTheme="minorHAnsi" w:hAnsiTheme="minorHAnsi" w:cstheme="minorHAnsi"/>
        </w:rPr>
        <w:t xml:space="preserve">, </w:t>
      </w:r>
      <w:proofErr w:type="spellStart"/>
      <w:r>
        <w:rPr>
          <w:rFonts w:asciiTheme="minorHAnsi" w:hAnsiTheme="minorHAnsi" w:cstheme="minorHAnsi"/>
        </w:rPr>
        <w:t>carmustine</w:t>
      </w:r>
      <w:proofErr w:type="spellEnd"/>
      <w:r>
        <w:rPr>
          <w:rFonts w:asciiTheme="minorHAnsi" w:hAnsiTheme="minorHAnsi" w:cstheme="minorHAnsi"/>
        </w:rPr>
        <w:t xml:space="preserve"> (</w:t>
      </w:r>
      <w:r w:rsidR="00B5402D">
        <w:rPr>
          <w:rFonts w:asciiTheme="minorHAnsi" w:hAnsiTheme="minorHAnsi" w:cstheme="minorHAnsi"/>
        </w:rPr>
        <w:t xml:space="preserve">tradename </w:t>
      </w:r>
      <w:r>
        <w:rPr>
          <w:rFonts w:asciiTheme="minorHAnsi" w:hAnsiTheme="minorHAnsi" w:cstheme="minorHAnsi"/>
        </w:rPr>
        <w:t>BCNU) &gt;</w:t>
      </w:r>
      <w:r w:rsidR="00B5402D">
        <w:rPr>
          <w:rFonts w:asciiTheme="minorHAnsi" w:hAnsiTheme="minorHAnsi" w:cstheme="minorHAnsi"/>
        </w:rPr>
        <w:t> 250 </w:t>
      </w:r>
      <w:r>
        <w:rPr>
          <w:rFonts w:asciiTheme="minorHAnsi" w:hAnsiTheme="minorHAnsi" w:cstheme="minorHAnsi"/>
        </w:rPr>
        <w:t>mg/m</w:t>
      </w:r>
      <w:r w:rsidRPr="00F42961">
        <w:rPr>
          <w:rFonts w:asciiTheme="minorHAnsi" w:hAnsiTheme="minorHAnsi" w:cstheme="minorHAnsi"/>
          <w:vertAlign w:val="superscript"/>
        </w:rPr>
        <w:t>2</w:t>
      </w:r>
      <w:r>
        <w:rPr>
          <w:rFonts w:asciiTheme="minorHAnsi" w:hAnsiTheme="minorHAnsi" w:cstheme="minorHAnsi"/>
        </w:rPr>
        <w:t>,</w:t>
      </w:r>
      <w:r w:rsidRPr="001C0879">
        <w:rPr>
          <w:rFonts w:asciiTheme="minorHAnsi" w:hAnsiTheme="minorHAnsi" w:cstheme="minorHAnsi"/>
        </w:rPr>
        <w:t xml:space="preserve"> </w:t>
      </w:r>
      <w:proofErr w:type="spellStart"/>
      <w:r w:rsidRPr="001C0879">
        <w:rPr>
          <w:rFonts w:asciiTheme="minorHAnsi" w:hAnsiTheme="minorHAnsi" w:cstheme="minorHAnsi"/>
        </w:rPr>
        <w:t>dacarbazine</w:t>
      </w:r>
      <w:proofErr w:type="spellEnd"/>
      <w:r w:rsidRPr="001C0879">
        <w:rPr>
          <w:rFonts w:asciiTheme="minorHAnsi" w:hAnsiTheme="minorHAnsi" w:cstheme="minorHAnsi"/>
        </w:rPr>
        <w:t xml:space="preserve"> (</w:t>
      </w:r>
      <w:r w:rsidR="00B5402D">
        <w:rPr>
          <w:rFonts w:asciiTheme="minorHAnsi" w:hAnsiTheme="minorHAnsi" w:cstheme="minorHAnsi"/>
        </w:rPr>
        <w:t xml:space="preserve">tradename </w:t>
      </w:r>
      <w:r w:rsidRPr="001C0879">
        <w:rPr>
          <w:rFonts w:asciiTheme="minorHAnsi" w:hAnsiTheme="minorHAnsi" w:cstheme="minorHAnsi"/>
        </w:rPr>
        <w:t>DTIC)</w:t>
      </w:r>
      <w:r>
        <w:rPr>
          <w:rFonts w:asciiTheme="minorHAnsi" w:hAnsiTheme="minorHAnsi" w:cstheme="minorHAnsi"/>
        </w:rPr>
        <w:t>,</w:t>
      </w:r>
      <w:r w:rsidRPr="001C0879">
        <w:rPr>
          <w:rFonts w:asciiTheme="minorHAnsi" w:hAnsiTheme="minorHAnsi" w:cstheme="minorHAnsi"/>
        </w:rPr>
        <w:t xml:space="preserve"> </w:t>
      </w:r>
      <w:proofErr w:type="spellStart"/>
      <w:r w:rsidRPr="001C0879">
        <w:rPr>
          <w:rFonts w:asciiTheme="minorHAnsi" w:hAnsiTheme="minorHAnsi" w:cstheme="minorHAnsi"/>
        </w:rPr>
        <w:t>mechloretamine</w:t>
      </w:r>
      <w:proofErr w:type="spellEnd"/>
      <w:r w:rsidRPr="001C0879">
        <w:rPr>
          <w:rFonts w:asciiTheme="minorHAnsi" w:hAnsiTheme="minorHAnsi" w:cstheme="minorHAnsi"/>
        </w:rPr>
        <w:t xml:space="preserve"> (nitrogen mustard)</w:t>
      </w:r>
      <w:r>
        <w:rPr>
          <w:rFonts w:asciiTheme="minorHAnsi" w:hAnsiTheme="minorHAnsi" w:cstheme="minorHAnsi"/>
        </w:rPr>
        <w:t>.</w:t>
      </w:r>
    </w:p>
    <w:p w14:paraId="1146A10C" w14:textId="23CCDE28" w:rsidR="00485C56" w:rsidRDefault="00485C56" w:rsidP="00485C56">
      <w:pPr>
        <w:tabs>
          <w:tab w:val="left" w:pos="2175"/>
        </w:tabs>
        <w:rPr>
          <w:rFonts w:asciiTheme="minorHAnsi" w:hAnsiTheme="minorHAnsi" w:cstheme="minorHAnsi"/>
        </w:rPr>
      </w:pPr>
      <w:r w:rsidRPr="002F5CA3">
        <w:rPr>
          <w:rFonts w:asciiTheme="minorHAnsi" w:hAnsiTheme="minorHAnsi" w:cstheme="minorHAnsi"/>
        </w:rPr>
        <w:t>The primary endpoint was</w:t>
      </w:r>
      <w:r>
        <w:rPr>
          <w:rFonts w:asciiTheme="minorHAnsi" w:hAnsiTheme="minorHAnsi" w:cstheme="minorHAnsi"/>
        </w:rPr>
        <w:t xml:space="preserve"> </w:t>
      </w:r>
      <w:r w:rsidRPr="002F5CA3">
        <w:rPr>
          <w:rFonts w:asciiTheme="minorHAnsi" w:hAnsiTheme="minorHAnsi" w:cstheme="minorHAnsi"/>
        </w:rPr>
        <w:t xml:space="preserve">the proportion of patients with a complete response (CR) in the acute phase of CINV. </w:t>
      </w:r>
      <w:r w:rsidR="00B5402D">
        <w:rPr>
          <w:rFonts w:asciiTheme="minorHAnsi" w:hAnsiTheme="minorHAnsi" w:cstheme="minorHAnsi"/>
        </w:rPr>
        <w:t xml:space="preserve">A </w:t>
      </w:r>
      <w:r w:rsidRPr="002F5CA3">
        <w:rPr>
          <w:rFonts w:asciiTheme="minorHAnsi" w:hAnsiTheme="minorHAnsi" w:cstheme="minorHAnsi"/>
        </w:rPr>
        <w:t xml:space="preserve">CR in the </w:t>
      </w:r>
      <w:r>
        <w:rPr>
          <w:rFonts w:asciiTheme="minorHAnsi" w:hAnsiTheme="minorHAnsi" w:cstheme="minorHAnsi"/>
        </w:rPr>
        <w:t xml:space="preserve">acute phase was defined as </w:t>
      </w:r>
      <w:r w:rsidRPr="002F5CA3">
        <w:rPr>
          <w:rFonts w:asciiTheme="minorHAnsi" w:hAnsiTheme="minorHAnsi" w:cstheme="minorHAnsi"/>
        </w:rPr>
        <w:t>no emetic episode and no</w:t>
      </w:r>
      <w:r w:rsidR="00B5402D">
        <w:rPr>
          <w:rFonts w:asciiTheme="minorHAnsi" w:hAnsiTheme="minorHAnsi" w:cstheme="minorHAnsi"/>
        </w:rPr>
        <w:t xml:space="preserve"> rescue medication during the 0 to </w:t>
      </w:r>
      <w:r w:rsidRPr="002F5CA3">
        <w:rPr>
          <w:rFonts w:asciiTheme="minorHAnsi" w:hAnsiTheme="minorHAnsi" w:cstheme="minorHAnsi"/>
        </w:rPr>
        <w:t>24 hours after the start of HEC administration on Day</w:t>
      </w:r>
      <w:r w:rsidR="00B5402D">
        <w:rPr>
          <w:rFonts w:asciiTheme="minorHAnsi" w:hAnsiTheme="minorHAnsi" w:cstheme="minorHAnsi"/>
        </w:rPr>
        <w:t xml:space="preserve"> 1. </w:t>
      </w:r>
      <w:r>
        <w:rPr>
          <w:rFonts w:asciiTheme="minorHAnsi" w:hAnsiTheme="minorHAnsi" w:cstheme="minorHAnsi"/>
        </w:rPr>
        <w:t xml:space="preserve">As part of the regulatory process in </w:t>
      </w:r>
      <w:r w:rsidR="00B5402D">
        <w:rPr>
          <w:rFonts w:asciiTheme="minorHAnsi" w:hAnsiTheme="minorHAnsi" w:cstheme="minorHAnsi"/>
        </w:rPr>
        <w:t xml:space="preserve">the </w:t>
      </w:r>
      <w:r>
        <w:rPr>
          <w:rFonts w:asciiTheme="minorHAnsi" w:hAnsiTheme="minorHAnsi" w:cstheme="minorHAnsi"/>
        </w:rPr>
        <w:t>USA, the FDA endorsed the pre-specified -15% non-inferiori</w:t>
      </w:r>
      <w:r w:rsidR="00B5402D">
        <w:rPr>
          <w:rFonts w:asciiTheme="minorHAnsi" w:hAnsiTheme="minorHAnsi" w:cstheme="minorHAnsi"/>
        </w:rPr>
        <w:t xml:space="preserve">ty margin with two </w:t>
      </w:r>
      <w:r>
        <w:rPr>
          <w:rFonts w:asciiTheme="minorHAnsi" w:hAnsiTheme="minorHAnsi" w:cstheme="minorHAnsi"/>
        </w:rPr>
        <w:t xml:space="preserve">sided 99% </w:t>
      </w:r>
      <w:r w:rsidR="00B5402D">
        <w:rPr>
          <w:rFonts w:asciiTheme="minorHAnsi" w:hAnsiTheme="minorHAnsi" w:cstheme="minorHAnsi"/>
        </w:rPr>
        <w:t>confidence interval (</w:t>
      </w:r>
      <w:r>
        <w:rPr>
          <w:rFonts w:asciiTheme="minorHAnsi" w:hAnsiTheme="minorHAnsi" w:cstheme="minorHAnsi"/>
        </w:rPr>
        <w:t>CI</w:t>
      </w:r>
      <w:r w:rsidR="00B5402D">
        <w:rPr>
          <w:rFonts w:asciiTheme="minorHAnsi" w:hAnsiTheme="minorHAnsi" w:cstheme="minorHAnsi"/>
        </w:rPr>
        <w:t>)</w:t>
      </w:r>
      <w:r>
        <w:rPr>
          <w:rFonts w:asciiTheme="minorHAnsi" w:hAnsiTheme="minorHAnsi" w:cstheme="minorHAnsi"/>
        </w:rPr>
        <w:t>.</w:t>
      </w:r>
    </w:p>
    <w:p w14:paraId="4864AEA1" w14:textId="37F5A53C" w:rsidR="00703871" w:rsidRDefault="00485C56" w:rsidP="00485C56">
      <w:pPr>
        <w:tabs>
          <w:tab w:val="left" w:pos="2175"/>
        </w:tabs>
        <w:rPr>
          <w:rFonts w:asciiTheme="minorHAnsi" w:eastAsiaTheme="minorHAnsi" w:hAnsiTheme="minorHAnsi" w:cstheme="minorHAnsi"/>
        </w:rPr>
      </w:pPr>
      <w:r w:rsidRPr="002F5CA3">
        <w:rPr>
          <w:rFonts w:asciiTheme="minorHAnsi" w:eastAsiaTheme="minorHAnsi" w:hAnsiTheme="minorHAnsi" w:cstheme="minorHAnsi"/>
        </w:rPr>
        <w:t>The secondary endpoints were the proportion of patients with CR during the delayed and overall phases, the proportion of patients with no emetic episodes during the acute, delayed, and overall phases, and the proportion of patients with no rescue medications during the acute, delayed, and overall phases</w:t>
      </w:r>
      <w:r w:rsidR="00703871">
        <w:rPr>
          <w:rFonts w:asciiTheme="minorHAnsi" w:eastAsiaTheme="minorHAnsi" w:hAnsiTheme="minorHAnsi" w:cstheme="minorHAnsi"/>
        </w:rPr>
        <w:t xml:space="preserve">. </w:t>
      </w:r>
      <w:r>
        <w:rPr>
          <w:rFonts w:asciiTheme="minorHAnsi" w:eastAsiaTheme="minorHAnsi" w:hAnsiTheme="minorHAnsi" w:cstheme="minorHAnsi"/>
        </w:rPr>
        <w:t>There was no adjustment for multiplicity of secondary endpoints.</w:t>
      </w:r>
    </w:p>
    <w:p w14:paraId="6A71515A" w14:textId="7E2FB9A1" w:rsidR="00485C56" w:rsidRDefault="00703871" w:rsidP="00703871">
      <w:r>
        <w:t>441 patients were randomised;</w:t>
      </w:r>
      <w:r w:rsidR="00485C56">
        <w:t xml:space="preserve"> 225 to </w:t>
      </w:r>
      <w:proofErr w:type="spellStart"/>
      <w:r w:rsidR="00485C56" w:rsidRPr="002F5CA3">
        <w:t>palonosetron</w:t>
      </w:r>
      <w:proofErr w:type="spellEnd"/>
      <w:r w:rsidR="00485C56" w:rsidRPr="002F5CA3">
        <w:t xml:space="preserve"> 0.25 </w:t>
      </w:r>
      <w:r>
        <w:t xml:space="preserve">mg as a 30 </w:t>
      </w:r>
      <w:r w:rsidR="00485C56">
        <w:t>minute IV infusion (</w:t>
      </w:r>
      <w:r w:rsidR="00485C56" w:rsidRPr="002F5CA3">
        <w:t>in</w:t>
      </w:r>
      <w:r w:rsidR="00485C56">
        <w:t xml:space="preserve">fusion group) and 216 </w:t>
      </w:r>
      <w:r>
        <w:t xml:space="preserve">to </w:t>
      </w:r>
      <w:proofErr w:type="spellStart"/>
      <w:r>
        <w:t>palonosetron</w:t>
      </w:r>
      <w:proofErr w:type="spellEnd"/>
      <w:r>
        <w:t xml:space="preserve"> 0.25 mg as a 30 </w:t>
      </w:r>
      <w:r w:rsidR="00485C56" w:rsidRPr="002F5CA3">
        <w:t>second IV bolus (bolus group).</w:t>
      </w:r>
      <w:r>
        <w:t xml:space="preserve"> </w:t>
      </w:r>
      <w:r w:rsidR="00485C56" w:rsidRPr="002F5CA3">
        <w:t>440 (99.8%) patients were treated (100% in the infusion group, and 99.5% in the bolus group) and 424 (96.1%) patients completed the study (96.9% in the infusion group, and 95.4% in the bolus group).</w:t>
      </w:r>
      <w:r>
        <w:t xml:space="preserve"> </w:t>
      </w:r>
      <w:r w:rsidR="00485C56">
        <w:t>Baseline disease characteristics were reasona</w:t>
      </w:r>
      <w:r>
        <w:t>bly balanced across the groups.</w:t>
      </w:r>
    </w:p>
    <w:p w14:paraId="07F157F1" w14:textId="7E6B1AA5" w:rsidR="00703871" w:rsidRDefault="00703871" w:rsidP="00703871">
      <w:pPr>
        <w:pStyle w:val="Heading6"/>
      </w:pPr>
      <w:r>
        <w:t>Results</w:t>
      </w:r>
    </w:p>
    <w:p w14:paraId="698C34DF" w14:textId="2EFE2E14" w:rsidR="00485C56" w:rsidRDefault="00485C56" w:rsidP="00485C56">
      <w:pPr>
        <w:tabs>
          <w:tab w:val="left" w:pos="2175"/>
        </w:tabs>
        <w:rPr>
          <w:rFonts w:asciiTheme="minorHAnsi" w:hAnsiTheme="minorHAnsi" w:cstheme="minorHAnsi"/>
        </w:rPr>
      </w:pPr>
      <w:r w:rsidRPr="00703871">
        <w:rPr>
          <w:i/>
        </w:rPr>
        <w:t>Primary endpoint</w:t>
      </w:r>
      <w:r w:rsidRPr="00703871">
        <w:t>:</w:t>
      </w:r>
      <w:r w:rsidR="00703871">
        <w:rPr>
          <w:rFonts w:asciiTheme="minorHAnsi" w:hAnsiTheme="minorHAnsi" w:cstheme="minorHAnsi"/>
        </w:rPr>
        <w:t xml:space="preserve"> i</w:t>
      </w:r>
      <w:r>
        <w:rPr>
          <w:rFonts w:asciiTheme="minorHAnsi" w:hAnsiTheme="minorHAnsi" w:cstheme="minorHAnsi"/>
        </w:rPr>
        <w:t xml:space="preserve">n the </w:t>
      </w:r>
      <w:r w:rsidR="00703871">
        <w:rPr>
          <w:rFonts w:asciiTheme="minorHAnsi" w:hAnsiTheme="minorHAnsi" w:cstheme="minorHAnsi"/>
        </w:rPr>
        <w:t>full analysis set (</w:t>
      </w:r>
      <w:r w:rsidRPr="00482640">
        <w:rPr>
          <w:rFonts w:asciiTheme="minorHAnsi" w:hAnsiTheme="minorHAnsi" w:cstheme="minorHAnsi"/>
        </w:rPr>
        <w:t>FAS</w:t>
      </w:r>
      <w:r w:rsidR="00703871">
        <w:rPr>
          <w:rFonts w:asciiTheme="minorHAnsi" w:hAnsiTheme="minorHAnsi" w:cstheme="minorHAnsi"/>
        </w:rPr>
        <w:t>)</w:t>
      </w:r>
      <w:r>
        <w:rPr>
          <w:rFonts w:asciiTheme="minorHAnsi" w:hAnsiTheme="minorHAnsi" w:cstheme="minorHAnsi"/>
        </w:rPr>
        <w:t>,</w:t>
      </w:r>
      <w:r w:rsidRPr="00482640">
        <w:rPr>
          <w:rFonts w:asciiTheme="minorHAnsi" w:hAnsiTheme="minorHAnsi" w:cstheme="minorHAnsi"/>
        </w:rPr>
        <w:t xml:space="preserve"> 186 (82.7%) patients in the infusion group</w:t>
      </w:r>
      <w:r>
        <w:rPr>
          <w:rFonts w:asciiTheme="minorHAnsi" w:hAnsiTheme="minorHAnsi" w:cstheme="minorHAnsi"/>
        </w:rPr>
        <w:t xml:space="preserve"> </w:t>
      </w:r>
      <w:r w:rsidRPr="00482640">
        <w:rPr>
          <w:rFonts w:asciiTheme="minorHAnsi" w:hAnsiTheme="minorHAnsi" w:cstheme="minorHAnsi"/>
        </w:rPr>
        <w:t>reported CR in the acute phase</w:t>
      </w:r>
      <w:r>
        <w:rPr>
          <w:rFonts w:asciiTheme="minorHAnsi" w:hAnsiTheme="minorHAnsi" w:cstheme="minorHAnsi"/>
        </w:rPr>
        <w:t xml:space="preserve">, compared to </w:t>
      </w:r>
      <w:r w:rsidRPr="00482640">
        <w:rPr>
          <w:rFonts w:asciiTheme="minorHAnsi" w:hAnsiTheme="minorHAnsi" w:cstheme="minorHAnsi"/>
        </w:rPr>
        <w:t>186 (86.5%) patients in the bolus group</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_Ref31612861 \h </w:instrText>
      </w:r>
      <w:r>
        <w:rPr>
          <w:rFonts w:asciiTheme="minorHAnsi" w:hAnsiTheme="minorHAnsi" w:cstheme="minorHAnsi"/>
        </w:rPr>
      </w:r>
      <w:r>
        <w:rPr>
          <w:rFonts w:asciiTheme="minorHAnsi" w:hAnsiTheme="minorHAnsi" w:cstheme="minorHAnsi"/>
        </w:rPr>
        <w:fldChar w:fldCharType="separate"/>
      </w:r>
      <w:r w:rsidR="004A5B00">
        <w:t xml:space="preserve">Table </w:t>
      </w:r>
      <w:r w:rsidR="004A5B00">
        <w:rPr>
          <w:noProof/>
        </w:rPr>
        <w:t>5</w:t>
      </w:r>
      <w:r>
        <w:rPr>
          <w:rFonts w:asciiTheme="minorHAnsi" w:hAnsiTheme="minorHAnsi" w:cstheme="minorHAnsi"/>
        </w:rPr>
        <w:fldChar w:fldCharType="end"/>
      </w:r>
      <w:r>
        <w:rPr>
          <w:rFonts w:asciiTheme="minorHAnsi" w:hAnsiTheme="minorHAnsi" w:cstheme="minorHAnsi"/>
        </w:rPr>
        <w:t xml:space="preserve">). The difference </w:t>
      </w:r>
      <w:r w:rsidRPr="00482640">
        <w:rPr>
          <w:rFonts w:asciiTheme="minorHAnsi" w:hAnsiTheme="minorHAnsi" w:cstheme="minorHAnsi"/>
        </w:rPr>
        <w:t>between the infusion and b</w:t>
      </w:r>
      <w:r w:rsidR="0026026F">
        <w:rPr>
          <w:rFonts w:asciiTheme="minorHAnsi" w:hAnsiTheme="minorHAnsi" w:cstheme="minorHAnsi"/>
        </w:rPr>
        <w:t xml:space="preserve">olus groups was -3.8% (99% CI: </w:t>
      </w:r>
      <w:r w:rsidR="0026026F">
        <w:rPr>
          <w:rFonts w:asciiTheme="minorHAnsi" w:hAnsiTheme="minorHAnsi" w:cstheme="minorHAnsi"/>
        </w:rPr>
        <w:noBreakHyphen/>
      </w:r>
      <w:r w:rsidRPr="00482640">
        <w:rPr>
          <w:rFonts w:asciiTheme="minorHAnsi" w:hAnsiTheme="minorHAnsi" w:cstheme="minorHAnsi"/>
        </w:rPr>
        <w:t>12.2%, 4.7%). Since the lower limit of the two-sided 99% CI was greater than the pre-defined non-inferiority margin of -15%, non</w:t>
      </w:r>
      <w:r w:rsidR="0026026F">
        <w:rPr>
          <w:rFonts w:asciiTheme="minorHAnsi" w:hAnsiTheme="minorHAnsi" w:cstheme="minorHAnsi"/>
        </w:rPr>
        <w:t xml:space="preserve">-inferiority of </w:t>
      </w:r>
      <w:proofErr w:type="spellStart"/>
      <w:r w:rsidR="0026026F">
        <w:rPr>
          <w:rFonts w:asciiTheme="minorHAnsi" w:hAnsiTheme="minorHAnsi" w:cstheme="minorHAnsi"/>
        </w:rPr>
        <w:t>palonosetron</w:t>
      </w:r>
      <w:proofErr w:type="spellEnd"/>
      <w:r w:rsidR="0026026F">
        <w:rPr>
          <w:rFonts w:asciiTheme="minorHAnsi" w:hAnsiTheme="minorHAnsi" w:cstheme="minorHAnsi"/>
        </w:rPr>
        <w:t xml:space="preserve"> 30 </w:t>
      </w:r>
      <w:r w:rsidRPr="00482640">
        <w:rPr>
          <w:rFonts w:asciiTheme="minorHAnsi" w:hAnsiTheme="minorHAnsi" w:cstheme="minorHAnsi"/>
        </w:rPr>
        <w:t>min</w:t>
      </w:r>
      <w:r>
        <w:rPr>
          <w:rFonts w:asciiTheme="minorHAnsi" w:hAnsiTheme="minorHAnsi" w:cstheme="minorHAnsi"/>
        </w:rPr>
        <w:t>ute</w:t>
      </w:r>
      <w:r w:rsidR="0026026F">
        <w:rPr>
          <w:rFonts w:asciiTheme="minorHAnsi" w:hAnsiTheme="minorHAnsi" w:cstheme="minorHAnsi"/>
        </w:rPr>
        <w:t xml:space="preserve"> infusion versus 30 </w:t>
      </w:r>
      <w:r w:rsidRPr="00482640">
        <w:rPr>
          <w:rFonts w:asciiTheme="minorHAnsi" w:hAnsiTheme="minorHAnsi" w:cstheme="minorHAnsi"/>
        </w:rPr>
        <w:t>sec</w:t>
      </w:r>
      <w:r>
        <w:rPr>
          <w:rFonts w:asciiTheme="minorHAnsi" w:hAnsiTheme="minorHAnsi" w:cstheme="minorHAnsi"/>
        </w:rPr>
        <w:t>ond</w:t>
      </w:r>
      <w:r w:rsidRPr="00482640">
        <w:rPr>
          <w:rFonts w:asciiTheme="minorHAnsi" w:hAnsiTheme="minorHAnsi" w:cstheme="minorHAnsi"/>
        </w:rPr>
        <w:t xml:space="preserve"> bolus was demonstrated.</w:t>
      </w:r>
    </w:p>
    <w:p w14:paraId="42D54386" w14:textId="2EC97D12" w:rsidR="00485C56" w:rsidRDefault="00485C56" w:rsidP="00703871">
      <w:pPr>
        <w:pStyle w:val="TableTitle"/>
      </w:pPr>
      <w:bookmarkStart w:id="52" w:name="_Ref31612861"/>
      <w:r>
        <w:lastRenderedPageBreak/>
        <w:t xml:space="preserve">Table </w:t>
      </w:r>
      <w:fldSimple w:instr=" SEQ Table \* ARABIC ">
        <w:r w:rsidR="004A5B00">
          <w:rPr>
            <w:noProof/>
          </w:rPr>
          <w:t>5</w:t>
        </w:r>
      </w:fldSimple>
      <w:bookmarkEnd w:id="52"/>
      <w:r w:rsidR="00703871">
        <w:t xml:space="preserve">: Study PALO 15-17 </w:t>
      </w:r>
      <w:r>
        <w:t xml:space="preserve">Complete </w:t>
      </w:r>
      <w:r w:rsidR="00703871">
        <w:t>response in the acute phase (full analysis set and per protocol)</w:t>
      </w:r>
    </w:p>
    <w:p w14:paraId="0A8C56D5" w14:textId="6AF90DC5" w:rsidR="00485C56" w:rsidRDefault="00992EE7" w:rsidP="00485C56">
      <w:pPr>
        <w:tabs>
          <w:tab w:val="left" w:pos="2175"/>
        </w:tabs>
        <w:rPr>
          <w:rFonts w:asciiTheme="minorHAnsi" w:hAnsiTheme="minorHAnsi" w:cstheme="minorHAnsi"/>
        </w:rPr>
      </w:pPr>
      <w:r>
        <w:rPr>
          <w:noProof/>
          <w:lang w:eastAsia="en-AU"/>
        </w:rPr>
        <w:drawing>
          <wp:inline distT="0" distB="0" distL="0" distR="0" wp14:anchorId="15967FC0" wp14:editId="01418532">
            <wp:extent cx="5400040" cy="3923030"/>
            <wp:effectExtent l="0" t="0" r="0" b="1270"/>
            <wp:docPr id="22" name="Picture 22" descr="Study PALO 15-17 Complete response in the acute phase (full analysis set and per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5400040" cy="3923030"/>
                    </a:xfrm>
                    <a:prstGeom prst="rect">
                      <a:avLst/>
                    </a:prstGeom>
                  </pic:spPr>
                </pic:pic>
              </a:graphicData>
            </a:graphic>
          </wp:inline>
        </w:drawing>
      </w:r>
    </w:p>
    <w:p w14:paraId="6F924031" w14:textId="76FE4062" w:rsidR="00992EE7" w:rsidRDefault="00992EE7" w:rsidP="0090039B">
      <w:pPr>
        <w:pStyle w:val="TableDescription"/>
      </w:pPr>
      <w:r>
        <w:t>References: Koch et al.</w:t>
      </w:r>
      <w:bookmarkStart w:id="53" w:name="_Ref51803649"/>
      <w:r>
        <w:rPr>
          <w:rStyle w:val="FootnoteReference"/>
          <w:rFonts w:asciiTheme="minorHAnsi" w:hAnsiTheme="minorHAnsi" w:cstheme="minorHAnsi"/>
        </w:rPr>
        <w:footnoteReference w:id="17"/>
      </w:r>
      <w:bookmarkEnd w:id="53"/>
      <w:r w:rsidR="009C5889">
        <w:t>;</w:t>
      </w:r>
      <w:r>
        <w:t xml:space="preserve"> O’Gorman et al.</w:t>
      </w:r>
      <w:bookmarkStart w:id="54" w:name="_Ref51803671"/>
      <w:r>
        <w:rPr>
          <w:rStyle w:val="FootnoteReference"/>
          <w:rFonts w:asciiTheme="minorHAnsi" w:hAnsiTheme="minorHAnsi" w:cstheme="minorHAnsi"/>
        </w:rPr>
        <w:footnoteReference w:id="18"/>
      </w:r>
      <w:bookmarkEnd w:id="54"/>
    </w:p>
    <w:p w14:paraId="260EE00B" w14:textId="4B68AD94" w:rsidR="00485C56" w:rsidRDefault="00485C56" w:rsidP="00992EE7">
      <w:r w:rsidRPr="00992EE7">
        <w:rPr>
          <w:i/>
        </w:rPr>
        <w:t>Secondary endpoints</w:t>
      </w:r>
      <w:r w:rsidRPr="00992EE7">
        <w:t>:</w:t>
      </w:r>
      <w:r w:rsidR="00992EE7">
        <w:t xml:space="preserve"> t</w:t>
      </w:r>
      <w:r>
        <w:t xml:space="preserve">he percentage of patients with </w:t>
      </w:r>
      <w:r w:rsidRPr="00BE22F4">
        <w:t>CR</w:t>
      </w:r>
      <w:r>
        <w:t xml:space="preserve"> in the delayed and overall phas</w:t>
      </w:r>
      <w:r w:rsidR="00992EE7">
        <w:t xml:space="preserve">es was similar following the 30 minute IV infusion and 30 </w:t>
      </w:r>
      <w:r>
        <w:t>second IV bolus (</w:t>
      </w:r>
      <w:r>
        <w:fldChar w:fldCharType="begin"/>
      </w:r>
      <w:r>
        <w:instrText xml:space="preserve"> REF _Ref31612887 \h  \* MERGEFORMAT </w:instrText>
      </w:r>
      <w:r>
        <w:fldChar w:fldCharType="separate"/>
      </w:r>
      <w:r w:rsidR="004A5B00">
        <w:t xml:space="preserve">Table </w:t>
      </w:r>
      <w:r w:rsidR="004A5B00">
        <w:rPr>
          <w:noProof/>
        </w:rPr>
        <w:t>6</w:t>
      </w:r>
      <w:r>
        <w:fldChar w:fldCharType="end"/>
      </w:r>
      <w:bookmarkStart w:id="55" w:name="_Ref25747321"/>
      <w:r w:rsidR="00992EE7">
        <w:t>).</w:t>
      </w:r>
    </w:p>
    <w:p w14:paraId="23B5DE0A" w14:textId="65C878FD" w:rsidR="00485C56" w:rsidRDefault="00485C56" w:rsidP="0090039B">
      <w:pPr>
        <w:pStyle w:val="TableTitle"/>
      </w:pPr>
      <w:bookmarkStart w:id="56" w:name="_Ref31612887"/>
      <w:r>
        <w:lastRenderedPageBreak/>
        <w:t xml:space="preserve">Table </w:t>
      </w:r>
      <w:fldSimple w:instr=" SEQ Table \* ARABIC ">
        <w:r w:rsidR="004A5B00">
          <w:rPr>
            <w:noProof/>
          </w:rPr>
          <w:t>6</w:t>
        </w:r>
      </w:fldSimple>
      <w:bookmarkEnd w:id="55"/>
      <w:bookmarkEnd w:id="56"/>
      <w:r w:rsidR="0090039B">
        <w:t xml:space="preserve">: Study PALO 15-17 </w:t>
      </w:r>
      <w:r>
        <w:t xml:space="preserve">Complete response in </w:t>
      </w:r>
      <w:r w:rsidR="0090039B">
        <w:t>the delayed and overall phases</w:t>
      </w:r>
    </w:p>
    <w:p w14:paraId="1313E985" w14:textId="256BAE1E" w:rsidR="00485C56" w:rsidRDefault="000C79F9" w:rsidP="00485C56">
      <w:pPr>
        <w:tabs>
          <w:tab w:val="left" w:pos="2175"/>
        </w:tabs>
        <w:rPr>
          <w:rFonts w:asciiTheme="minorHAnsi" w:hAnsiTheme="minorHAnsi" w:cstheme="minorHAnsi"/>
          <w:b/>
        </w:rPr>
      </w:pPr>
      <w:r>
        <w:rPr>
          <w:noProof/>
          <w:lang w:eastAsia="en-AU"/>
        </w:rPr>
        <w:drawing>
          <wp:inline distT="0" distB="0" distL="0" distR="0" wp14:anchorId="3529B835" wp14:editId="3B4329A2">
            <wp:extent cx="5400040" cy="3576320"/>
            <wp:effectExtent l="0" t="0" r="0" b="5080"/>
            <wp:docPr id="23" name="Picture 23" descr="Study PALO 15-17 Complete response in the delayed and overall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5400040" cy="3576320"/>
                    </a:xfrm>
                    <a:prstGeom prst="rect">
                      <a:avLst/>
                    </a:prstGeom>
                  </pic:spPr>
                </pic:pic>
              </a:graphicData>
            </a:graphic>
          </wp:inline>
        </w:drawing>
      </w:r>
    </w:p>
    <w:p w14:paraId="2F038E37" w14:textId="098F9E5B" w:rsidR="009C5889" w:rsidRPr="00CB62EC" w:rsidRDefault="009C5889" w:rsidP="00CB62EC">
      <w:pPr>
        <w:pStyle w:val="TableDescription"/>
      </w:pPr>
      <w:r>
        <w:t>References: Koch et al.;</w:t>
      </w:r>
      <w:r w:rsidRPr="00CB62EC">
        <w:rPr>
          <w:rFonts w:asciiTheme="minorHAnsi" w:hAnsiTheme="minorHAnsi" w:cstheme="minorHAnsi"/>
          <w:vertAlign w:val="superscript"/>
        </w:rPr>
        <w:fldChar w:fldCharType="begin"/>
      </w:r>
      <w:r w:rsidRPr="00CB62EC">
        <w:rPr>
          <w:vertAlign w:val="superscript"/>
        </w:rPr>
        <w:instrText xml:space="preserve"> NOTEREF _Ref51803649 \h </w:instrText>
      </w:r>
      <w:r>
        <w:rPr>
          <w:rFonts w:asciiTheme="minorHAnsi" w:hAnsiTheme="minorHAnsi" w:cstheme="minorHAnsi"/>
          <w:vertAlign w:val="superscript"/>
        </w:rPr>
        <w:instrText xml:space="preserve"> \* MERGEFORMAT </w:instrText>
      </w:r>
      <w:r w:rsidRPr="00CB62EC">
        <w:rPr>
          <w:rFonts w:asciiTheme="minorHAnsi" w:hAnsiTheme="minorHAnsi" w:cstheme="minorHAnsi"/>
          <w:vertAlign w:val="superscript"/>
        </w:rPr>
      </w:r>
      <w:r w:rsidRPr="00CB62EC">
        <w:rPr>
          <w:rFonts w:asciiTheme="minorHAnsi" w:hAnsiTheme="minorHAnsi" w:cstheme="minorHAnsi"/>
          <w:vertAlign w:val="superscript"/>
        </w:rPr>
        <w:fldChar w:fldCharType="separate"/>
      </w:r>
      <w:r w:rsidR="004A5B00">
        <w:rPr>
          <w:vertAlign w:val="superscript"/>
        </w:rPr>
        <w:t>17</w:t>
      </w:r>
      <w:r w:rsidRPr="00CB62EC">
        <w:rPr>
          <w:rFonts w:asciiTheme="minorHAnsi" w:hAnsiTheme="minorHAnsi" w:cstheme="minorHAnsi"/>
          <w:vertAlign w:val="superscript"/>
        </w:rPr>
        <w:fldChar w:fldCharType="end"/>
      </w:r>
      <w:r>
        <w:t xml:space="preserve"> O’Gorman et al.</w:t>
      </w:r>
      <w:r w:rsidRPr="00CB62EC">
        <w:rPr>
          <w:vertAlign w:val="superscript"/>
        </w:rPr>
        <w:fldChar w:fldCharType="begin"/>
      </w:r>
      <w:r w:rsidRPr="00CB62EC">
        <w:rPr>
          <w:vertAlign w:val="superscript"/>
        </w:rPr>
        <w:instrText xml:space="preserve"> NOTEREF _Ref51803671 \h </w:instrText>
      </w:r>
      <w:r>
        <w:rPr>
          <w:vertAlign w:val="superscript"/>
        </w:rPr>
        <w:instrText xml:space="preserve"> \* MERGEFORMAT </w:instrText>
      </w:r>
      <w:r w:rsidRPr="00CB62EC">
        <w:rPr>
          <w:vertAlign w:val="superscript"/>
        </w:rPr>
      </w:r>
      <w:r w:rsidRPr="00CB62EC">
        <w:rPr>
          <w:vertAlign w:val="superscript"/>
        </w:rPr>
        <w:fldChar w:fldCharType="separate"/>
      </w:r>
      <w:r w:rsidR="004A5B00">
        <w:rPr>
          <w:vertAlign w:val="superscript"/>
        </w:rPr>
        <w:t>18</w:t>
      </w:r>
      <w:r w:rsidRPr="00CB62EC">
        <w:rPr>
          <w:vertAlign w:val="superscript"/>
        </w:rPr>
        <w:fldChar w:fldCharType="end"/>
      </w:r>
    </w:p>
    <w:p w14:paraId="7DF25C85" w14:textId="55315773" w:rsidR="00485C56" w:rsidRDefault="000C79F9" w:rsidP="000C79F9">
      <w:pPr>
        <w:pStyle w:val="Heading5"/>
      </w:pPr>
      <w:r>
        <w:t xml:space="preserve">Study </w:t>
      </w:r>
      <w:r w:rsidRPr="00BE22F4">
        <w:t>N</w:t>
      </w:r>
      <w:r>
        <w:t>EPA-</w:t>
      </w:r>
      <w:r w:rsidRPr="00BE22F4">
        <w:t>15-18</w:t>
      </w:r>
    </w:p>
    <w:p w14:paraId="55D445EA" w14:textId="4AA2C5A0" w:rsidR="00485C56" w:rsidRDefault="000C79F9" w:rsidP="00485C56">
      <w:pPr>
        <w:rPr>
          <w:rFonts w:asciiTheme="minorHAnsi" w:hAnsiTheme="minorHAnsi" w:cstheme="minorHAnsi"/>
        </w:rPr>
      </w:pPr>
      <w:r>
        <w:t xml:space="preserve">Study </w:t>
      </w:r>
      <w:r w:rsidR="00485C56" w:rsidRPr="000C79F9">
        <w:t>NEPA-15-18</w:t>
      </w:r>
      <w:r w:rsidR="00A7374A">
        <w:t>;</w:t>
      </w:r>
      <w:r w:rsidR="00A7374A" w:rsidRPr="00CB62EC">
        <w:rPr>
          <w:vertAlign w:val="superscript"/>
        </w:rPr>
        <w:fldChar w:fldCharType="begin"/>
      </w:r>
      <w:r w:rsidR="00A7374A" w:rsidRPr="00CB62EC">
        <w:rPr>
          <w:vertAlign w:val="superscript"/>
        </w:rPr>
        <w:instrText xml:space="preserve"> NOTEREF _Ref51804906 \h </w:instrText>
      </w:r>
      <w:r w:rsidR="00A7374A">
        <w:rPr>
          <w:vertAlign w:val="superscript"/>
        </w:rPr>
        <w:instrText xml:space="preserve"> \* MERGEFORMAT </w:instrText>
      </w:r>
      <w:r w:rsidR="00A7374A" w:rsidRPr="00CB62EC">
        <w:rPr>
          <w:vertAlign w:val="superscript"/>
        </w:rPr>
      </w:r>
      <w:r w:rsidR="00A7374A" w:rsidRPr="00CB62EC">
        <w:rPr>
          <w:vertAlign w:val="superscript"/>
        </w:rPr>
        <w:fldChar w:fldCharType="separate"/>
      </w:r>
      <w:r w:rsidR="004A5B00">
        <w:rPr>
          <w:vertAlign w:val="superscript"/>
        </w:rPr>
        <w:t>15</w:t>
      </w:r>
      <w:r w:rsidR="00A7374A" w:rsidRPr="00CB62EC">
        <w:rPr>
          <w:vertAlign w:val="superscript"/>
        </w:rPr>
        <w:fldChar w:fldCharType="end"/>
      </w:r>
      <w:r w:rsidR="00485C56">
        <w:t xml:space="preserve"> </w:t>
      </w:r>
      <w:r>
        <w:t>was a Phase III</w:t>
      </w:r>
      <w:r w:rsidR="00485C56">
        <w:t xml:space="preserve">, multi-centre, randomised, double blind, active control study evaluating the safety and describing the efficacy of </w:t>
      </w:r>
      <w:r w:rsidR="00962BF9">
        <w:t xml:space="preserve">the </w:t>
      </w:r>
      <w:r w:rsidR="00485C56">
        <w:t>IV</w:t>
      </w:r>
      <w:r w:rsidR="00962BF9">
        <w:t xml:space="preserve"> route</w:t>
      </w:r>
      <w:r w:rsidR="00485C56">
        <w:t xml:space="preserve"> </w:t>
      </w:r>
      <w:proofErr w:type="spellStart"/>
      <w:r>
        <w:t>f</w:t>
      </w:r>
      <w:r w:rsidRPr="000C79F9">
        <w:t>osnetupitant</w:t>
      </w:r>
      <w:proofErr w:type="spellEnd"/>
      <w:r w:rsidR="00962BF9">
        <w:t xml:space="preserve"> </w:t>
      </w:r>
      <w:r w:rsidRPr="000C79F9">
        <w:t>/</w:t>
      </w:r>
      <w:r w:rsidR="00962BF9">
        <w:t xml:space="preserve"> </w:t>
      </w:r>
      <w:proofErr w:type="spellStart"/>
      <w:r w:rsidRPr="000C79F9">
        <w:t>palonosetron</w:t>
      </w:r>
      <w:proofErr w:type="spellEnd"/>
      <w:r w:rsidRPr="000C79F9">
        <w:t xml:space="preserve"> </w:t>
      </w:r>
      <w:r>
        <w:t>(</w:t>
      </w:r>
      <w:r w:rsidR="00485C56">
        <w:t>NEPA</w:t>
      </w:r>
      <w:r>
        <w:t>)</w:t>
      </w:r>
      <w:r w:rsidR="00485C56">
        <w:t xml:space="preserve"> FDC (</w:t>
      </w:r>
      <w:proofErr w:type="spellStart"/>
      <w:r w:rsidR="000D14E3">
        <w:t>Akynzeo</w:t>
      </w:r>
      <w:proofErr w:type="spellEnd"/>
      <w:r w:rsidR="00485C56">
        <w:t xml:space="preserve"> IV) in cancer patients prior to</w:t>
      </w:r>
      <w:r w:rsidR="00485C56" w:rsidRPr="006939DF">
        <w:rPr>
          <w:rFonts w:asciiTheme="minorHAnsi" w:hAnsiTheme="minorHAnsi" w:cstheme="minorHAnsi"/>
        </w:rPr>
        <w:t xml:space="preserve"> repeated cycles </w:t>
      </w:r>
      <w:r>
        <w:rPr>
          <w:rFonts w:asciiTheme="minorHAnsi" w:hAnsiTheme="minorHAnsi" w:cstheme="minorHAnsi"/>
        </w:rPr>
        <w:t xml:space="preserve">of HEC. </w:t>
      </w:r>
      <w:r w:rsidR="00485C56">
        <w:rPr>
          <w:rFonts w:asciiTheme="minorHAnsi" w:hAnsiTheme="minorHAnsi" w:cstheme="minorHAnsi"/>
        </w:rPr>
        <w:t>The control treatment was</w:t>
      </w:r>
      <w:r w:rsidR="00962BF9">
        <w:rPr>
          <w:rFonts w:asciiTheme="minorHAnsi" w:hAnsiTheme="minorHAnsi" w:cstheme="minorHAnsi"/>
        </w:rPr>
        <w:t xml:space="preserve"> the </w:t>
      </w:r>
      <w:r w:rsidR="00485C56">
        <w:t>oral</w:t>
      </w:r>
      <w:r w:rsidR="00962BF9">
        <w:t xml:space="preserve"> route</w:t>
      </w:r>
      <w:r w:rsidR="00485C56">
        <w:t xml:space="preserve"> </w:t>
      </w:r>
      <w:proofErr w:type="spellStart"/>
      <w:r w:rsidR="00962BF9" w:rsidRPr="00BC382D">
        <w:t>netupitant</w:t>
      </w:r>
      <w:proofErr w:type="spellEnd"/>
      <w:r w:rsidR="00962BF9">
        <w:t xml:space="preserve"> </w:t>
      </w:r>
      <w:r w:rsidR="00962BF9" w:rsidRPr="00BC382D">
        <w:t>/</w:t>
      </w:r>
      <w:r w:rsidR="00962BF9">
        <w:t xml:space="preserve"> </w:t>
      </w:r>
      <w:proofErr w:type="spellStart"/>
      <w:r w:rsidR="00962BF9" w:rsidRPr="00BC382D">
        <w:t>palon</w:t>
      </w:r>
      <w:r w:rsidR="00962BF9">
        <w:t>osetron</w:t>
      </w:r>
      <w:proofErr w:type="spellEnd"/>
      <w:r w:rsidR="00962BF9">
        <w:t xml:space="preserve"> (</w:t>
      </w:r>
      <w:r w:rsidR="00485C56">
        <w:t>NEPA</w:t>
      </w:r>
      <w:r w:rsidR="00962BF9">
        <w:t>)</w:t>
      </w:r>
      <w:r w:rsidR="00485C56">
        <w:t xml:space="preserve"> FDC (</w:t>
      </w:r>
      <w:proofErr w:type="spellStart"/>
      <w:r w:rsidR="000D14E3">
        <w:t>Akynzeo</w:t>
      </w:r>
      <w:proofErr w:type="spellEnd"/>
      <w:r w:rsidR="00485C56">
        <w:t xml:space="preserve"> capsule).</w:t>
      </w:r>
    </w:p>
    <w:p w14:paraId="4B8AF58D" w14:textId="3BEC1C77" w:rsidR="00485C56" w:rsidRDefault="00485C56" w:rsidP="00485C56">
      <w:pPr>
        <w:rPr>
          <w:rFonts w:asciiTheme="minorHAnsi" w:hAnsiTheme="minorHAnsi" w:cstheme="minorHAnsi"/>
        </w:rPr>
      </w:pPr>
      <w:r w:rsidRPr="006939DF">
        <w:rPr>
          <w:rFonts w:asciiTheme="minorHAnsi" w:hAnsiTheme="minorHAnsi" w:cstheme="minorHAnsi"/>
        </w:rPr>
        <w:t xml:space="preserve">The primary objective was to assess the safety and tolerability of a single dose of </w:t>
      </w:r>
      <w:r>
        <w:rPr>
          <w:rFonts w:asciiTheme="minorHAnsi" w:hAnsiTheme="minorHAnsi" w:cstheme="minorHAnsi"/>
        </w:rPr>
        <w:t>IV NEPA FDC</w:t>
      </w:r>
      <w:r w:rsidRPr="006939DF">
        <w:rPr>
          <w:rFonts w:asciiTheme="minorHAnsi" w:hAnsiTheme="minorHAnsi" w:cstheme="minorHAnsi"/>
        </w:rPr>
        <w:t xml:space="preserve"> infused over 30 min</w:t>
      </w:r>
      <w:r>
        <w:rPr>
          <w:rFonts w:asciiTheme="minorHAnsi" w:hAnsiTheme="minorHAnsi" w:cstheme="minorHAnsi"/>
        </w:rPr>
        <w:t>utes</w:t>
      </w:r>
      <w:r w:rsidRPr="006939DF">
        <w:rPr>
          <w:rFonts w:asciiTheme="minorHAnsi" w:hAnsiTheme="minorHAnsi" w:cstheme="minorHAnsi"/>
        </w:rPr>
        <w:t xml:space="preserve">, with oral dexamethasone, in initial and repeated cycles of HEC. The secondary objective was to describe the efficacy of a single dose of </w:t>
      </w:r>
      <w:r>
        <w:t>IV NEPA FDC</w:t>
      </w:r>
      <w:r w:rsidRPr="006939DF">
        <w:rPr>
          <w:rFonts w:asciiTheme="minorHAnsi" w:hAnsiTheme="minorHAnsi" w:cstheme="minorHAnsi"/>
        </w:rPr>
        <w:t xml:space="preserve"> infused over 30 min</w:t>
      </w:r>
      <w:r>
        <w:rPr>
          <w:rFonts w:asciiTheme="minorHAnsi" w:hAnsiTheme="minorHAnsi" w:cstheme="minorHAnsi"/>
        </w:rPr>
        <w:t>utes</w:t>
      </w:r>
      <w:r w:rsidRPr="006939DF">
        <w:rPr>
          <w:rFonts w:asciiTheme="minorHAnsi" w:hAnsiTheme="minorHAnsi" w:cstheme="minorHAnsi"/>
        </w:rPr>
        <w:t>, with oral dex</w:t>
      </w:r>
      <w:r w:rsidR="000C79F9">
        <w:rPr>
          <w:rFonts w:asciiTheme="minorHAnsi" w:hAnsiTheme="minorHAnsi" w:cstheme="minorHAnsi"/>
        </w:rPr>
        <w:t xml:space="preserve">amethasone, during the acute (0 to </w:t>
      </w:r>
      <w:r w:rsidRPr="006939DF">
        <w:rPr>
          <w:rFonts w:asciiTheme="minorHAnsi" w:hAnsiTheme="minorHAnsi" w:cstheme="minorHAnsi"/>
        </w:rPr>
        <w:t>24 h</w:t>
      </w:r>
      <w:r w:rsidR="000C79F9">
        <w:rPr>
          <w:rFonts w:asciiTheme="minorHAnsi" w:hAnsiTheme="minorHAnsi" w:cstheme="minorHAnsi"/>
        </w:rPr>
        <w:t>ours</w:t>
      </w:r>
      <w:r w:rsidRPr="006939DF">
        <w:rPr>
          <w:rFonts w:asciiTheme="minorHAnsi" w:hAnsiTheme="minorHAnsi" w:cstheme="minorHAnsi"/>
        </w:rPr>
        <w:t>), delayed (&gt;</w:t>
      </w:r>
      <w:r w:rsidR="000C79F9">
        <w:rPr>
          <w:rFonts w:asciiTheme="minorHAnsi" w:hAnsiTheme="minorHAnsi" w:cstheme="minorHAnsi"/>
        </w:rPr>
        <w:t xml:space="preserve"> 24 to </w:t>
      </w:r>
      <w:r w:rsidRPr="006939DF">
        <w:rPr>
          <w:rFonts w:asciiTheme="minorHAnsi" w:hAnsiTheme="minorHAnsi" w:cstheme="minorHAnsi"/>
        </w:rPr>
        <w:t>120 h</w:t>
      </w:r>
      <w:r w:rsidR="000C79F9">
        <w:rPr>
          <w:rFonts w:asciiTheme="minorHAnsi" w:hAnsiTheme="minorHAnsi" w:cstheme="minorHAnsi"/>
        </w:rPr>
        <w:t xml:space="preserve">ours) and overall (0 to </w:t>
      </w:r>
      <w:r w:rsidRPr="006939DF">
        <w:rPr>
          <w:rFonts w:asciiTheme="minorHAnsi" w:hAnsiTheme="minorHAnsi" w:cstheme="minorHAnsi"/>
        </w:rPr>
        <w:t>120 h</w:t>
      </w:r>
      <w:r w:rsidR="000C79F9">
        <w:rPr>
          <w:rFonts w:asciiTheme="minorHAnsi" w:hAnsiTheme="minorHAnsi" w:cstheme="minorHAnsi"/>
        </w:rPr>
        <w:t>ours</w:t>
      </w:r>
      <w:r w:rsidRPr="006939DF">
        <w:rPr>
          <w:rFonts w:asciiTheme="minorHAnsi" w:hAnsiTheme="minorHAnsi" w:cstheme="minorHAnsi"/>
        </w:rPr>
        <w:t xml:space="preserve">) phases of initial and </w:t>
      </w:r>
      <w:r w:rsidR="000C79F9">
        <w:rPr>
          <w:rFonts w:asciiTheme="minorHAnsi" w:hAnsiTheme="minorHAnsi" w:cstheme="minorHAnsi"/>
        </w:rPr>
        <w:t>repeated cycles of HEC.</w:t>
      </w:r>
    </w:p>
    <w:p w14:paraId="2CFB105E" w14:textId="63E5CA41" w:rsidR="00485C56" w:rsidRPr="006939DF" w:rsidRDefault="00485C56" w:rsidP="00485C56">
      <w:pPr>
        <w:rPr>
          <w:rFonts w:asciiTheme="minorHAnsi" w:hAnsiTheme="minorHAnsi" w:cstheme="minorHAnsi"/>
        </w:rPr>
      </w:pPr>
      <w:r>
        <w:rPr>
          <w:rFonts w:asciiTheme="minorHAnsi" w:hAnsiTheme="minorHAnsi" w:cstheme="minorHAnsi"/>
        </w:rPr>
        <w:t>The study included adult patients with h</w:t>
      </w:r>
      <w:r w:rsidRPr="00792C5C">
        <w:rPr>
          <w:rFonts w:asciiTheme="minorHAnsi" w:hAnsiTheme="minorHAnsi" w:cstheme="minorHAnsi"/>
        </w:rPr>
        <w:t xml:space="preserve">istologically or </w:t>
      </w:r>
      <w:proofErr w:type="spellStart"/>
      <w:r w:rsidRPr="00792C5C">
        <w:rPr>
          <w:rFonts w:asciiTheme="minorHAnsi" w:hAnsiTheme="minorHAnsi" w:cstheme="minorHAnsi"/>
        </w:rPr>
        <w:t>cytologically</w:t>
      </w:r>
      <w:proofErr w:type="spellEnd"/>
      <w:r w:rsidRPr="00792C5C">
        <w:rPr>
          <w:rFonts w:asciiTheme="minorHAnsi" w:hAnsiTheme="minorHAnsi" w:cstheme="minorHAnsi"/>
        </w:rPr>
        <w:t xml:space="preserve"> confirmed solid tumo</w:t>
      </w:r>
      <w:r>
        <w:rPr>
          <w:rFonts w:asciiTheme="minorHAnsi" w:hAnsiTheme="minorHAnsi" w:cstheme="minorHAnsi"/>
        </w:rPr>
        <w:t>u</w:t>
      </w:r>
      <w:r w:rsidRPr="00792C5C">
        <w:rPr>
          <w:rFonts w:asciiTheme="minorHAnsi" w:hAnsiTheme="minorHAnsi" w:cstheme="minorHAnsi"/>
        </w:rPr>
        <w:t>r malignancy</w:t>
      </w:r>
      <w:r>
        <w:rPr>
          <w:rFonts w:asciiTheme="minorHAnsi" w:hAnsiTheme="minorHAnsi" w:cstheme="minorHAnsi"/>
        </w:rPr>
        <w:t>, n</w:t>
      </w:r>
      <w:r w:rsidRPr="00792C5C">
        <w:rPr>
          <w:rFonts w:asciiTheme="minorHAnsi" w:hAnsiTheme="minorHAnsi" w:cstheme="minorHAnsi"/>
        </w:rPr>
        <w:t>aïve to cytotoxic chemotherapy</w:t>
      </w:r>
      <w:r>
        <w:rPr>
          <w:rFonts w:asciiTheme="minorHAnsi" w:hAnsiTheme="minorHAnsi" w:cstheme="minorHAnsi"/>
        </w:rPr>
        <w:t>, and scheduled to receive at least 4 consecutive cycles of HEC on Day 1 of each treatment cyc</w:t>
      </w:r>
      <w:r w:rsidR="000C79F9">
        <w:rPr>
          <w:rFonts w:asciiTheme="minorHAnsi" w:hAnsiTheme="minorHAnsi" w:cstheme="minorHAnsi"/>
        </w:rPr>
        <w:t xml:space="preserve">le. </w:t>
      </w:r>
      <w:r>
        <w:rPr>
          <w:rFonts w:asciiTheme="minorHAnsi" w:hAnsiTheme="minorHAnsi" w:cstheme="minorHAnsi"/>
        </w:rPr>
        <w:t>Patients were not permitted to receive MEC or HEC on Day 2 to Day 5.</w:t>
      </w:r>
    </w:p>
    <w:p w14:paraId="36AFC070" w14:textId="773FFA38" w:rsidR="00485C56" w:rsidRDefault="00485C56" w:rsidP="00485C56">
      <w:r>
        <w:t xml:space="preserve">IV NEPA FDC (or </w:t>
      </w:r>
      <w:r w:rsidR="000C79F9">
        <w:t xml:space="preserve">placebo) was administered by 30 </w:t>
      </w:r>
      <w:r>
        <w:t xml:space="preserve">minute IV infusion, 30 </w:t>
      </w:r>
      <w:r w:rsidR="000C79F9">
        <w:t xml:space="preserve">minutes prior to chemotherapy. </w:t>
      </w:r>
      <w:r>
        <w:t xml:space="preserve">Oral NEPA FDC (or placebo) was administered 60 </w:t>
      </w:r>
      <w:r w:rsidR="000C79F9">
        <w:t xml:space="preserve">minutes prior to chemotherapy. </w:t>
      </w:r>
      <w:r>
        <w:t>Oral dexamethasone was administered in open fashion, with the same dose and schedule for test and control treatments.</w:t>
      </w:r>
    </w:p>
    <w:p w14:paraId="0F765DCF" w14:textId="67387215" w:rsidR="00485C56" w:rsidRDefault="000C79F9" w:rsidP="00485C56">
      <w:r>
        <w:t>Efficacy endpoints included:</w:t>
      </w:r>
    </w:p>
    <w:p w14:paraId="4AF98EDD" w14:textId="3A8F8D5D" w:rsidR="00485C56" w:rsidRDefault="00962BF9" w:rsidP="000C79F9">
      <w:pPr>
        <w:pStyle w:val="ListBullet"/>
      </w:pPr>
      <w:r>
        <w:t xml:space="preserve">the </w:t>
      </w:r>
      <w:r w:rsidR="00485C56" w:rsidRPr="0078410B">
        <w:t>proportion of patients with CR (no emetic episodes and no rescue m</w:t>
      </w:r>
      <w:r w:rsidR="000C79F9">
        <w:t xml:space="preserve">edication) during the acute, (0 to </w:t>
      </w:r>
      <w:r w:rsidR="00485C56" w:rsidRPr="0078410B">
        <w:t>24 h</w:t>
      </w:r>
      <w:r w:rsidR="000C79F9">
        <w:t>ours</w:t>
      </w:r>
      <w:r w:rsidR="00485C56" w:rsidRPr="0078410B">
        <w:t xml:space="preserve"> after the start of reference chemotherapy), delayed (&gt;</w:t>
      </w:r>
      <w:r w:rsidR="004A5B00">
        <w:t> </w:t>
      </w:r>
      <w:r w:rsidR="000C79F9">
        <w:t xml:space="preserve">24 to </w:t>
      </w:r>
      <w:r w:rsidR="00485C56" w:rsidRPr="0078410B">
        <w:t>120 h</w:t>
      </w:r>
      <w:r w:rsidR="000C79F9">
        <w:t xml:space="preserve">ours), and overall (0 to </w:t>
      </w:r>
      <w:r w:rsidR="00485C56" w:rsidRPr="0078410B">
        <w:t>120 h</w:t>
      </w:r>
      <w:r w:rsidR="000C79F9">
        <w:t>ours) phases</w:t>
      </w:r>
      <w:r>
        <w:t>;</w:t>
      </w:r>
    </w:p>
    <w:p w14:paraId="62EA84C2" w14:textId="5C1604F0" w:rsidR="00485C56" w:rsidRDefault="00962BF9" w:rsidP="000C79F9">
      <w:pPr>
        <w:pStyle w:val="ListBullet"/>
      </w:pPr>
      <w:r>
        <w:t xml:space="preserve">the </w:t>
      </w:r>
      <w:r w:rsidR="00485C56" w:rsidRPr="0078410B">
        <w:t>proportion of patients with no emetic episodes during the acu</w:t>
      </w:r>
      <w:r w:rsidR="000C79F9">
        <w:t>te, delayed, and overall phases</w:t>
      </w:r>
      <w:r>
        <w:t>; and</w:t>
      </w:r>
    </w:p>
    <w:p w14:paraId="59F3E376" w14:textId="5DE56F19" w:rsidR="00485C56" w:rsidRDefault="00962BF9" w:rsidP="000C79F9">
      <w:pPr>
        <w:pStyle w:val="ListBullet"/>
      </w:pPr>
      <w:r>
        <w:lastRenderedPageBreak/>
        <w:t xml:space="preserve">the </w:t>
      </w:r>
      <w:r w:rsidR="00485C56" w:rsidRPr="0078410B">
        <w:t>proportion of patients with no significant nausea (</w:t>
      </w:r>
      <w:r w:rsidR="000C79F9">
        <w:t>visual analogue scale (</w:t>
      </w:r>
      <w:r w:rsidR="00485C56" w:rsidRPr="0078410B">
        <w:t>VAS</w:t>
      </w:r>
      <w:r w:rsidR="000C79F9">
        <w:t>)</w:t>
      </w:r>
      <w:r>
        <w:t>;</w:t>
      </w:r>
      <w:r w:rsidR="000C79F9">
        <w:rPr>
          <w:rStyle w:val="FootnoteReference"/>
        </w:rPr>
        <w:footnoteReference w:id="19"/>
      </w:r>
      <w:r w:rsidR="00485C56" w:rsidRPr="0078410B">
        <w:t xml:space="preserve"> &lt;</w:t>
      </w:r>
      <w:r w:rsidR="00BC382D">
        <w:t> 25 </w:t>
      </w:r>
      <w:r w:rsidR="00485C56" w:rsidRPr="0078410B">
        <w:t>mm) during the acute, delayed, and overall phases</w:t>
      </w:r>
      <w:r w:rsidR="00485C56">
        <w:t>.</w:t>
      </w:r>
    </w:p>
    <w:p w14:paraId="7C6A0FAA" w14:textId="5221B396" w:rsidR="00485C56" w:rsidRDefault="00BC382D" w:rsidP="00485C56">
      <w:pPr>
        <w:spacing w:before="0" w:after="160" w:line="259" w:lineRule="auto"/>
        <w:rPr>
          <w:rFonts w:asciiTheme="minorHAnsi" w:hAnsiTheme="minorHAnsi" w:cstheme="minorHAnsi"/>
        </w:rPr>
      </w:pPr>
      <w:r>
        <w:rPr>
          <w:rFonts w:asciiTheme="minorHAnsi" w:hAnsiTheme="minorHAnsi" w:cstheme="minorHAnsi"/>
        </w:rPr>
        <w:t>405 patients were randomised;</w:t>
      </w:r>
      <w:r w:rsidR="00485C56">
        <w:rPr>
          <w:rFonts w:asciiTheme="minorHAnsi" w:hAnsiTheme="minorHAnsi" w:cstheme="minorHAnsi"/>
        </w:rPr>
        <w:t xml:space="preserve"> 203 to </w:t>
      </w:r>
      <w:r w:rsidR="00485C56">
        <w:t>IV NEPA FDC</w:t>
      </w:r>
      <w:r w:rsidR="00485C56">
        <w:rPr>
          <w:rFonts w:asciiTheme="minorHAnsi" w:hAnsiTheme="minorHAnsi" w:cstheme="minorHAnsi"/>
        </w:rPr>
        <w:t xml:space="preserve"> and 202 to </w:t>
      </w:r>
      <w:r w:rsidR="00485C56">
        <w:t>oral NEPA FDC</w:t>
      </w:r>
      <w:r>
        <w:rPr>
          <w:rFonts w:asciiTheme="minorHAnsi" w:hAnsiTheme="minorHAnsi" w:cstheme="minorHAnsi"/>
        </w:rPr>
        <w:t xml:space="preserve">, and 404 were treated. </w:t>
      </w:r>
      <w:r w:rsidR="00485C56" w:rsidRPr="005221AD">
        <w:rPr>
          <w:rFonts w:asciiTheme="minorHAnsi" w:hAnsiTheme="minorHAnsi" w:cstheme="minorHAnsi"/>
        </w:rPr>
        <w:t>On Day 1 of Cycle 1, 95.8%</w:t>
      </w:r>
      <w:r w:rsidR="00485C56">
        <w:rPr>
          <w:rFonts w:asciiTheme="minorHAnsi" w:hAnsiTheme="minorHAnsi" w:cstheme="minorHAnsi"/>
        </w:rPr>
        <w:t xml:space="preserve"> of</w:t>
      </w:r>
      <w:r w:rsidR="00485C56" w:rsidRPr="005221AD">
        <w:rPr>
          <w:rFonts w:asciiTheme="minorHAnsi" w:hAnsiTheme="minorHAnsi" w:cstheme="minorHAnsi"/>
        </w:rPr>
        <w:t xml:space="preserve"> patients received cisplatin</w:t>
      </w:r>
      <w:r w:rsidR="00485C56">
        <w:rPr>
          <w:rFonts w:asciiTheme="minorHAnsi" w:hAnsiTheme="minorHAnsi" w:cstheme="minorHAnsi"/>
        </w:rPr>
        <w:t>,</w:t>
      </w:r>
      <w:r w:rsidR="00485C56" w:rsidRPr="005221AD">
        <w:rPr>
          <w:rFonts w:asciiTheme="minorHAnsi" w:hAnsiTheme="minorHAnsi" w:cstheme="minorHAnsi"/>
        </w:rPr>
        <w:t xml:space="preserve"> 3.5%</w:t>
      </w:r>
      <w:r w:rsidR="00485C56">
        <w:rPr>
          <w:rFonts w:asciiTheme="minorHAnsi" w:hAnsiTheme="minorHAnsi" w:cstheme="minorHAnsi"/>
        </w:rPr>
        <w:t xml:space="preserve"> received </w:t>
      </w:r>
      <w:proofErr w:type="spellStart"/>
      <w:r w:rsidR="00485C56">
        <w:rPr>
          <w:rFonts w:asciiTheme="minorHAnsi" w:hAnsiTheme="minorHAnsi" w:cstheme="minorHAnsi"/>
        </w:rPr>
        <w:t>dacarbazine</w:t>
      </w:r>
      <w:proofErr w:type="spellEnd"/>
      <w:r w:rsidR="00485C56">
        <w:rPr>
          <w:rFonts w:asciiTheme="minorHAnsi" w:hAnsiTheme="minorHAnsi" w:cstheme="minorHAnsi"/>
        </w:rPr>
        <w:t xml:space="preserve">, and </w:t>
      </w:r>
      <w:r w:rsidR="00485C56" w:rsidRPr="005221AD">
        <w:rPr>
          <w:rFonts w:asciiTheme="minorHAnsi" w:hAnsiTheme="minorHAnsi" w:cstheme="minorHAnsi"/>
        </w:rPr>
        <w:t>0.7% received cyclophosphamide.</w:t>
      </w:r>
      <w:r>
        <w:rPr>
          <w:rFonts w:asciiTheme="minorHAnsi" w:hAnsiTheme="minorHAnsi" w:cstheme="minorHAnsi"/>
        </w:rPr>
        <w:t xml:space="preserve"> </w:t>
      </w:r>
      <w:r w:rsidR="00485C56">
        <w:rPr>
          <w:rFonts w:asciiTheme="minorHAnsi" w:hAnsiTheme="minorHAnsi" w:cstheme="minorHAnsi"/>
        </w:rPr>
        <w:t>The</w:t>
      </w:r>
      <w:r>
        <w:rPr>
          <w:rFonts w:asciiTheme="minorHAnsi" w:hAnsiTheme="minorHAnsi" w:cstheme="minorHAnsi"/>
        </w:rPr>
        <w:t xml:space="preserve"> profile of HEC was similar in C</w:t>
      </w:r>
      <w:r w:rsidR="00485C56">
        <w:rPr>
          <w:rFonts w:asciiTheme="minorHAnsi" w:hAnsiTheme="minorHAnsi" w:cstheme="minorHAnsi"/>
        </w:rPr>
        <w:t>ycles 2, 3 and 4.</w:t>
      </w:r>
    </w:p>
    <w:p w14:paraId="71F36F2F" w14:textId="2C74F8D8" w:rsidR="00BC382D" w:rsidRDefault="00BC382D" w:rsidP="00BC382D">
      <w:pPr>
        <w:pStyle w:val="Heading6"/>
      </w:pPr>
      <w:r>
        <w:t>Results</w:t>
      </w:r>
    </w:p>
    <w:p w14:paraId="0BE7D8E2" w14:textId="4DD95233" w:rsidR="00485C56" w:rsidRDefault="00485C56" w:rsidP="00485C56">
      <w:pPr>
        <w:spacing w:before="0" w:after="160" w:line="259" w:lineRule="auto"/>
        <w:rPr>
          <w:rFonts w:asciiTheme="minorHAnsi" w:hAnsiTheme="minorHAnsi" w:cstheme="minorHAnsi"/>
        </w:rPr>
      </w:pPr>
      <w:r>
        <w:rPr>
          <w:rFonts w:asciiTheme="minorHAnsi" w:hAnsiTheme="minorHAnsi" w:cstheme="minorHAnsi"/>
        </w:rPr>
        <w:t xml:space="preserve">Efficacy outcomes for </w:t>
      </w:r>
      <w:r w:rsidR="00BC382D">
        <w:rPr>
          <w:rFonts w:asciiTheme="minorHAnsi" w:hAnsiTheme="minorHAnsi" w:cstheme="minorHAnsi"/>
        </w:rPr>
        <w:t>CR</w:t>
      </w:r>
      <w:r>
        <w:rPr>
          <w:rFonts w:asciiTheme="minorHAnsi" w:hAnsiTheme="minorHAnsi" w:cstheme="minorHAnsi"/>
        </w:rPr>
        <w:t xml:space="preserve"> are presented in </w:t>
      </w:r>
      <w:r>
        <w:rPr>
          <w:rFonts w:asciiTheme="minorHAnsi" w:hAnsiTheme="minorHAnsi" w:cstheme="minorHAnsi"/>
        </w:rPr>
        <w:fldChar w:fldCharType="begin"/>
      </w:r>
      <w:r>
        <w:rPr>
          <w:rFonts w:asciiTheme="minorHAnsi" w:hAnsiTheme="minorHAnsi" w:cstheme="minorHAnsi"/>
        </w:rPr>
        <w:instrText xml:space="preserve"> REF _Ref26170376 \h </w:instrText>
      </w:r>
      <w:r>
        <w:rPr>
          <w:rFonts w:asciiTheme="minorHAnsi" w:hAnsiTheme="minorHAnsi" w:cstheme="minorHAnsi"/>
        </w:rPr>
      </w:r>
      <w:r>
        <w:rPr>
          <w:rFonts w:asciiTheme="minorHAnsi" w:hAnsiTheme="minorHAnsi" w:cstheme="minorHAnsi"/>
        </w:rPr>
        <w:fldChar w:fldCharType="separate"/>
      </w:r>
      <w:r w:rsidR="004A5B00">
        <w:t xml:space="preserve">Table </w:t>
      </w:r>
      <w:r w:rsidR="004A5B00">
        <w:rPr>
          <w:noProof/>
        </w:rPr>
        <w:t>7</w:t>
      </w:r>
      <w:r>
        <w:rPr>
          <w:rFonts w:asciiTheme="minorHAnsi" w:hAnsiTheme="minorHAnsi" w:cstheme="minorHAnsi"/>
        </w:rPr>
        <w:fldChar w:fldCharType="end"/>
      </w:r>
      <w:r>
        <w:rPr>
          <w:rFonts w:asciiTheme="minorHAnsi" w:hAnsiTheme="minorHAnsi" w:cstheme="minorHAnsi"/>
        </w:rPr>
        <w:t xml:space="preserve">, noting that efficacy was a secondary objective of </w:t>
      </w:r>
      <w:r w:rsidR="00BC382D">
        <w:rPr>
          <w:rFonts w:asciiTheme="minorHAnsi" w:hAnsiTheme="minorHAnsi" w:cstheme="minorHAnsi"/>
        </w:rPr>
        <w:t xml:space="preserve">Study </w:t>
      </w:r>
      <w:r>
        <w:rPr>
          <w:rFonts w:asciiTheme="minorHAnsi" w:hAnsiTheme="minorHAnsi" w:cstheme="minorHAnsi"/>
        </w:rPr>
        <w:t>NEP</w:t>
      </w:r>
      <w:r w:rsidR="00962BF9">
        <w:rPr>
          <w:rFonts w:asciiTheme="minorHAnsi" w:hAnsiTheme="minorHAnsi" w:cstheme="minorHAnsi"/>
        </w:rPr>
        <w:t>A</w:t>
      </w:r>
      <w:r>
        <w:rPr>
          <w:rFonts w:asciiTheme="minorHAnsi" w:hAnsiTheme="minorHAnsi" w:cstheme="minorHAnsi"/>
        </w:rPr>
        <w:t>-15-18 and the study was not designed or powered to demonstrate non-inferiority.</w:t>
      </w:r>
    </w:p>
    <w:p w14:paraId="58780DC6" w14:textId="2E1366D3" w:rsidR="00485C56" w:rsidRDefault="00485C56" w:rsidP="00BC382D">
      <w:pPr>
        <w:pStyle w:val="TableTitle"/>
      </w:pPr>
      <w:bookmarkStart w:id="57" w:name="_Ref26170376"/>
      <w:r>
        <w:t xml:space="preserve">Table </w:t>
      </w:r>
      <w:fldSimple w:instr=" SEQ Table \* ARABIC ">
        <w:r w:rsidR="004A5B00">
          <w:rPr>
            <w:noProof/>
          </w:rPr>
          <w:t>7</w:t>
        </w:r>
      </w:fldSimple>
      <w:bookmarkEnd w:id="57"/>
      <w:r w:rsidR="00BC382D">
        <w:rPr>
          <w:noProof/>
        </w:rPr>
        <w:t>:</w:t>
      </w:r>
      <w:r w:rsidRPr="001D5F70">
        <w:t xml:space="preserve"> </w:t>
      </w:r>
      <w:r w:rsidR="00BC382D">
        <w:t xml:space="preserve">Study </w:t>
      </w:r>
      <w:r w:rsidR="00BC382D" w:rsidRPr="001D5F70">
        <w:t>NEPA 15-18</w:t>
      </w:r>
      <w:r w:rsidRPr="001D5F70">
        <w:t xml:space="preserve"> </w:t>
      </w:r>
      <w:r w:rsidR="00BC382D">
        <w:t>Complete r</w:t>
      </w:r>
      <w:r w:rsidRPr="001D5F70">
        <w:t>esponse</w:t>
      </w:r>
      <w:r>
        <w:t>s</w:t>
      </w:r>
      <w:r w:rsidRPr="001D5F70">
        <w:t xml:space="preserve"> in </w:t>
      </w:r>
      <w:r>
        <w:t>e</w:t>
      </w:r>
      <w:r w:rsidRPr="001D5F70">
        <w:t xml:space="preserve">ach </w:t>
      </w:r>
      <w:r>
        <w:t>c</w:t>
      </w:r>
      <w:r w:rsidRPr="001D5F70">
        <w:t>ycle</w:t>
      </w:r>
      <w:r>
        <w:t xml:space="preserve">, </w:t>
      </w:r>
      <w:r w:rsidR="00BC382D">
        <w:t>full analysis set</w:t>
      </w:r>
    </w:p>
    <w:p w14:paraId="10B53D33" w14:textId="0CC7590F" w:rsidR="00485C56" w:rsidRDefault="00BC382D" w:rsidP="00485C56">
      <w:pPr>
        <w:spacing w:before="0" w:after="160" w:line="259" w:lineRule="auto"/>
        <w:rPr>
          <w:rFonts w:asciiTheme="minorHAnsi" w:hAnsiTheme="minorHAnsi" w:cstheme="minorHAnsi"/>
        </w:rPr>
      </w:pPr>
      <w:r>
        <w:rPr>
          <w:noProof/>
          <w:lang w:eastAsia="en-AU"/>
        </w:rPr>
        <w:drawing>
          <wp:inline distT="0" distB="0" distL="0" distR="0" wp14:anchorId="61EA40D1" wp14:editId="1A09A0D3">
            <wp:extent cx="3840480" cy="4813245"/>
            <wp:effectExtent l="0" t="0" r="7620" b="6985"/>
            <wp:docPr id="24" name="Picture 24" descr="Study NEPA 15-18 Complete responses in each cycl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6631" cy="4871086"/>
                    </a:xfrm>
                    <a:prstGeom prst="rect">
                      <a:avLst/>
                    </a:prstGeom>
                  </pic:spPr>
                </pic:pic>
              </a:graphicData>
            </a:graphic>
          </wp:inline>
        </w:drawing>
      </w:r>
    </w:p>
    <w:p w14:paraId="56B045FA" w14:textId="59012ED7" w:rsidR="00BC382D" w:rsidRPr="009C1606" w:rsidRDefault="00BC382D" w:rsidP="00BC382D">
      <w:pPr>
        <w:pStyle w:val="TableDescription"/>
      </w:pPr>
      <w:r w:rsidRPr="00BC382D">
        <w:t>Abbreviations: CI = confidence interval; IV N</w:t>
      </w:r>
      <w:r>
        <w:t xml:space="preserve">EPA FDC = intravenous </w:t>
      </w:r>
      <w:proofErr w:type="spellStart"/>
      <w:r w:rsidRPr="00BC382D">
        <w:t>fosnetupitant</w:t>
      </w:r>
      <w:proofErr w:type="spellEnd"/>
      <w:r w:rsidRPr="00BC382D">
        <w:t>/</w:t>
      </w:r>
      <w:proofErr w:type="spellStart"/>
      <w:r w:rsidRPr="00BC382D">
        <w:t>palonosetron</w:t>
      </w:r>
      <w:proofErr w:type="spellEnd"/>
      <w:r w:rsidRPr="00BC382D">
        <w:t xml:space="preserve"> fixed</w:t>
      </w:r>
      <w:r>
        <w:t xml:space="preserve"> dose </w:t>
      </w:r>
      <w:r w:rsidRPr="00BC382D">
        <w:t>combination; N = number of patients in a given group; n = number o</w:t>
      </w:r>
      <w:r>
        <w:t xml:space="preserve">f patients in a given subgroup; </w:t>
      </w:r>
      <w:r w:rsidRPr="00BC382D">
        <w:t xml:space="preserve">Oral NEPA FDC = oral </w:t>
      </w:r>
      <w:proofErr w:type="spellStart"/>
      <w:r w:rsidRPr="00BC382D">
        <w:t>netupitant</w:t>
      </w:r>
      <w:proofErr w:type="spellEnd"/>
      <w:r w:rsidRPr="00BC382D">
        <w:t>/</w:t>
      </w:r>
      <w:proofErr w:type="spellStart"/>
      <w:r w:rsidRPr="00BC382D">
        <w:t>palon</w:t>
      </w:r>
      <w:r>
        <w:t>osetron</w:t>
      </w:r>
      <w:proofErr w:type="spellEnd"/>
      <w:r>
        <w:t xml:space="preserve"> fixed-dose combination.</w:t>
      </w:r>
      <w:r w:rsidRPr="00BC382D">
        <w:t>(a) Wilson score method confid</w:t>
      </w:r>
      <w:r>
        <w:t>ence interval</w:t>
      </w:r>
      <w:r w:rsidR="00962BF9">
        <w:t xml:space="preserve">; </w:t>
      </w:r>
      <w:r w:rsidRPr="00BC382D">
        <w:t xml:space="preserve">(b) </w:t>
      </w:r>
      <w:proofErr w:type="spellStart"/>
      <w:r w:rsidRPr="00BC382D">
        <w:t>Newcombe</w:t>
      </w:r>
      <w:proofErr w:type="spellEnd"/>
      <w:r w:rsidRPr="00BC382D">
        <w:t>-Wilson method for difference in proport</w:t>
      </w:r>
      <w:r>
        <w:t>ions without strata adjustment</w:t>
      </w:r>
      <w:r w:rsidR="00962BF9">
        <w:t xml:space="preserve">; </w:t>
      </w:r>
      <w:r w:rsidRPr="00BC382D">
        <w:t>(c) Cochran-Mantel-</w:t>
      </w:r>
      <w:proofErr w:type="spellStart"/>
      <w:r w:rsidRPr="00BC382D">
        <w:t>Haenszel</w:t>
      </w:r>
      <w:proofErr w:type="spellEnd"/>
      <w:r w:rsidRPr="00BC382D">
        <w:t xml:space="preserve"> method for difference in proportions wit</w:t>
      </w:r>
      <w:r>
        <w:t xml:space="preserve">h strata adjustment (gender and </w:t>
      </w:r>
      <w:r w:rsidRPr="00BC382D">
        <w:t>country).</w:t>
      </w:r>
    </w:p>
    <w:p w14:paraId="13F97FF5" w14:textId="77777777" w:rsidR="00485C56" w:rsidRPr="00BC382D" w:rsidRDefault="00485C56" w:rsidP="00BC382D">
      <w:pPr>
        <w:pStyle w:val="Heading4"/>
      </w:pPr>
      <w:r w:rsidRPr="00BC382D">
        <w:lastRenderedPageBreak/>
        <w:t>Safety</w:t>
      </w:r>
    </w:p>
    <w:p w14:paraId="65AE96D8" w14:textId="2703244E" w:rsidR="00485C56" w:rsidRDefault="00BC382D" w:rsidP="00485C56">
      <w:pPr>
        <w:rPr>
          <w:rFonts w:asciiTheme="minorHAnsi" w:hAnsiTheme="minorHAnsi" w:cstheme="minorHAnsi"/>
        </w:rPr>
      </w:pPr>
      <w:r>
        <w:rPr>
          <w:rFonts w:asciiTheme="minorHAnsi" w:hAnsiTheme="minorHAnsi" w:cstheme="minorHAnsi"/>
        </w:rPr>
        <w:t xml:space="preserve">Study </w:t>
      </w:r>
      <w:r w:rsidR="00485C56">
        <w:rPr>
          <w:rFonts w:asciiTheme="minorHAnsi" w:hAnsiTheme="minorHAnsi" w:cstheme="minorHAnsi"/>
        </w:rPr>
        <w:t>NEPA-15-18, comparing the safety of IV NEPA FDC (</w:t>
      </w:r>
      <w:proofErr w:type="spellStart"/>
      <w:r w:rsidR="000D14E3">
        <w:rPr>
          <w:rFonts w:asciiTheme="minorHAnsi" w:hAnsiTheme="minorHAnsi" w:cstheme="minorHAnsi"/>
        </w:rPr>
        <w:t>Akynzeo</w:t>
      </w:r>
      <w:proofErr w:type="spellEnd"/>
      <w:r w:rsidR="00485C56">
        <w:rPr>
          <w:rFonts w:asciiTheme="minorHAnsi" w:hAnsiTheme="minorHAnsi" w:cstheme="minorHAnsi"/>
        </w:rPr>
        <w:t xml:space="preserve"> IV) to oral NEPA FDC (</w:t>
      </w:r>
      <w:proofErr w:type="spellStart"/>
      <w:r w:rsidR="000D14E3">
        <w:rPr>
          <w:rFonts w:asciiTheme="minorHAnsi" w:hAnsiTheme="minorHAnsi" w:cstheme="minorHAnsi"/>
        </w:rPr>
        <w:t>Akynzeo</w:t>
      </w:r>
      <w:proofErr w:type="spellEnd"/>
      <w:r w:rsidR="00A7374A">
        <w:rPr>
          <w:rFonts w:asciiTheme="minorHAnsi" w:hAnsiTheme="minorHAnsi" w:cstheme="minorHAnsi"/>
        </w:rPr>
        <w:t xml:space="preserve"> capsules</w:t>
      </w:r>
      <w:r w:rsidR="00485C56">
        <w:rPr>
          <w:rFonts w:asciiTheme="minorHAnsi" w:hAnsiTheme="minorHAnsi" w:cstheme="minorHAnsi"/>
        </w:rPr>
        <w:t>) in cancer patients</w:t>
      </w:r>
      <w:r>
        <w:rPr>
          <w:rFonts w:asciiTheme="minorHAnsi" w:hAnsiTheme="minorHAnsi" w:cstheme="minorHAnsi"/>
        </w:rPr>
        <w:t xml:space="preserve">, is the primary safety study. </w:t>
      </w:r>
      <w:r w:rsidR="00485C56">
        <w:rPr>
          <w:rFonts w:asciiTheme="minorHAnsi" w:hAnsiTheme="minorHAnsi" w:cstheme="minorHAnsi"/>
        </w:rPr>
        <w:t>Safety d</w:t>
      </w:r>
      <w:r>
        <w:rPr>
          <w:rFonts w:asciiTheme="minorHAnsi" w:hAnsiTheme="minorHAnsi" w:cstheme="minorHAnsi"/>
        </w:rPr>
        <w:t>ata are also provided from the Phase III</w:t>
      </w:r>
      <w:r w:rsidR="00485C56">
        <w:rPr>
          <w:rFonts w:asciiTheme="minorHAnsi" w:hAnsiTheme="minorHAnsi" w:cstheme="minorHAnsi"/>
        </w:rPr>
        <w:t xml:space="preserve"> study</w:t>
      </w:r>
      <w:r>
        <w:rPr>
          <w:rFonts w:asciiTheme="minorHAnsi" w:hAnsiTheme="minorHAnsi" w:cstheme="minorHAnsi"/>
        </w:rPr>
        <w:t xml:space="preserve">, Study PALO-15-17 (IV infusion versus </w:t>
      </w:r>
      <w:r w:rsidR="00485C56">
        <w:rPr>
          <w:rFonts w:asciiTheme="minorHAnsi" w:hAnsiTheme="minorHAnsi" w:cstheme="minorHAnsi"/>
        </w:rPr>
        <w:t xml:space="preserve">IV bolus of </w:t>
      </w:r>
      <w:proofErr w:type="spellStart"/>
      <w:r w:rsidR="00485C56">
        <w:rPr>
          <w:rFonts w:asciiTheme="minorHAnsi" w:hAnsiTheme="minorHAnsi" w:cstheme="minorHAnsi"/>
        </w:rPr>
        <w:t>palonosetr</w:t>
      </w:r>
      <w:r>
        <w:rPr>
          <w:rFonts w:asciiTheme="minorHAnsi" w:hAnsiTheme="minorHAnsi" w:cstheme="minorHAnsi"/>
        </w:rPr>
        <w:t>on</w:t>
      </w:r>
      <w:proofErr w:type="spellEnd"/>
      <w:r>
        <w:rPr>
          <w:rFonts w:asciiTheme="minorHAnsi" w:hAnsiTheme="minorHAnsi" w:cstheme="minorHAnsi"/>
        </w:rPr>
        <w:t xml:space="preserve"> in cancer patients) and the P</w:t>
      </w:r>
      <w:r w:rsidR="00485C56">
        <w:rPr>
          <w:rFonts w:asciiTheme="minorHAnsi" w:hAnsiTheme="minorHAnsi" w:cstheme="minorHAnsi"/>
        </w:rPr>
        <w:t xml:space="preserve">hase </w:t>
      </w:r>
      <w:r>
        <w:rPr>
          <w:rFonts w:asciiTheme="minorHAnsi" w:hAnsiTheme="minorHAnsi" w:cstheme="minorHAnsi"/>
        </w:rPr>
        <w:t>I</w:t>
      </w:r>
      <w:r w:rsidR="00485C56">
        <w:rPr>
          <w:rFonts w:asciiTheme="minorHAnsi" w:hAnsiTheme="minorHAnsi" w:cstheme="minorHAnsi"/>
        </w:rPr>
        <w:t xml:space="preserve"> SAD safety and PK study, </w:t>
      </w:r>
      <w:r>
        <w:rPr>
          <w:rFonts w:asciiTheme="minorHAnsi" w:hAnsiTheme="minorHAnsi" w:cstheme="minorHAnsi"/>
        </w:rPr>
        <w:t xml:space="preserve">Study </w:t>
      </w:r>
      <w:r w:rsidR="00485C56">
        <w:rPr>
          <w:rFonts w:asciiTheme="minorHAnsi" w:hAnsiTheme="minorHAnsi" w:cstheme="minorHAnsi"/>
        </w:rPr>
        <w:t xml:space="preserve">PNET-12-23 (IV </w:t>
      </w:r>
      <w:proofErr w:type="spellStart"/>
      <w:r w:rsidR="00485C56">
        <w:rPr>
          <w:rFonts w:asciiTheme="minorHAnsi" w:hAnsiTheme="minorHAnsi" w:cstheme="minorHAnsi"/>
        </w:rPr>
        <w:t>fosnetupitant</w:t>
      </w:r>
      <w:proofErr w:type="spellEnd"/>
      <w:r w:rsidR="00485C56">
        <w:rPr>
          <w:rFonts w:asciiTheme="minorHAnsi" w:hAnsiTheme="minorHAnsi" w:cstheme="minorHAnsi"/>
        </w:rPr>
        <w:t xml:space="preserve"> in healthy subjects).</w:t>
      </w:r>
    </w:p>
    <w:p w14:paraId="3B78E0F6" w14:textId="2F7CC97A" w:rsidR="00BC382D" w:rsidRPr="00BC382D" w:rsidRDefault="00BC382D" w:rsidP="00BC382D">
      <w:pPr>
        <w:pStyle w:val="Heading5"/>
      </w:pPr>
      <w:r w:rsidRPr="00BC382D">
        <w:t>Study NEPA-15-18</w:t>
      </w:r>
    </w:p>
    <w:p w14:paraId="75DDC930" w14:textId="3BCDCB6C" w:rsidR="00485C56" w:rsidRDefault="00485C56" w:rsidP="00485C56">
      <w:r>
        <w:rPr>
          <w:rFonts w:asciiTheme="minorHAnsi" w:cstheme="minorHAnsi"/>
        </w:rPr>
        <w:t xml:space="preserve">In </w:t>
      </w:r>
      <w:r w:rsidR="00BC382D">
        <w:rPr>
          <w:rFonts w:asciiTheme="minorHAnsi" w:cstheme="minorHAnsi"/>
        </w:rPr>
        <w:t xml:space="preserve">Study </w:t>
      </w:r>
      <w:r w:rsidRPr="00BC382D">
        <w:t>NEPA-15-18</w:t>
      </w:r>
      <w:r w:rsidR="00A7374A">
        <w:t>;</w:t>
      </w:r>
      <w:r w:rsidR="00A7374A" w:rsidRPr="00CB62EC">
        <w:rPr>
          <w:vertAlign w:val="superscript"/>
        </w:rPr>
        <w:fldChar w:fldCharType="begin"/>
      </w:r>
      <w:r w:rsidR="00A7374A" w:rsidRPr="00CB62EC">
        <w:rPr>
          <w:vertAlign w:val="superscript"/>
        </w:rPr>
        <w:instrText xml:space="preserve"> NOTEREF _Ref51804906 \h </w:instrText>
      </w:r>
      <w:r w:rsidR="00A7374A">
        <w:rPr>
          <w:vertAlign w:val="superscript"/>
        </w:rPr>
        <w:instrText xml:space="preserve"> \* MERGEFORMAT </w:instrText>
      </w:r>
      <w:r w:rsidR="00A7374A" w:rsidRPr="00CB62EC">
        <w:rPr>
          <w:vertAlign w:val="superscript"/>
        </w:rPr>
      </w:r>
      <w:r w:rsidR="00A7374A" w:rsidRPr="00CB62EC">
        <w:rPr>
          <w:vertAlign w:val="superscript"/>
        </w:rPr>
        <w:fldChar w:fldCharType="separate"/>
      </w:r>
      <w:r w:rsidR="004A5B00">
        <w:rPr>
          <w:vertAlign w:val="superscript"/>
        </w:rPr>
        <w:t>15</w:t>
      </w:r>
      <w:r w:rsidR="00A7374A" w:rsidRPr="00CB62EC">
        <w:rPr>
          <w:vertAlign w:val="superscript"/>
        </w:rPr>
        <w:fldChar w:fldCharType="end"/>
      </w:r>
      <w:r>
        <w:rPr>
          <w:rFonts w:asciiTheme="minorHAnsi" w:cstheme="minorHAnsi"/>
        </w:rPr>
        <w:t xml:space="preserve"> 404 patients were treated (203 in the IV NEPA FDC</w:t>
      </w:r>
      <w:r w:rsidR="00A7374A">
        <w:rPr>
          <w:rFonts w:asciiTheme="minorHAnsi" w:cstheme="minorHAnsi"/>
        </w:rPr>
        <w:t xml:space="preserve"> (</w:t>
      </w:r>
      <w:proofErr w:type="spellStart"/>
      <w:r w:rsidR="00A7374A">
        <w:rPr>
          <w:rFonts w:asciiTheme="minorHAnsi" w:cstheme="minorHAnsi"/>
        </w:rPr>
        <w:t>Akynzeo</w:t>
      </w:r>
      <w:proofErr w:type="spellEnd"/>
      <w:r w:rsidR="00A7374A">
        <w:rPr>
          <w:rFonts w:asciiTheme="minorHAnsi" w:cstheme="minorHAnsi"/>
        </w:rPr>
        <w:t xml:space="preserve"> IV)</w:t>
      </w:r>
      <w:r>
        <w:rPr>
          <w:rFonts w:asciiTheme="minorHAnsi" w:cstheme="minorHAnsi"/>
        </w:rPr>
        <w:t xml:space="preserve"> group, 20</w:t>
      </w:r>
      <w:r w:rsidR="00BC382D">
        <w:rPr>
          <w:rFonts w:asciiTheme="minorHAnsi" w:cstheme="minorHAnsi"/>
        </w:rPr>
        <w:t>1 in the oral NEPA FDC</w:t>
      </w:r>
      <w:r w:rsidR="00A7374A">
        <w:rPr>
          <w:rFonts w:asciiTheme="minorHAnsi" w:cstheme="minorHAnsi"/>
        </w:rPr>
        <w:t xml:space="preserve"> (</w:t>
      </w:r>
      <w:proofErr w:type="spellStart"/>
      <w:r w:rsidR="00A7374A">
        <w:rPr>
          <w:rFonts w:asciiTheme="minorHAnsi" w:cstheme="minorHAnsi"/>
        </w:rPr>
        <w:t>Akynzeo</w:t>
      </w:r>
      <w:proofErr w:type="spellEnd"/>
      <w:r w:rsidR="00A7374A">
        <w:rPr>
          <w:rFonts w:asciiTheme="minorHAnsi" w:cstheme="minorHAnsi"/>
        </w:rPr>
        <w:t xml:space="preserve"> capsule</w:t>
      </w:r>
      <w:r w:rsidR="00BC382D">
        <w:rPr>
          <w:rFonts w:asciiTheme="minorHAnsi" w:cstheme="minorHAnsi"/>
        </w:rPr>
        <w:t xml:space="preserve"> group). </w:t>
      </w:r>
      <w:r>
        <w:t>The mean (</w:t>
      </w:r>
      <w:r w:rsidR="00BC382D">
        <w:t>standard deviation (</w:t>
      </w:r>
      <w:r>
        <w:t>SD</w:t>
      </w:r>
      <w:r w:rsidR="00BC382D">
        <w:t>)</w:t>
      </w:r>
      <w:r>
        <w:t>) number of infusions administered in the IV NEPA FDC group was 3.3 (1.0) and the mean (SD) number o</w:t>
      </w:r>
      <w:r w:rsidR="00BC382D">
        <w:t>f capsules administered in the o</w:t>
      </w:r>
      <w:r>
        <w:t>ral</w:t>
      </w:r>
      <w:r w:rsidR="00BC382D">
        <w:t xml:space="preserve"> NEPA FDC group was 3.2 (1.1). </w:t>
      </w:r>
      <w:r>
        <w:t>All patients also received oral dexamethasone.</w:t>
      </w:r>
    </w:p>
    <w:p w14:paraId="587C25C8" w14:textId="02CD199E" w:rsidR="00485C56" w:rsidRDefault="00485C56" w:rsidP="00BC382D">
      <w:pPr>
        <w:rPr>
          <w:rFonts w:asciiTheme="minorHAnsi" w:hAnsiTheme="minorHAnsi"/>
        </w:rPr>
      </w:pPr>
      <w:r>
        <w:t xml:space="preserve">Overall, </w:t>
      </w:r>
      <w:r w:rsidR="00BC382D">
        <w:t>treatment emergent adverse events (</w:t>
      </w:r>
      <w:r>
        <w:t>TEAEs</w:t>
      </w:r>
      <w:r w:rsidR="00BC382D">
        <w:t>)</w:t>
      </w:r>
      <w:r>
        <w:t xml:space="preserve"> were similar between the IV NEPA FDC and oral NEPA FDC arms (</w:t>
      </w:r>
      <w:r>
        <w:fldChar w:fldCharType="begin"/>
      </w:r>
      <w:r>
        <w:instrText xml:space="preserve"> REF _Ref26189175 \h </w:instrText>
      </w:r>
      <w:r w:rsidR="00BC382D">
        <w:instrText xml:space="preserve"> \* MERGEFORMAT </w:instrText>
      </w:r>
      <w:r>
        <w:fldChar w:fldCharType="separate"/>
      </w:r>
      <w:r w:rsidR="004A5B00">
        <w:t xml:space="preserve">Table </w:t>
      </w:r>
      <w:r w:rsidR="004A5B00">
        <w:rPr>
          <w:noProof/>
        </w:rPr>
        <w:t>8</w:t>
      </w:r>
      <w:r>
        <w:fldChar w:fldCharType="end"/>
      </w:r>
      <w:r>
        <w:t>), noting that patients were rece</w:t>
      </w:r>
      <w:r w:rsidR="00BC382D">
        <w:t xml:space="preserve">iving concurrent chemotherapy. </w:t>
      </w:r>
      <w:r>
        <w:t xml:space="preserve">Grade 3 TEAEs were reported for 61 (30.0%) patients in the IV NEPA FDC group </w:t>
      </w:r>
      <w:r w:rsidR="00BC382D">
        <w:t>and 54 (26.9%) patients in the o</w:t>
      </w:r>
      <w:r>
        <w:t xml:space="preserve">ral NEPA FDC group, and Grade 4 TEAEs were reported for 15 (7.4%) patients in the IV NEPA FDC group </w:t>
      </w:r>
      <w:r w:rsidR="00BC382D">
        <w:t xml:space="preserve">and 22 (10.9%) patients in the oral NEPA FDC group. </w:t>
      </w:r>
      <w:r>
        <w:t>Neutropenia was the most frequent Grade 3</w:t>
      </w:r>
      <w:r w:rsidR="009828D2">
        <w:t xml:space="preserve">/4 TEAE reported. </w:t>
      </w:r>
      <w:r>
        <w:t>The profile of serious TEAEs was consistent with chem</w:t>
      </w:r>
      <w:r w:rsidR="009828D2">
        <w:t xml:space="preserve">otherapy treatment for cancer. </w:t>
      </w:r>
      <w:r w:rsidRPr="00083EA3">
        <w:rPr>
          <w:rFonts w:asciiTheme="minorHAnsi" w:hAnsiTheme="minorHAnsi"/>
        </w:rPr>
        <w:t xml:space="preserve">TEAEs leading to death were reported for 10 (4.9%) patients in the IV NEPA FDC group and 14 (7.0%) patients </w:t>
      </w:r>
      <w:r w:rsidRPr="00083EA3">
        <w:rPr>
          <w:rFonts w:asciiTheme="minorHAnsi" w:hAnsiTheme="minorHAnsi" w:cs="Arial"/>
        </w:rPr>
        <w:t xml:space="preserve">in </w:t>
      </w:r>
      <w:r w:rsidR="009828D2">
        <w:rPr>
          <w:rFonts w:asciiTheme="minorHAnsi" w:hAnsiTheme="minorHAnsi"/>
        </w:rPr>
        <w:t xml:space="preserve">the oral NEPA FDC group. </w:t>
      </w:r>
      <w:r w:rsidRPr="00083EA3">
        <w:rPr>
          <w:rFonts w:asciiTheme="minorHAnsi" w:hAnsiTheme="minorHAnsi"/>
        </w:rPr>
        <w:t>None of the deaths were attributable to the study drug.</w:t>
      </w:r>
    </w:p>
    <w:p w14:paraId="2DC24080" w14:textId="7D4CADC5" w:rsidR="00485C56" w:rsidRDefault="00485C56" w:rsidP="00BC382D">
      <w:r>
        <w:t xml:space="preserve">Constipation, a known TEAE with oral </w:t>
      </w:r>
      <w:proofErr w:type="spellStart"/>
      <w:r w:rsidR="000D14E3">
        <w:t>Akynzeo</w:t>
      </w:r>
      <w:proofErr w:type="spellEnd"/>
      <w:r>
        <w:t xml:space="preserve">, was reported for 21 (10.3%) patients in the IV NEPA FDC group </w:t>
      </w:r>
      <w:r w:rsidR="009828D2">
        <w:t>and 26 (12.9%) patients in the oral NEPA FDC group.</w:t>
      </w:r>
    </w:p>
    <w:p w14:paraId="4AF0C2F6" w14:textId="6575BDC9" w:rsidR="00485C56" w:rsidRDefault="009828D2" w:rsidP="00BC382D">
      <w:r>
        <w:t>TEAEs assessed by the i</w:t>
      </w:r>
      <w:r w:rsidR="00485C56">
        <w:t>nvestigator as study-drug-related were reported for 26 (12.8%) patients in the IV NEPA FDC group and 23 (11.4%) patien</w:t>
      </w:r>
      <w:r>
        <w:t xml:space="preserve">ts in the oral NEPA FDC group. </w:t>
      </w:r>
      <w:r w:rsidR="00485C56">
        <w:t>Only 2 types of drug-related TEAEs were reported in ≥</w:t>
      </w:r>
      <w:r>
        <w:t xml:space="preserve"> </w:t>
      </w:r>
      <w:r w:rsidR="00485C56">
        <w:t>2% of patients: c</w:t>
      </w:r>
      <w:r>
        <w:t xml:space="preserve">onstipation and ALT increased. </w:t>
      </w:r>
      <w:r w:rsidR="00485C56">
        <w:t>The</w:t>
      </w:r>
      <w:r w:rsidR="0026026F">
        <w:t xml:space="preserve"> most frequently reported study </w:t>
      </w:r>
      <w:r w:rsidR="00485C56">
        <w:t>drug-related TEAE in both treatme</w:t>
      </w:r>
      <w:r>
        <w:t>nt groups was constipation (13 (6.4%)</w:t>
      </w:r>
      <w:r w:rsidR="00485C56">
        <w:t xml:space="preserve"> patients i</w:t>
      </w:r>
      <w:r>
        <w:t xml:space="preserve">n the IV NEPA FDC group and 12 (6.0%) patients in the oral NEPA FDC group). </w:t>
      </w:r>
      <w:r w:rsidR="00485C56">
        <w:t>ALT increased was reported in 4 patients (</w:t>
      </w:r>
      <w:r>
        <w:t xml:space="preserve">2.0%) in each treatment group. </w:t>
      </w:r>
      <w:r w:rsidR="00485C56">
        <w:t xml:space="preserve">None of the patients met </w:t>
      </w:r>
      <w:proofErr w:type="spellStart"/>
      <w:r w:rsidR="00485C56">
        <w:t>Hy’s</w:t>
      </w:r>
      <w:proofErr w:type="spellEnd"/>
      <w:r w:rsidR="00485C56">
        <w:t xml:space="preserve"> Law criteria.</w:t>
      </w:r>
      <w:r>
        <w:rPr>
          <w:rStyle w:val="FootnoteReference"/>
        </w:rPr>
        <w:footnoteReference w:id="20"/>
      </w:r>
      <w:r>
        <w:t xml:space="preserve"> </w:t>
      </w:r>
      <w:r w:rsidR="00485C56">
        <w:t>There were no st</w:t>
      </w:r>
      <w:r>
        <w:t>udy </w:t>
      </w:r>
      <w:r w:rsidR="00BC382D">
        <w:t>drug-related serious TEAEs.</w:t>
      </w:r>
    </w:p>
    <w:p w14:paraId="11743CF9" w14:textId="2273DED9" w:rsidR="00485C56" w:rsidRDefault="00485C56" w:rsidP="00BC382D">
      <w:pPr>
        <w:pStyle w:val="TableTitle"/>
      </w:pPr>
      <w:bookmarkStart w:id="58" w:name="_Ref26189175"/>
      <w:r>
        <w:lastRenderedPageBreak/>
        <w:t xml:space="preserve">Table </w:t>
      </w:r>
      <w:fldSimple w:instr=" SEQ Table \* ARABIC ">
        <w:r w:rsidR="004A5B00">
          <w:rPr>
            <w:noProof/>
          </w:rPr>
          <w:t>8</w:t>
        </w:r>
      </w:fldSimple>
      <w:bookmarkEnd w:id="58"/>
      <w:r w:rsidR="00BC382D">
        <w:t xml:space="preserve">: </w:t>
      </w:r>
      <w:r w:rsidR="00A7374A">
        <w:t xml:space="preserve">Study NEPA-15-18 </w:t>
      </w:r>
      <w:r w:rsidR="00BC382D">
        <w:t>Overview of treatment emergent adverse events</w:t>
      </w:r>
      <w:r w:rsidR="00A7374A">
        <w:t xml:space="preserve">; </w:t>
      </w:r>
      <w:r>
        <w:t>safety population</w:t>
      </w:r>
    </w:p>
    <w:p w14:paraId="3353DB9F" w14:textId="77777777" w:rsidR="00485C56" w:rsidRDefault="00485C56" w:rsidP="00485C56">
      <w:r>
        <w:rPr>
          <w:noProof/>
          <w:lang w:eastAsia="en-AU"/>
        </w:rPr>
        <w:drawing>
          <wp:inline distT="0" distB="0" distL="0" distR="0" wp14:anchorId="10857425" wp14:editId="13C6E810">
            <wp:extent cx="5400040" cy="3816350"/>
            <wp:effectExtent l="0" t="0" r="0" b="0"/>
            <wp:docPr id="4" name="Picture 4" descr="Study NEPA-15-18 Overview of treatment emergent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400040" cy="3816350"/>
                    </a:xfrm>
                    <a:prstGeom prst="rect">
                      <a:avLst/>
                    </a:prstGeom>
                  </pic:spPr>
                </pic:pic>
              </a:graphicData>
            </a:graphic>
          </wp:inline>
        </w:drawing>
      </w:r>
    </w:p>
    <w:p w14:paraId="331D4153" w14:textId="2946F5F5" w:rsidR="00485C56" w:rsidRDefault="009828D2" w:rsidP="009828D2">
      <w:pPr>
        <w:pStyle w:val="Heading5"/>
      </w:pPr>
      <w:r>
        <w:t xml:space="preserve">Study </w:t>
      </w:r>
      <w:r w:rsidRPr="009828D2">
        <w:t>PALO-15-17</w:t>
      </w:r>
    </w:p>
    <w:p w14:paraId="045FC979" w14:textId="24C9710A" w:rsidR="00485C56" w:rsidRDefault="00485C56" w:rsidP="00485C56">
      <w:r w:rsidRPr="00E02CDE">
        <w:t xml:space="preserve">In </w:t>
      </w:r>
      <w:r w:rsidR="009828D2">
        <w:t xml:space="preserve">Study </w:t>
      </w:r>
      <w:r w:rsidRPr="009828D2">
        <w:t>PALO-15-17</w:t>
      </w:r>
      <w:r w:rsidR="00A7374A">
        <w:t>;</w:t>
      </w:r>
      <w:r w:rsidR="00A7374A" w:rsidRPr="00CB62EC">
        <w:rPr>
          <w:vertAlign w:val="superscript"/>
        </w:rPr>
        <w:fldChar w:fldCharType="begin"/>
      </w:r>
      <w:r w:rsidR="00A7374A" w:rsidRPr="00CB62EC">
        <w:rPr>
          <w:vertAlign w:val="superscript"/>
        </w:rPr>
        <w:instrText xml:space="preserve"> NOTEREF _Ref51801928 \h </w:instrText>
      </w:r>
      <w:r w:rsidR="00A7374A">
        <w:rPr>
          <w:vertAlign w:val="superscript"/>
        </w:rPr>
        <w:instrText xml:space="preserve"> \* MERGEFORMAT </w:instrText>
      </w:r>
      <w:r w:rsidR="00A7374A" w:rsidRPr="00CB62EC">
        <w:rPr>
          <w:vertAlign w:val="superscript"/>
        </w:rPr>
      </w:r>
      <w:r w:rsidR="00A7374A" w:rsidRPr="00CB62EC">
        <w:rPr>
          <w:vertAlign w:val="superscript"/>
        </w:rPr>
        <w:fldChar w:fldCharType="separate"/>
      </w:r>
      <w:r w:rsidR="004A5B00">
        <w:rPr>
          <w:vertAlign w:val="superscript"/>
        </w:rPr>
        <w:t>13</w:t>
      </w:r>
      <w:r w:rsidR="00A7374A" w:rsidRPr="00CB62EC">
        <w:rPr>
          <w:vertAlign w:val="superscript"/>
        </w:rPr>
        <w:fldChar w:fldCharType="end"/>
      </w:r>
      <w:r w:rsidRPr="00E02CDE">
        <w:t xml:space="preserve"> the incidence of TEAEs was similar between treatment groups: 37.8% in the infusion </w:t>
      </w:r>
      <w:r w:rsidR="009828D2">
        <w:t xml:space="preserve">and 35.8% in the bolus group. </w:t>
      </w:r>
      <w:r w:rsidRPr="00E02CDE">
        <w:t xml:space="preserve">Grade 3 TEAEs </w:t>
      </w:r>
      <w:r w:rsidRPr="00E02CDE">
        <w:rPr>
          <w:color w:val="2B2C2D"/>
        </w:rPr>
        <w:t>were reported for</w:t>
      </w:r>
      <w:r w:rsidR="009828D2">
        <w:t xml:space="preserve"> 8 </w:t>
      </w:r>
      <w:r w:rsidRPr="00E02CDE">
        <w:t>(3.6%) patients in the infusion group and 9 (4.2%) patients in the bolus group, and Grade 4 TEAEs for 2 (0.9%) patients in the infusion group and 2 (0.9%) patients in</w:t>
      </w:r>
      <w:r w:rsidRPr="00E02CDE">
        <w:rPr>
          <w:rFonts w:ascii="Arial" w:hAnsi="Arial" w:cs="Arial"/>
        </w:rPr>
        <w:t xml:space="preserve"> </w:t>
      </w:r>
      <w:r w:rsidRPr="00E02CDE">
        <w:rPr>
          <w:color w:val="5A5A5A"/>
        </w:rPr>
        <w:t>t</w:t>
      </w:r>
      <w:r w:rsidRPr="00E02CDE">
        <w:rPr>
          <w:color w:val="2B2C2D"/>
        </w:rPr>
        <w:t>h</w:t>
      </w:r>
      <w:r w:rsidRPr="00E02CDE">
        <w:t>e bol</w:t>
      </w:r>
      <w:r w:rsidRPr="00E02CDE">
        <w:rPr>
          <w:color w:val="2B2C2D"/>
        </w:rPr>
        <w:t>u</w:t>
      </w:r>
      <w:r w:rsidRPr="00E02CDE">
        <w:t xml:space="preserve">s </w:t>
      </w:r>
      <w:r w:rsidRPr="009828D2">
        <w:t>group</w:t>
      </w:r>
      <w:r w:rsidR="009828D2">
        <w:t xml:space="preserve">. </w:t>
      </w:r>
      <w:r w:rsidRPr="00E02CDE">
        <w:t>Serious TEAEs were reported for 15 (6.7%) patients in the infusion group and 12 (5.6%</w:t>
      </w:r>
      <w:r w:rsidR="009828D2">
        <w:t xml:space="preserve">) patients in the bolus group. </w:t>
      </w:r>
      <w:r w:rsidRPr="00E02CDE">
        <w:t>No patient withdrew</w:t>
      </w:r>
      <w:r w:rsidR="009828D2">
        <w:t xml:space="preserve"> from the study due to a TEAE. </w:t>
      </w:r>
      <w:r w:rsidRPr="00E02CDE">
        <w:t>TEAEs related to study drug were reported for 8 (3.6%) patients in the infusion group and 3 (1.4%</w:t>
      </w:r>
      <w:r w:rsidR="009828D2">
        <w:t>) patients in the bolus group. Constipation was the only study drug</w:t>
      </w:r>
      <w:r w:rsidR="009828D2">
        <w:noBreakHyphen/>
      </w:r>
      <w:r w:rsidRPr="00E02CDE">
        <w:t>related TEAE reported in &gt;</w:t>
      </w:r>
      <w:r w:rsidR="009828D2">
        <w:t xml:space="preserve"> </w:t>
      </w:r>
      <w:r w:rsidRPr="00E02CDE">
        <w:t xml:space="preserve">2% of patients in either treatment group (5 (2.2%) patients in the infusion group and 2 (0.9%) patients in the bolus group). </w:t>
      </w:r>
      <w:r>
        <w:t>TEAEs occurring at ≥</w:t>
      </w:r>
      <w:r w:rsidR="009828D2">
        <w:t xml:space="preserve"> </w:t>
      </w:r>
      <w:r>
        <w:t>2% higher f</w:t>
      </w:r>
      <w:r w:rsidR="009828D2">
        <w:t>requency in the infusion arm versus</w:t>
      </w:r>
      <w:r>
        <w:t xml:space="preserve"> bo</w:t>
      </w:r>
      <w:r w:rsidR="009828D2">
        <w:t>lus arm were diarrhoea (4.9% versus</w:t>
      </w:r>
      <w:r>
        <w:t xml:space="preserve"> 2.8%) and</w:t>
      </w:r>
      <w:r w:rsidR="009828D2">
        <w:t xml:space="preserve"> hypertension (3.6% versus 0.9%). </w:t>
      </w:r>
      <w:r>
        <w:t xml:space="preserve">No new safety signals were identified in </w:t>
      </w:r>
      <w:r w:rsidR="009828D2">
        <w:t xml:space="preserve">Study </w:t>
      </w:r>
      <w:r>
        <w:t>PALO-15-17.</w:t>
      </w:r>
    </w:p>
    <w:p w14:paraId="5D54DB51" w14:textId="78B82325" w:rsidR="009828D2" w:rsidRPr="00E02CDE" w:rsidRDefault="009828D2" w:rsidP="009828D2">
      <w:pPr>
        <w:pStyle w:val="Heading5"/>
      </w:pPr>
      <w:r>
        <w:t xml:space="preserve">Study </w:t>
      </w:r>
      <w:r w:rsidRPr="009828D2">
        <w:t>PNET-12-23</w:t>
      </w:r>
    </w:p>
    <w:p w14:paraId="69C0E2E6" w14:textId="78F70F13" w:rsidR="00485C56" w:rsidRDefault="00485C56" w:rsidP="00485C56">
      <w:r w:rsidRPr="00E02CDE">
        <w:t xml:space="preserve">In </w:t>
      </w:r>
      <w:r w:rsidR="009828D2">
        <w:t xml:space="preserve">Study </w:t>
      </w:r>
      <w:r w:rsidRPr="009828D2">
        <w:t>PNET-12-23</w:t>
      </w:r>
      <w:r w:rsidR="00A7374A">
        <w:t>;</w:t>
      </w:r>
      <w:r w:rsidR="00A7374A" w:rsidRPr="00CB62EC">
        <w:rPr>
          <w:vertAlign w:val="superscript"/>
        </w:rPr>
        <w:fldChar w:fldCharType="begin"/>
      </w:r>
      <w:r w:rsidR="00A7374A" w:rsidRPr="00CB62EC">
        <w:rPr>
          <w:vertAlign w:val="superscript"/>
        </w:rPr>
        <w:instrText xml:space="preserve"> NOTEREF _Ref51801599 \h </w:instrText>
      </w:r>
      <w:r w:rsidR="00A7374A">
        <w:rPr>
          <w:vertAlign w:val="superscript"/>
        </w:rPr>
        <w:instrText xml:space="preserve"> \* MERGEFORMAT </w:instrText>
      </w:r>
      <w:r w:rsidR="00A7374A" w:rsidRPr="00CB62EC">
        <w:rPr>
          <w:vertAlign w:val="superscript"/>
        </w:rPr>
      </w:r>
      <w:r w:rsidR="00A7374A" w:rsidRPr="00CB62EC">
        <w:rPr>
          <w:vertAlign w:val="superscript"/>
        </w:rPr>
        <w:fldChar w:fldCharType="separate"/>
      </w:r>
      <w:r w:rsidR="004A5B00">
        <w:rPr>
          <w:vertAlign w:val="superscript"/>
        </w:rPr>
        <w:t>14</w:t>
      </w:r>
      <w:r w:rsidR="00A7374A" w:rsidRPr="00CB62EC">
        <w:rPr>
          <w:vertAlign w:val="superscript"/>
        </w:rPr>
        <w:fldChar w:fldCharType="end"/>
      </w:r>
      <w:r>
        <w:t xml:space="preserve"> </w:t>
      </w:r>
      <w:r w:rsidR="00A7374A">
        <w:t xml:space="preserve">in </w:t>
      </w:r>
      <w:r>
        <w:t>healthy subjects</w:t>
      </w:r>
      <w:r w:rsidRPr="00E02CDE">
        <w:t xml:space="preserve">, the number of drug-related TEAEs or </w:t>
      </w:r>
      <w:r w:rsidR="009828D2">
        <w:t xml:space="preserve">frequency of subjects with drug </w:t>
      </w:r>
      <w:r w:rsidRPr="00E02CDE">
        <w:t>related TEAEs did not increase with asc</w:t>
      </w:r>
      <w:r w:rsidR="009828D2">
        <w:t xml:space="preserve">ending doses of </w:t>
      </w:r>
      <w:proofErr w:type="spellStart"/>
      <w:r w:rsidR="009828D2">
        <w:t>fosnetupitant</w:t>
      </w:r>
      <w:proofErr w:type="spellEnd"/>
      <w:r w:rsidR="009828D2">
        <w:t xml:space="preserve">. </w:t>
      </w:r>
      <w:r w:rsidRPr="00E02CDE">
        <w:t>The most frequently reported TEAEs a</w:t>
      </w:r>
      <w:r w:rsidR="009828D2">
        <w:t>ssessed as drug-related by the i</w:t>
      </w:r>
      <w:r w:rsidRPr="00E02CDE">
        <w:t>nvestigator and DSMB were headache, constipation, infusion site thrombosis, abdominal pain upper, fatigue, dizziness, and nausea.</w:t>
      </w:r>
      <w:r w:rsidR="009828D2">
        <w:t xml:space="preserve"> </w:t>
      </w:r>
      <w:r>
        <w:t>Drug-related infusion site thrombosis events were reported in 8 (5.4%) patients overall, with none reported at the two highest dose l</w:t>
      </w:r>
      <w:r w:rsidR="009828D2">
        <w:t xml:space="preserve">evels tested (325 mg, 390 mg). </w:t>
      </w:r>
      <w:r>
        <w:t xml:space="preserve">No new safety signals were identified in </w:t>
      </w:r>
      <w:r w:rsidR="0026026F">
        <w:t>Study PNET</w:t>
      </w:r>
      <w:r w:rsidR="0026026F">
        <w:noBreakHyphen/>
        <w:t>12</w:t>
      </w:r>
      <w:r w:rsidR="0026026F">
        <w:noBreakHyphen/>
      </w:r>
      <w:r>
        <w:t>23.</w:t>
      </w:r>
    </w:p>
    <w:p w14:paraId="6C5AB4E0" w14:textId="6CA56D4E" w:rsidR="009828D2" w:rsidRPr="00E02CDE" w:rsidRDefault="009828D2" w:rsidP="009828D2">
      <w:pPr>
        <w:pStyle w:val="Heading5"/>
      </w:pPr>
      <w:r>
        <w:lastRenderedPageBreak/>
        <w:t>Cardiac safety</w:t>
      </w:r>
    </w:p>
    <w:p w14:paraId="1069BEAD" w14:textId="46F435CD" w:rsidR="00485C56" w:rsidRPr="00485C56" w:rsidRDefault="00485C56" w:rsidP="00485C56">
      <w:r>
        <w:t>No significant QT prolongation effect</w:t>
      </w:r>
      <w:r w:rsidR="00E95B31">
        <w:t>;</w:t>
      </w:r>
      <w:r>
        <w:t xml:space="preserve"> of </w:t>
      </w:r>
      <w:proofErr w:type="spellStart"/>
      <w:r w:rsidR="000D14E3">
        <w:t>Akynzeo</w:t>
      </w:r>
      <w:proofErr w:type="spellEnd"/>
      <w:r>
        <w:t xml:space="preserve"> IV is expected based on cardiac safety data from</w:t>
      </w:r>
      <w:r w:rsidRPr="00F00C58">
        <w:t xml:space="preserve"> </w:t>
      </w:r>
      <w:r w:rsidR="009828D2">
        <w:t xml:space="preserve">Studies </w:t>
      </w:r>
      <w:r>
        <w:t xml:space="preserve">NEPA-15-18 and PNET-12-23, and the established cardiac safety profiles of </w:t>
      </w:r>
      <w:proofErr w:type="spellStart"/>
      <w:r w:rsidR="000D14E3">
        <w:t>Akynzeo</w:t>
      </w:r>
      <w:proofErr w:type="spellEnd"/>
      <w:r>
        <w:t xml:space="preserve"> capsules and </w:t>
      </w:r>
      <w:proofErr w:type="spellStart"/>
      <w:r w:rsidR="009828D2">
        <w:t>Aloxi</w:t>
      </w:r>
      <w:proofErr w:type="spellEnd"/>
      <w:r w:rsidR="00A7374A">
        <w:t xml:space="preserve"> IV solution</w:t>
      </w:r>
      <w:r>
        <w:t>.</w:t>
      </w:r>
    </w:p>
    <w:p w14:paraId="43C49EAE" w14:textId="77777777" w:rsidR="008E7846" w:rsidRDefault="00386150" w:rsidP="007B6132">
      <w:pPr>
        <w:pStyle w:val="Heading3"/>
        <w:rPr>
          <w:lang w:eastAsia="en-AU"/>
        </w:rPr>
      </w:pPr>
      <w:bookmarkStart w:id="59" w:name="_Toc314842514"/>
      <w:bookmarkStart w:id="60" w:name="_Toc52188116"/>
      <w:r>
        <w:rPr>
          <w:lang w:eastAsia="en-AU"/>
        </w:rPr>
        <w:t>Risk m</w:t>
      </w:r>
      <w:r w:rsidR="008E7846">
        <w:rPr>
          <w:lang w:eastAsia="en-AU"/>
        </w:rPr>
        <w:t xml:space="preserve">anagement </w:t>
      </w:r>
      <w:r>
        <w:rPr>
          <w:lang w:eastAsia="en-AU"/>
        </w:rPr>
        <w:t>p</w:t>
      </w:r>
      <w:r w:rsidR="008E7846">
        <w:rPr>
          <w:lang w:eastAsia="en-AU"/>
        </w:rPr>
        <w:t>lan</w:t>
      </w:r>
      <w:bookmarkEnd w:id="59"/>
      <w:bookmarkEnd w:id="60"/>
    </w:p>
    <w:p w14:paraId="69085D03" w14:textId="12B0A7B5" w:rsidR="00485C56" w:rsidRDefault="009828D2" w:rsidP="009828D2">
      <w:r>
        <w:t>The s</w:t>
      </w:r>
      <w:r w:rsidR="00485C56" w:rsidRPr="00485C56">
        <w:t xml:space="preserve">ponsor submitted </w:t>
      </w:r>
      <w:r>
        <w:t>European Union risk management plan (</w:t>
      </w:r>
      <w:r w:rsidR="00485C56" w:rsidRPr="00485C56">
        <w:t>EU-RMP</w:t>
      </w:r>
      <w:r>
        <w:t>)</w:t>
      </w:r>
      <w:r w:rsidR="00485C56" w:rsidRPr="00485C56">
        <w:t xml:space="preserve"> version 0.1 (</w:t>
      </w:r>
      <w:r>
        <w:t>data lock point (</w:t>
      </w:r>
      <w:r w:rsidR="00485C56" w:rsidRPr="00485C56">
        <w:t>DLP</w:t>
      </w:r>
      <w:r>
        <w:t>)</w:t>
      </w:r>
      <w:r w:rsidR="00485C56" w:rsidRPr="00485C56">
        <w:t xml:space="preserve"> 26 March 2018) and </w:t>
      </w:r>
      <w:r>
        <w:t>Australian specific Annex (</w:t>
      </w:r>
      <w:r w:rsidR="00485C56" w:rsidRPr="00485C56">
        <w:t>ASA</w:t>
      </w:r>
      <w:r>
        <w:t>)</w:t>
      </w:r>
      <w:r w:rsidR="00485C56" w:rsidRPr="00485C56">
        <w:t xml:space="preserve"> version 0.1 (dated April 2019) with the original application, followed by EU-RMP version 2.7 (6 November 2019; DLP 10 October 2018) </w:t>
      </w:r>
      <w:r>
        <w:t>and ASA (dated December 2019).</w:t>
      </w:r>
    </w:p>
    <w:p w14:paraId="00E53A33" w14:textId="23C49962" w:rsidR="007D53B6" w:rsidRDefault="007D53B6" w:rsidP="007D53B6">
      <w:r>
        <w:t>The summary of safety concerns and their associated risk monitoring and mitigation strategies are summarised in</w:t>
      </w:r>
      <w:r w:rsidR="009828D2">
        <w:t xml:space="preserve"> </w:t>
      </w:r>
      <w:r w:rsidR="009828D2">
        <w:fldChar w:fldCharType="begin"/>
      </w:r>
      <w:r w:rsidR="009828D2">
        <w:instrText xml:space="preserve"> REF _Ref48243609 \h </w:instrText>
      </w:r>
      <w:r w:rsidR="009828D2">
        <w:fldChar w:fldCharType="separate"/>
      </w:r>
      <w:r w:rsidR="004A5B00">
        <w:t xml:space="preserve">Table </w:t>
      </w:r>
      <w:r w:rsidR="004A5B00">
        <w:rPr>
          <w:noProof/>
        </w:rPr>
        <w:t>9</w:t>
      </w:r>
      <w:r w:rsidR="009828D2">
        <w:fldChar w:fldCharType="end"/>
      </w:r>
      <w:r>
        <w:t>.</w:t>
      </w:r>
      <w:r>
        <w:rPr>
          <w:rStyle w:val="FootnoteReference"/>
        </w:rPr>
        <w:footnoteReference w:id="21"/>
      </w:r>
    </w:p>
    <w:p w14:paraId="3EB347A3" w14:textId="79CEEAA4" w:rsidR="009828D2" w:rsidRDefault="009828D2" w:rsidP="009828D2">
      <w:pPr>
        <w:pStyle w:val="TableTitle"/>
      </w:pPr>
      <w:bookmarkStart w:id="61" w:name="_Ref48243609"/>
      <w:r>
        <w:t xml:space="preserve">Table </w:t>
      </w:r>
      <w:fldSimple w:instr=" SEQ Table \* ARABIC ">
        <w:r w:rsidR="004A5B00">
          <w:rPr>
            <w:noProof/>
          </w:rPr>
          <w:t>9</w:t>
        </w:r>
      </w:fldSimple>
      <w:bookmarkEnd w:id="61"/>
      <w:r>
        <w:t>: Summary of safety concerns</w:t>
      </w:r>
    </w:p>
    <w:tbl>
      <w:tblPr>
        <w:tblStyle w:val="TableTGAblue"/>
        <w:tblW w:w="5000" w:type="pct"/>
        <w:tblLook w:val="04A0" w:firstRow="1" w:lastRow="0" w:firstColumn="1" w:lastColumn="0" w:noHBand="0" w:noVBand="1"/>
      </w:tblPr>
      <w:tblGrid>
        <w:gridCol w:w="1327"/>
        <w:gridCol w:w="3388"/>
        <w:gridCol w:w="890"/>
        <w:gridCol w:w="1112"/>
        <w:gridCol w:w="890"/>
        <w:gridCol w:w="1113"/>
      </w:tblGrid>
      <w:tr w:rsidR="00EA1EF3" w:rsidRPr="00EA1EF3" w14:paraId="15C2B28E" w14:textId="77777777" w:rsidTr="004A5B00">
        <w:trPr>
          <w:cnfStyle w:val="100000000000" w:firstRow="1" w:lastRow="0" w:firstColumn="0" w:lastColumn="0" w:oddVBand="0" w:evenVBand="0" w:oddHBand="0" w:evenHBand="0" w:firstRowFirstColumn="0" w:firstRowLastColumn="0" w:lastRowFirstColumn="0" w:lastRowLastColumn="0"/>
          <w:trHeight w:val="131"/>
        </w:trPr>
        <w:tc>
          <w:tcPr>
            <w:tcW w:w="2704" w:type="pct"/>
            <w:gridSpan w:val="2"/>
            <w:vMerge w:val="restart"/>
          </w:tcPr>
          <w:p w14:paraId="74F65E89" w14:textId="77777777" w:rsidR="00EA1EF3" w:rsidRPr="00EA1EF3" w:rsidRDefault="00EA1EF3" w:rsidP="00EA1EF3">
            <w:pPr>
              <w:pStyle w:val="Tabletext"/>
              <w:ind w:left="0" w:right="0"/>
              <w:rPr>
                <w:b w:val="0"/>
                <w:sz w:val="20"/>
                <w:szCs w:val="20"/>
              </w:rPr>
            </w:pPr>
            <w:r w:rsidRPr="00EA1EF3">
              <w:rPr>
                <w:sz w:val="20"/>
                <w:szCs w:val="20"/>
              </w:rPr>
              <w:t>Summary of safety concerns</w:t>
            </w:r>
          </w:p>
        </w:tc>
        <w:tc>
          <w:tcPr>
            <w:tcW w:w="1148" w:type="pct"/>
            <w:gridSpan w:val="2"/>
          </w:tcPr>
          <w:p w14:paraId="2A95ADD3" w14:textId="77777777" w:rsidR="00EA1EF3" w:rsidRPr="00EA1EF3" w:rsidRDefault="00EA1EF3" w:rsidP="00EA1EF3">
            <w:pPr>
              <w:pStyle w:val="Tabletext"/>
              <w:ind w:left="0" w:right="0"/>
              <w:rPr>
                <w:b w:val="0"/>
                <w:sz w:val="20"/>
                <w:szCs w:val="20"/>
              </w:rPr>
            </w:pPr>
            <w:r w:rsidRPr="00EA1EF3">
              <w:rPr>
                <w:sz w:val="20"/>
                <w:szCs w:val="20"/>
              </w:rPr>
              <w:t>Pharmacovigilance</w:t>
            </w:r>
          </w:p>
        </w:tc>
        <w:tc>
          <w:tcPr>
            <w:tcW w:w="1149" w:type="pct"/>
            <w:gridSpan w:val="2"/>
          </w:tcPr>
          <w:p w14:paraId="4B3A4700" w14:textId="77777777" w:rsidR="00EA1EF3" w:rsidRPr="00EA1EF3" w:rsidRDefault="00EA1EF3" w:rsidP="00EA1EF3">
            <w:pPr>
              <w:pStyle w:val="Tabletext"/>
              <w:ind w:left="0" w:right="0"/>
              <w:rPr>
                <w:b w:val="0"/>
                <w:sz w:val="20"/>
                <w:szCs w:val="20"/>
              </w:rPr>
            </w:pPr>
            <w:r w:rsidRPr="00EA1EF3">
              <w:rPr>
                <w:sz w:val="20"/>
                <w:szCs w:val="20"/>
              </w:rPr>
              <w:t>Risk Minimisation</w:t>
            </w:r>
          </w:p>
        </w:tc>
      </w:tr>
      <w:tr w:rsidR="00EA1EF3" w:rsidRPr="00EA1EF3" w14:paraId="654C2D81" w14:textId="77777777" w:rsidTr="004A5B00">
        <w:trPr>
          <w:trHeight w:val="150"/>
        </w:trPr>
        <w:tc>
          <w:tcPr>
            <w:tcW w:w="2704" w:type="pct"/>
            <w:gridSpan w:val="2"/>
            <w:vMerge/>
          </w:tcPr>
          <w:p w14:paraId="6948A61C" w14:textId="77777777" w:rsidR="00EA1EF3" w:rsidRPr="00EA1EF3" w:rsidRDefault="00EA1EF3" w:rsidP="00EA1EF3">
            <w:pPr>
              <w:pStyle w:val="Tabletext"/>
              <w:ind w:left="0" w:right="0"/>
              <w:rPr>
                <w:b/>
                <w:sz w:val="20"/>
                <w:szCs w:val="20"/>
              </w:rPr>
            </w:pPr>
          </w:p>
        </w:tc>
        <w:tc>
          <w:tcPr>
            <w:tcW w:w="510" w:type="pct"/>
          </w:tcPr>
          <w:p w14:paraId="231966AD" w14:textId="77777777" w:rsidR="00EA1EF3" w:rsidRPr="00EA1EF3" w:rsidRDefault="00EA1EF3" w:rsidP="00EA1EF3">
            <w:pPr>
              <w:pStyle w:val="Tabletext"/>
              <w:ind w:left="0" w:right="0"/>
              <w:rPr>
                <w:sz w:val="20"/>
                <w:szCs w:val="20"/>
              </w:rPr>
            </w:pPr>
            <w:r w:rsidRPr="00EA1EF3">
              <w:rPr>
                <w:sz w:val="20"/>
                <w:szCs w:val="20"/>
              </w:rPr>
              <w:t>Routine</w:t>
            </w:r>
          </w:p>
        </w:tc>
        <w:tc>
          <w:tcPr>
            <w:tcW w:w="638" w:type="pct"/>
          </w:tcPr>
          <w:p w14:paraId="2084C0E8" w14:textId="77777777" w:rsidR="00EA1EF3" w:rsidRPr="00EA1EF3" w:rsidRDefault="00EA1EF3" w:rsidP="00EA1EF3">
            <w:pPr>
              <w:pStyle w:val="Tabletext"/>
              <w:ind w:left="0" w:right="0"/>
              <w:rPr>
                <w:sz w:val="20"/>
                <w:szCs w:val="20"/>
              </w:rPr>
            </w:pPr>
            <w:r w:rsidRPr="00EA1EF3">
              <w:rPr>
                <w:sz w:val="20"/>
                <w:szCs w:val="20"/>
              </w:rPr>
              <w:t>Additional</w:t>
            </w:r>
          </w:p>
        </w:tc>
        <w:tc>
          <w:tcPr>
            <w:tcW w:w="510" w:type="pct"/>
          </w:tcPr>
          <w:p w14:paraId="1FE957C1" w14:textId="77777777" w:rsidR="00EA1EF3" w:rsidRPr="00EA1EF3" w:rsidRDefault="00EA1EF3" w:rsidP="00EA1EF3">
            <w:pPr>
              <w:pStyle w:val="Tabletext"/>
              <w:ind w:left="0" w:right="0"/>
              <w:rPr>
                <w:sz w:val="20"/>
                <w:szCs w:val="20"/>
              </w:rPr>
            </w:pPr>
            <w:r w:rsidRPr="00EA1EF3">
              <w:rPr>
                <w:sz w:val="20"/>
                <w:szCs w:val="20"/>
              </w:rPr>
              <w:t>Routine</w:t>
            </w:r>
          </w:p>
        </w:tc>
        <w:tc>
          <w:tcPr>
            <w:tcW w:w="638" w:type="pct"/>
          </w:tcPr>
          <w:p w14:paraId="55D847ED" w14:textId="77777777" w:rsidR="00EA1EF3" w:rsidRPr="00EA1EF3" w:rsidRDefault="00EA1EF3" w:rsidP="00EA1EF3">
            <w:pPr>
              <w:pStyle w:val="Tabletext"/>
              <w:ind w:left="0" w:right="0"/>
              <w:rPr>
                <w:sz w:val="20"/>
                <w:szCs w:val="20"/>
              </w:rPr>
            </w:pPr>
            <w:r w:rsidRPr="00EA1EF3">
              <w:rPr>
                <w:sz w:val="20"/>
                <w:szCs w:val="20"/>
              </w:rPr>
              <w:t>Additional</w:t>
            </w:r>
          </w:p>
        </w:tc>
      </w:tr>
      <w:tr w:rsidR="00EA1EF3" w:rsidRPr="00EA1EF3" w14:paraId="748DCD66" w14:textId="77777777" w:rsidTr="004A5B00">
        <w:trPr>
          <w:trHeight w:val="137"/>
        </w:trPr>
        <w:tc>
          <w:tcPr>
            <w:tcW w:w="761" w:type="pct"/>
          </w:tcPr>
          <w:p w14:paraId="367AA8F9" w14:textId="77777777" w:rsidR="00EA1EF3" w:rsidRPr="00EA1EF3" w:rsidRDefault="00EA1EF3" w:rsidP="00EA1EF3">
            <w:pPr>
              <w:pStyle w:val="Tabletext"/>
              <w:ind w:left="0" w:right="0"/>
              <w:rPr>
                <w:b/>
                <w:sz w:val="20"/>
                <w:szCs w:val="20"/>
              </w:rPr>
            </w:pPr>
            <w:r w:rsidRPr="00EA1EF3">
              <w:rPr>
                <w:b/>
                <w:sz w:val="20"/>
                <w:szCs w:val="20"/>
              </w:rPr>
              <w:t>Important identified risks</w:t>
            </w:r>
          </w:p>
        </w:tc>
        <w:tc>
          <w:tcPr>
            <w:tcW w:w="1943" w:type="pct"/>
          </w:tcPr>
          <w:p w14:paraId="1AB11CA5" w14:textId="77777777" w:rsidR="00EA1EF3" w:rsidRPr="00EA1EF3" w:rsidRDefault="00EA1EF3" w:rsidP="00EA1EF3">
            <w:pPr>
              <w:ind w:left="0" w:right="0"/>
              <w:rPr>
                <w:sz w:val="20"/>
                <w:szCs w:val="20"/>
              </w:rPr>
            </w:pPr>
            <w:r w:rsidRPr="00EA1EF3">
              <w:rPr>
                <w:sz w:val="20"/>
                <w:szCs w:val="20"/>
              </w:rPr>
              <w:t>Nil</w:t>
            </w:r>
          </w:p>
        </w:tc>
        <w:tc>
          <w:tcPr>
            <w:tcW w:w="510" w:type="pct"/>
          </w:tcPr>
          <w:p w14:paraId="17A4A4A9" w14:textId="77777777" w:rsidR="00EA1EF3" w:rsidRPr="00EA1EF3" w:rsidRDefault="00EA1EF3" w:rsidP="00EA1EF3">
            <w:pPr>
              <w:pStyle w:val="Tabletext"/>
              <w:ind w:left="0" w:right="0"/>
              <w:jc w:val="center"/>
              <w:rPr>
                <w:strike/>
                <w:sz w:val="20"/>
                <w:szCs w:val="20"/>
              </w:rPr>
            </w:pPr>
          </w:p>
        </w:tc>
        <w:tc>
          <w:tcPr>
            <w:tcW w:w="638" w:type="pct"/>
          </w:tcPr>
          <w:p w14:paraId="224D9C25" w14:textId="77777777" w:rsidR="00EA1EF3" w:rsidRPr="00EA1EF3" w:rsidRDefault="00EA1EF3" w:rsidP="00EA1EF3">
            <w:pPr>
              <w:pStyle w:val="Tabletext"/>
              <w:ind w:left="0" w:right="0"/>
              <w:jc w:val="center"/>
              <w:rPr>
                <w:strike/>
                <w:sz w:val="20"/>
                <w:szCs w:val="20"/>
              </w:rPr>
            </w:pPr>
          </w:p>
        </w:tc>
        <w:tc>
          <w:tcPr>
            <w:tcW w:w="510" w:type="pct"/>
          </w:tcPr>
          <w:p w14:paraId="166C0C7D" w14:textId="77777777" w:rsidR="00EA1EF3" w:rsidRPr="00EA1EF3" w:rsidRDefault="00EA1EF3" w:rsidP="00EA1EF3">
            <w:pPr>
              <w:pStyle w:val="Tabletext"/>
              <w:ind w:left="0" w:right="0"/>
              <w:jc w:val="center"/>
              <w:rPr>
                <w:strike/>
                <w:sz w:val="20"/>
                <w:szCs w:val="20"/>
              </w:rPr>
            </w:pPr>
          </w:p>
        </w:tc>
        <w:tc>
          <w:tcPr>
            <w:tcW w:w="638" w:type="pct"/>
          </w:tcPr>
          <w:p w14:paraId="4A27D11B" w14:textId="77777777" w:rsidR="00EA1EF3" w:rsidRPr="00EA1EF3" w:rsidRDefault="00EA1EF3" w:rsidP="00EA1EF3">
            <w:pPr>
              <w:pStyle w:val="Tabletext"/>
              <w:ind w:left="0" w:right="0"/>
              <w:jc w:val="center"/>
              <w:rPr>
                <w:strike/>
                <w:sz w:val="20"/>
                <w:szCs w:val="20"/>
              </w:rPr>
            </w:pPr>
          </w:p>
        </w:tc>
      </w:tr>
      <w:tr w:rsidR="00EA1EF3" w:rsidRPr="00EA1EF3" w14:paraId="16EB3DC7" w14:textId="77777777" w:rsidTr="004A5B00">
        <w:trPr>
          <w:trHeight w:val="159"/>
        </w:trPr>
        <w:tc>
          <w:tcPr>
            <w:tcW w:w="761" w:type="pct"/>
            <w:vMerge w:val="restart"/>
          </w:tcPr>
          <w:p w14:paraId="7F0DC507" w14:textId="77777777" w:rsidR="00EA1EF3" w:rsidRPr="00EA1EF3" w:rsidRDefault="00EA1EF3" w:rsidP="00EA1EF3">
            <w:pPr>
              <w:pStyle w:val="Tabletext"/>
              <w:ind w:left="0" w:right="0"/>
              <w:rPr>
                <w:b/>
                <w:sz w:val="20"/>
                <w:szCs w:val="20"/>
              </w:rPr>
            </w:pPr>
            <w:r w:rsidRPr="00EA1EF3">
              <w:rPr>
                <w:b/>
                <w:sz w:val="20"/>
                <w:szCs w:val="20"/>
              </w:rPr>
              <w:t>Important potential risks</w:t>
            </w:r>
          </w:p>
        </w:tc>
        <w:tc>
          <w:tcPr>
            <w:tcW w:w="1943" w:type="pct"/>
          </w:tcPr>
          <w:p w14:paraId="4E4C8ADD" w14:textId="77777777" w:rsidR="00EA1EF3" w:rsidRPr="00EA1EF3" w:rsidRDefault="00EA1EF3" w:rsidP="00EA1EF3">
            <w:pPr>
              <w:pStyle w:val="Tabletext"/>
              <w:ind w:left="0" w:right="0"/>
              <w:rPr>
                <w:sz w:val="20"/>
                <w:szCs w:val="20"/>
              </w:rPr>
            </w:pPr>
            <w:r w:rsidRPr="00EA1EF3">
              <w:rPr>
                <w:sz w:val="20"/>
                <w:szCs w:val="20"/>
              </w:rPr>
              <w:t>Torsade de pointes due to QT/</w:t>
            </w:r>
            <w:proofErr w:type="spellStart"/>
            <w:r w:rsidRPr="00EA1EF3">
              <w:rPr>
                <w:sz w:val="20"/>
                <w:szCs w:val="20"/>
              </w:rPr>
              <w:t>QTc</w:t>
            </w:r>
            <w:proofErr w:type="spellEnd"/>
            <w:r w:rsidRPr="00EA1EF3">
              <w:rPr>
                <w:sz w:val="20"/>
                <w:szCs w:val="20"/>
              </w:rPr>
              <w:t xml:space="preserve"> prolongation</w:t>
            </w:r>
          </w:p>
        </w:tc>
        <w:tc>
          <w:tcPr>
            <w:tcW w:w="510" w:type="pct"/>
          </w:tcPr>
          <w:p w14:paraId="69781AB9" w14:textId="77777777" w:rsidR="00EA1EF3" w:rsidRPr="00EA1EF3" w:rsidRDefault="00EA1EF3" w:rsidP="00EA1EF3">
            <w:pPr>
              <w:pStyle w:val="Tabletext"/>
              <w:ind w:left="0" w:right="0"/>
              <w:jc w:val="center"/>
              <w:rPr>
                <w:sz w:val="20"/>
                <w:szCs w:val="20"/>
              </w:rPr>
            </w:pPr>
            <w:r w:rsidRPr="00EA1EF3">
              <w:rPr>
                <w:sz w:val="20"/>
                <w:szCs w:val="20"/>
              </w:rPr>
              <w:sym w:font="Wingdings" w:char="F0FC"/>
            </w:r>
            <w:r w:rsidRPr="00EA1EF3">
              <w:rPr>
                <w:sz w:val="20"/>
                <w:szCs w:val="20"/>
              </w:rPr>
              <w:t xml:space="preserve"> *</w:t>
            </w:r>
          </w:p>
        </w:tc>
        <w:tc>
          <w:tcPr>
            <w:tcW w:w="638" w:type="pct"/>
          </w:tcPr>
          <w:p w14:paraId="3FA60E43" w14:textId="77777777" w:rsidR="00EA1EF3" w:rsidRPr="00EA1EF3" w:rsidRDefault="00EA1EF3" w:rsidP="00EA1EF3">
            <w:pPr>
              <w:pStyle w:val="Tabletext"/>
              <w:ind w:left="0" w:right="0"/>
              <w:jc w:val="center"/>
              <w:rPr>
                <w:sz w:val="20"/>
                <w:szCs w:val="20"/>
              </w:rPr>
            </w:pPr>
            <w:r w:rsidRPr="00EA1EF3">
              <w:rPr>
                <w:sz w:val="20"/>
                <w:szCs w:val="20"/>
              </w:rPr>
              <w:t>–</w:t>
            </w:r>
          </w:p>
        </w:tc>
        <w:tc>
          <w:tcPr>
            <w:tcW w:w="510" w:type="pct"/>
          </w:tcPr>
          <w:p w14:paraId="607DFF1F" w14:textId="77777777" w:rsidR="00EA1EF3" w:rsidRPr="00EA1EF3" w:rsidRDefault="00EA1EF3" w:rsidP="00EA1EF3">
            <w:pPr>
              <w:pStyle w:val="Tabletext"/>
              <w:ind w:left="0" w:right="0"/>
              <w:jc w:val="center"/>
              <w:rPr>
                <w:sz w:val="20"/>
                <w:szCs w:val="20"/>
              </w:rPr>
            </w:pPr>
            <w:r w:rsidRPr="00EA1EF3">
              <w:rPr>
                <w:sz w:val="20"/>
                <w:szCs w:val="20"/>
              </w:rPr>
              <w:sym w:font="Wingdings" w:char="F0FC"/>
            </w:r>
          </w:p>
        </w:tc>
        <w:tc>
          <w:tcPr>
            <w:tcW w:w="638" w:type="pct"/>
          </w:tcPr>
          <w:p w14:paraId="5CB13FD9" w14:textId="77777777" w:rsidR="00EA1EF3" w:rsidRPr="00EA1EF3" w:rsidRDefault="00EA1EF3" w:rsidP="00EA1EF3">
            <w:pPr>
              <w:pStyle w:val="Tabletext"/>
              <w:ind w:left="0" w:right="0"/>
              <w:jc w:val="center"/>
              <w:rPr>
                <w:sz w:val="20"/>
                <w:szCs w:val="20"/>
              </w:rPr>
            </w:pPr>
            <w:r w:rsidRPr="00EA1EF3">
              <w:rPr>
                <w:sz w:val="20"/>
                <w:szCs w:val="20"/>
              </w:rPr>
              <w:t>–</w:t>
            </w:r>
          </w:p>
        </w:tc>
      </w:tr>
      <w:tr w:rsidR="00EA1EF3" w:rsidRPr="00EA1EF3" w14:paraId="77518496" w14:textId="77777777" w:rsidTr="004A5B00">
        <w:trPr>
          <w:trHeight w:val="122"/>
        </w:trPr>
        <w:tc>
          <w:tcPr>
            <w:tcW w:w="761" w:type="pct"/>
            <w:vMerge/>
          </w:tcPr>
          <w:p w14:paraId="59ADBBE1" w14:textId="77777777" w:rsidR="00EA1EF3" w:rsidRPr="00EA1EF3" w:rsidRDefault="00EA1EF3" w:rsidP="00EA1EF3">
            <w:pPr>
              <w:pStyle w:val="Tabletext"/>
              <w:ind w:left="0" w:right="0"/>
              <w:rPr>
                <w:b/>
                <w:sz w:val="20"/>
                <w:szCs w:val="20"/>
              </w:rPr>
            </w:pPr>
          </w:p>
        </w:tc>
        <w:tc>
          <w:tcPr>
            <w:tcW w:w="1943" w:type="pct"/>
          </w:tcPr>
          <w:p w14:paraId="790D969A" w14:textId="77777777" w:rsidR="00EA1EF3" w:rsidRPr="00EA1EF3" w:rsidRDefault="00EA1EF3" w:rsidP="00EA1EF3">
            <w:pPr>
              <w:pStyle w:val="Tabletext"/>
              <w:ind w:left="0" w:right="0"/>
              <w:rPr>
                <w:sz w:val="20"/>
                <w:szCs w:val="20"/>
              </w:rPr>
            </w:pPr>
            <w:r w:rsidRPr="00EA1EF3">
              <w:rPr>
                <w:sz w:val="20"/>
                <w:szCs w:val="20"/>
              </w:rPr>
              <w:t xml:space="preserve">Serotonin syndrome (due to </w:t>
            </w:r>
            <w:proofErr w:type="spellStart"/>
            <w:r w:rsidRPr="00EA1EF3">
              <w:rPr>
                <w:sz w:val="20"/>
                <w:szCs w:val="20"/>
              </w:rPr>
              <w:t>palonosetron</w:t>
            </w:r>
            <w:proofErr w:type="spellEnd"/>
            <w:r w:rsidRPr="00EA1EF3">
              <w:rPr>
                <w:sz w:val="20"/>
                <w:szCs w:val="20"/>
              </w:rPr>
              <w:t>)</w:t>
            </w:r>
          </w:p>
        </w:tc>
        <w:tc>
          <w:tcPr>
            <w:tcW w:w="510" w:type="pct"/>
          </w:tcPr>
          <w:p w14:paraId="1957996B" w14:textId="77777777" w:rsidR="00EA1EF3" w:rsidRPr="00EA1EF3" w:rsidRDefault="00EA1EF3" w:rsidP="00EA1EF3">
            <w:pPr>
              <w:pStyle w:val="Tabletext"/>
              <w:ind w:left="0" w:right="0"/>
              <w:jc w:val="center"/>
              <w:rPr>
                <w:sz w:val="20"/>
                <w:szCs w:val="20"/>
              </w:rPr>
            </w:pPr>
            <w:r w:rsidRPr="00EA1EF3">
              <w:rPr>
                <w:sz w:val="20"/>
                <w:szCs w:val="20"/>
              </w:rPr>
              <w:sym w:font="Wingdings" w:char="F0FC"/>
            </w:r>
            <w:r w:rsidRPr="00EA1EF3">
              <w:rPr>
                <w:sz w:val="20"/>
                <w:szCs w:val="20"/>
              </w:rPr>
              <w:t xml:space="preserve"> *</w:t>
            </w:r>
          </w:p>
        </w:tc>
        <w:tc>
          <w:tcPr>
            <w:tcW w:w="638" w:type="pct"/>
          </w:tcPr>
          <w:p w14:paraId="50A560EE" w14:textId="77777777" w:rsidR="00EA1EF3" w:rsidRPr="00EA1EF3" w:rsidRDefault="00EA1EF3" w:rsidP="00EA1EF3">
            <w:pPr>
              <w:pStyle w:val="Tabletext"/>
              <w:ind w:left="0" w:right="0"/>
              <w:jc w:val="center"/>
              <w:rPr>
                <w:sz w:val="20"/>
                <w:szCs w:val="20"/>
              </w:rPr>
            </w:pPr>
            <w:r w:rsidRPr="00EA1EF3">
              <w:rPr>
                <w:sz w:val="20"/>
                <w:szCs w:val="20"/>
              </w:rPr>
              <w:t>–</w:t>
            </w:r>
          </w:p>
        </w:tc>
        <w:tc>
          <w:tcPr>
            <w:tcW w:w="510" w:type="pct"/>
          </w:tcPr>
          <w:p w14:paraId="73847A1A" w14:textId="77777777" w:rsidR="00EA1EF3" w:rsidRPr="00EA1EF3" w:rsidRDefault="00EA1EF3" w:rsidP="00EA1EF3">
            <w:pPr>
              <w:pStyle w:val="Tabletext"/>
              <w:ind w:left="0" w:right="0"/>
              <w:jc w:val="center"/>
              <w:rPr>
                <w:sz w:val="20"/>
                <w:szCs w:val="20"/>
              </w:rPr>
            </w:pPr>
            <w:r w:rsidRPr="00EA1EF3">
              <w:rPr>
                <w:sz w:val="20"/>
                <w:szCs w:val="20"/>
              </w:rPr>
              <w:sym w:font="Wingdings" w:char="F0FC"/>
            </w:r>
          </w:p>
        </w:tc>
        <w:tc>
          <w:tcPr>
            <w:tcW w:w="638" w:type="pct"/>
          </w:tcPr>
          <w:p w14:paraId="3C4D2A03" w14:textId="77777777" w:rsidR="00EA1EF3" w:rsidRPr="00EA1EF3" w:rsidRDefault="00EA1EF3" w:rsidP="00EA1EF3">
            <w:pPr>
              <w:pStyle w:val="Tabletext"/>
              <w:ind w:left="0" w:right="0"/>
              <w:jc w:val="center"/>
              <w:rPr>
                <w:sz w:val="20"/>
                <w:szCs w:val="20"/>
              </w:rPr>
            </w:pPr>
            <w:r w:rsidRPr="00EA1EF3">
              <w:rPr>
                <w:sz w:val="20"/>
                <w:szCs w:val="20"/>
              </w:rPr>
              <w:t>–</w:t>
            </w:r>
          </w:p>
        </w:tc>
      </w:tr>
      <w:tr w:rsidR="00EA1EF3" w:rsidRPr="00EA1EF3" w14:paraId="6D49218A" w14:textId="77777777" w:rsidTr="004A5B00">
        <w:trPr>
          <w:trHeight w:val="122"/>
        </w:trPr>
        <w:tc>
          <w:tcPr>
            <w:tcW w:w="761" w:type="pct"/>
            <w:vMerge/>
          </w:tcPr>
          <w:p w14:paraId="0D5863FC" w14:textId="77777777" w:rsidR="00EA1EF3" w:rsidRPr="00EA1EF3" w:rsidRDefault="00EA1EF3" w:rsidP="00EA1EF3">
            <w:pPr>
              <w:pStyle w:val="Tabletext"/>
              <w:ind w:left="0" w:right="0"/>
              <w:rPr>
                <w:b/>
                <w:sz w:val="20"/>
                <w:szCs w:val="20"/>
              </w:rPr>
            </w:pPr>
          </w:p>
        </w:tc>
        <w:tc>
          <w:tcPr>
            <w:tcW w:w="1943" w:type="pct"/>
          </w:tcPr>
          <w:p w14:paraId="130066D5" w14:textId="77777777" w:rsidR="00EA1EF3" w:rsidRPr="00EA1EF3" w:rsidRDefault="00EA1EF3" w:rsidP="00EA1EF3">
            <w:pPr>
              <w:pStyle w:val="Tabletext"/>
              <w:ind w:left="0" w:right="0"/>
              <w:rPr>
                <w:sz w:val="20"/>
                <w:szCs w:val="20"/>
              </w:rPr>
            </w:pPr>
            <w:r w:rsidRPr="00EA1EF3">
              <w:rPr>
                <w:sz w:val="20"/>
                <w:szCs w:val="20"/>
              </w:rPr>
              <w:t>Teratogenic effects</w:t>
            </w:r>
          </w:p>
        </w:tc>
        <w:tc>
          <w:tcPr>
            <w:tcW w:w="510" w:type="pct"/>
          </w:tcPr>
          <w:p w14:paraId="1175BA45" w14:textId="77777777" w:rsidR="00EA1EF3" w:rsidRPr="00EA1EF3" w:rsidRDefault="00EA1EF3" w:rsidP="00EA1EF3">
            <w:pPr>
              <w:pStyle w:val="Tabletext"/>
              <w:ind w:left="0" w:right="0"/>
              <w:jc w:val="center"/>
              <w:rPr>
                <w:sz w:val="20"/>
                <w:szCs w:val="20"/>
              </w:rPr>
            </w:pPr>
            <w:r w:rsidRPr="00EA1EF3">
              <w:rPr>
                <w:sz w:val="20"/>
                <w:szCs w:val="20"/>
              </w:rPr>
              <w:sym w:font="Wingdings" w:char="F0FC"/>
            </w:r>
            <w:r w:rsidRPr="00EA1EF3">
              <w:rPr>
                <w:sz w:val="20"/>
                <w:szCs w:val="20"/>
              </w:rPr>
              <w:t xml:space="preserve"> *</w:t>
            </w:r>
          </w:p>
        </w:tc>
        <w:tc>
          <w:tcPr>
            <w:tcW w:w="638" w:type="pct"/>
          </w:tcPr>
          <w:p w14:paraId="6C77A814" w14:textId="77777777" w:rsidR="00EA1EF3" w:rsidRPr="00EA1EF3" w:rsidRDefault="00EA1EF3" w:rsidP="00EA1EF3">
            <w:pPr>
              <w:pStyle w:val="Tabletext"/>
              <w:ind w:left="0" w:right="0"/>
              <w:jc w:val="center"/>
              <w:rPr>
                <w:sz w:val="20"/>
                <w:szCs w:val="20"/>
              </w:rPr>
            </w:pPr>
            <w:r w:rsidRPr="00EA1EF3">
              <w:rPr>
                <w:sz w:val="20"/>
                <w:szCs w:val="20"/>
              </w:rPr>
              <w:t>–</w:t>
            </w:r>
          </w:p>
        </w:tc>
        <w:tc>
          <w:tcPr>
            <w:tcW w:w="510" w:type="pct"/>
          </w:tcPr>
          <w:p w14:paraId="4577FE40" w14:textId="77777777" w:rsidR="00EA1EF3" w:rsidRPr="00EA1EF3" w:rsidRDefault="00EA1EF3" w:rsidP="00EA1EF3">
            <w:pPr>
              <w:pStyle w:val="Tabletext"/>
              <w:ind w:left="0" w:right="0"/>
              <w:jc w:val="center"/>
              <w:rPr>
                <w:sz w:val="20"/>
                <w:szCs w:val="20"/>
              </w:rPr>
            </w:pPr>
            <w:r w:rsidRPr="00EA1EF3">
              <w:rPr>
                <w:sz w:val="20"/>
                <w:szCs w:val="20"/>
              </w:rPr>
              <w:t>–</w:t>
            </w:r>
          </w:p>
        </w:tc>
        <w:tc>
          <w:tcPr>
            <w:tcW w:w="638" w:type="pct"/>
          </w:tcPr>
          <w:p w14:paraId="2761C82D" w14:textId="77777777" w:rsidR="00EA1EF3" w:rsidRPr="00EA1EF3" w:rsidRDefault="00EA1EF3" w:rsidP="00EA1EF3">
            <w:pPr>
              <w:pStyle w:val="Tabletext"/>
              <w:ind w:left="0" w:right="0"/>
              <w:jc w:val="center"/>
              <w:rPr>
                <w:sz w:val="20"/>
                <w:szCs w:val="20"/>
              </w:rPr>
            </w:pPr>
            <w:r w:rsidRPr="00EA1EF3">
              <w:rPr>
                <w:sz w:val="20"/>
                <w:szCs w:val="20"/>
              </w:rPr>
              <w:t>–</w:t>
            </w:r>
          </w:p>
        </w:tc>
      </w:tr>
      <w:tr w:rsidR="00EA1EF3" w:rsidRPr="00EA1EF3" w14:paraId="101C3EC7" w14:textId="77777777" w:rsidTr="004A5B00">
        <w:trPr>
          <w:trHeight w:val="178"/>
        </w:trPr>
        <w:tc>
          <w:tcPr>
            <w:tcW w:w="761" w:type="pct"/>
          </w:tcPr>
          <w:p w14:paraId="29989801" w14:textId="77777777" w:rsidR="00EA1EF3" w:rsidRPr="00EA1EF3" w:rsidRDefault="00EA1EF3" w:rsidP="00EA1EF3">
            <w:pPr>
              <w:pStyle w:val="Tabletext"/>
              <w:ind w:left="0" w:right="0"/>
              <w:rPr>
                <w:b/>
                <w:sz w:val="20"/>
                <w:szCs w:val="20"/>
              </w:rPr>
            </w:pPr>
            <w:r w:rsidRPr="00EA1EF3">
              <w:rPr>
                <w:b/>
                <w:sz w:val="20"/>
                <w:szCs w:val="20"/>
              </w:rPr>
              <w:t>Missing information</w:t>
            </w:r>
          </w:p>
        </w:tc>
        <w:tc>
          <w:tcPr>
            <w:tcW w:w="1943" w:type="pct"/>
          </w:tcPr>
          <w:p w14:paraId="5E0C355B" w14:textId="77777777" w:rsidR="00EA1EF3" w:rsidRPr="00EA1EF3" w:rsidRDefault="00EA1EF3" w:rsidP="00EA1EF3">
            <w:pPr>
              <w:pStyle w:val="Tabletext"/>
              <w:ind w:left="0" w:right="0"/>
              <w:rPr>
                <w:sz w:val="20"/>
                <w:szCs w:val="20"/>
              </w:rPr>
            </w:pPr>
            <w:r w:rsidRPr="00EA1EF3">
              <w:rPr>
                <w:sz w:val="20"/>
                <w:szCs w:val="20"/>
              </w:rPr>
              <w:t>Effects in children</w:t>
            </w:r>
          </w:p>
        </w:tc>
        <w:tc>
          <w:tcPr>
            <w:tcW w:w="510" w:type="pct"/>
          </w:tcPr>
          <w:p w14:paraId="1567B97B" w14:textId="77777777" w:rsidR="00EA1EF3" w:rsidRPr="00EA1EF3" w:rsidRDefault="00EA1EF3" w:rsidP="00EA1EF3">
            <w:pPr>
              <w:pStyle w:val="Tabletext"/>
              <w:ind w:left="0" w:right="0"/>
              <w:jc w:val="center"/>
              <w:rPr>
                <w:sz w:val="20"/>
                <w:szCs w:val="20"/>
              </w:rPr>
            </w:pPr>
            <w:r w:rsidRPr="00EA1EF3">
              <w:rPr>
                <w:sz w:val="20"/>
                <w:szCs w:val="20"/>
              </w:rPr>
              <w:sym w:font="Wingdings" w:char="F0FC"/>
            </w:r>
          </w:p>
        </w:tc>
        <w:tc>
          <w:tcPr>
            <w:tcW w:w="638" w:type="pct"/>
          </w:tcPr>
          <w:p w14:paraId="474359DB" w14:textId="77777777" w:rsidR="00EA1EF3" w:rsidRPr="00EA1EF3" w:rsidRDefault="00EA1EF3" w:rsidP="00EA1EF3">
            <w:pPr>
              <w:pStyle w:val="Tabletext"/>
              <w:ind w:left="0" w:right="0"/>
              <w:jc w:val="center"/>
              <w:rPr>
                <w:sz w:val="20"/>
                <w:szCs w:val="20"/>
              </w:rPr>
            </w:pPr>
            <w:r w:rsidRPr="00EA1EF3">
              <w:rPr>
                <w:sz w:val="20"/>
                <w:szCs w:val="20"/>
              </w:rPr>
              <w:t>–</w:t>
            </w:r>
          </w:p>
        </w:tc>
        <w:tc>
          <w:tcPr>
            <w:tcW w:w="510" w:type="pct"/>
          </w:tcPr>
          <w:p w14:paraId="7DDB0CE8" w14:textId="77777777" w:rsidR="00EA1EF3" w:rsidRPr="00EA1EF3" w:rsidRDefault="00EA1EF3" w:rsidP="00EA1EF3">
            <w:pPr>
              <w:pStyle w:val="Tabletext"/>
              <w:ind w:left="0" w:right="0"/>
              <w:jc w:val="center"/>
              <w:rPr>
                <w:sz w:val="20"/>
                <w:szCs w:val="20"/>
              </w:rPr>
            </w:pPr>
            <w:r w:rsidRPr="00EA1EF3">
              <w:rPr>
                <w:sz w:val="20"/>
                <w:szCs w:val="20"/>
              </w:rPr>
              <w:sym w:font="Wingdings" w:char="F0FC"/>
            </w:r>
          </w:p>
        </w:tc>
        <w:tc>
          <w:tcPr>
            <w:tcW w:w="638" w:type="pct"/>
          </w:tcPr>
          <w:p w14:paraId="578B2521" w14:textId="77777777" w:rsidR="00EA1EF3" w:rsidRPr="00EA1EF3" w:rsidRDefault="00EA1EF3" w:rsidP="00EA1EF3">
            <w:pPr>
              <w:pStyle w:val="Tabletext"/>
              <w:ind w:left="0" w:right="0"/>
              <w:jc w:val="center"/>
              <w:rPr>
                <w:sz w:val="20"/>
                <w:szCs w:val="20"/>
              </w:rPr>
            </w:pPr>
            <w:r w:rsidRPr="00EA1EF3">
              <w:rPr>
                <w:sz w:val="20"/>
                <w:szCs w:val="20"/>
              </w:rPr>
              <w:t>–</w:t>
            </w:r>
          </w:p>
        </w:tc>
      </w:tr>
    </w:tbl>
    <w:p w14:paraId="26A11F54" w14:textId="32C72BF9" w:rsidR="00EA1EF3" w:rsidRDefault="00EA1EF3" w:rsidP="00EA1EF3">
      <w:pPr>
        <w:pStyle w:val="TableDescription"/>
      </w:pPr>
      <w:r w:rsidRPr="00835C47">
        <w:t>* Targeted follow-up checklist</w:t>
      </w:r>
    </w:p>
    <w:p w14:paraId="1DEECDB8" w14:textId="0FAF5929" w:rsidR="009828D2" w:rsidRDefault="009828D2" w:rsidP="009828D2">
      <w:r w:rsidRPr="00485C56">
        <w:t>The proposed summary of safety concerns is acceptable.</w:t>
      </w:r>
    </w:p>
    <w:p w14:paraId="0E3B947D" w14:textId="77777777" w:rsidR="00485C56" w:rsidRPr="000F1B12" w:rsidRDefault="00485C56" w:rsidP="00485C56">
      <w:pPr>
        <w:pStyle w:val="Heading4"/>
      </w:pPr>
      <w:r w:rsidRPr="000F1B12">
        <w:t>Recommended conditions of registration</w:t>
      </w:r>
    </w:p>
    <w:p w14:paraId="2388504D" w14:textId="325DC84E" w:rsidR="009828D2" w:rsidRDefault="00485C56" w:rsidP="009828D2">
      <w:pPr>
        <w:pStyle w:val="ListBullet"/>
      </w:pPr>
      <w:r w:rsidRPr="00453852">
        <w:t xml:space="preserve">The </w:t>
      </w:r>
      <w:proofErr w:type="spellStart"/>
      <w:r w:rsidR="000D14E3">
        <w:t>Akynzeo</w:t>
      </w:r>
      <w:proofErr w:type="spellEnd"/>
      <w:r w:rsidRPr="00453852">
        <w:t xml:space="preserve"> IV EU-</w:t>
      </w:r>
      <w:r w:rsidR="009828D2" w:rsidRPr="00453852">
        <w:t xml:space="preserve">risk management plan </w:t>
      </w:r>
      <w:r w:rsidRPr="00453852">
        <w:t xml:space="preserve">(RMP) (version 2.7, </w:t>
      </w:r>
      <w:r>
        <w:t>6 November 2019</w:t>
      </w:r>
      <w:r w:rsidRPr="00453852">
        <w:t xml:space="preserve">, </w:t>
      </w:r>
      <w:r w:rsidR="00EA7F15">
        <w:t>DLP</w:t>
      </w:r>
      <w:r w:rsidRPr="00453852">
        <w:t xml:space="preserve"> 10 </w:t>
      </w:r>
      <w:r w:rsidR="009828D2">
        <w:t xml:space="preserve">October 2018), with </w:t>
      </w:r>
      <w:r w:rsidR="00EA7F15">
        <w:t>ASA</w:t>
      </w:r>
      <w:r w:rsidRPr="00453852">
        <w:t xml:space="preserve"> (version 0.2, dated December 2019), included with submission PM-2019-01560-1-4, and any subsequent revisions, as agreed with the TGA will be implemented in Australia.</w:t>
      </w:r>
    </w:p>
    <w:p w14:paraId="3DC1275D" w14:textId="55651FF8" w:rsidR="009828D2" w:rsidRDefault="00485C56" w:rsidP="009828D2">
      <w:pPr>
        <w:pStyle w:val="ListBullet"/>
        <w:numPr>
          <w:ilvl w:val="0"/>
          <w:numId w:val="0"/>
        </w:numPr>
        <w:ind w:left="360"/>
      </w:pPr>
      <w:r w:rsidRPr="00453852">
        <w:lastRenderedPageBreak/>
        <w:t>An obligatory component of risk management plans is routine pharmacovigilance. Routine pharmacovigilance includes the submission of periodic safety update reports (PSURs).</w:t>
      </w:r>
    </w:p>
    <w:p w14:paraId="532B731D" w14:textId="0A963E30" w:rsidR="009828D2" w:rsidRDefault="00485C56" w:rsidP="009828D2">
      <w:pPr>
        <w:pStyle w:val="ListBullet"/>
        <w:numPr>
          <w:ilvl w:val="0"/>
          <w:numId w:val="0"/>
        </w:numPr>
        <w:ind w:left="360"/>
      </w:pPr>
      <w:r w:rsidRPr="00453852">
        <w:t>Reports are to be provided in line with the current published list of EU reference dates and frequency of submission of PSURs until the period covered by such reports is not less than t</w:t>
      </w:r>
      <w:r w:rsidR="009828D2">
        <w:t>hree years from the date of the</w:t>
      </w:r>
      <w:r w:rsidRPr="00453852">
        <w:t xml:space="preserve"> approval letter.</w:t>
      </w:r>
    </w:p>
    <w:p w14:paraId="34B1235F" w14:textId="018367BC" w:rsidR="00485C56" w:rsidRDefault="00485C56" w:rsidP="009828D2">
      <w:pPr>
        <w:pStyle w:val="ListBullet"/>
        <w:numPr>
          <w:ilvl w:val="0"/>
          <w:numId w:val="0"/>
        </w:numPr>
        <w:ind w:left="360"/>
      </w:pPr>
      <w:r w:rsidRPr="00453852">
        <w:t xml:space="preserve">The reports are to at least meet the requirements for PSURs as described in the European Medicines Agency’s Guideline on </w:t>
      </w:r>
      <w:r w:rsidR="00EA7F15" w:rsidRPr="00453852">
        <w:t xml:space="preserve">Good Pharmacovigilance Practices </w:t>
      </w:r>
      <w:r w:rsidRPr="00453852">
        <w:t>(GVP) Module VII-periodic safety update report (Rev 1), Part VII.B Structures and processes. Note that submission of a PSUR does not constitute an application to vary the registration.</w:t>
      </w:r>
    </w:p>
    <w:p w14:paraId="0AA6C0D7" w14:textId="1DDEEF51" w:rsidR="00485C56" w:rsidRDefault="000D14E3" w:rsidP="009828D2">
      <w:pPr>
        <w:pStyle w:val="ListBullet"/>
      </w:pPr>
      <w:proofErr w:type="spellStart"/>
      <w:r>
        <w:t>Akynzeo</w:t>
      </w:r>
      <w:proofErr w:type="spellEnd"/>
      <w:r w:rsidR="00485C56" w:rsidRPr="00453852">
        <w:t xml:space="preserve"> IV (</w:t>
      </w:r>
      <w:proofErr w:type="spellStart"/>
      <w:r w:rsidR="00485C56" w:rsidRPr="00453852">
        <w:t>fosnetupitant</w:t>
      </w:r>
      <w:proofErr w:type="spellEnd"/>
      <w:r w:rsidR="00485C56" w:rsidRPr="00453852">
        <w:t xml:space="preserve"> and </w:t>
      </w:r>
      <w:proofErr w:type="spellStart"/>
      <w:r w:rsidR="00485C56" w:rsidRPr="00453852">
        <w:t>palonosetron</w:t>
      </w:r>
      <w:proofErr w:type="spellEnd"/>
      <w:r w:rsidR="00485C56" w:rsidRPr="00453852">
        <w:t xml:space="preserve">) is to be included in the Black Triangle Scheme. The PI and </w:t>
      </w:r>
      <w:r w:rsidR="00EA7F15">
        <w:t>Consumer Medicines Information (</w:t>
      </w:r>
      <w:r w:rsidR="00485C56" w:rsidRPr="00453852">
        <w:t>CMI</w:t>
      </w:r>
      <w:r w:rsidR="00EA7F15">
        <w:t>)</w:t>
      </w:r>
      <w:r w:rsidR="00485C56" w:rsidRPr="00453852">
        <w:t xml:space="preserve"> for </w:t>
      </w:r>
      <w:proofErr w:type="spellStart"/>
      <w:r>
        <w:t>Akynzeo</w:t>
      </w:r>
      <w:proofErr w:type="spellEnd"/>
      <w:r w:rsidR="00485C56" w:rsidRPr="00453852">
        <w:t xml:space="preserve"> IV must include the black triangle symbol and mandatory accompanying text for five years, which starts from the date that the sponsor notifies the TGA of supply of the product.</w:t>
      </w:r>
    </w:p>
    <w:p w14:paraId="3A40BCF7" w14:textId="77777777" w:rsidR="008E7846" w:rsidRDefault="00AA0ED0" w:rsidP="008E7846">
      <w:pPr>
        <w:pStyle w:val="Heading3"/>
      </w:pPr>
      <w:bookmarkStart w:id="62" w:name="_Toc247691531"/>
      <w:bookmarkStart w:id="63" w:name="_Toc314842515"/>
      <w:bookmarkStart w:id="64" w:name="_Toc196046505"/>
      <w:bookmarkStart w:id="65" w:name="_Toc196046949"/>
      <w:bookmarkStart w:id="66" w:name="_Toc52188117"/>
      <w:r>
        <w:t>Risk-benefit a</w:t>
      </w:r>
      <w:r w:rsidR="008E7846">
        <w:t>nalysis</w:t>
      </w:r>
      <w:bookmarkEnd w:id="62"/>
      <w:bookmarkEnd w:id="63"/>
      <w:bookmarkEnd w:id="66"/>
    </w:p>
    <w:p w14:paraId="609E26CC" w14:textId="77777777" w:rsidR="00D23139" w:rsidRDefault="007D53B6" w:rsidP="00D23139">
      <w:pPr>
        <w:pStyle w:val="Heading4"/>
      </w:pPr>
      <w:r>
        <w:t>Delegate’s considerations</w:t>
      </w:r>
    </w:p>
    <w:p w14:paraId="2E433C7F" w14:textId="618D8C52" w:rsidR="00485C56" w:rsidRDefault="00EA7F15" w:rsidP="00EA7F15">
      <w:pPr>
        <w:pStyle w:val="Heading5"/>
      </w:pPr>
      <w:r>
        <w:t>Pharmacology</w:t>
      </w:r>
    </w:p>
    <w:p w14:paraId="6474AC8D" w14:textId="62609A1D" w:rsidR="00485C56" w:rsidRDefault="00485C56" w:rsidP="00485C56">
      <w:r>
        <w:t xml:space="preserve">In </w:t>
      </w:r>
      <w:r w:rsidR="00EA7F15">
        <w:t xml:space="preserve">Study </w:t>
      </w:r>
      <w:r>
        <w:t xml:space="preserve">PNET-12-23, </w:t>
      </w:r>
      <w:proofErr w:type="spellStart"/>
      <w:r>
        <w:t>fosnetupitant</w:t>
      </w:r>
      <w:proofErr w:type="spellEnd"/>
      <w:r>
        <w:t xml:space="preserve"> was rapidly converted into </w:t>
      </w:r>
      <w:proofErr w:type="spellStart"/>
      <w:r>
        <w:t>netupitant</w:t>
      </w:r>
      <w:proofErr w:type="spellEnd"/>
      <w:r>
        <w:t xml:space="preserve"> aft</w:t>
      </w:r>
      <w:r w:rsidR="00EA7F15">
        <w:t xml:space="preserve">er IV administration. </w:t>
      </w:r>
      <w:r>
        <w:t xml:space="preserve">Within 30 minutes of infusion completion, </w:t>
      </w:r>
      <w:r w:rsidR="00EA7F15">
        <w:t xml:space="preserve">the </w:t>
      </w:r>
      <w:proofErr w:type="spellStart"/>
      <w:r>
        <w:t>fosnetupitant</w:t>
      </w:r>
      <w:proofErr w:type="spellEnd"/>
      <w:r>
        <w:t xml:space="preserve"> concentration decreased to less than 1% of </w:t>
      </w:r>
      <w:proofErr w:type="spellStart"/>
      <w:r>
        <w:t>C</w:t>
      </w:r>
      <w:r w:rsidRPr="000427FD">
        <w:rPr>
          <w:vertAlign w:val="subscript"/>
        </w:rPr>
        <w:t>max</w:t>
      </w:r>
      <w:proofErr w:type="spellEnd"/>
      <w:r>
        <w:t>.</w:t>
      </w:r>
      <w:r w:rsidRPr="00A0378C">
        <w:t xml:space="preserve"> </w:t>
      </w:r>
      <w:r>
        <w:t xml:space="preserve">IV administration of 260 mg </w:t>
      </w:r>
      <w:proofErr w:type="spellStart"/>
      <w:r>
        <w:t>fosnetupitant</w:t>
      </w:r>
      <w:proofErr w:type="spellEnd"/>
      <w:r>
        <w:t xml:space="preserve"> chloride hydrochloride (equivalent to 235 mg </w:t>
      </w:r>
      <w:proofErr w:type="spellStart"/>
      <w:r>
        <w:t>fosnetupitant</w:t>
      </w:r>
      <w:proofErr w:type="spellEnd"/>
      <w:r>
        <w:t xml:space="preserve"> free-base, as in </w:t>
      </w:r>
      <w:proofErr w:type="spellStart"/>
      <w:r w:rsidR="000D14E3">
        <w:t>Akynzeo</w:t>
      </w:r>
      <w:proofErr w:type="spellEnd"/>
      <w:r>
        <w:t xml:space="preserve"> IV) yielded equivalent systemic </w:t>
      </w:r>
      <w:proofErr w:type="spellStart"/>
      <w:r>
        <w:t>netupitant</w:t>
      </w:r>
      <w:proofErr w:type="spellEnd"/>
      <w:r>
        <w:t xml:space="preserve"> exposure (</w:t>
      </w:r>
      <w:r w:rsidR="00EA7F15">
        <w:t>area under the plasma concentration time curve from time 0 to 120 hours (</w:t>
      </w:r>
      <w:r>
        <w:t>AUC</w:t>
      </w:r>
      <w:r w:rsidRPr="007F6FFE">
        <w:rPr>
          <w:vertAlign w:val="subscript"/>
        </w:rPr>
        <w:t>0-120</w:t>
      </w:r>
      <w:r w:rsidR="00EA7F15" w:rsidRPr="00EA7F15">
        <w:rPr>
          <w:vertAlign w:val="subscript"/>
        </w:rPr>
        <w:t>h</w:t>
      </w:r>
      <w:r w:rsidR="00EA7F15">
        <w:t>)</w:t>
      </w:r>
      <w:r>
        <w:t xml:space="preserve"> and </w:t>
      </w:r>
      <w:r w:rsidR="00EA7F15">
        <w:t>area under the plasma concentration time curve from time 0 to infinity (</w:t>
      </w:r>
      <w:r>
        <w:t>AUC</w:t>
      </w:r>
      <w:r w:rsidRPr="007F6FFE">
        <w:rPr>
          <w:vertAlign w:val="subscript"/>
        </w:rPr>
        <w:t>0-∞</w:t>
      </w:r>
      <w:r w:rsidR="00EA7F15">
        <w:t xml:space="preserve">)) to 300 mg oral </w:t>
      </w:r>
      <w:proofErr w:type="spellStart"/>
      <w:r w:rsidR="00EA7F15">
        <w:t>netupitant</w:t>
      </w:r>
      <w:proofErr w:type="spellEnd"/>
      <w:r w:rsidR="00EA7F15">
        <w:t xml:space="preserve">. The </w:t>
      </w:r>
      <w:proofErr w:type="spellStart"/>
      <w:r>
        <w:t>C</w:t>
      </w:r>
      <w:r w:rsidRPr="00916510">
        <w:rPr>
          <w:vertAlign w:val="subscript"/>
        </w:rPr>
        <w:t>max</w:t>
      </w:r>
      <w:proofErr w:type="spellEnd"/>
      <w:r>
        <w:t xml:space="preserve"> of </w:t>
      </w:r>
      <w:proofErr w:type="spellStart"/>
      <w:r>
        <w:t>n</w:t>
      </w:r>
      <w:r w:rsidR="00EA7F15">
        <w:t>etupitant</w:t>
      </w:r>
      <w:proofErr w:type="spellEnd"/>
      <w:r w:rsidR="00EA7F15">
        <w:t xml:space="preserve"> was approximately 1.5 </w:t>
      </w:r>
      <w:r>
        <w:t xml:space="preserve">fold higher for 260 mg IV </w:t>
      </w:r>
      <w:proofErr w:type="spellStart"/>
      <w:r>
        <w:t>fosnetupitant</w:t>
      </w:r>
      <w:proofErr w:type="spellEnd"/>
      <w:r>
        <w:t xml:space="preserve"> compared to 300 mg oral </w:t>
      </w:r>
      <w:proofErr w:type="spellStart"/>
      <w:r>
        <w:t>netupitant</w:t>
      </w:r>
      <w:proofErr w:type="spellEnd"/>
      <w:r>
        <w:t>.</w:t>
      </w:r>
    </w:p>
    <w:p w14:paraId="6B0C83F2" w14:textId="29515709" w:rsidR="00485C56" w:rsidRDefault="00EA7F15" w:rsidP="00EA7F15">
      <w:pPr>
        <w:pStyle w:val="Heading5"/>
      </w:pPr>
      <w:r>
        <w:t>Efficacy</w:t>
      </w:r>
    </w:p>
    <w:p w14:paraId="5A2EDC3D" w14:textId="07DBDC44" w:rsidR="00485C56" w:rsidRDefault="00485C56" w:rsidP="00485C56">
      <w:pPr>
        <w:rPr>
          <w:rFonts w:asciiTheme="minorHAnsi" w:hAnsiTheme="minorHAnsi" w:cstheme="minorHAnsi"/>
        </w:rPr>
      </w:pPr>
      <w:r>
        <w:rPr>
          <w:rFonts w:asciiTheme="minorHAnsi" w:hAnsiTheme="minorHAnsi" w:cstheme="minorHAnsi"/>
        </w:rPr>
        <w:t>Non-in</w:t>
      </w:r>
      <w:r w:rsidR="00EA7F15">
        <w:rPr>
          <w:rFonts w:asciiTheme="minorHAnsi" w:hAnsiTheme="minorHAnsi" w:cstheme="minorHAnsi"/>
        </w:rPr>
        <w:t xml:space="preserve">feriority of </w:t>
      </w:r>
      <w:proofErr w:type="spellStart"/>
      <w:r w:rsidR="00EA7F15">
        <w:rPr>
          <w:rFonts w:asciiTheme="minorHAnsi" w:hAnsiTheme="minorHAnsi" w:cstheme="minorHAnsi"/>
        </w:rPr>
        <w:t>palonosetron</w:t>
      </w:r>
      <w:proofErr w:type="spellEnd"/>
      <w:r w:rsidR="00EA7F15">
        <w:rPr>
          <w:rFonts w:asciiTheme="minorHAnsi" w:hAnsiTheme="minorHAnsi" w:cstheme="minorHAnsi"/>
        </w:rPr>
        <w:t xml:space="preserve"> by 30 </w:t>
      </w:r>
      <w:r>
        <w:rPr>
          <w:rFonts w:asciiTheme="minorHAnsi" w:hAnsiTheme="minorHAnsi" w:cstheme="minorHAnsi"/>
        </w:rPr>
        <w:t>mi</w:t>
      </w:r>
      <w:r w:rsidR="00EA7F15">
        <w:rPr>
          <w:rFonts w:asciiTheme="minorHAnsi" w:hAnsiTheme="minorHAnsi" w:cstheme="minorHAnsi"/>
        </w:rPr>
        <w:t xml:space="preserve">nute IV infusion compared to 30 </w:t>
      </w:r>
      <w:r>
        <w:rPr>
          <w:rFonts w:asciiTheme="minorHAnsi" w:hAnsiTheme="minorHAnsi" w:cstheme="minorHAnsi"/>
        </w:rPr>
        <w:t xml:space="preserve">second IV bolus was demonstrated in </w:t>
      </w:r>
      <w:r w:rsidR="00EA7F15">
        <w:rPr>
          <w:rFonts w:asciiTheme="minorHAnsi" w:hAnsiTheme="minorHAnsi" w:cstheme="minorHAnsi"/>
        </w:rPr>
        <w:t xml:space="preserve">Study PALO 15-17. </w:t>
      </w:r>
      <w:r>
        <w:rPr>
          <w:rFonts w:asciiTheme="minorHAnsi" w:hAnsiTheme="minorHAnsi" w:cstheme="minorHAnsi"/>
        </w:rPr>
        <w:t xml:space="preserve">This establishes the efficacy of the </w:t>
      </w:r>
      <w:proofErr w:type="spellStart"/>
      <w:r>
        <w:rPr>
          <w:rFonts w:asciiTheme="minorHAnsi" w:hAnsiTheme="minorHAnsi" w:cstheme="minorHAnsi"/>
        </w:rPr>
        <w:t>palonosetron</w:t>
      </w:r>
      <w:proofErr w:type="spellEnd"/>
      <w:r>
        <w:rPr>
          <w:rFonts w:asciiTheme="minorHAnsi" w:hAnsiTheme="minorHAnsi" w:cstheme="minorHAnsi"/>
        </w:rPr>
        <w:t xml:space="preserve"> component of </w:t>
      </w:r>
      <w:proofErr w:type="spellStart"/>
      <w:r w:rsidR="000D14E3">
        <w:rPr>
          <w:rFonts w:asciiTheme="minorHAnsi" w:hAnsiTheme="minorHAnsi" w:cstheme="minorHAnsi"/>
        </w:rPr>
        <w:t>Akynzeo</w:t>
      </w:r>
      <w:proofErr w:type="spellEnd"/>
      <w:r>
        <w:rPr>
          <w:rFonts w:asciiTheme="minorHAnsi" w:hAnsiTheme="minorHAnsi" w:cstheme="minorHAnsi"/>
        </w:rPr>
        <w:t xml:space="preserve"> IV, based on the established efficacy of </w:t>
      </w:r>
      <w:proofErr w:type="spellStart"/>
      <w:r w:rsidR="00EA7F15">
        <w:rPr>
          <w:rFonts w:asciiTheme="minorHAnsi" w:hAnsiTheme="minorHAnsi" w:cstheme="minorHAnsi"/>
        </w:rPr>
        <w:t>Aloxi</w:t>
      </w:r>
      <w:proofErr w:type="spellEnd"/>
      <w:r w:rsidR="00EA7F15">
        <w:rPr>
          <w:rFonts w:asciiTheme="minorHAnsi" w:hAnsiTheme="minorHAnsi" w:cstheme="minorHAnsi"/>
        </w:rPr>
        <w:t xml:space="preserve">. </w:t>
      </w:r>
      <w:r>
        <w:rPr>
          <w:rFonts w:asciiTheme="minorHAnsi" w:hAnsiTheme="minorHAnsi" w:cstheme="minorHAnsi"/>
        </w:rPr>
        <w:t>Non-inferiority for the primary endpoint (CR in the acute phase) was supported by similar findings for CR in th</w:t>
      </w:r>
      <w:r w:rsidR="00EA7F15">
        <w:rPr>
          <w:rFonts w:asciiTheme="minorHAnsi" w:hAnsiTheme="minorHAnsi" w:cstheme="minorHAnsi"/>
        </w:rPr>
        <w:t xml:space="preserve">e delayed and overall phases. </w:t>
      </w:r>
      <w:r>
        <w:rPr>
          <w:rFonts w:asciiTheme="minorHAnsi" w:hAnsiTheme="minorHAnsi" w:cstheme="minorHAnsi"/>
        </w:rPr>
        <w:t xml:space="preserve">The Australian indication for </w:t>
      </w:r>
      <w:proofErr w:type="spellStart"/>
      <w:r w:rsidR="00EA7F15">
        <w:rPr>
          <w:rFonts w:asciiTheme="minorHAnsi" w:hAnsiTheme="minorHAnsi" w:cstheme="minorHAnsi"/>
        </w:rPr>
        <w:t>Aloxi</w:t>
      </w:r>
      <w:proofErr w:type="spellEnd"/>
      <w:r>
        <w:rPr>
          <w:rFonts w:asciiTheme="minorHAnsi" w:hAnsiTheme="minorHAnsi" w:cstheme="minorHAnsi"/>
        </w:rPr>
        <w:t xml:space="preserve"> does not differentiate between acute and delayed CINV, or HEC and MEC.</w:t>
      </w:r>
    </w:p>
    <w:p w14:paraId="52C3FDC8" w14:textId="7DE8589E" w:rsidR="00485C56" w:rsidRDefault="00485C56" w:rsidP="00485C56">
      <w:pPr>
        <w:rPr>
          <w:rFonts w:asciiTheme="minorHAnsi" w:hAnsiTheme="minorHAnsi" w:cstheme="minorHAnsi"/>
        </w:rPr>
      </w:pPr>
      <w:r>
        <w:rPr>
          <w:rFonts w:asciiTheme="minorHAnsi" w:hAnsiTheme="minorHAnsi" w:cstheme="minorHAnsi"/>
        </w:rPr>
        <w:t>T</w:t>
      </w:r>
      <w:r w:rsidRPr="008A1BCA">
        <w:rPr>
          <w:rFonts w:asciiTheme="minorHAnsi" w:hAnsiTheme="minorHAnsi" w:cstheme="minorHAnsi"/>
        </w:rPr>
        <w:t xml:space="preserve">he efficacy of </w:t>
      </w:r>
      <w:r>
        <w:rPr>
          <w:rFonts w:asciiTheme="minorHAnsi" w:hAnsiTheme="minorHAnsi" w:cstheme="minorHAnsi"/>
        </w:rPr>
        <w:t xml:space="preserve">the </w:t>
      </w:r>
      <w:proofErr w:type="spellStart"/>
      <w:r w:rsidRPr="008A1BCA">
        <w:rPr>
          <w:rFonts w:asciiTheme="minorHAnsi" w:hAnsiTheme="minorHAnsi" w:cstheme="minorHAnsi"/>
        </w:rPr>
        <w:t>fosnetupitant</w:t>
      </w:r>
      <w:proofErr w:type="spellEnd"/>
      <w:r>
        <w:rPr>
          <w:rFonts w:asciiTheme="minorHAnsi" w:hAnsiTheme="minorHAnsi" w:cstheme="minorHAnsi"/>
        </w:rPr>
        <w:t xml:space="preserve"> component of </w:t>
      </w:r>
      <w:proofErr w:type="spellStart"/>
      <w:r w:rsidR="000D14E3">
        <w:rPr>
          <w:rFonts w:asciiTheme="minorHAnsi" w:hAnsiTheme="minorHAnsi" w:cstheme="minorHAnsi"/>
        </w:rPr>
        <w:t>Akynzeo</w:t>
      </w:r>
      <w:proofErr w:type="spellEnd"/>
      <w:r>
        <w:rPr>
          <w:rFonts w:asciiTheme="minorHAnsi" w:hAnsiTheme="minorHAnsi" w:cstheme="minorHAnsi"/>
        </w:rPr>
        <w:t xml:space="preserve"> IV was established by bridging from</w:t>
      </w:r>
      <w:r w:rsidRPr="00C31A9D">
        <w:rPr>
          <w:rFonts w:asciiTheme="minorHAnsi" w:hAnsiTheme="minorHAnsi" w:cstheme="minorHAnsi"/>
        </w:rPr>
        <w:t xml:space="preserve"> </w:t>
      </w:r>
      <w:r>
        <w:rPr>
          <w:rFonts w:asciiTheme="minorHAnsi" w:hAnsiTheme="minorHAnsi" w:cstheme="minorHAnsi"/>
        </w:rPr>
        <w:t xml:space="preserve">the established efficacy of </w:t>
      </w:r>
      <w:proofErr w:type="spellStart"/>
      <w:r w:rsidR="000D14E3">
        <w:rPr>
          <w:rFonts w:asciiTheme="minorHAnsi" w:hAnsiTheme="minorHAnsi" w:cstheme="minorHAnsi"/>
        </w:rPr>
        <w:t>Akynzeo</w:t>
      </w:r>
      <w:proofErr w:type="spellEnd"/>
      <w:r>
        <w:rPr>
          <w:rFonts w:asciiTheme="minorHAnsi" w:hAnsiTheme="minorHAnsi" w:cstheme="minorHAnsi"/>
        </w:rPr>
        <w:t xml:space="preserve"> capsules, based on bioequival</w:t>
      </w:r>
      <w:r w:rsidR="00EA7F15">
        <w:rPr>
          <w:rFonts w:asciiTheme="minorHAnsi" w:hAnsiTheme="minorHAnsi" w:cstheme="minorHAnsi"/>
        </w:rPr>
        <w:t xml:space="preserve">ent </w:t>
      </w:r>
      <w:proofErr w:type="spellStart"/>
      <w:r w:rsidR="00EA7F15">
        <w:rPr>
          <w:rFonts w:asciiTheme="minorHAnsi" w:hAnsiTheme="minorHAnsi" w:cstheme="minorHAnsi"/>
        </w:rPr>
        <w:t>netupitant</w:t>
      </w:r>
      <w:proofErr w:type="spellEnd"/>
      <w:r w:rsidR="00EA7F15">
        <w:rPr>
          <w:rFonts w:asciiTheme="minorHAnsi" w:hAnsiTheme="minorHAnsi" w:cstheme="minorHAnsi"/>
        </w:rPr>
        <w:t xml:space="preserve"> exposure (AUC). The </w:t>
      </w:r>
      <w:proofErr w:type="spellStart"/>
      <w:r>
        <w:rPr>
          <w:rFonts w:asciiTheme="minorHAnsi" w:hAnsiTheme="minorHAnsi" w:cstheme="minorHAnsi"/>
        </w:rPr>
        <w:t>C</w:t>
      </w:r>
      <w:r w:rsidRPr="00676834">
        <w:rPr>
          <w:rFonts w:asciiTheme="minorHAnsi" w:hAnsiTheme="minorHAnsi" w:cstheme="minorHAnsi"/>
          <w:vertAlign w:val="subscript"/>
        </w:rPr>
        <w:t>max</w:t>
      </w:r>
      <w:proofErr w:type="spellEnd"/>
      <w:r>
        <w:rPr>
          <w:rFonts w:asciiTheme="minorHAnsi" w:hAnsiTheme="minorHAnsi" w:cstheme="minorHAnsi"/>
        </w:rPr>
        <w:t xml:space="preserve"> of </w:t>
      </w:r>
      <w:proofErr w:type="spellStart"/>
      <w:r>
        <w:rPr>
          <w:rFonts w:asciiTheme="minorHAnsi" w:hAnsiTheme="minorHAnsi" w:cstheme="minorHAnsi"/>
        </w:rPr>
        <w:t>netupitant</w:t>
      </w:r>
      <w:proofErr w:type="spellEnd"/>
      <w:r>
        <w:rPr>
          <w:rFonts w:asciiTheme="minorHAnsi" w:hAnsiTheme="minorHAnsi" w:cstheme="minorHAnsi"/>
        </w:rPr>
        <w:t xml:space="preserve"> was approximately 50% higher following IV </w:t>
      </w:r>
      <w:proofErr w:type="spellStart"/>
      <w:r>
        <w:rPr>
          <w:rFonts w:asciiTheme="minorHAnsi" w:hAnsiTheme="minorHAnsi" w:cstheme="minorHAnsi"/>
        </w:rPr>
        <w:t>fosnetupitant</w:t>
      </w:r>
      <w:proofErr w:type="spellEnd"/>
      <w:r>
        <w:rPr>
          <w:rFonts w:asciiTheme="minorHAnsi" w:hAnsiTheme="minorHAnsi" w:cstheme="minorHAnsi"/>
        </w:rPr>
        <w:t xml:space="preserve"> compared to oral </w:t>
      </w:r>
      <w:proofErr w:type="spellStart"/>
      <w:r w:rsidR="000D14E3">
        <w:rPr>
          <w:rFonts w:asciiTheme="minorHAnsi" w:hAnsiTheme="minorHAnsi" w:cstheme="minorHAnsi"/>
        </w:rPr>
        <w:t>Akynzeo</w:t>
      </w:r>
      <w:proofErr w:type="spellEnd"/>
      <w:r>
        <w:rPr>
          <w:rFonts w:asciiTheme="minorHAnsi" w:hAnsiTheme="minorHAnsi" w:cstheme="minorHAnsi"/>
        </w:rPr>
        <w:t>, which would not detract from efficacy but would require a dedicated safety study (</w:t>
      </w:r>
      <w:r w:rsidR="00EA7F15">
        <w:rPr>
          <w:rFonts w:asciiTheme="minorHAnsi" w:hAnsiTheme="minorHAnsi" w:cstheme="minorHAnsi"/>
        </w:rPr>
        <w:t xml:space="preserve">Study </w:t>
      </w:r>
      <w:r>
        <w:rPr>
          <w:rFonts w:asciiTheme="minorHAnsi" w:hAnsiTheme="minorHAnsi" w:cstheme="minorHAnsi"/>
        </w:rPr>
        <w:t>NEP</w:t>
      </w:r>
      <w:r w:rsidR="00EA7F15">
        <w:rPr>
          <w:rFonts w:asciiTheme="minorHAnsi" w:hAnsiTheme="minorHAnsi" w:cstheme="minorHAnsi"/>
        </w:rPr>
        <w:t>A-15-18).</w:t>
      </w:r>
    </w:p>
    <w:p w14:paraId="43EBB188" w14:textId="73C8BDB8" w:rsidR="00485C56" w:rsidRDefault="00EA7F15" w:rsidP="00485C56">
      <w:r>
        <w:t xml:space="preserve">Study </w:t>
      </w:r>
      <w:r w:rsidR="00485C56">
        <w:t xml:space="preserve">NEPA-15-18 provides supportive evidence of the efficacy of </w:t>
      </w:r>
      <w:proofErr w:type="spellStart"/>
      <w:r w:rsidR="000D14E3">
        <w:t>Akynzeo</w:t>
      </w:r>
      <w:proofErr w:type="spellEnd"/>
      <w:r>
        <w:t xml:space="preserve"> IV. </w:t>
      </w:r>
      <w:r w:rsidR="00485C56">
        <w:t>Efficacy was a secondary objective of NEPA-15-18 and the study was not designed or powered to demonstrate non-inferiority, so the efficacy findings are descriptive only.</w:t>
      </w:r>
    </w:p>
    <w:p w14:paraId="44067A02" w14:textId="77777777" w:rsidR="00485C56" w:rsidRDefault="00485C56" w:rsidP="002D3874">
      <w:pPr>
        <w:pStyle w:val="Heading5"/>
        <w:pageBreakBefore/>
      </w:pPr>
      <w:r>
        <w:lastRenderedPageBreak/>
        <w:t>Safety</w:t>
      </w:r>
    </w:p>
    <w:p w14:paraId="47838321" w14:textId="75AA41A0" w:rsidR="00485C56" w:rsidRPr="000A40BC" w:rsidRDefault="00485C56" w:rsidP="00485C56">
      <w:r>
        <w:rPr>
          <w:rFonts w:asciiTheme="minorHAnsi" w:hAnsiTheme="minorHAnsi" w:cstheme="minorHAnsi"/>
        </w:rPr>
        <w:t xml:space="preserve">Safety data for </w:t>
      </w:r>
      <w:proofErr w:type="spellStart"/>
      <w:r w:rsidR="000D14E3">
        <w:rPr>
          <w:rFonts w:asciiTheme="minorHAnsi" w:hAnsiTheme="minorHAnsi" w:cstheme="minorHAnsi"/>
        </w:rPr>
        <w:t>Akynzeo</w:t>
      </w:r>
      <w:proofErr w:type="spellEnd"/>
      <w:r>
        <w:rPr>
          <w:rFonts w:asciiTheme="minorHAnsi" w:hAnsiTheme="minorHAnsi" w:cstheme="minorHAnsi"/>
        </w:rPr>
        <w:t xml:space="preserve"> IV are derived primarily from </w:t>
      </w:r>
      <w:r w:rsidR="00EA7F15">
        <w:rPr>
          <w:rFonts w:asciiTheme="minorHAnsi" w:hAnsiTheme="minorHAnsi" w:cstheme="minorHAnsi"/>
        </w:rPr>
        <w:t xml:space="preserve">Study </w:t>
      </w:r>
      <w:r>
        <w:rPr>
          <w:rFonts w:asciiTheme="minorHAnsi" w:hAnsiTheme="minorHAnsi" w:cstheme="minorHAnsi"/>
        </w:rPr>
        <w:t xml:space="preserve">NEPA-15-18, with additional safety data from </w:t>
      </w:r>
      <w:r w:rsidR="00EA7F15">
        <w:rPr>
          <w:rFonts w:asciiTheme="minorHAnsi" w:hAnsiTheme="minorHAnsi" w:cstheme="minorHAnsi"/>
        </w:rPr>
        <w:t xml:space="preserve">Study </w:t>
      </w:r>
      <w:r>
        <w:rPr>
          <w:rFonts w:asciiTheme="minorHAnsi" w:hAnsiTheme="minorHAnsi" w:cstheme="minorHAnsi"/>
        </w:rPr>
        <w:t xml:space="preserve">PNET-12-23 (IV </w:t>
      </w:r>
      <w:proofErr w:type="spellStart"/>
      <w:r>
        <w:rPr>
          <w:rFonts w:asciiTheme="minorHAnsi" w:hAnsiTheme="minorHAnsi" w:cstheme="minorHAnsi"/>
        </w:rPr>
        <w:t>fosnetupitant</w:t>
      </w:r>
      <w:proofErr w:type="spellEnd"/>
      <w:r>
        <w:rPr>
          <w:rFonts w:asciiTheme="minorHAnsi" w:hAnsiTheme="minorHAnsi" w:cstheme="minorHAnsi"/>
        </w:rPr>
        <w:t xml:space="preserve"> in healthy subjects) and </w:t>
      </w:r>
      <w:r w:rsidR="0026026F">
        <w:rPr>
          <w:rFonts w:asciiTheme="minorHAnsi" w:hAnsiTheme="minorHAnsi" w:cstheme="minorHAnsi"/>
        </w:rPr>
        <w:t>Study PALO</w:t>
      </w:r>
      <w:r w:rsidR="0026026F">
        <w:rPr>
          <w:rFonts w:asciiTheme="minorHAnsi" w:hAnsiTheme="minorHAnsi" w:cstheme="minorHAnsi"/>
        </w:rPr>
        <w:noBreakHyphen/>
      </w:r>
      <w:r w:rsidR="00EA7F15">
        <w:rPr>
          <w:rFonts w:asciiTheme="minorHAnsi" w:hAnsiTheme="minorHAnsi" w:cstheme="minorHAnsi"/>
        </w:rPr>
        <w:t xml:space="preserve">15-17 (IV </w:t>
      </w:r>
      <w:proofErr w:type="spellStart"/>
      <w:r w:rsidR="00EA7F15">
        <w:rPr>
          <w:rFonts w:asciiTheme="minorHAnsi" w:hAnsiTheme="minorHAnsi" w:cstheme="minorHAnsi"/>
        </w:rPr>
        <w:t>palonosetron</w:t>
      </w:r>
      <w:proofErr w:type="spellEnd"/>
      <w:r w:rsidR="00EA7F15">
        <w:rPr>
          <w:rFonts w:asciiTheme="minorHAnsi" w:hAnsiTheme="minorHAnsi" w:cstheme="minorHAnsi"/>
        </w:rPr>
        <w:t xml:space="preserve"> 30 minute infusion versus 30 second bolus). </w:t>
      </w:r>
      <w:r>
        <w:rPr>
          <w:rFonts w:asciiTheme="minorHAnsi" w:hAnsiTheme="minorHAnsi" w:cstheme="minorHAnsi"/>
        </w:rPr>
        <w:t xml:space="preserve">The safety profile of </w:t>
      </w:r>
      <w:proofErr w:type="spellStart"/>
      <w:r w:rsidR="000D14E3">
        <w:rPr>
          <w:rFonts w:asciiTheme="minorHAnsi" w:hAnsiTheme="minorHAnsi" w:cstheme="minorHAnsi"/>
        </w:rPr>
        <w:t>Akynzeo</w:t>
      </w:r>
      <w:proofErr w:type="spellEnd"/>
      <w:r>
        <w:rPr>
          <w:rFonts w:asciiTheme="minorHAnsi" w:hAnsiTheme="minorHAnsi" w:cstheme="minorHAnsi"/>
        </w:rPr>
        <w:t xml:space="preserve"> IV has been adequately characterised, and is </w:t>
      </w:r>
      <w:r>
        <w:t xml:space="preserve">similar to the safety profile of oral </w:t>
      </w:r>
      <w:proofErr w:type="spellStart"/>
      <w:r w:rsidR="000D14E3">
        <w:t>Akynzeo</w:t>
      </w:r>
      <w:proofErr w:type="spellEnd"/>
      <w:r>
        <w:t xml:space="preserve">. </w:t>
      </w:r>
      <w:r>
        <w:rPr>
          <w:rFonts w:asciiTheme="minorHAnsi" w:hAnsiTheme="minorHAnsi" w:cstheme="minorHAnsi"/>
        </w:rPr>
        <w:t>No new safety signals have been identified.</w:t>
      </w:r>
    </w:p>
    <w:p w14:paraId="427DE90D" w14:textId="79C203A8" w:rsidR="00485C56" w:rsidRDefault="00485C56" w:rsidP="00EA7F15">
      <w:pPr>
        <w:pStyle w:val="Heading5"/>
      </w:pPr>
      <w:r w:rsidRPr="000F1B12">
        <w:t>Proposed conditions of registration</w:t>
      </w:r>
    </w:p>
    <w:p w14:paraId="231349DB" w14:textId="02CACB78" w:rsidR="00EA7F15" w:rsidRPr="00EA7F15" w:rsidRDefault="00231098" w:rsidP="00EA7F15">
      <w:r>
        <w:t>As outlined in the ‘Recommended conditions of registration’</w:t>
      </w:r>
      <w:r w:rsidR="00C801BC">
        <w:t xml:space="preserve"> section</w:t>
      </w:r>
      <w:r>
        <w:t>, above.</w:t>
      </w:r>
    </w:p>
    <w:p w14:paraId="1D7954E8" w14:textId="77777777" w:rsidR="00485C56" w:rsidRDefault="00485C56" w:rsidP="00231098">
      <w:pPr>
        <w:pStyle w:val="Heading5"/>
      </w:pPr>
      <w:r w:rsidRPr="005529C3">
        <w:t>Conclusion</w:t>
      </w:r>
    </w:p>
    <w:p w14:paraId="52BB1023" w14:textId="0B67394C" w:rsidR="00485C56" w:rsidRDefault="00231098" w:rsidP="00485C56">
      <w:r>
        <w:t>The Delegate is</w:t>
      </w:r>
      <w:r w:rsidR="00485C56">
        <w:t xml:space="preserve"> satisfied that the quality, efficacy and safety of </w:t>
      </w:r>
      <w:proofErr w:type="spellStart"/>
      <w:r w:rsidR="000D14E3">
        <w:t>Akynzeo</w:t>
      </w:r>
      <w:proofErr w:type="spellEnd"/>
      <w:r w:rsidR="00485C56">
        <w:t xml:space="preserve"> IV have be</w:t>
      </w:r>
      <w:r>
        <w:t xml:space="preserve">en satisfactorily established. </w:t>
      </w:r>
      <w:proofErr w:type="spellStart"/>
      <w:r w:rsidR="000D14E3">
        <w:t>Akynzeo</w:t>
      </w:r>
      <w:proofErr w:type="spellEnd"/>
      <w:r w:rsidR="00485C56">
        <w:t xml:space="preserve"> IV offers an alternative treatment option for the prevention of acute and delayed CINV in patients receiving HEC or MEC, particularly patients who are unable to</w:t>
      </w:r>
      <w:r>
        <w:t xml:space="preserve"> tolerate an oral formulation. </w:t>
      </w:r>
      <w:r w:rsidR="00485C56">
        <w:t xml:space="preserve">The alignment of the </w:t>
      </w:r>
      <w:proofErr w:type="spellStart"/>
      <w:r w:rsidR="000D14E3">
        <w:t>Akynzeo</w:t>
      </w:r>
      <w:proofErr w:type="spellEnd"/>
      <w:r w:rsidR="00485C56">
        <w:t xml:space="preserve"> IV indication with the </w:t>
      </w:r>
      <w:proofErr w:type="spellStart"/>
      <w:r w:rsidR="000D14E3">
        <w:t>Akynzeo</w:t>
      </w:r>
      <w:proofErr w:type="spellEnd"/>
      <w:r w:rsidR="00485C56" w:rsidRPr="0001393A">
        <w:t xml:space="preserve"> </w:t>
      </w:r>
      <w:r w:rsidR="00485C56">
        <w:t xml:space="preserve">indication is acceptable given the strategy of bridging the efficacy of </w:t>
      </w:r>
      <w:proofErr w:type="spellStart"/>
      <w:r w:rsidR="000D14E3">
        <w:t>Akynzeo</w:t>
      </w:r>
      <w:proofErr w:type="spellEnd"/>
      <w:r w:rsidR="00485C56">
        <w:t xml:space="preserve"> IV from the established efficacy of </w:t>
      </w:r>
      <w:proofErr w:type="spellStart"/>
      <w:r w:rsidR="000D14E3">
        <w:t>Akynzeo</w:t>
      </w:r>
      <w:proofErr w:type="spellEnd"/>
      <w:r>
        <w:t xml:space="preserve"> capsules. </w:t>
      </w:r>
      <w:r w:rsidR="00485C56">
        <w:t>There are no outstanding clinical ques</w:t>
      </w:r>
      <w:r>
        <w:t>tions requiring expert advice.</w:t>
      </w:r>
    </w:p>
    <w:p w14:paraId="6D66EFF8" w14:textId="77777777" w:rsidR="00D23139" w:rsidRDefault="00D23139" w:rsidP="00D23139">
      <w:pPr>
        <w:pStyle w:val="Heading4"/>
      </w:pPr>
      <w:r w:rsidRPr="00D23139">
        <w:t>Proposed action</w:t>
      </w:r>
    </w:p>
    <w:p w14:paraId="1D6CBD59" w14:textId="3B224CB6" w:rsidR="00231098" w:rsidRDefault="00231098" w:rsidP="00231098">
      <w:r>
        <w:t xml:space="preserve">The Delegate has no reason to say, at this time, that the application for </w:t>
      </w:r>
      <w:proofErr w:type="spellStart"/>
      <w:r>
        <w:t>Akynzeo</w:t>
      </w:r>
      <w:proofErr w:type="spellEnd"/>
      <w:r>
        <w:t xml:space="preserve"> IV should not be approved for registration.</w:t>
      </w:r>
    </w:p>
    <w:p w14:paraId="227EED9E" w14:textId="7CF350B9" w:rsidR="008E7846" w:rsidRDefault="008E7846" w:rsidP="007D53B6">
      <w:pPr>
        <w:pStyle w:val="Heading4"/>
      </w:pPr>
      <w:r>
        <w:t xml:space="preserve">Advisory Committee </w:t>
      </w:r>
      <w:r w:rsidR="007D53B6">
        <w:t>c</w:t>
      </w:r>
      <w:r>
        <w:t>onsiderations</w:t>
      </w:r>
      <w:r w:rsidR="00456765">
        <w:rPr>
          <w:rStyle w:val="FootnoteReference"/>
        </w:rPr>
        <w:footnoteReference w:id="22"/>
      </w:r>
    </w:p>
    <w:p w14:paraId="7A6E9A51" w14:textId="77777777" w:rsidR="007D53B6" w:rsidRPr="007D53B6" w:rsidRDefault="007D53B6" w:rsidP="007D53B6">
      <w:r w:rsidRPr="007D53B6">
        <w:t>The Delegate did not refer this application to the Advisory Committee on Medicines (ACM) for advice.</w:t>
      </w:r>
    </w:p>
    <w:p w14:paraId="0023000E" w14:textId="77777777" w:rsidR="008E7846" w:rsidRPr="002E238E" w:rsidRDefault="008E7846" w:rsidP="008E7846">
      <w:pPr>
        <w:pStyle w:val="Heading3"/>
      </w:pPr>
      <w:bookmarkStart w:id="67" w:name="_Toc247691532"/>
      <w:bookmarkStart w:id="68" w:name="_Toc314842516"/>
      <w:bookmarkStart w:id="69" w:name="_Toc52188118"/>
      <w:bookmarkEnd w:id="31"/>
      <w:bookmarkEnd w:id="64"/>
      <w:bookmarkEnd w:id="65"/>
      <w:r>
        <w:t>Outcome</w:t>
      </w:r>
      <w:bookmarkEnd w:id="67"/>
      <w:bookmarkEnd w:id="68"/>
      <w:bookmarkEnd w:id="69"/>
    </w:p>
    <w:p w14:paraId="59C5B87B" w14:textId="3C04291C" w:rsidR="007D53B6" w:rsidRDefault="007D53B6" w:rsidP="007D53B6">
      <w:bookmarkStart w:id="70" w:name="_Toc247691533"/>
      <w:bookmarkStart w:id="71" w:name="_Toc314842517"/>
      <w:r>
        <w:t>Based on a review of quality, safety and efficacy,</w:t>
      </w:r>
      <w:r w:rsidR="0044714D">
        <w:t xml:space="preserve"> the</w:t>
      </w:r>
      <w:r>
        <w:t xml:space="preserve"> TGA approved the registration of </w:t>
      </w:r>
      <w:proofErr w:type="spellStart"/>
      <w:r w:rsidR="00485C56">
        <w:t>Akynzeo</w:t>
      </w:r>
      <w:proofErr w:type="spellEnd"/>
      <w:r w:rsidR="00485C56">
        <w:t xml:space="preserve"> IV (</w:t>
      </w:r>
      <w:proofErr w:type="spellStart"/>
      <w:r w:rsidR="00485C56">
        <w:t>fosnetupitant</w:t>
      </w:r>
      <w:proofErr w:type="spellEnd"/>
      <w:r w:rsidR="00485C56">
        <w:t xml:space="preserve"> (as chloride hydrochloride)</w:t>
      </w:r>
      <w:r w:rsidR="0044714D">
        <w:t xml:space="preserve"> </w:t>
      </w:r>
      <w:r w:rsidR="00485C56">
        <w:t>/</w:t>
      </w:r>
      <w:r w:rsidR="0044714D">
        <w:t xml:space="preserve"> </w:t>
      </w:r>
      <w:proofErr w:type="spellStart"/>
      <w:r w:rsidR="00485C56">
        <w:t>palonosetron</w:t>
      </w:r>
      <w:proofErr w:type="spellEnd"/>
      <w:r w:rsidR="00485C56">
        <w:t xml:space="preserve"> (as hydrochloride))</w:t>
      </w:r>
      <w:r w:rsidR="00485C56" w:rsidRPr="00250271">
        <w:t xml:space="preserve"> </w:t>
      </w:r>
      <w:r w:rsidR="00485C56">
        <w:t>powder for injection</w:t>
      </w:r>
      <w:r>
        <w:t xml:space="preserve"> for the following indications:</w:t>
      </w:r>
    </w:p>
    <w:p w14:paraId="114324A6" w14:textId="77777777" w:rsidR="009722C6" w:rsidRPr="009722C6" w:rsidRDefault="009722C6" w:rsidP="009722C6">
      <w:pPr>
        <w:ind w:left="360"/>
        <w:rPr>
          <w:i/>
        </w:rPr>
      </w:pPr>
      <w:proofErr w:type="spellStart"/>
      <w:r w:rsidRPr="009722C6">
        <w:rPr>
          <w:i/>
        </w:rPr>
        <w:t>Akynzeo</w:t>
      </w:r>
      <w:proofErr w:type="spellEnd"/>
      <w:r w:rsidRPr="009722C6">
        <w:rPr>
          <w:i/>
        </w:rPr>
        <w:t xml:space="preserve"> IV is indicated in adult patients for:</w:t>
      </w:r>
    </w:p>
    <w:p w14:paraId="57E1ADA0" w14:textId="77777777" w:rsidR="009722C6" w:rsidRPr="009722C6" w:rsidRDefault="009722C6" w:rsidP="009722C6">
      <w:pPr>
        <w:pStyle w:val="ListBullet"/>
        <w:numPr>
          <w:ilvl w:val="0"/>
          <w:numId w:val="3"/>
        </w:numPr>
        <w:ind w:left="720"/>
        <w:rPr>
          <w:i/>
        </w:rPr>
      </w:pPr>
      <w:r w:rsidRPr="009722C6">
        <w:rPr>
          <w:i/>
        </w:rPr>
        <w:t xml:space="preserve">Prevention of acute and delayed nausea and vomiting associated with initial and repeat courses of highly </w:t>
      </w:r>
      <w:proofErr w:type="spellStart"/>
      <w:r w:rsidRPr="009722C6">
        <w:rPr>
          <w:i/>
        </w:rPr>
        <w:t>emetogenic</w:t>
      </w:r>
      <w:proofErr w:type="spellEnd"/>
      <w:r w:rsidRPr="009722C6">
        <w:rPr>
          <w:i/>
        </w:rPr>
        <w:t xml:space="preserve"> cancer chemotherapy.</w:t>
      </w:r>
    </w:p>
    <w:p w14:paraId="07CEAB3F" w14:textId="77777777" w:rsidR="007D53B6" w:rsidRPr="009722C6" w:rsidRDefault="009722C6" w:rsidP="009722C6">
      <w:pPr>
        <w:pStyle w:val="ListBullet"/>
        <w:ind w:left="720"/>
        <w:rPr>
          <w:i/>
        </w:rPr>
      </w:pPr>
      <w:r w:rsidRPr="009722C6">
        <w:rPr>
          <w:i/>
        </w:rPr>
        <w:t xml:space="preserve">Prevention of acute and delayed nausea and vomiting associated with initial and repeat courses of moderately </w:t>
      </w:r>
      <w:proofErr w:type="spellStart"/>
      <w:r w:rsidRPr="009722C6">
        <w:rPr>
          <w:i/>
        </w:rPr>
        <w:t>emetogenic</w:t>
      </w:r>
      <w:proofErr w:type="spellEnd"/>
      <w:r w:rsidRPr="009722C6">
        <w:rPr>
          <w:i/>
        </w:rPr>
        <w:t xml:space="preserve"> cancer chemotherapy.</w:t>
      </w:r>
    </w:p>
    <w:p w14:paraId="1E8C3461" w14:textId="77777777" w:rsidR="00D23139" w:rsidRPr="00D23139" w:rsidRDefault="00D23139" w:rsidP="00D23139">
      <w:pPr>
        <w:pStyle w:val="Heading4"/>
      </w:pPr>
      <w:r w:rsidRPr="00D23139">
        <w:lastRenderedPageBreak/>
        <w:t>Specific conditions of registration applying to these goods</w:t>
      </w:r>
    </w:p>
    <w:p w14:paraId="03C23253" w14:textId="77777777" w:rsidR="00485C56" w:rsidRPr="00485C56" w:rsidRDefault="00485C56" w:rsidP="00485C56">
      <w:pPr>
        <w:pStyle w:val="ListBullet"/>
      </w:pPr>
      <w:proofErr w:type="spellStart"/>
      <w:r w:rsidRPr="00485C56">
        <w:t>Akynzeo</w:t>
      </w:r>
      <w:proofErr w:type="spellEnd"/>
      <w:r w:rsidRPr="00485C56">
        <w:t xml:space="preserve"> IV (</w:t>
      </w:r>
      <w:proofErr w:type="spellStart"/>
      <w:r w:rsidRPr="00485C56">
        <w:t>fosnetupitant</w:t>
      </w:r>
      <w:proofErr w:type="spellEnd"/>
      <w:r w:rsidRPr="00485C56">
        <w:t xml:space="preserve"> and </w:t>
      </w:r>
      <w:proofErr w:type="spellStart"/>
      <w:r w:rsidRPr="00485C56">
        <w:t>palonosetron</w:t>
      </w:r>
      <w:proofErr w:type="spellEnd"/>
      <w:r w:rsidRPr="00485C56">
        <w:t>) is to be</w:t>
      </w:r>
      <w:r>
        <w:t xml:space="preserve"> included in the Black Triangle </w:t>
      </w:r>
      <w:r w:rsidRPr="00485C56">
        <w:t xml:space="preserve">Scheme. The PI and CMI for </w:t>
      </w:r>
      <w:proofErr w:type="spellStart"/>
      <w:r w:rsidR="000D14E3">
        <w:t>Akynzeo</w:t>
      </w:r>
      <w:proofErr w:type="spellEnd"/>
      <w:r w:rsidRPr="00485C56">
        <w:t xml:space="preserve"> IV must includ</w:t>
      </w:r>
      <w:r>
        <w:t xml:space="preserve">e the black triangle symbol and </w:t>
      </w:r>
      <w:r w:rsidRPr="00485C56">
        <w:t>mandatory accompanying text for five years, whic</w:t>
      </w:r>
      <w:r>
        <w:t xml:space="preserve">h starts from the date that the </w:t>
      </w:r>
      <w:r w:rsidRPr="00485C56">
        <w:t>sponsor notifies the TGA of supply of the product.</w:t>
      </w:r>
    </w:p>
    <w:p w14:paraId="4C115FC3" w14:textId="514BF39F" w:rsidR="00485C56" w:rsidRPr="00485C56" w:rsidRDefault="00485C56" w:rsidP="00485C56">
      <w:pPr>
        <w:pStyle w:val="ListBullet"/>
      </w:pPr>
      <w:r w:rsidRPr="00485C56">
        <w:t xml:space="preserve">The </w:t>
      </w:r>
      <w:proofErr w:type="spellStart"/>
      <w:r w:rsidRPr="00485C56">
        <w:t>Akynzeo</w:t>
      </w:r>
      <w:proofErr w:type="spellEnd"/>
      <w:r w:rsidRPr="00485C56">
        <w:t xml:space="preserve"> IV EU-</w:t>
      </w:r>
      <w:r w:rsidR="00231098">
        <w:t>RMP</w:t>
      </w:r>
      <w:r>
        <w:t xml:space="preserve"> (version 2.7, 6 November 2019, </w:t>
      </w:r>
      <w:r w:rsidR="00231098">
        <w:t>DLP</w:t>
      </w:r>
      <w:r w:rsidRPr="00485C56">
        <w:t xml:space="preserve"> 10 October 2018), with </w:t>
      </w:r>
      <w:r w:rsidR="00231098">
        <w:t>ASA</w:t>
      </w:r>
      <w:r>
        <w:t xml:space="preserve"> (version 0.2, dated </w:t>
      </w:r>
      <w:r w:rsidRPr="00485C56">
        <w:t>December 2019), included with submission PM-2019-01560-1-4, and any s</w:t>
      </w:r>
      <w:r>
        <w:t xml:space="preserve">ubsequent </w:t>
      </w:r>
      <w:r w:rsidRPr="00485C56">
        <w:t>revisions, as agreed with the TGA will be implemented in Australia.</w:t>
      </w:r>
    </w:p>
    <w:p w14:paraId="51938BDD" w14:textId="77777777" w:rsidR="00456765" w:rsidRDefault="00485C56" w:rsidP="00485C56">
      <w:pPr>
        <w:pStyle w:val="ListBullet"/>
        <w:numPr>
          <w:ilvl w:val="0"/>
          <w:numId w:val="0"/>
        </w:numPr>
        <w:ind w:left="360"/>
      </w:pPr>
      <w:r w:rsidRPr="00485C56">
        <w:t>An obligatory component of risk management plan</w:t>
      </w:r>
      <w:r>
        <w:t xml:space="preserve">s is routine pharmacovigilance. </w:t>
      </w:r>
      <w:r w:rsidRPr="00485C56">
        <w:t>Routine pharmacovigilance includes the submission of</w:t>
      </w:r>
      <w:r>
        <w:t xml:space="preserve"> periodic safety update reports </w:t>
      </w:r>
      <w:r w:rsidRPr="00485C56">
        <w:t>(PSURs).</w:t>
      </w:r>
    </w:p>
    <w:p w14:paraId="246976D4" w14:textId="7BCF8786" w:rsidR="00485C56" w:rsidRDefault="00485C56" w:rsidP="00485C56">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w:t>
      </w:r>
      <w:r w:rsidR="00231098">
        <w:t>he date of the</w:t>
      </w:r>
      <w:r>
        <w:t xml:space="preserve"> approval letter.</w:t>
      </w:r>
    </w:p>
    <w:p w14:paraId="7D0058D0" w14:textId="77777777" w:rsidR="00485C56" w:rsidRDefault="00485C56" w:rsidP="00485C56">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115C0D70" w14:textId="6B4965C0" w:rsidR="00485C56" w:rsidRDefault="00485C56" w:rsidP="00485C56">
      <w:pPr>
        <w:pStyle w:val="ListBullet"/>
      </w:pPr>
      <w:r>
        <w:t xml:space="preserve">For all injectable products the </w:t>
      </w:r>
      <w:r w:rsidR="00231098">
        <w:t>PI</w:t>
      </w:r>
      <w:r>
        <w:t xml:space="preserve"> must be included with the product as a package insert.</w:t>
      </w:r>
    </w:p>
    <w:p w14:paraId="137C4E7E" w14:textId="77777777" w:rsidR="008E7846" w:rsidRDefault="00A80B5B" w:rsidP="00D23139">
      <w:pPr>
        <w:pStyle w:val="Heading2"/>
      </w:pPr>
      <w:bookmarkStart w:id="72" w:name="_Toc52188119"/>
      <w:r>
        <w:t xml:space="preserve">Attachment 1. </w:t>
      </w:r>
      <w:r w:rsidR="008E7846">
        <w:t xml:space="preserve">Product </w:t>
      </w:r>
      <w:r w:rsidR="00AA0ED0">
        <w:t>I</w:t>
      </w:r>
      <w:r w:rsidR="008E7846">
        <w:t>nformation</w:t>
      </w:r>
      <w:bookmarkEnd w:id="70"/>
      <w:bookmarkEnd w:id="71"/>
      <w:bookmarkEnd w:id="72"/>
    </w:p>
    <w:p w14:paraId="22DBF238" w14:textId="2FA342FE" w:rsidR="00770CAC" w:rsidRPr="00EA1EF3" w:rsidRDefault="006136D7" w:rsidP="00EA1EF3">
      <w:pPr>
        <w:rPr>
          <w:color w:val="000000"/>
          <w:lang w:eastAsia="en-AU"/>
        </w:rPr>
      </w:pPr>
      <w:r w:rsidRPr="002B3624">
        <w:t xml:space="preserve">The </w:t>
      </w:r>
      <w:r>
        <w:t>PI</w:t>
      </w:r>
      <w:r w:rsidRPr="002B3624">
        <w:t xml:space="preserve"> for </w:t>
      </w:r>
      <w:proofErr w:type="spellStart"/>
      <w:r w:rsidR="00485C56">
        <w:t>Akynzeo</w:t>
      </w:r>
      <w:proofErr w:type="spellEnd"/>
      <w:r w:rsidR="00485C56">
        <w:t xml:space="preserve"> IV</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0" w:history="1">
        <w:r w:rsidR="007C6B9B" w:rsidRPr="007C6B9B">
          <w:rPr>
            <w:rStyle w:val="Hyperlink"/>
          </w:rPr>
          <w:t>https://www.tga.gov.au/product-information-pi</w:t>
        </w:r>
      </w:hyperlink>
      <w:r w:rsidR="00485C56">
        <w:t>&gt;.</w:t>
      </w:r>
    </w:p>
    <w:p w14:paraId="6AE81BE4" w14:textId="77777777" w:rsidR="00291957" w:rsidRDefault="00291957" w:rsidP="00291957">
      <w:pPr>
        <w:rPr>
          <w:lang w:eastAsia="ja-JP"/>
        </w:rPr>
      </w:pPr>
    </w:p>
    <w:p w14:paraId="6582F9F4" w14:textId="77777777" w:rsidR="00C80137" w:rsidRPr="001D043B" w:rsidRDefault="00C80137" w:rsidP="003A7F6C">
      <w:pPr>
        <w:pStyle w:val="TableTitle"/>
        <w:sectPr w:rsidR="00C80137" w:rsidRPr="001D043B" w:rsidSect="00B452CE">
          <w:headerReference w:type="even" r:id="rId31"/>
          <w:headerReference w:type="default" r:id="rId32"/>
          <w:headerReference w:type="first" r:id="rId33"/>
          <w:footerReference w:type="first" r:id="rId3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1FA1B03" w14:textId="77777777" w:rsidTr="00A05FA4">
        <w:trPr>
          <w:trHeight w:hRule="exact" w:val="704"/>
        </w:trPr>
        <w:tc>
          <w:tcPr>
            <w:tcW w:w="9175" w:type="dxa"/>
          </w:tcPr>
          <w:p w14:paraId="6CBBF6DB" w14:textId="77777777" w:rsidR="001C32CD" w:rsidRPr="00487162" w:rsidRDefault="001C32CD" w:rsidP="00A05FA4">
            <w:pPr>
              <w:pStyle w:val="TGASignoff"/>
            </w:pPr>
            <w:r w:rsidRPr="00487162">
              <w:lastRenderedPageBreak/>
              <w:t>Therapeutic Goods Administration</w:t>
            </w:r>
          </w:p>
        </w:tc>
      </w:tr>
      <w:tr w:rsidR="001C32CD" w:rsidRPr="004C239D" w14:paraId="66B1B142" w14:textId="77777777" w:rsidTr="00A05FA4">
        <w:trPr>
          <w:trHeight w:val="1221"/>
        </w:trPr>
        <w:tc>
          <w:tcPr>
            <w:tcW w:w="9175" w:type="dxa"/>
            <w:tcMar>
              <w:top w:w="28" w:type="dxa"/>
            </w:tcMar>
          </w:tcPr>
          <w:p w14:paraId="72EAE17B" w14:textId="77777777" w:rsidR="001C32CD" w:rsidRPr="00487162" w:rsidRDefault="001C32CD" w:rsidP="00A05FA4">
            <w:pPr>
              <w:pStyle w:val="Address"/>
            </w:pPr>
            <w:r w:rsidRPr="00487162">
              <w:t>PO Box 100 Woden ACT 2606 Australia</w:t>
            </w:r>
          </w:p>
          <w:p w14:paraId="37D93003" w14:textId="254DC5EB" w:rsidR="001C32CD" w:rsidRPr="00487162" w:rsidRDefault="001C32CD" w:rsidP="00A05FA4">
            <w:pPr>
              <w:pStyle w:val="Address"/>
            </w:pPr>
            <w:r w:rsidRPr="00487162">
              <w:t xml:space="preserve">Email: </w:t>
            </w:r>
            <w:hyperlink r:id="rId35" w:history="1">
              <w:r w:rsidRPr="004C239D">
                <w:rPr>
                  <w:rStyle w:val="Hyperlink"/>
                </w:rPr>
                <w:t>info@tga.gov.au</w:t>
              </w:r>
            </w:hyperlink>
            <w:r w:rsidRPr="00487162">
              <w:t xml:space="preserve">  Phone: 1800 020 653  Fax: 02 6232 8605</w:t>
            </w:r>
          </w:p>
          <w:p w14:paraId="2213A51B" w14:textId="33AE9254" w:rsidR="001C32CD" w:rsidRPr="004C239D" w:rsidRDefault="00AA5106"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14:paraId="49EA1083" w14:textId="77777777"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6CC10" w14:textId="77777777" w:rsidR="00AA5106" w:rsidRDefault="00AA5106" w:rsidP="00C40A36">
      <w:pPr>
        <w:spacing w:after="0"/>
      </w:pPr>
      <w:r>
        <w:separator/>
      </w:r>
    </w:p>
  </w:endnote>
  <w:endnote w:type="continuationSeparator" w:id="0">
    <w:p w14:paraId="28F57FB6" w14:textId="77777777" w:rsidR="00AA5106" w:rsidRDefault="00AA510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8FE0" w14:textId="77777777" w:rsidR="00AA5106" w:rsidRDefault="00AA5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AA5106" w:rsidRPr="00487162" w14:paraId="3C7465C5" w14:textId="77777777" w:rsidTr="00AA5106">
      <w:trPr>
        <w:trHeight w:val="269"/>
      </w:trPr>
      <w:tc>
        <w:tcPr>
          <w:tcW w:w="7797" w:type="dxa"/>
          <w:tcMar>
            <w:top w:w="142" w:type="dxa"/>
            <w:bottom w:w="0" w:type="dxa"/>
          </w:tcMar>
        </w:tcPr>
        <w:p w14:paraId="5208BDF6" w14:textId="7C33B8BB" w:rsidR="00AA5106" w:rsidRPr="00487162" w:rsidRDefault="00AA5106" w:rsidP="00CB62EC">
          <w:pPr>
            <w:pStyle w:val="Footer"/>
          </w:pPr>
          <w:r w:rsidRPr="00487162">
            <w:t>AusPA</w:t>
          </w:r>
          <w:r>
            <w:t xml:space="preserve">R - </w:t>
          </w:r>
          <w:proofErr w:type="spellStart"/>
          <w:r>
            <w:t>Akynzeo</w:t>
          </w:r>
          <w:proofErr w:type="spellEnd"/>
          <w:r w:rsidRPr="008B5637">
            <w:t xml:space="preserve"> IV - </w:t>
          </w:r>
          <w:proofErr w:type="spellStart"/>
          <w:r w:rsidRPr="008B5637">
            <w:t>fosnetupitant</w:t>
          </w:r>
          <w:proofErr w:type="spellEnd"/>
          <w:r w:rsidRPr="008B5637">
            <w:t xml:space="preserve"> (as chloride hydrochloride)/</w:t>
          </w:r>
          <w:proofErr w:type="spellStart"/>
          <w:r w:rsidRPr="008B5637">
            <w:t>palonosetron</w:t>
          </w:r>
          <w:proofErr w:type="spellEnd"/>
          <w:r w:rsidRPr="008B5637">
            <w:t xml:space="preserve"> (as hydrochloride) - </w:t>
          </w:r>
          <w:r w:rsidRPr="00D0635C">
            <w:t>Mundipharma</w:t>
          </w:r>
          <w:r w:rsidRPr="008B5637">
            <w:t xml:space="preserve"> Pty Ltd - PM-2019-01560-1-4</w:t>
          </w:r>
          <w:r>
            <w:br/>
            <w:t>FINAL 24 September 2020</w:t>
          </w:r>
        </w:p>
      </w:tc>
      <w:tc>
        <w:tcPr>
          <w:tcW w:w="1064" w:type="dxa"/>
          <w:tcMar>
            <w:top w:w="142" w:type="dxa"/>
            <w:bottom w:w="0" w:type="dxa"/>
          </w:tcMar>
        </w:tcPr>
        <w:p w14:paraId="346C5E8F" w14:textId="2F0B2AFD" w:rsidR="00AA5106" w:rsidRPr="00487162" w:rsidRDefault="00AA5106" w:rsidP="00DB750B">
          <w:pPr>
            <w:pStyle w:val="Footer"/>
            <w:jc w:val="right"/>
          </w:pPr>
          <w:r w:rsidRPr="00487162">
            <w:t xml:space="preserve">Page </w:t>
          </w:r>
          <w:r>
            <w:fldChar w:fldCharType="begin"/>
          </w:r>
          <w:r>
            <w:instrText xml:space="preserve"> PAGE  \* Arabic </w:instrText>
          </w:r>
          <w:r>
            <w:fldChar w:fldCharType="separate"/>
          </w:r>
          <w:r w:rsidR="002D3874">
            <w:rPr>
              <w:noProof/>
            </w:rPr>
            <w:t>22</w:t>
          </w:r>
          <w:r>
            <w:fldChar w:fldCharType="end"/>
          </w:r>
          <w:r w:rsidRPr="00487162">
            <w:t xml:space="preserve"> of </w:t>
          </w:r>
          <w:fldSimple w:instr=" NUMPAGES  \* Arabic ">
            <w:r w:rsidR="002D3874">
              <w:rPr>
                <w:noProof/>
              </w:rPr>
              <w:t>28</w:t>
            </w:r>
          </w:fldSimple>
        </w:p>
      </w:tc>
    </w:tr>
  </w:tbl>
  <w:p w14:paraId="58711DE4" w14:textId="77777777" w:rsidR="00AA5106" w:rsidRDefault="00AA5106"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D603F" w14:textId="77777777" w:rsidR="00AA5106" w:rsidRDefault="00AA51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A5106" w:rsidRPr="00487162" w14:paraId="53409EBA" w14:textId="77777777" w:rsidTr="00E45619">
      <w:trPr>
        <w:trHeight w:val="269"/>
      </w:trPr>
      <w:tc>
        <w:tcPr>
          <w:tcW w:w="4519" w:type="dxa"/>
          <w:tcBorders>
            <w:top w:val="single" w:sz="4" w:space="0" w:color="auto"/>
          </w:tcBorders>
          <w:tcMar>
            <w:top w:w="142" w:type="dxa"/>
            <w:bottom w:w="0" w:type="dxa"/>
          </w:tcMar>
        </w:tcPr>
        <w:p w14:paraId="4FEA1D4D" w14:textId="77777777" w:rsidR="00AA5106" w:rsidRPr="00487162" w:rsidRDefault="00AA5106" w:rsidP="00FE1DEE">
          <w:pPr>
            <w:pStyle w:val="Footer"/>
          </w:pPr>
          <w:r w:rsidRPr="00487162">
            <w:t>Document title, Part #, Section # - Section title</w:t>
          </w:r>
        </w:p>
        <w:p w14:paraId="637303BD" w14:textId="77777777" w:rsidR="00AA5106" w:rsidRPr="00487162" w:rsidRDefault="00AA5106" w:rsidP="00FE1DEE">
          <w:pPr>
            <w:pStyle w:val="Footer"/>
          </w:pPr>
          <w:r w:rsidRPr="00487162">
            <w:t>V1.0 October 2010</w:t>
          </w:r>
        </w:p>
      </w:tc>
      <w:tc>
        <w:tcPr>
          <w:tcW w:w="4342" w:type="dxa"/>
          <w:tcBorders>
            <w:top w:val="single" w:sz="4" w:space="0" w:color="auto"/>
          </w:tcBorders>
          <w:tcMar>
            <w:top w:w="142" w:type="dxa"/>
            <w:bottom w:w="0" w:type="dxa"/>
          </w:tcMar>
        </w:tcPr>
        <w:p w14:paraId="4E6351A9" w14:textId="77777777" w:rsidR="00AA5106" w:rsidRPr="00487162" w:rsidRDefault="00AA510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711639B5" w14:textId="77777777" w:rsidR="00AA5106" w:rsidRDefault="00AA51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F0748" w14:textId="77777777" w:rsidR="00AA5106" w:rsidRPr="001C32CD" w:rsidRDefault="00AA5106"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A5106" w14:paraId="209356DD" w14:textId="77777777" w:rsidTr="0010601F">
      <w:trPr>
        <w:trHeight w:val="108"/>
      </w:trPr>
      <w:tc>
        <w:tcPr>
          <w:tcW w:w="8875" w:type="dxa"/>
          <w:gridSpan w:val="2"/>
          <w:tcBorders>
            <w:bottom w:val="single" w:sz="4" w:space="0" w:color="auto"/>
          </w:tcBorders>
          <w:tcMar>
            <w:right w:w="284" w:type="dxa"/>
          </w:tcMar>
        </w:tcPr>
        <w:p w14:paraId="5A5CD95D" w14:textId="77777777" w:rsidR="00AA5106" w:rsidRDefault="00AA5106" w:rsidP="006E08B3">
          <w:pPr>
            <w:pStyle w:val="Heading3"/>
          </w:pPr>
          <w:r>
            <w:t>Copyright</w:t>
          </w:r>
        </w:p>
        <w:p w14:paraId="370BA25F" w14:textId="77777777" w:rsidR="00AA5106" w:rsidRDefault="00AA5106" w:rsidP="006E08B3">
          <w:r>
            <w:rPr>
              <w:rFonts w:cs="Arial"/>
            </w:rPr>
            <w:t>©</w:t>
          </w:r>
          <w:r>
            <w:t xml:space="preserve"> Commonwealth of Australia [add year]</w:t>
          </w:r>
        </w:p>
        <w:p w14:paraId="5460EB54" w14:textId="77777777" w:rsidR="00AA5106" w:rsidRDefault="00AA5106" w:rsidP="006E08B3"/>
        <w:p w14:paraId="2530E709" w14:textId="77777777" w:rsidR="00AA5106" w:rsidRDefault="00AA510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01BFEDD" w14:textId="77777777" w:rsidR="00AA5106" w:rsidRDefault="00AA5106" w:rsidP="006E08B3"/>
        <w:p w14:paraId="2D0D3FC6" w14:textId="77777777" w:rsidR="00AA5106" w:rsidRDefault="00AA5106" w:rsidP="006E08B3">
          <w:pPr>
            <w:pStyle w:val="Heading3"/>
          </w:pPr>
          <w:r>
            <w:t>Confidentiality</w:t>
          </w:r>
        </w:p>
        <w:p w14:paraId="70546073" w14:textId="77777777" w:rsidR="00AA5106" w:rsidRDefault="00AA510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0050D97" w14:textId="77777777" w:rsidR="00AA5106" w:rsidRDefault="00AA5106" w:rsidP="006E08B3"/>
        <w:p w14:paraId="0CE756C4" w14:textId="77777777" w:rsidR="00AA5106" w:rsidRDefault="00AA5106" w:rsidP="006E08B3">
          <w:r>
            <w:t>For submission made by individuals, all personal details, other than your name, will be removed from your submission before it is published on the TGA’s Internet site.</w:t>
          </w:r>
        </w:p>
        <w:p w14:paraId="21F848E3" w14:textId="77777777" w:rsidR="00AA5106" w:rsidRDefault="00AA5106" w:rsidP="006E08B3"/>
        <w:p w14:paraId="4D110255" w14:textId="77777777" w:rsidR="00AA5106" w:rsidRDefault="00AA510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A5106" w14:paraId="5098392C" w14:textId="77777777" w:rsidTr="0010601F">
      <w:trPr>
        <w:trHeight w:val="417"/>
      </w:trPr>
      <w:tc>
        <w:tcPr>
          <w:tcW w:w="4519" w:type="dxa"/>
          <w:tcBorders>
            <w:top w:val="single" w:sz="4" w:space="0" w:color="auto"/>
          </w:tcBorders>
          <w:tcMar>
            <w:top w:w="142" w:type="dxa"/>
            <w:bottom w:w="0" w:type="dxa"/>
          </w:tcMar>
        </w:tcPr>
        <w:p w14:paraId="4F7829E9" w14:textId="77777777" w:rsidR="00AA5106" w:rsidRDefault="00AA5106" w:rsidP="006E08B3">
          <w:r>
            <w:t>Document title, Part #, Section # - Section title</w:t>
          </w:r>
        </w:p>
        <w:p w14:paraId="4FECB060" w14:textId="77777777" w:rsidR="00AA5106" w:rsidRDefault="00AA5106" w:rsidP="006E08B3">
          <w:r>
            <w:t>V1.0 October 2010</w:t>
          </w:r>
        </w:p>
      </w:tc>
      <w:tc>
        <w:tcPr>
          <w:tcW w:w="4356" w:type="dxa"/>
          <w:tcBorders>
            <w:top w:val="single" w:sz="4" w:space="0" w:color="auto"/>
          </w:tcBorders>
          <w:tcMar>
            <w:top w:w="142" w:type="dxa"/>
            <w:bottom w:w="0" w:type="dxa"/>
          </w:tcMar>
        </w:tcPr>
        <w:p w14:paraId="46373FD2" w14:textId="77777777" w:rsidR="00AA5106" w:rsidRDefault="00AA510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7AD63DAC" w14:textId="77777777" w:rsidR="00AA5106" w:rsidRDefault="00AA510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7007F" w14:textId="77777777" w:rsidR="00AA5106" w:rsidRDefault="00AA5106" w:rsidP="00C40A36">
      <w:pPr>
        <w:spacing w:after="0"/>
      </w:pPr>
      <w:r>
        <w:separator/>
      </w:r>
    </w:p>
  </w:footnote>
  <w:footnote w:type="continuationSeparator" w:id="0">
    <w:p w14:paraId="48685E86" w14:textId="77777777" w:rsidR="00AA5106" w:rsidRDefault="00AA5106" w:rsidP="00C40A36">
      <w:pPr>
        <w:spacing w:after="0"/>
      </w:pPr>
      <w:r>
        <w:continuationSeparator/>
      </w:r>
    </w:p>
  </w:footnote>
  <w:footnote w:id="1">
    <w:p w14:paraId="11EA629D" w14:textId="77777777" w:rsidR="00AA5106" w:rsidRDefault="00AA5106">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67D5CC57" w14:textId="77777777" w:rsidR="00AA5106" w:rsidRDefault="00AA5106">
      <w:pPr>
        <w:pStyle w:val="FootnoteText"/>
      </w:pPr>
      <w:r>
        <w:rPr>
          <w:rStyle w:val="FootnoteReference"/>
        </w:rPr>
        <w:footnoteRef/>
      </w:r>
      <w:r>
        <w:t xml:space="preserve"> </w:t>
      </w:r>
      <w:proofErr w:type="spellStart"/>
      <w:r w:rsidRPr="006A10F5">
        <w:t>Hesketh</w:t>
      </w:r>
      <w:proofErr w:type="spellEnd"/>
      <w:r>
        <w:t xml:space="preserve">, P.J et al. </w:t>
      </w:r>
      <w:proofErr w:type="spellStart"/>
      <w:r w:rsidRPr="006A10F5">
        <w:t>Antiemetics</w:t>
      </w:r>
      <w:proofErr w:type="spellEnd"/>
      <w:r w:rsidRPr="006A10F5">
        <w:t>: American Society of Clinical Oncology Clinical Practice Guideline Update</w:t>
      </w:r>
      <w:r>
        <w:t xml:space="preserve">, </w:t>
      </w:r>
      <w:r w:rsidRPr="006A10F5">
        <w:rPr>
          <w:i/>
        </w:rPr>
        <w:t>Journal of Clinical Oncology</w:t>
      </w:r>
      <w:r>
        <w:t>,</w:t>
      </w:r>
      <w:r w:rsidRPr="006A10F5">
        <w:t xml:space="preserve"> 2017</w:t>
      </w:r>
      <w:r>
        <w:t>;</w:t>
      </w:r>
      <w:r w:rsidRPr="006A10F5">
        <w:t xml:space="preserve"> 35:28, 3240-3261</w:t>
      </w:r>
      <w:r>
        <w:t>.</w:t>
      </w:r>
    </w:p>
  </w:footnote>
  <w:footnote w:id="3">
    <w:p w14:paraId="100D255D" w14:textId="77777777" w:rsidR="00AA5106" w:rsidRDefault="00AA5106" w:rsidP="006A10F5">
      <w:pPr>
        <w:pStyle w:val="FootnoteText"/>
      </w:pPr>
      <w:r>
        <w:rPr>
          <w:rStyle w:val="FootnoteReference"/>
        </w:rPr>
        <w:footnoteRef/>
      </w:r>
      <w:r>
        <w:t xml:space="preserve"> </w:t>
      </w:r>
      <w:proofErr w:type="spellStart"/>
      <w:r>
        <w:t>Roila</w:t>
      </w:r>
      <w:proofErr w:type="spellEnd"/>
      <w:r>
        <w:t xml:space="preserve">, F. et al. 2016 MASCC and ESMO guideline update for the prevention of chemotherapy- and radiotherapy-induced nausea and vomiting and of nausea and vomiting in advanced cancer patients, </w:t>
      </w:r>
      <w:r w:rsidRPr="006A10F5">
        <w:rPr>
          <w:i/>
        </w:rPr>
        <w:t>Annals of Oncology</w:t>
      </w:r>
      <w:r>
        <w:t>, 2016;</w:t>
      </w:r>
      <w:r w:rsidRPr="006A10F5">
        <w:t xml:space="preserve"> 27</w:t>
      </w:r>
      <w:r>
        <w:t xml:space="preserve"> (Supplement 5): v119–v133.</w:t>
      </w:r>
    </w:p>
  </w:footnote>
  <w:footnote w:id="4">
    <w:p w14:paraId="635F08A5" w14:textId="77777777" w:rsidR="00AA5106" w:rsidRDefault="00AA5106" w:rsidP="00E97DC3">
      <w:pPr>
        <w:pStyle w:val="FootnoteText"/>
      </w:pPr>
      <w:r>
        <w:rPr>
          <w:rStyle w:val="FootnoteReference"/>
        </w:rPr>
        <w:footnoteRef/>
      </w:r>
      <w:r w:rsidRPr="00E97DC3">
        <w:t>Cancer Institute NSW</w:t>
      </w:r>
      <w:r>
        <w:t xml:space="preserve">, </w:t>
      </w:r>
      <w:proofErr w:type="spellStart"/>
      <w:r>
        <w:t>eviQ</w:t>
      </w:r>
      <w:proofErr w:type="spellEnd"/>
      <w:r>
        <w:t xml:space="preserve">, </w:t>
      </w:r>
      <w:r w:rsidRPr="00E97DC3">
        <w:t>Prevention of antineoplastic induced nausea and vomiting</w:t>
      </w:r>
      <w:r>
        <w:t xml:space="preserve">, Last reviewed: 17 January 2019. Available from the </w:t>
      </w:r>
      <w:proofErr w:type="spellStart"/>
      <w:r>
        <w:t>eviQ</w:t>
      </w:r>
      <w:proofErr w:type="spellEnd"/>
      <w:r>
        <w:t xml:space="preserve"> website.</w:t>
      </w:r>
    </w:p>
  </w:footnote>
  <w:footnote w:id="5">
    <w:p w14:paraId="4FDB940E" w14:textId="77777777" w:rsidR="00AA5106" w:rsidRDefault="00AA5106">
      <w:pPr>
        <w:pStyle w:val="FootnoteText"/>
      </w:pPr>
      <w:r>
        <w:rPr>
          <w:rStyle w:val="FootnoteReference"/>
        </w:rPr>
        <w:footnoteRef/>
      </w:r>
      <w:r>
        <w:t xml:space="preserve"> </w:t>
      </w:r>
      <w:proofErr w:type="spellStart"/>
      <w:r w:rsidRPr="00391EE0">
        <w:t>Akynzeo</w:t>
      </w:r>
      <w:proofErr w:type="spellEnd"/>
      <w:r>
        <w:t xml:space="preserve"> (</w:t>
      </w:r>
      <w:proofErr w:type="spellStart"/>
      <w:r w:rsidRPr="00391EE0">
        <w:t>netupitant</w:t>
      </w:r>
      <w:proofErr w:type="spellEnd"/>
      <w:r w:rsidRPr="00391EE0">
        <w:t>/</w:t>
      </w:r>
      <w:proofErr w:type="spellStart"/>
      <w:r w:rsidRPr="00391EE0">
        <w:t>palonosetron</w:t>
      </w:r>
      <w:proofErr w:type="spellEnd"/>
      <w:r w:rsidRPr="00391EE0">
        <w:t xml:space="preserve"> </w:t>
      </w:r>
      <w:r>
        <w:t>(as hydrochloride) 300 mg/500 µ</w:t>
      </w:r>
      <w:r w:rsidRPr="00391EE0">
        <w:t>g</w:t>
      </w:r>
      <w:r>
        <w:t>)</w:t>
      </w:r>
      <w:r w:rsidRPr="00391EE0">
        <w:t xml:space="preserve"> capsule blister pack</w:t>
      </w:r>
      <w:r>
        <w:t xml:space="preserve"> AUST R </w:t>
      </w:r>
      <w:r w:rsidRPr="00391EE0">
        <w:t>222237</w:t>
      </w:r>
      <w:r>
        <w:t xml:space="preserve">, fist registered 6 May 2015. Sponsored by </w:t>
      </w:r>
      <w:r w:rsidRPr="00391EE0">
        <w:t>Mundipharma Pty Ltd</w:t>
      </w:r>
      <w:r>
        <w:t>.</w:t>
      </w:r>
    </w:p>
  </w:footnote>
  <w:footnote w:id="6">
    <w:p w14:paraId="35CBCF6D" w14:textId="77777777" w:rsidR="00AA5106" w:rsidRDefault="00AA5106">
      <w:pPr>
        <w:pStyle w:val="FootnoteText"/>
      </w:pPr>
      <w:r>
        <w:rPr>
          <w:rStyle w:val="FootnoteReference"/>
        </w:rPr>
        <w:footnoteRef/>
      </w:r>
      <w:r>
        <w:t xml:space="preserve"> </w:t>
      </w:r>
      <w:proofErr w:type="spellStart"/>
      <w:r w:rsidRPr="00391EE0">
        <w:t>Alox</w:t>
      </w:r>
      <w:r>
        <w:t>i</w:t>
      </w:r>
      <w:proofErr w:type="spellEnd"/>
      <w:r w:rsidRPr="00391EE0">
        <w:t xml:space="preserve"> </w:t>
      </w:r>
      <w:r>
        <w:t>(</w:t>
      </w:r>
      <w:proofErr w:type="spellStart"/>
      <w:r w:rsidRPr="00391EE0">
        <w:t>palonosetron</w:t>
      </w:r>
      <w:proofErr w:type="spellEnd"/>
      <w:r w:rsidRPr="00391EE0">
        <w:t xml:space="preserve"> (as hydrochloride)</w:t>
      </w:r>
      <w:r>
        <w:t>)</w:t>
      </w:r>
      <w:r w:rsidRPr="00391EE0">
        <w:t xml:space="preserve"> 75 </w:t>
      </w:r>
      <w:r>
        <w:t>µg</w:t>
      </w:r>
      <w:r w:rsidRPr="00391EE0">
        <w:t>/1.5</w:t>
      </w:r>
      <w:r>
        <w:t xml:space="preserve"> </w:t>
      </w:r>
      <w:r w:rsidRPr="00391EE0">
        <w:t>mL solution for injection vial</w:t>
      </w:r>
      <w:r>
        <w:t xml:space="preserve"> AUST R </w:t>
      </w:r>
      <w:r w:rsidRPr="00E7309B">
        <w:t>281464</w:t>
      </w:r>
      <w:r>
        <w:t xml:space="preserve"> (first registered </w:t>
      </w:r>
      <w:r w:rsidRPr="00E7309B">
        <w:t>22</w:t>
      </w:r>
      <w:r>
        <w:t xml:space="preserve"> August </w:t>
      </w:r>
      <w:r w:rsidRPr="00E7309B">
        <w:t>2017</w:t>
      </w:r>
      <w:r>
        <w:t xml:space="preserve">) and </w:t>
      </w:r>
      <w:r w:rsidRPr="00E7309B">
        <w:t xml:space="preserve">250 </w:t>
      </w:r>
      <w:r>
        <w:t>µg</w:t>
      </w:r>
      <w:r w:rsidRPr="00E7309B">
        <w:t>/5</w:t>
      </w:r>
      <w:r>
        <w:t xml:space="preserve"> </w:t>
      </w:r>
      <w:r w:rsidRPr="00E7309B">
        <w:t>mL solution for injection vial</w:t>
      </w:r>
      <w:r>
        <w:t xml:space="preserve"> AUST R </w:t>
      </w:r>
      <w:r w:rsidRPr="00E7309B">
        <w:t>114185</w:t>
      </w:r>
      <w:r>
        <w:t xml:space="preserve"> (first registered 26 June 2006). Sponsored by </w:t>
      </w:r>
      <w:r w:rsidRPr="00E7309B">
        <w:t>Mundipharma Pty Ltd</w:t>
      </w:r>
      <w:r>
        <w:t>.</w:t>
      </w:r>
    </w:p>
  </w:footnote>
  <w:footnote w:id="7">
    <w:p w14:paraId="66E1697A" w14:textId="77777777" w:rsidR="00AA5106" w:rsidRDefault="00AA5106">
      <w:pPr>
        <w:pStyle w:val="FootnoteText"/>
      </w:pPr>
      <w:r>
        <w:rPr>
          <w:rStyle w:val="FootnoteReference"/>
        </w:rPr>
        <w:footnoteRef/>
      </w:r>
      <w:r>
        <w:t xml:space="preserve"> European Medicines Agency (EMA), </w:t>
      </w:r>
      <w:r w:rsidRPr="00B80FB5">
        <w:t>Committee for Proprietary Medicinal Products (CPMP)</w:t>
      </w:r>
      <w:r>
        <w:t xml:space="preserve">, </w:t>
      </w:r>
      <w:r w:rsidRPr="00B80FB5">
        <w:t>ICH guideline M3(R2) on non-clinical safety studies for the conduct of human clinical trials and marketing authorisation for pharmaceuticals</w:t>
      </w:r>
      <w:r>
        <w:t xml:space="preserve">, </w:t>
      </w:r>
      <w:r w:rsidRPr="00B80FB5">
        <w:t>EMA/CPMP/ICH/286/1995</w:t>
      </w:r>
      <w:r>
        <w:t>, December 2009.</w:t>
      </w:r>
    </w:p>
  </w:footnote>
  <w:footnote w:id="8">
    <w:p w14:paraId="79AF6F66" w14:textId="7CCBDEB9" w:rsidR="00AA5106" w:rsidRDefault="00AA5106">
      <w:pPr>
        <w:pStyle w:val="FootnoteText"/>
      </w:pPr>
      <w:r>
        <w:rPr>
          <w:rStyle w:val="FootnoteReference"/>
        </w:rPr>
        <w:footnoteRef/>
      </w:r>
      <w:r>
        <w:t xml:space="preserve"> </w:t>
      </w:r>
      <w:proofErr w:type="spellStart"/>
      <w:r w:rsidRPr="00CB62EC">
        <w:rPr>
          <w:b/>
        </w:rPr>
        <w:t>pKB</w:t>
      </w:r>
      <w:proofErr w:type="spellEnd"/>
      <w:r>
        <w:t xml:space="preserve"> is a</w:t>
      </w:r>
      <w:r w:rsidRPr="001D16FD">
        <w:t xml:space="preserve"> measure of the potency of a competitive antagonist</w:t>
      </w:r>
      <w:r>
        <w:t>.</w:t>
      </w:r>
    </w:p>
  </w:footnote>
  <w:footnote w:id="9">
    <w:p w14:paraId="70986833" w14:textId="77777777" w:rsidR="00AA5106" w:rsidRDefault="00AA5106" w:rsidP="0074577F">
      <w:pPr>
        <w:pStyle w:val="FootnoteText"/>
        <w:rPr>
          <w:rStyle w:val="FootnoteTextChar"/>
        </w:rPr>
      </w:pPr>
      <w:r>
        <w:rPr>
          <w:rStyle w:val="FootnoteReference"/>
        </w:rPr>
        <w:footnoteRef/>
      </w:r>
      <w:r>
        <w:t xml:space="preserve"> </w:t>
      </w:r>
      <w:r w:rsidRPr="000F1877">
        <w:t xml:space="preserve">The </w:t>
      </w:r>
      <w:r w:rsidRPr="00CB62EC">
        <w:rPr>
          <w:b/>
        </w:rPr>
        <w:t>QT interval</w:t>
      </w:r>
      <w:r w:rsidRPr="000F1877">
        <w:t xml:space="preserve"> is the time from the start of the Q</w:t>
      </w:r>
      <w:r>
        <w:t>RS</w:t>
      </w:r>
      <w:r w:rsidRPr="000F1877">
        <w:t xml:space="preserve"> wave</w:t>
      </w:r>
      <w:r>
        <w:t xml:space="preserve"> complex</w:t>
      </w:r>
      <w:r w:rsidRPr="000F1877">
        <w:t xml:space="preserve"> to the end of the</w:t>
      </w:r>
      <w:r>
        <w:t xml:space="preserve"> corresponding</w:t>
      </w:r>
      <w:r w:rsidRPr="000F1877">
        <w:t xml:space="preserve"> T wave. It </w:t>
      </w:r>
      <w:r>
        <w:t xml:space="preserve">approximates to </w:t>
      </w:r>
      <w:r w:rsidRPr="000F1877">
        <w:t xml:space="preserve">the time taken for ventricular depolarisation and repolarisation, </w:t>
      </w:r>
      <w:r>
        <w:t>that is to say, the</w:t>
      </w:r>
      <w:r w:rsidRPr="000F1877">
        <w:t xml:space="preserve"> period of ventricular systole from ventricular </w:t>
      </w:r>
      <w:proofErr w:type="spellStart"/>
      <w:r w:rsidRPr="000F1877">
        <w:t>isovolumetric</w:t>
      </w:r>
      <w:proofErr w:type="spellEnd"/>
      <w:r w:rsidRPr="000F1877">
        <w:t xml:space="preserve"> contraction to </w:t>
      </w:r>
      <w:proofErr w:type="spellStart"/>
      <w:r w:rsidRPr="000F1877">
        <w:t>isovolumetric</w:t>
      </w:r>
      <w:proofErr w:type="spellEnd"/>
      <w:r w:rsidRPr="000F1877">
        <w:t xml:space="preserve"> relaxation.</w:t>
      </w:r>
    </w:p>
    <w:p w14:paraId="21E26889" w14:textId="77777777" w:rsidR="00AA5106" w:rsidRDefault="00AA5106" w:rsidP="0074577F">
      <w:pPr>
        <w:pStyle w:val="FootnoteText"/>
      </w:pPr>
      <w:r w:rsidRPr="00436FD3">
        <w:rPr>
          <w:rStyle w:val="FootnoteTextChar"/>
        </w:rPr>
        <w:t xml:space="preserve">The </w:t>
      </w:r>
      <w:r w:rsidRPr="00D104F0">
        <w:rPr>
          <w:rStyle w:val="FootnoteTextChar"/>
          <w:b/>
        </w:rPr>
        <w:t>corrected QT interval (</w:t>
      </w:r>
      <w:proofErr w:type="spellStart"/>
      <w:r w:rsidRPr="00D104F0">
        <w:rPr>
          <w:rStyle w:val="FootnoteTextChar"/>
          <w:b/>
        </w:rPr>
        <w:t>QTc</w:t>
      </w:r>
      <w:proofErr w:type="spellEnd"/>
      <w:r w:rsidRPr="00D104F0">
        <w:rPr>
          <w:rStyle w:val="FootnoteTextChar"/>
          <w:b/>
        </w:rPr>
        <w:t>)</w:t>
      </w:r>
      <w:r w:rsidRPr="00436FD3">
        <w:rPr>
          <w:rStyle w:val="FootnoteTextChar"/>
        </w:rPr>
        <w:t> estimates the QT interval at a standard heart rate. This allows comparison of QT values over time at different heart rates and improves detection of patients at increased risk of arrhythmias.</w:t>
      </w:r>
    </w:p>
  </w:footnote>
  <w:footnote w:id="10">
    <w:p w14:paraId="05D11AED" w14:textId="77777777" w:rsidR="00AA5106" w:rsidRDefault="00AA5106">
      <w:pPr>
        <w:pStyle w:val="FootnoteText"/>
      </w:pPr>
      <w:r>
        <w:rPr>
          <w:rStyle w:val="FootnoteReference"/>
        </w:rPr>
        <w:footnoteRef/>
      </w:r>
      <w:r>
        <w:t xml:space="preserve"> Australian Pregnancy Category D: </w:t>
      </w:r>
      <w:r w:rsidRPr="004F4279">
        <w:t xml:space="preserve">Drugs which have caused, are suspected to have caused or may be expected to cause, an increased incidence of human </w:t>
      </w:r>
      <w:proofErr w:type="spellStart"/>
      <w:r w:rsidRPr="004F4279">
        <w:t>fetal</w:t>
      </w:r>
      <w:proofErr w:type="spellEnd"/>
      <w:r w:rsidRPr="004F4279">
        <w:t xml:space="preserve"> malformations or irreversible damage. These drugs may also have adverse pharmacological effects. Accompanying texts should be consulted for further details.</w:t>
      </w:r>
    </w:p>
  </w:footnote>
  <w:footnote w:id="11">
    <w:p w14:paraId="7CC36A8B" w14:textId="0A31D065" w:rsidR="00AA5106" w:rsidRPr="00CB62EC" w:rsidRDefault="00AA5106">
      <w:pPr>
        <w:pStyle w:val="FootnoteText"/>
        <w:rPr>
          <w:lang w:val="en-US"/>
        </w:rPr>
      </w:pPr>
      <w:r>
        <w:rPr>
          <w:rStyle w:val="FootnoteReference"/>
        </w:rPr>
        <w:footnoteRef/>
      </w:r>
      <w:r>
        <w:t xml:space="preserve"> Study PNET-13-63; title:</w:t>
      </w:r>
      <w:r w:rsidRPr="00492B8C">
        <w:t xml:space="preserve"> </w:t>
      </w:r>
      <w:r>
        <w:t>‘</w:t>
      </w:r>
      <w:r w:rsidRPr="00492B8C">
        <w:t xml:space="preserve">Evaluation of the pharmacokinetic interaction between three doses of intravenous </w:t>
      </w:r>
      <w:proofErr w:type="spellStart"/>
      <w:r w:rsidRPr="00492B8C">
        <w:t>fosnetupitant</w:t>
      </w:r>
      <w:proofErr w:type="spellEnd"/>
      <w:r w:rsidRPr="00492B8C">
        <w:t xml:space="preserve"> and oral dexamethasone regimen: a randomized three period crossover study in healthy male and female volunteers</w:t>
      </w:r>
      <w:r>
        <w:t>’</w:t>
      </w:r>
      <w:r w:rsidRPr="00492B8C">
        <w:t>. May 2015.</w:t>
      </w:r>
    </w:p>
  </w:footnote>
  <w:footnote w:id="12">
    <w:p w14:paraId="40F8E9E6" w14:textId="3D2DF218" w:rsidR="00AA5106" w:rsidRPr="00CB62EC" w:rsidRDefault="00AA5106">
      <w:pPr>
        <w:pStyle w:val="FootnoteText"/>
        <w:rPr>
          <w:lang w:val="en-US"/>
        </w:rPr>
      </w:pPr>
      <w:r>
        <w:rPr>
          <w:rStyle w:val="FootnoteReference"/>
        </w:rPr>
        <w:footnoteRef/>
      </w:r>
      <w:r>
        <w:t xml:space="preserve"> Study NEPA-15-19; title:</w:t>
      </w:r>
      <w:r w:rsidRPr="00492B8C">
        <w:t xml:space="preserve"> </w:t>
      </w:r>
      <w:r>
        <w:t>‘</w:t>
      </w:r>
      <w:r w:rsidRPr="00492B8C">
        <w:t xml:space="preserve">A Phase 1, open label study to evaluate the pharmacokinetic profile and safety of IV NEPA FDC administered for the prevention of chemotherapy-induced nausea and vomiting in cancer patients receiving a single cycle of highly </w:t>
      </w:r>
      <w:proofErr w:type="spellStart"/>
      <w:r w:rsidRPr="00492B8C">
        <w:t>emetogenic</w:t>
      </w:r>
      <w:proofErr w:type="spellEnd"/>
      <w:r w:rsidRPr="00492B8C">
        <w:t xml:space="preserve"> chemotherapy</w:t>
      </w:r>
      <w:r>
        <w:t>’</w:t>
      </w:r>
      <w:r w:rsidRPr="00492B8C">
        <w:t>. March 2017.</w:t>
      </w:r>
    </w:p>
  </w:footnote>
  <w:footnote w:id="13">
    <w:p w14:paraId="73E00D90" w14:textId="77777777" w:rsidR="00AA5106" w:rsidRDefault="00AA5106" w:rsidP="00BA6999">
      <w:pPr>
        <w:pStyle w:val="FootnoteText"/>
        <w:rPr>
          <w:lang w:val="en-US"/>
        </w:rPr>
      </w:pPr>
      <w:r>
        <w:rPr>
          <w:rStyle w:val="FootnoteReference"/>
        </w:rPr>
        <w:footnoteRef/>
      </w:r>
      <w:r>
        <w:t xml:space="preserve"> </w:t>
      </w:r>
      <w:r>
        <w:rPr>
          <w:lang w:val="en-US"/>
        </w:rPr>
        <w:t>Study PALO-15-17; title: ‘</w:t>
      </w:r>
      <w:r w:rsidRPr="00C801BC">
        <w:rPr>
          <w:lang w:val="en-US"/>
        </w:rPr>
        <w:t xml:space="preserve">A phase 3, single-dose, multicenter, randomized, double-blind, parallel group study to assess the efficacy and safety of </w:t>
      </w:r>
      <w:proofErr w:type="spellStart"/>
      <w:r w:rsidRPr="00C801BC">
        <w:rPr>
          <w:lang w:val="en-US"/>
        </w:rPr>
        <w:t>palonosetron</w:t>
      </w:r>
      <w:proofErr w:type="spellEnd"/>
      <w:r w:rsidRPr="00C801BC">
        <w:rPr>
          <w:lang w:val="en-US"/>
        </w:rPr>
        <w:t xml:space="preserve"> 0.25 mg administered as a 30-minute IV infusion compared to </w:t>
      </w:r>
      <w:proofErr w:type="spellStart"/>
      <w:r w:rsidRPr="00C801BC">
        <w:rPr>
          <w:lang w:val="en-US"/>
        </w:rPr>
        <w:t>palonosetron</w:t>
      </w:r>
      <w:proofErr w:type="spellEnd"/>
      <w:r w:rsidRPr="00C801BC">
        <w:rPr>
          <w:lang w:val="en-US"/>
        </w:rPr>
        <w:t xml:space="preserve"> 0.25 mg administered as a 30-second IV bolus for the prevention of chemotherapy-induced nausea and vomiting in cancer patients receiving</w:t>
      </w:r>
      <w:r>
        <w:rPr>
          <w:lang w:val="en-US"/>
        </w:rPr>
        <w:t xml:space="preserve"> highly </w:t>
      </w:r>
      <w:proofErr w:type="spellStart"/>
      <w:r>
        <w:rPr>
          <w:lang w:val="en-US"/>
        </w:rPr>
        <w:t>emetogenic</w:t>
      </w:r>
      <w:proofErr w:type="spellEnd"/>
      <w:r>
        <w:rPr>
          <w:lang w:val="en-US"/>
        </w:rPr>
        <w:t xml:space="preserve"> chemotherapy’.</w:t>
      </w:r>
    </w:p>
    <w:p w14:paraId="383B6650" w14:textId="6F329EF9" w:rsidR="00AA5106" w:rsidRPr="00CB62EC" w:rsidRDefault="00AA5106" w:rsidP="00BA6999">
      <w:pPr>
        <w:pStyle w:val="FootnoteText"/>
        <w:rPr>
          <w:lang w:val="en-US"/>
        </w:rPr>
      </w:pPr>
      <w:proofErr w:type="spellStart"/>
      <w:r>
        <w:rPr>
          <w:lang w:val="en-US"/>
        </w:rPr>
        <w:t>EudraCT</w:t>
      </w:r>
      <w:proofErr w:type="spellEnd"/>
      <w:r>
        <w:rPr>
          <w:lang w:val="en-US"/>
        </w:rPr>
        <w:t xml:space="preserve"> Number: </w:t>
      </w:r>
      <w:r w:rsidRPr="00C801BC">
        <w:rPr>
          <w:lang w:val="en-US"/>
        </w:rPr>
        <w:t>2015-001747-37</w:t>
      </w:r>
      <w:r>
        <w:rPr>
          <w:lang w:val="en-US"/>
        </w:rPr>
        <w:t xml:space="preserve">; </w:t>
      </w:r>
      <w:r w:rsidRPr="008A328B">
        <w:rPr>
          <w:lang w:val="en-US"/>
        </w:rPr>
        <w:t>ClinicalTrials.gov Identifier: NCT02557035</w:t>
      </w:r>
      <w:r>
        <w:rPr>
          <w:lang w:val="en-US"/>
        </w:rPr>
        <w:t>,</w:t>
      </w:r>
    </w:p>
  </w:footnote>
  <w:footnote w:id="14">
    <w:p w14:paraId="745D1449" w14:textId="6A3F41B3" w:rsidR="00AA5106" w:rsidRPr="00CB62EC" w:rsidRDefault="00AA5106">
      <w:pPr>
        <w:pStyle w:val="FootnoteText"/>
        <w:rPr>
          <w:lang w:val="en-US"/>
        </w:rPr>
      </w:pPr>
      <w:r>
        <w:rPr>
          <w:rStyle w:val="FootnoteReference"/>
        </w:rPr>
        <w:footnoteRef/>
      </w:r>
      <w:r>
        <w:t xml:space="preserve"> Study PNET-12-23; title:</w:t>
      </w:r>
      <w:r w:rsidRPr="000D54E0">
        <w:t xml:space="preserve"> </w:t>
      </w:r>
      <w:r>
        <w:t>‘</w:t>
      </w:r>
      <w:r w:rsidRPr="000D54E0">
        <w:t xml:space="preserve">A Phase I, double-blind, controlled, parallel groups, unbalanced single ascending dose study to assess the safety of intravenously administered </w:t>
      </w:r>
      <w:proofErr w:type="spellStart"/>
      <w:r w:rsidRPr="000D54E0">
        <w:t>fosnetupitant</w:t>
      </w:r>
      <w:proofErr w:type="spellEnd"/>
      <w:r w:rsidRPr="000D54E0">
        <w:t xml:space="preserve"> combined with crossover study extensions to estimate the dose of intravenous </w:t>
      </w:r>
      <w:proofErr w:type="spellStart"/>
      <w:r w:rsidRPr="000D54E0">
        <w:t>fosnetupitant</w:t>
      </w:r>
      <w:proofErr w:type="spellEnd"/>
      <w:r w:rsidRPr="000D54E0">
        <w:t xml:space="preserve"> yielding equivalent drug exposure as oral </w:t>
      </w:r>
      <w:proofErr w:type="spellStart"/>
      <w:r w:rsidRPr="000D54E0">
        <w:t>netupitant</w:t>
      </w:r>
      <w:proofErr w:type="spellEnd"/>
      <w:r w:rsidRPr="000D54E0">
        <w:t xml:space="preserve"> 300 mg/</w:t>
      </w:r>
      <w:proofErr w:type="spellStart"/>
      <w:r w:rsidRPr="000D54E0">
        <w:t>palonosetron</w:t>
      </w:r>
      <w:proofErr w:type="spellEnd"/>
      <w:r w:rsidRPr="000D54E0">
        <w:t xml:space="preserve"> 0.5 mg fixed-dose combination in healthy male and female volunteers</w:t>
      </w:r>
      <w:r>
        <w:t>’. April </w:t>
      </w:r>
      <w:r w:rsidRPr="000D54E0">
        <w:t>2015.</w:t>
      </w:r>
    </w:p>
  </w:footnote>
  <w:footnote w:id="15">
    <w:p w14:paraId="0F065EED" w14:textId="621FDE9D" w:rsidR="00AA5106" w:rsidRPr="00CB62EC" w:rsidRDefault="00AA5106">
      <w:pPr>
        <w:pStyle w:val="FootnoteText"/>
        <w:rPr>
          <w:lang w:val="en-US"/>
        </w:rPr>
      </w:pPr>
      <w:r>
        <w:rPr>
          <w:rStyle w:val="FootnoteReference"/>
        </w:rPr>
        <w:footnoteRef/>
      </w:r>
      <w:r>
        <w:t xml:space="preserve"> Study NEPA-15-18; title: ‘</w:t>
      </w:r>
      <w:r w:rsidRPr="000D54E0">
        <w:t xml:space="preserve">A phase 3, </w:t>
      </w:r>
      <w:proofErr w:type="spellStart"/>
      <w:r w:rsidRPr="000D54E0">
        <w:t>multicenter</w:t>
      </w:r>
      <w:proofErr w:type="spellEnd"/>
      <w:r w:rsidRPr="000D54E0">
        <w:t>, randomized, double-blind, active control study to evaluate the safety and efficacy of IV pro-</w:t>
      </w:r>
      <w:proofErr w:type="spellStart"/>
      <w:r w:rsidRPr="000D54E0">
        <w:t>netupitant</w:t>
      </w:r>
      <w:proofErr w:type="spellEnd"/>
      <w:r w:rsidRPr="000D54E0">
        <w:t>/</w:t>
      </w:r>
      <w:proofErr w:type="spellStart"/>
      <w:r w:rsidRPr="000D54E0">
        <w:t>palonosetron</w:t>
      </w:r>
      <w:proofErr w:type="spellEnd"/>
      <w:r w:rsidRPr="000D54E0">
        <w:t xml:space="preserve"> (260 mg/0.25 mg) combination for the prevention of chemotherapy-induced nausea and vomiting in repeated chemotherapy cycles in patients receiving highly </w:t>
      </w:r>
      <w:proofErr w:type="spellStart"/>
      <w:r w:rsidRPr="000D54E0">
        <w:t>emetogenic</w:t>
      </w:r>
      <w:proofErr w:type="spellEnd"/>
      <w:r w:rsidRPr="000D54E0">
        <w:t xml:space="preserve"> chemotherapy</w:t>
      </w:r>
      <w:r>
        <w:t>’</w:t>
      </w:r>
      <w:r w:rsidRPr="000D54E0">
        <w:t>. March 2017.</w:t>
      </w:r>
    </w:p>
  </w:footnote>
  <w:footnote w:id="16">
    <w:p w14:paraId="4202B0B1" w14:textId="5AA0F05C" w:rsidR="00AA5106" w:rsidRDefault="00AA5106" w:rsidP="000D14E3">
      <w:pPr>
        <w:pStyle w:val="FootnoteText"/>
      </w:pPr>
      <w:r>
        <w:rPr>
          <w:rStyle w:val="FootnoteReference"/>
        </w:rPr>
        <w:footnoteRef/>
      </w:r>
      <w:r>
        <w:t xml:space="preserve"> Table produced from original Table 9 (Source Reviewer’s Table) taken from the Food and Drug Administration, </w:t>
      </w:r>
      <w:proofErr w:type="spellStart"/>
      <w:r>
        <w:t>Center</w:t>
      </w:r>
      <w:proofErr w:type="spellEnd"/>
      <w:r>
        <w:t xml:space="preserve"> for Drug Evaluation and Research, M</w:t>
      </w:r>
      <w:r w:rsidRPr="000D14E3">
        <w:t>ulti-discipline review</w:t>
      </w:r>
      <w:r>
        <w:t>.</w:t>
      </w:r>
      <w:r w:rsidRPr="000D14E3">
        <w:t xml:space="preserve"> </w:t>
      </w:r>
      <w:r>
        <w:t>Application number: </w:t>
      </w:r>
      <w:r w:rsidRPr="000D14E3">
        <w:t>210493Orig1s000</w:t>
      </w:r>
      <w:r>
        <w:t xml:space="preserve">, </w:t>
      </w:r>
      <w:proofErr w:type="spellStart"/>
      <w:r>
        <w:t>Akynzeo</w:t>
      </w:r>
      <w:proofErr w:type="spellEnd"/>
      <w:r w:rsidRPr="000D14E3">
        <w:t xml:space="preserve"> for injection</w:t>
      </w:r>
      <w:r>
        <w:t xml:space="preserve">; Review completion date: 15 December </w:t>
      </w:r>
      <w:r w:rsidRPr="000D14E3">
        <w:t>2017</w:t>
      </w:r>
      <w:r>
        <w:t>, available from the FDA website.</w:t>
      </w:r>
    </w:p>
  </w:footnote>
  <w:footnote w:id="17">
    <w:p w14:paraId="7C4151C9" w14:textId="77777777" w:rsidR="00AA5106" w:rsidRDefault="00AA5106" w:rsidP="00992EE7">
      <w:pPr>
        <w:pStyle w:val="FootnoteText"/>
      </w:pPr>
      <w:r>
        <w:rPr>
          <w:rStyle w:val="FootnoteReference"/>
        </w:rPr>
        <w:footnoteRef/>
      </w:r>
      <w:r>
        <w:t xml:space="preserve"> Koch, G.G. et al. Categorical Data Analysis. In: DA Berry (Ed.) Statistical Methodology in the Pharmaceutical Sciences. Marcel Dekker, New York; 1989; 414–421.</w:t>
      </w:r>
    </w:p>
  </w:footnote>
  <w:footnote w:id="18">
    <w:p w14:paraId="70EB83E7" w14:textId="77777777" w:rsidR="00AA5106" w:rsidRDefault="00AA5106" w:rsidP="00992EE7">
      <w:pPr>
        <w:pStyle w:val="FootnoteText"/>
      </w:pPr>
      <w:r>
        <w:rPr>
          <w:rStyle w:val="FootnoteReference"/>
        </w:rPr>
        <w:footnoteRef/>
      </w:r>
      <w:r>
        <w:t xml:space="preserve"> O'Gorman, T.W. et al. A comparison of two methods of estimating a common risk difference in a stratified analysis of a </w:t>
      </w:r>
      <w:proofErr w:type="spellStart"/>
      <w:r>
        <w:t>multicenter</w:t>
      </w:r>
      <w:proofErr w:type="spellEnd"/>
      <w:r>
        <w:t xml:space="preserve"> clinical trial. </w:t>
      </w:r>
      <w:r w:rsidRPr="00992EE7">
        <w:rPr>
          <w:i/>
        </w:rPr>
        <w:t xml:space="preserve">Control </w:t>
      </w:r>
      <w:proofErr w:type="spellStart"/>
      <w:r w:rsidRPr="00992EE7">
        <w:rPr>
          <w:i/>
        </w:rPr>
        <w:t>Clin</w:t>
      </w:r>
      <w:proofErr w:type="spellEnd"/>
      <w:r w:rsidRPr="00992EE7">
        <w:rPr>
          <w:i/>
        </w:rPr>
        <w:t xml:space="preserve"> Trials</w:t>
      </w:r>
      <w:r>
        <w:t>. 1994; 15(2): 135-153.</w:t>
      </w:r>
    </w:p>
  </w:footnote>
  <w:footnote w:id="19">
    <w:p w14:paraId="163026BD" w14:textId="77777777" w:rsidR="00AA5106" w:rsidRDefault="00AA5106">
      <w:pPr>
        <w:pStyle w:val="FootnoteText"/>
      </w:pPr>
      <w:r>
        <w:rPr>
          <w:rStyle w:val="FootnoteReference"/>
        </w:rPr>
        <w:footnoteRef/>
      </w:r>
      <w:r>
        <w:t xml:space="preserve"> The </w:t>
      </w:r>
      <w:r w:rsidRPr="00241504">
        <w:rPr>
          <w:b/>
        </w:rPr>
        <w:t>visual analogue scale (VAS)</w:t>
      </w:r>
      <w:r>
        <w:t xml:space="preserve"> is a</w:t>
      </w:r>
      <w:r w:rsidRPr="00241504">
        <w:t xml:space="preserve"> psychometric response scale for </w:t>
      </w:r>
      <w:r>
        <w:t>characteristics or attitudes</w:t>
      </w:r>
      <w:r w:rsidRPr="00241504">
        <w:t xml:space="preserve"> that range across a continuum of values</w:t>
      </w:r>
      <w:r>
        <w:t xml:space="preserve"> and cannot easily be directly measured</w:t>
      </w:r>
      <w:r w:rsidRPr="00241504">
        <w:t>, such as pain</w:t>
      </w:r>
      <w:r>
        <w:t>, mood and appetite</w:t>
      </w:r>
      <w:r w:rsidRPr="00241504">
        <w:t xml:space="preserve">. </w:t>
      </w:r>
      <w:r>
        <w:t xml:space="preserve">The </w:t>
      </w:r>
      <w:r w:rsidRPr="00BC382D">
        <w:t>VAS nausea scale</w:t>
      </w:r>
      <w:r>
        <w:t xml:space="preserve"> ranges along a 10 cm line from ‘no nausea’ (0 cm) to ‘worst nausea’ (10 cm),</w:t>
      </w:r>
      <w:r w:rsidRPr="00241504">
        <w:t xml:space="preserve"> and patients mark a line</w:t>
      </w:r>
      <w:r>
        <w:t xml:space="preserve"> at a point along the scale</w:t>
      </w:r>
      <w:r w:rsidRPr="00241504">
        <w:t xml:space="preserve"> to indicate how they are feeling.</w:t>
      </w:r>
    </w:p>
  </w:footnote>
  <w:footnote w:id="20">
    <w:p w14:paraId="504AD0D7" w14:textId="77777777" w:rsidR="00AA5106" w:rsidRDefault="00AA5106">
      <w:pPr>
        <w:pStyle w:val="FootnoteText"/>
      </w:pPr>
      <w:r>
        <w:rPr>
          <w:rStyle w:val="FootnoteReference"/>
        </w:rPr>
        <w:footnoteRef/>
      </w:r>
      <w:r>
        <w:t xml:space="preserve"> </w:t>
      </w:r>
      <w:proofErr w:type="spellStart"/>
      <w:r w:rsidRPr="005C0841">
        <w:rPr>
          <w:b/>
        </w:rPr>
        <w:t>Hy’s</w:t>
      </w:r>
      <w:proofErr w:type="spellEnd"/>
      <w:r w:rsidRPr="005C0841">
        <w:rPr>
          <w:b/>
        </w:rPr>
        <w:t xml:space="preserve"> Law</w:t>
      </w:r>
      <w:r w:rsidRPr="005C0841">
        <w:t xml:space="preserve">: Evidence of hepatocellular injury with a rise in alanine aminotransferase (ALT) and/or aspartate aminotransferase (AST) &gt; 3 x the upper limit of normal (ULN) and total bilirubin &gt; 2 x ULN, and no other reason to explain rise in aminotransferases and total bilirubin. </w:t>
      </w:r>
      <w:proofErr w:type="spellStart"/>
      <w:r w:rsidRPr="005C0841">
        <w:t>Hy's</w:t>
      </w:r>
      <w:proofErr w:type="spellEnd"/>
      <w:r w:rsidRPr="005C0841">
        <w:t xml:space="preserve"> law is a rule of thumb that a patient is at high risk of a fatal drug-induced liver injury if given a medication that causes hepatocellular injury with jaundice</w:t>
      </w:r>
    </w:p>
  </w:footnote>
  <w:footnote w:id="21">
    <w:p w14:paraId="613A9A13" w14:textId="77777777" w:rsidR="00AA5106" w:rsidRDefault="00AA5106"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2035C02B" w14:textId="77777777" w:rsidR="00AA5106" w:rsidRDefault="00AA5106" w:rsidP="007D53B6">
      <w:pPr>
        <w:pStyle w:val="FootnoteText"/>
      </w:pPr>
      <w:r w:rsidRPr="007D53B6">
        <w:rPr>
          <w:i/>
        </w:rPr>
        <w:t>Routine pharmacovigilance</w:t>
      </w:r>
      <w:r>
        <w:t xml:space="preserve"> practices involve the following activities:</w:t>
      </w:r>
    </w:p>
    <w:p w14:paraId="4919EF5D" w14:textId="77777777" w:rsidR="00AA5106" w:rsidRDefault="00AA5106" w:rsidP="007D53B6">
      <w:pPr>
        <w:pStyle w:val="FootnoteText"/>
        <w:numPr>
          <w:ilvl w:val="0"/>
          <w:numId w:val="32"/>
        </w:numPr>
        <w:ind w:left="284" w:hanging="284"/>
      </w:pPr>
      <w:r>
        <w:t>All suspected adverse reactions that are reported to the personnel of the company are collected and collated in an accessible manner;</w:t>
      </w:r>
    </w:p>
    <w:p w14:paraId="0300900A" w14:textId="77777777" w:rsidR="00AA5106" w:rsidRDefault="00AA5106" w:rsidP="007D53B6">
      <w:pPr>
        <w:pStyle w:val="FootnoteText"/>
        <w:numPr>
          <w:ilvl w:val="0"/>
          <w:numId w:val="32"/>
        </w:numPr>
        <w:ind w:left="284" w:hanging="284"/>
      </w:pPr>
      <w:r>
        <w:t>Reporting to regulatory authorities;</w:t>
      </w:r>
    </w:p>
    <w:p w14:paraId="47A28D86" w14:textId="77777777" w:rsidR="00AA5106" w:rsidRDefault="00AA5106" w:rsidP="007D53B6">
      <w:pPr>
        <w:pStyle w:val="FootnoteText"/>
        <w:numPr>
          <w:ilvl w:val="0"/>
          <w:numId w:val="32"/>
        </w:numPr>
        <w:ind w:left="284" w:hanging="284"/>
      </w:pPr>
      <w:r>
        <w:t>Continuous monitoring of the safety profiles of approved products including signal detection and updating of labelling;</w:t>
      </w:r>
    </w:p>
    <w:p w14:paraId="421C28DF" w14:textId="77777777" w:rsidR="00AA5106" w:rsidRDefault="00AA5106" w:rsidP="007D53B6">
      <w:pPr>
        <w:pStyle w:val="FootnoteText"/>
        <w:numPr>
          <w:ilvl w:val="0"/>
          <w:numId w:val="32"/>
        </w:numPr>
        <w:ind w:left="284" w:hanging="284"/>
      </w:pPr>
      <w:r>
        <w:t>Submission of PSURs;</w:t>
      </w:r>
    </w:p>
    <w:p w14:paraId="4D58BFAA" w14:textId="77777777" w:rsidR="00AA5106" w:rsidRDefault="00AA5106" w:rsidP="007D53B6">
      <w:pPr>
        <w:pStyle w:val="FootnoteText"/>
        <w:numPr>
          <w:ilvl w:val="0"/>
          <w:numId w:val="32"/>
        </w:numPr>
        <w:ind w:left="284" w:hanging="284"/>
      </w:pPr>
      <w:r>
        <w:t>Meeting other local regulatory agency requirements.</w:t>
      </w:r>
    </w:p>
  </w:footnote>
  <w:footnote w:id="22">
    <w:p w14:paraId="60BDAFA0" w14:textId="77777777" w:rsidR="00AA5106" w:rsidRDefault="00AA5106"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8078947" w14:textId="77777777" w:rsidR="00AA5106" w:rsidRPr="00456765" w:rsidRDefault="00AA5106"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64956" w14:textId="77777777" w:rsidR="00AA5106" w:rsidRDefault="00AA5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FF9D4" w14:textId="77777777" w:rsidR="00AA5106" w:rsidRDefault="00AA5106"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1AADA" w14:textId="77777777" w:rsidR="00AA5106" w:rsidRDefault="00AA5106">
    <w:pPr>
      <w:rPr>
        <w:noProof/>
        <w:lang w:eastAsia="en-AU"/>
      </w:rPr>
    </w:pPr>
    <w:r w:rsidRPr="00347824">
      <w:rPr>
        <w:noProof/>
        <w:lang w:eastAsia="en-AU"/>
      </w:rPr>
      <w:drawing>
        <wp:anchor distT="0" distB="0" distL="114300" distR="114300" simplePos="0" relativeHeight="251659264" behindDoc="1" locked="0" layoutInCell="1" allowOverlap="1" wp14:anchorId="5C88436F" wp14:editId="728FE764">
          <wp:simplePos x="0" y="0"/>
          <wp:positionH relativeFrom="column">
            <wp:posOffset>-1089660</wp:posOffset>
          </wp:positionH>
          <wp:positionV relativeFrom="paragraph">
            <wp:posOffset>-585470</wp:posOffset>
          </wp:positionV>
          <wp:extent cx="7572375" cy="10706100"/>
          <wp:effectExtent l="19050" t="0" r="0" b="0"/>
          <wp:wrapNone/>
          <wp:docPr id="2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C943222" w14:textId="77777777" w:rsidR="00AA5106" w:rsidRDefault="00AA5106" w:rsidP="00593AD1">
    <w:pPr>
      <w:pStyle w:val="HeaderNoLine"/>
    </w:pPr>
    <w:r>
      <w:rPr>
        <w:noProof/>
        <w:lang w:eastAsia="en-AU"/>
      </w:rPr>
      <w:drawing>
        <wp:inline distT="0" distB="0" distL="0" distR="0" wp14:anchorId="15ACE104" wp14:editId="24410955">
          <wp:extent cx="5400675" cy="7639050"/>
          <wp:effectExtent l="0" t="0" r="9525" b="0"/>
          <wp:docPr id="28" name="Picture 2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B9072" w14:textId="77777777" w:rsidR="00AA5106" w:rsidRDefault="00AA51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1F3D7" w14:textId="77777777" w:rsidR="00AA5106" w:rsidRDefault="00AA510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D7D6F" w14:textId="77777777" w:rsidR="00AA5106" w:rsidRDefault="00AA5106">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5EB04" w14:textId="77777777" w:rsidR="00AA5106" w:rsidRDefault="00AA51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7C6B3" w14:textId="77777777" w:rsidR="00AA5106" w:rsidRDefault="00AA5106"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033A3" w14:textId="77777777" w:rsidR="00AA5106" w:rsidRDefault="00AA5106" w:rsidP="006E08B3">
    <w:r>
      <w:t>Therapeutic Goods Administration</w:t>
    </w:r>
  </w:p>
  <w:p w14:paraId="4259AAC3" w14:textId="77777777" w:rsidR="00AA5106" w:rsidRDefault="00AA5106"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6C8223A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F950324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FA4B1F"/>
    <w:multiLevelType w:val="hybridMultilevel"/>
    <w:tmpl w:val="3A1EF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0A41CE"/>
    <w:multiLevelType w:val="hybridMultilevel"/>
    <w:tmpl w:val="10BEC0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F0D1216"/>
    <w:multiLevelType w:val="hybridMultilevel"/>
    <w:tmpl w:val="10BEC0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4"/>
  </w:num>
  <w:num w:numId="29">
    <w:abstractNumId w:val="6"/>
  </w:num>
  <w:num w:numId="30">
    <w:abstractNumId w:val="8"/>
  </w:num>
  <w:num w:numId="31">
    <w:abstractNumId w:val="4"/>
  </w:num>
  <w:num w:numId="32">
    <w:abstractNumId w:val="12"/>
  </w:num>
  <w:num w:numId="33">
    <w:abstractNumId w:val="9"/>
  </w:num>
  <w:num w:numId="34">
    <w:abstractNumId w:val="1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637"/>
    <w:rsid w:val="00002031"/>
    <w:rsid w:val="00004734"/>
    <w:rsid w:val="00006B22"/>
    <w:rsid w:val="00006FAB"/>
    <w:rsid w:val="0001276A"/>
    <w:rsid w:val="000246AE"/>
    <w:rsid w:val="00025C67"/>
    <w:rsid w:val="00036E01"/>
    <w:rsid w:val="00044772"/>
    <w:rsid w:val="0004541C"/>
    <w:rsid w:val="0005559E"/>
    <w:rsid w:val="000604D6"/>
    <w:rsid w:val="000734D8"/>
    <w:rsid w:val="00077775"/>
    <w:rsid w:val="00090471"/>
    <w:rsid w:val="00096AA7"/>
    <w:rsid w:val="000A3AED"/>
    <w:rsid w:val="000B3532"/>
    <w:rsid w:val="000B3A75"/>
    <w:rsid w:val="000C00C2"/>
    <w:rsid w:val="000C16FE"/>
    <w:rsid w:val="000C690F"/>
    <w:rsid w:val="000C79F9"/>
    <w:rsid w:val="000D1295"/>
    <w:rsid w:val="000D14E3"/>
    <w:rsid w:val="000D391B"/>
    <w:rsid w:val="000D3D6D"/>
    <w:rsid w:val="000D4FC7"/>
    <w:rsid w:val="000D54E0"/>
    <w:rsid w:val="000E6196"/>
    <w:rsid w:val="000F4869"/>
    <w:rsid w:val="000F5B42"/>
    <w:rsid w:val="000F6E6F"/>
    <w:rsid w:val="0010601F"/>
    <w:rsid w:val="0010788A"/>
    <w:rsid w:val="00107A31"/>
    <w:rsid w:val="00110EA5"/>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2BCC"/>
    <w:rsid w:val="001843C6"/>
    <w:rsid w:val="001850E0"/>
    <w:rsid w:val="001A03AF"/>
    <w:rsid w:val="001A2158"/>
    <w:rsid w:val="001A525F"/>
    <w:rsid w:val="001B09F9"/>
    <w:rsid w:val="001B5C90"/>
    <w:rsid w:val="001B6448"/>
    <w:rsid w:val="001C32CD"/>
    <w:rsid w:val="001C4368"/>
    <w:rsid w:val="001D16FD"/>
    <w:rsid w:val="001D2984"/>
    <w:rsid w:val="001E07CF"/>
    <w:rsid w:val="001E59F1"/>
    <w:rsid w:val="001F2CEE"/>
    <w:rsid w:val="001F49EB"/>
    <w:rsid w:val="001F6CBA"/>
    <w:rsid w:val="00201D4E"/>
    <w:rsid w:val="002076C9"/>
    <w:rsid w:val="00220B8A"/>
    <w:rsid w:val="002257F3"/>
    <w:rsid w:val="00231098"/>
    <w:rsid w:val="00233456"/>
    <w:rsid w:val="002339A5"/>
    <w:rsid w:val="00250271"/>
    <w:rsid w:val="00257848"/>
    <w:rsid w:val="002578E8"/>
    <w:rsid w:val="0026026F"/>
    <w:rsid w:val="0027084A"/>
    <w:rsid w:val="00280265"/>
    <w:rsid w:val="00286434"/>
    <w:rsid w:val="00286C59"/>
    <w:rsid w:val="00291957"/>
    <w:rsid w:val="002942D1"/>
    <w:rsid w:val="0029501A"/>
    <w:rsid w:val="002A3721"/>
    <w:rsid w:val="002B1638"/>
    <w:rsid w:val="002B3624"/>
    <w:rsid w:val="002D0952"/>
    <w:rsid w:val="002D3874"/>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50567"/>
    <w:rsid w:val="003521E8"/>
    <w:rsid w:val="00370CE3"/>
    <w:rsid w:val="003728F3"/>
    <w:rsid w:val="003735BC"/>
    <w:rsid w:val="0037496E"/>
    <w:rsid w:val="00383221"/>
    <w:rsid w:val="00386150"/>
    <w:rsid w:val="003874CE"/>
    <w:rsid w:val="00390900"/>
    <w:rsid w:val="00391EE0"/>
    <w:rsid w:val="003A7F6C"/>
    <w:rsid w:val="003B4D60"/>
    <w:rsid w:val="003B7E39"/>
    <w:rsid w:val="003C58DC"/>
    <w:rsid w:val="003D1E62"/>
    <w:rsid w:val="003E0B99"/>
    <w:rsid w:val="003E2486"/>
    <w:rsid w:val="003E3208"/>
    <w:rsid w:val="003F0B04"/>
    <w:rsid w:val="0040134E"/>
    <w:rsid w:val="004334C7"/>
    <w:rsid w:val="00440A2D"/>
    <w:rsid w:val="00441C3F"/>
    <w:rsid w:val="00444D1A"/>
    <w:rsid w:val="0044714D"/>
    <w:rsid w:val="0045186A"/>
    <w:rsid w:val="004564A7"/>
    <w:rsid w:val="00456765"/>
    <w:rsid w:val="00460036"/>
    <w:rsid w:val="004617BF"/>
    <w:rsid w:val="00463658"/>
    <w:rsid w:val="004637A0"/>
    <w:rsid w:val="004722CC"/>
    <w:rsid w:val="00485C56"/>
    <w:rsid w:val="00490483"/>
    <w:rsid w:val="00492B8C"/>
    <w:rsid w:val="004936E4"/>
    <w:rsid w:val="00494E60"/>
    <w:rsid w:val="00497487"/>
    <w:rsid w:val="004A2771"/>
    <w:rsid w:val="004A5B00"/>
    <w:rsid w:val="004A6189"/>
    <w:rsid w:val="004A7390"/>
    <w:rsid w:val="004B7B76"/>
    <w:rsid w:val="004C239D"/>
    <w:rsid w:val="004C2DCA"/>
    <w:rsid w:val="004C4FBE"/>
    <w:rsid w:val="004C61D2"/>
    <w:rsid w:val="004C6B9B"/>
    <w:rsid w:val="004F0C4A"/>
    <w:rsid w:val="004F0F38"/>
    <w:rsid w:val="004F4279"/>
    <w:rsid w:val="004F47D6"/>
    <w:rsid w:val="00500337"/>
    <w:rsid w:val="00501921"/>
    <w:rsid w:val="00530354"/>
    <w:rsid w:val="0053625B"/>
    <w:rsid w:val="005434C6"/>
    <w:rsid w:val="00543B39"/>
    <w:rsid w:val="00546154"/>
    <w:rsid w:val="00550096"/>
    <w:rsid w:val="00555280"/>
    <w:rsid w:val="00557FF9"/>
    <w:rsid w:val="00562327"/>
    <w:rsid w:val="0056590B"/>
    <w:rsid w:val="005711D5"/>
    <w:rsid w:val="00576378"/>
    <w:rsid w:val="00577130"/>
    <w:rsid w:val="00577945"/>
    <w:rsid w:val="00577E38"/>
    <w:rsid w:val="00585322"/>
    <w:rsid w:val="005857C6"/>
    <w:rsid w:val="00592F6E"/>
    <w:rsid w:val="00593AD1"/>
    <w:rsid w:val="005A560D"/>
    <w:rsid w:val="005A68B6"/>
    <w:rsid w:val="005A6A38"/>
    <w:rsid w:val="005C5570"/>
    <w:rsid w:val="005C5B66"/>
    <w:rsid w:val="005C79A4"/>
    <w:rsid w:val="005D5442"/>
    <w:rsid w:val="00603F32"/>
    <w:rsid w:val="00605AD4"/>
    <w:rsid w:val="006136D7"/>
    <w:rsid w:val="00625A6E"/>
    <w:rsid w:val="006273D5"/>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A10F5"/>
    <w:rsid w:val="006A15C0"/>
    <w:rsid w:val="006A58A8"/>
    <w:rsid w:val="006C3E2A"/>
    <w:rsid w:val="006C642F"/>
    <w:rsid w:val="006D03E5"/>
    <w:rsid w:val="006D5D3E"/>
    <w:rsid w:val="006E08B3"/>
    <w:rsid w:val="006F17AC"/>
    <w:rsid w:val="006F25B8"/>
    <w:rsid w:val="006F572E"/>
    <w:rsid w:val="00703871"/>
    <w:rsid w:val="007046D6"/>
    <w:rsid w:val="00705532"/>
    <w:rsid w:val="00705DB0"/>
    <w:rsid w:val="00722B57"/>
    <w:rsid w:val="00730F8A"/>
    <w:rsid w:val="00735506"/>
    <w:rsid w:val="00735A8C"/>
    <w:rsid w:val="0074253D"/>
    <w:rsid w:val="0074429B"/>
    <w:rsid w:val="0074577F"/>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D53B6"/>
    <w:rsid w:val="00805D27"/>
    <w:rsid w:val="00806DCB"/>
    <w:rsid w:val="00821776"/>
    <w:rsid w:val="0083125A"/>
    <w:rsid w:val="008321F5"/>
    <w:rsid w:val="00832369"/>
    <w:rsid w:val="00834660"/>
    <w:rsid w:val="00836BC2"/>
    <w:rsid w:val="0085156D"/>
    <w:rsid w:val="00852B28"/>
    <w:rsid w:val="0085641B"/>
    <w:rsid w:val="00857136"/>
    <w:rsid w:val="00875A6B"/>
    <w:rsid w:val="00885B11"/>
    <w:rsid w:val="00886D15"/>
    <w:rsid w:val="00887DD8"/>
    <w:rsid w:val="00891BA9"/>
    <w:rsid w:val="00896018"/>
    <w:rsid w:val="008960DD"/>
    <w:rsid w:val="0089635C"/>
    <w:rsid w:val="008A2B9D"/>
    <w:rsid w:val="008A328B"/>
    <w:rsid w:val="008A3D9F"/>
    <w:rsid w:val="008A5E0B"/>
    <w:rsid w:val="008A6D59"/>
    <w:rsid w:val="008B4B03"/>
    <w:rsid w:val="008B5637"/>
    <w:rsid w:val="008B596F"/>
    <w:rsid w:val="008C159F"/>
    <w:rsid w:val="008C1623"/>
    <w:rsid w:val="008C1850"/>
    <w:rsid w:val="008C51A9"/>
    <w:rsid w:val="008E7846"/>
    <w:rsid w:val="008F02E5"/>
    <w:rsid w:val="008F1CCC"/>
    <w:rsid w:val="008F2967"/>
    <w:rsid w:val="008F6943"/>
    <w:rsid w:val="0090039B"/>
    <w:rsid w:val="00902598"/>
    <w:rsid w:val="00902A21"/>
    <w:rsid w:val="00903743"/>
    <w:rsid w:val="0091523F"/>
    <w:rsid w:val="00920330"/>
    <w:rsid w:val="009219D7"/>
    <w:rsid w:val="00922D53"/>
    <w:rsid w:val="00923B70"/>
    <w:rsid w:val="00924482"/>
    <w:rsid w:val="00930237"/>
    <w:rsid w:val="00937C17"/>
    <w:rsid w:val="00940A89"/>
    <w:rsid w:val="00941F77"/>
    <w:rsid w:val="00946EA5"/>
    <w:rsid w:val="00960520"/>
    <w:rsid w:val="00962BF9"/>
    <w:rsid w:val="00963C08"/>
    <w:rsid w:val="009722C6"/>
    <w:rsid w:val="009752A5"/>
    <w:rsid w:val="009828D2"/>
    <w:rsid w:val="0098585A"/>
    <w:rsid w:val="00992EE7"/>
    <w:rsid w:val="00992F69"/>
    <w:rsid w:val="009A4A7C"/>
    <w:rsid w:val="009A4CED"/>
    <w:rsid w:val="009A690D"/>
    <w:rsid w:val="009B1D12"/>
    <w:rsid w:val="009B416B"/>
    <w:rsid w:val="009C4BD5"/>
    <w:rsid w:val="009C5889"/>
    <w:rsid w:val="009D7B77"/>
    <w:rsid w:val="009E0BB0"/>
    <w:rsid w:val="009E3FBB"/>
    <w:rsid w:val="009F38A0"/>
    <w:rsid w:val="009F7353"/>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60BAD"/>
    <w:rsid w:val="00A7374A"/>
    <w:rsid w:val="00A77F87"/>
    <w:rsid w:val="00A80B5B"/>
    <w:rsid w:val="00A84E36"/>
    <w:rsid w:val="00A912A7"/>
    <w:rsid w:val="00A964D1"/>
    <w:rsid w:val="00AA0ED0"/>
    <w:rsid w:val="00AA5106"/>
    <w:rsid w:val="00AC2B40"/>
    <w:rsid w:val="00AC2BB2"/>
    <w:rsid w:val="00AC2C3C"/>
    <w:rsid w:val="00AC512D"/>
    <w:rsid w:val="00AD0083"/>
    <w:rsid w:val="00AD3935"/>
    <w:rsid w:val="00AE65EB"/>
    <w:rsid w:val="00AE67A7"/>
    <w:rsid w:val="00AF1D94"/>
    <w:rsid w:val="00AF60C5"/>
    <w:rsid w:val="00B009C6"/>
    <w:rsid w:val="00B01548"/>
    <w:rsid w:val="00B130C5"/>
    <w:rsid w:val="00B13EBD"/>
    <w:rsid w:val="00B21D29"/>
    <w:rsid w:val="00B25034"/>
    <w:rsid w:val="00B33588"/>
    <w:rsid w:val="00B33863"/>
    <w:rsid w:val="00B37D17"/>
    <w:rsid w:val="00B4175E"/>
    <w:rsid w:val="00B41C85"/>
    <w:rsid w:val="00B452CE"/>
    <w:rsid w:val="00B5402D"/>
    <w:rsid w:val="00B54C25"/>
    <w:rsid w:val="00B76B91"/>
    <w:rsid w:val="00B77EB1"/>
    <w:rsid w:val="00B80FB5"/>
    <w:rsid w:val="00B811C6"/>
    <w:rsid w:val="00B855B0"/>
    <w:rsid w:val="00B92E08"/>
    <w:rsid w:val="00BA6999"/>
    <w:rsid w:val="00BC382D"/>
    <w:rsid w:val="00BC622A"/>
    <w:rsid w:val="00BD4505"/>
    <w:rsid w:val="00BE0A78"/>
    <w:rsid w:val="00BE79F0"/>
    <w:rsid w:val="00BF046D"/>
    <w:rsid w:val="00BF1190"/>
    <w:rsid w:val="00BF3774"/>
    <w:rsid w:val="00BF5D04"/>
    <w:rsid w:val="00C009AA"/>
    <w:rsid w:val="00C1164D"/>
    <w:rsid w:val="00C16861"/>
    <w:rsid w:val="00C346AB"/>
    <w:rsid w:val="00C36C43"/>
    <w:rsid w:val="00C404A6"/>
    <w:rsid w:val="00C40A36"/>
    <w:rsid w:val="00C44419"/>
    <w:rsid w:val="00C45E7B"/>
    <w:rsid w:val="00C471B1"/>
    <w:rsid w:val="00C525A2"/>
    <w:rsid w:val="00C52E24"/>
    <w:rsid w:val="00C55896"/>
    <w:rsid w:val="00C6316B"/>
    <w:rsid w:val="00C634A9"/>
    <w:rsid w:val="00C64586"/>
    <w:rsid w:val="00C70A36"/>
    <w:rsid w:val="00C70D53"/>
    <w:rsid w:val="00C73D0B"/>
    <w:rsid w:val="00C74F5C"/>
    <w:rsid w:val="00C772FF"/>
    <w:rsid w:val="00C80137"/>
    <w:rsid w:val="00C801AF"/>
    <w:rsid w:val="00C801BC"/>
    <w:rsid w:val="00C80256"/>
    <w:rsid w:val="00C94CD4"/>
    <w:rsid w:val="00C9747E"/>
    <w:rsid w:val="00CB62EC"/>
    <w:rsid w:val="00CB6BC0"/>
    <w:rsid w:val="00CC1B7C"/>
    <w:rsid w:val="00CC727F"/>
    <w:rsid w:val="00CD4F61"/>
    <w:rsid w:val="00CF15C3"/>
    <w:rsid w:val="00CF2B6F"/>
    <w:rsid w:val="00CF2F3E"/>
    <w:rsid w:val="00CF58B6"/>
    <w:rsid w:val="00CF5DAD"/>
    <w:rsid w:val="00D0062D"/>
    <w:rsid w:val="00D017ED"/>
    <w:rsid w:val="00D040D3"/>
    <w:rsid w:val="00D04C65"/>
    <w:rsid w:val="00D0635C"/>
    <w:rsid w:val="00D153D8"/>
    <w:rsid w:val="00D201D2"/>
    <w:rsid w:val="00D224FE"/>
    <w:rsid w:val="00D23139"/>
    <w:rsid w:val="00D425BB"/>
    <w:rsid w:val="00D453FA"/>
    <w:rsid w:val="00D6493E"/>
    <w:rsid w:val="00D7195D"/>
    <w:rsid w:val="00D7301E"/>
    <w:rsid w:val="00D83AE1"/>
    <w:rsid w:val="00D855D4"/>
    <w:rsid w:val="00D902C9"/>
    <w:rsid w:val="00D93466"/>
    <w:rsid w:val="00DA1124"/>
    <w:rsid w:val="00DA64CB"/>
    <w:rsid w:val="00DB06B8"/>
    <w:rsid w:val="00DB283D"/>
    <w:rsid w:val="00DB6124"/>
    <w:rsid w:val="00DB750B"/>
    <w:rsid w:val="00DB75B7"/>
    <w:rsid w:val="00DC0A2F"/>
    <w:rsid w:val="00DC1948"/>
    <w:rsid w:val="00DC6E02"/>
    <w:rsid w:val="00DD28CD"/>
    <w:rsid w:val="00DE02AE"/>
    <w:rsid w:val="00DE39D1"/>
    <w:rsid w:val="00DF1D7F"/>
    <w:rsid w:val="00DF4BE4"/>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55CB0"/>
    <w:rsid w:val="00E624A5"/>
    <w:rsid w:val="00E64BA4"/>
    <w:rsid w:val="00E7309B"/>
    <w:rsid w:val="00E7344E"/>
    <w:rsid w:val="00E82665"/>
    <w:rsid w:val="00E95B31"/>
    <w:rsid w:val="00E97DC3"/>
    <w:rsid w:val="00EA1EF3"/>
    <w:rsid w:val="00EA7F15"/>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B27"/>
    <w:rsid w:val="00F22A96"/>
    <w:rsid w:val="00F3148D"/>
    <w:rsid w:val="00F325C5"/>
    <w:rsid w:val="00F32FE0"/>
    <w:rsid w:val="00F35298"/>
    <w:rsid w:val="00F47333"/>
    <w:rsid w:val="00F47E37"/>
    <w:rsid w:val="00F53C07"/>
    <w:rsid w:val="00F54B65"/>
    <w:rsid w:val="00F640B6"/>
    <w:rsid w:val="00F66DF2"/>
    <w:rsid w:val="00F80E40"/>
    <w:rsid w:val="00F848D9"/>
    <w:rsid w:val="00F86B41"/>
    <w:rsid w:val="00FA5069"/>
    <w:rsid w:val="00FA5B82"/>
    <w:rsid w:val="00FA639E"/>
    <w:rsid w:val="00FB7462"/>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B48C616"/>
  <w15:docId w15:val="{B0B533E3-221C-418A-B577-AB9667CD1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22C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A5106"/>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485C56"/>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EA1EF3"/>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9587">
      <w:bodyDiv w:val="1"/>
      <w:marLeft w:val="0"/>
      <w:marRight w:val="0"/>
      <w:marTop w:val="0"/>
      <w:marBottom w:val="0"/>
      <w:divBdr>
        <w:top w:val="none" w:sz="0" w:space="0" w:color="auto"/>
        <w:left w:val="none" w:sz="0" w:space="0" w:color="auto"/>
        <w:bottom w:val="none" w:sz="0" w:space="0" w:color="auto"/>
        <w:right w:val="none" w:sz="0" w:space="0" w:color="auto"/>
      </w:divBdr>
    </w:div>
    <w:div w:id="189614042">
      <w:bodyDiv w:val="1"/>
      <w:marLeft w:val="0"/>
      <w:marRight w:val="0"/>
      <w:marTop w:val="0"/>
      <w:marBottom w:val="0"/>
      <w:divBdr>
        <w:top w:val="none" w:sz="0" w:space="0" w:color="auto"/>
        <w:left w:val="none" w:sz="0" w:space="0" w:color="auto"/>
        <w:bottom w:val="none" w:sz="0" w:space="0" w:color="auto"/>
        <w:right w:val="none" w:sz="0" w:space="0" w:color="auto"/>
      </w:divBdr>
    </w:div>
    <w:div w:id="223949995">
      <w:bodyDiv w:val="1"/>
      <w:marLeft w:val="0"/>
      <w:marRight w:val="0"/>
      <w:marTop w:val="0"/>
      <w:marBottom w:val="0"/>
      <w:divBdr>
        <w:top w:val="none" w:sz="0" w:space="0" w:color="auto"/>
        <w:left w:val="none" w:sz="0" w:space="0" w:color="auto"/>
        <w:bottom w:val="none" w:sz="0" w:space="0" w:color="auto"/>
        <w:right w:val="none" w:sz="0" w:space="0" w:color="auto"/>
      </w:divBdr>
    </w:div>
    <w:div w:id="480387712">
      <w:bodyDiv w:val="1"/>
      <w:marLeft w:val="0"/>
      <w:marRight w:val="0"/>
      <w:marTop w:val="0"/>
      <w:marBottom w:val="0"/>
      <w:divBdr>
        <w:top w:val="none" w:sz="0" w:space="0" w:color="auto"/>
        <w:left w:val="none" w:sz="0" w:space="0" w:color="auto"/>
        <w:bottom w:val="none" w:sz="0" w:space="0" w:color="auto"/>
        <w:right w:val="none" w:sz="0" w:space="0" w:color="auto"/>
      </w:divBdr>
    </w:div>
    <w:div w:id="990061805">
      <w:bodyDiv w:val="1"/>
      <w:marLeft w:val="0"/>
      <w:marRight w:val="0"/>
      <w:marTop w:val="0"/>
      <w:marBottom w:val="0"/>
      <w:divBdr>
        <w:top w:val="none" w:sz="0" w:space="0" w:color="auto"/>
        <w:left w:val="none" w:sz="0" w:space="0" w:color="auto"/>
        <w:bottom w:val="none" w:sz="0" w:space="0" w:color="auto"/>
        <w:right w:val="none" w:sz="0" w:space="0" w:color="auto"/>
      </w:divBdr>
    </w:div>
    <w:div w:id="1198280974">
      <w:bodyDiv w:val="1"/>
      <w:marLeft w:val="0"/>
      <w:marRight w:val="0"/>
      <w:marTop w:val="0"/>
      <w:marBottom w:val="0"/>
      <w:divBdr>
        <w:top w:val="none" w:sz="0" w:space="0" w:color="auto"/>
        <w:left w:val="none" w:sz="0" w:space="0" w:color="auto"/>
        <w:bottom w:val="none" w:sz="0" w:space="0" w:color="auto"/>
        <w:right w:val="none" w:sz="0" w:space="0" w:color="auto"/>
      </w:divBdr>
    </w:div>
    <w:div w:id="132573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microsoft.com/office/2007/relationships/hdphoto" Target="media/hdphoto2.wdp"/><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microsoft.com/office/2007/relationships/hdphoto" Target="media/hdphoto3.wdp"/><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www.tga.gov.au"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tga.gov.au/product-information-pi" TargetMode="Externa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14640\t0QGQPNH.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A066D-4FF4-425B-AB45-9D43D28A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t0QGQPNH.DOTX</Template>
  <TotalTime>18</TotalTime>
  <Pages>28</Pages>
  <Words>7217</Words>
  <Characters>41142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Australian public assessment report for Fosnetupitant (as chloride hydrochloride)/palonosetron (as hydrochloride)</vt:lpstr>
    </vt:vector>
  </TitlesOfParts>
  <Company>Department of Health Therapeutic Goods Administration</Company>
  <LinksUpToDate>false</LinksUpToDate>
  <CharactersWithSpaces>48263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Fosnetupitant (as chloride hydrochloride)/palonosetron (as hydrochloride)</dc:title>
  <dc:subject>prescription medicines</dc:subject>
  <dc:creator>Therapeutic Goods Administration</dc:creator>
  <cp:keywords/>
  <cp:lastPrinted>2019-08-14T04:30:00Z</cp:lastPrinted>
  <dcterms:created xsi:type="dcterms:W3CDTF">2020-09-28T02:00:00Z</dcterms:created>
  <dcterms:modified xsi:type="dcterms:W3CDTF">2020-09-28T02:22:00Z</dcterms:modified>
  <cp:category/>
</cp:coreProperties>
</file>