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4"/>
      </w:tblGrid>
      <w:tr w:rsidR="008E7846" w:rsidRPr="00487162" w:rsidTr="008564D1">
        <w:trPr>
          <w:trHeight w:val="1794"/>
        </w:trPr>
        <w:tc>
          <w:tcPr>
            <w:tcW w:w="8404" w:type="dxa"/>
            <w:tcBorders>
              <w:top w:val="nil"/>
              <w:left w:val="nil"/>
              <w:bottom w:val="nil"/>
              <w:right w:val="nil"/>
            </w:tcBorders>
          </w:tcPr>
          <w:p w:rsidR="008E7846" w:rsidRDefault="008564D1" w:rsidP="0017078F">
            <w:pPr>
              <w:rPr>
                <w:rFonts w:ascii="Arial" w:hAnsi="Arial" w:cs="Arial"/>
                <w:b/>
                <w:color w:val="002C47"/>
                <w:sz w:val="36"/>
                <w:szCs w:val="36"/>
              </w:rPr>
            </w:pPr>
            <w:r>
              <w:rPr>
                <w:rFonts w:ascii="Arial" w:hAnsi="Arial" w:cs="Arial"/>
                <w:b/>
                <w:color w:val="002C47"/>
                <w:sz w:val="36"/>
                <w:szCs w:val="36"/>
              </w:rPr>
              <w:t>First round evaluation: 5 October 2015</w:t>
            </w:r>
          </w:p>
          <w:p w:rsidR="008564D1" w:rsidRPr="0017078F" w:rsidRDefault="008564D1" w:rsidP="0017078F">
            <w:pPr>
              <w:rPr>
                <w:rFonts w:ascii="Arial" w:hAnsi="Arial" w:cs="Arial"/>
                <w:b/>
                <w:color w:val="002C47"/>
                <w:sz w:val="36"/>
                <w:szCs w:val="36"/>
              </w:rPr>
            </w:pPr>
            <w:r>
              <w:rPr>
                <w:rFonts w:ascii="Arial" w:hAnsi="Arial" w:cs="Arial"/>
                <w:b/>
                <w:color w:val="002C47"/>
                <w:sz w:val="36"/>
                <w:szCs w:val="36"/>
              </w:rPr>
              <w:t>Second round evaluation: 11 April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8564D1">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8564D1" w:rsidRPr="008564D1">
              <w:rPr>
                <w:rFonts w:cs="Arial"/>
                <w:color w:val="FFFFFF" w:themeColor="background1"/>
              </w:rPr>
              <w:t>Gadobutrol</w:t>
            </w:r>
            <w:proofErr w:type="spellEnd"/>
          </w:p>
        </w:tc>
      </w:tr>
      <w:tr w:rsidR="00E07F15" w:rsidRPr="00B64760" w:rsidTr="00E07F15">
        <w:tc>
          <w:tcPr>
            <w:tcW w:w="9079" w:type="dxa"/>
          </w:tcPr>
          <w:p w:rsidR="00E07F15" w:rsidRPr="008E7846" w:rsidRDefault="00E07F15" w:rsidP="008564D1">
            <w:pPr>
              <w:pStyle w:val="Subtitle"/>
              <w:rPr>
                <w:color w:val="FFFFFF" w:themeColor="background1"/>
              </w:rPr>
            </w:pPr>
            <w:r w:rsidRPr="008E7846">
              <w:rPr>
                <w:color w:val="FFFFFF" w:themeColor="background1"/>
              </w:rPr>
              <w:t xml:space="preserve">Proprietary Product Name: </w:t>
            </w:r>
            <w:proofErr w:type="spellStart"/>
            <w:r w:rsidR="008564D1">
              <w:rPr>
                <w:color w:val="FFFFFF" w:themeColor="background1"/>
              </w:rPr>
              <w:t>Gadovist</w:t>
            </w:r>
            <w:proofErr w:type="spellEnd"/>
            <w:r w:rsidR="008564D1">
              <w:rPr>
                <w:color w:val="FFFFFF" w:themeColor="background1"/>
              </w:rPr>
              <w:t xml:space="preserve"> 1.0</w:t>
            </w:r>
          </w:p>
        </w:tc>
      </w:tr>
      <w:tr w:rsidR="00E07F15" w:rsidRPr="00B64760" w:rsidTr="00E07F15">
        <w:trPr>
          <w:trHeight w:val="486"/>
        </w:trPr>
        <w:tc>
          <w:tcPr>
            <w:tcW w:w="9079" w:type="dxa"/>
          </w:tcPr>
          <w:p w:rsidR="00E07F15" w:rsidRPr="008E7846" w:rsidRDefault="00E07F15" w:rsidP="00D81568">
            <w:pPr>
              <w:pStyle w:val="Subtitle"/>
              <w:rPr>
                <w:color w:val="FFFFFF" w:themeColor="background1"/>
              </w:rPr>
            </w:pPr>
            <w:r w:rsidRPr="008E7846">
              <w:rPr>
                <w:color w:val="FFFFFF" w:themeColor="background1"/>
              </w:rPr>
              <w:t xml:space="preserve">Sponsor: </w:t>
            </w:r>
            <w:r w:rsidR="008564D1">
              <w:rPr>
                <w:color w:val="FFFFFF" w:themeColor="background1"/>
              </w:rPr>
              <w:t>Bayer Australia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F72DA2"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4335001" w:history="1">
            <w:r w:rsidR="00F72DA2" w:rsidRPr="009A6458">
              <w:rPr>
                <w:rStyle w:val="Hyperlink"/>
                <w:noProof/>
              </w:rPr>
              <w:t>List of common abbreviations</w:t>
            </w:r>
            <w:r w:rsidR="00F72DA2">
              <w:rPr>
                <w:noProof/>
                <w:webHidden/>
              </w:rPr>
              <w:tab/>
            </w:r>
            <w:r w:rsidR="00F72DA2">
              <w:rPr>
                <w:noProof/>
                <w:webHidden/>
              </w:rPr>
              <w:fldChar w:fldCharType="begin"/>
            </w:r>
            <w:r w:rsidR="00F72DA2">
              <w:rPr>
                <w:noProof/>
                <w:webHidden/>
              </w:rPr>
              <w:instrText xml:space="preserve"> PAGEREF _Toc474335001 \h </w:instrText>
            </w:r>
            <w:r w:rsidR="00F72DA2">
              <w:rPr>
                <w:noProof/>
                <w:webHidden/>
              </w:rPr>
            </w:r>
            <w:r w:rsidR="00F72DA2">
              <w:rPr>
                <w:noProof/>
                <w:webHidden/>
              </w:rPr>
              <w:fldChar w:fldCharType="separate"/>
            </w:r>
            <w:r w:rsidR="00F72DA2">
              <w:rPr>
                <w:noProof/>
                <w:webHidden/>
              </w:rPr>
              <w:t>5</w:t>
            </w:r>
            <w:r w:rsidR="00F72DA2">
              <w:rPr>
                <w:noProof/>
                <w:webHidden/>
              </w:rPr>
              <w:fldChar w:fldCharType="end"/>
            </w:r>
          </w:hyperlink>
        </w:p>
        <w:p w:rsidR="00F72DA2" w:rsidRDefault="00F72DA2">
          <w:pPr>
            <w:pStyle w:val="TOC2"/>
            <w:tabs>
              <w:tab w:val="left" w:pos="1100"/>
            </w:tabs>
            <w:rPr>
              <w:rFonts w:asciiTheme="minorHAnsi" w:eastAsiaTheme="minorEastAsia" w:hAnsiTheme="minorHAnsi" w:cstheme="minorBidi"/>
              <w:b w:val="0"/>
              <w:noProof/>
              <w:sz w:val="22"/>
              <w:lang w:eastAsia="en-AU"/>
            </w:rPr>
          </w:pPr>
          <w:hyperlink w:anchor="_Toc474335002" w:history="1">
            <w:r w:rsidRPr="009A6458">
              <w:rPr>
                <w:rStyle w:val="Hyperlink"/>
                <w:noProof/>
                <w:lang w:eastAsia="en-AU"/>
              </w:rPr>
              <w:t>1.</w:t>
            </w:r>
            <w:r>
              <w:rPr>
                <w:rFonts w:asciiTheme="minorHAnsi" w:eastAsiaTheme="minorEastAsia" w:hAnsiTheme="minorHAnsi" w:cstheme="minorBidi"/>
                <w:b w:val="0"/>
                <w:noProof/>
                <w:sz w:val="22"/>
                <w:lang w:eastAsia="en-AU"/>
              </w:rPr>
              <w:tab/>
            </w:r>
            <w:r w:rsidRPr="009A6458">
              <w:rPr>
                <w:rStyle w:val="Hyperlink"/>
                <w:noProof/>
                <w:lang w:eastAsia="en-AU"/>
              </w:rPr>
              <w:t>Introduction</w:t>
            </w:r>
            <w:r>
              <w:rPr>
                <w:noProof/>
                <w:webHidden/>
              </w:rPr>
              <w:tab/>
            </w:r>
            <w:r>
              <w:rPr>
                <w:noProof/>
                <w:webHidden/>
              </w:rPr>
              <w:fldChar w:fldCharType="begin"/>
            </w:r>
            <w:r>
              <w:rPr>
                <w:noProof/>
                <w:webHidden/>
              </w:rPr>
              <w:instrText xml:space="preserve"> PAGEREF _Toc474335002 \h </w:instrText>
            </w:r>
            <w:r>
              <w:rPr>
                <w:noProof/>
                <w:webHidden/>
              </w:rPr>
            </w:r>
            <w:r>
              <w:rPr>
                <w:noProof/>
                <w:webHidden/>
              </w:rPr>
              <w:fldChar w:fldCharType="separate"/>
            </w:r>
            <w:r>
              <w:rPr>
                <w:noProof/>
                <w:webHidden/>
              </w:rPr>
              <w:t>9</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03" w:history="1">
            <w:r w:rsidRPr="009A6458">
              <w:rPr>
                <w:rStyle w:val="Hyperlink"/>
                <w:noProof/>
              </w:rPr>
              <w:t>1.1.</w:t>
            </w:r>
            <w:r>
              <w:rPr>
                <w:rFonts w:asciiTheme="minorHAnsi" w:eastAsiaTheme="minorEastAsia" w:hAnsiTheme="minorHAnsi" w:cstheme="minorBidi"/>
                <w:noProof/>
                <w:lang w:eastAsia="en-AU"/>
              </w:rPr>
              <w:tab/>
            </w:r>
            <w:r w:rsidRPr="009A6458">
              <w:rPr>
                <w:rStyle w:val="Hyperlink"/>
                <w:noProof/>
              </w:rPr>
              <w:t>Guidance</w:t>
            </w:r>
            <w:r>
              <w:rPr>
                <w:noProof/>
                <w:webHidden/>
              </w:rPr>
              <w:tab/>
            </w:r>
            <w:r>
              <w:rPr>
                <w:noProof/>
                <w:webHidden/>
              </w:rPr>
              <w:fldChar w:fldCharType="begin"/>
            </w:r>
            <w:r>
              <w:rPr>
                <w:noProof/>
                <w:webHidden/>
              </w:rPr>
              <w:instrText xml:space="preserve"> PAGEREF _Toc474335003 \h </w:instrText>
            </w:r>
            <w:r>
              <w:rPr>
                <w:noProof/>
                <w:webHidden/>
              </w:rPr>
            </w:r>
            <w:r>
              <w:rPr>
                <w:noProof/>
                <w:webHidden/>
              </w:rPr>
              <w:fldChar w:fldCharType="separate"/>
            </w:r>
            <w:r>
              <w:rPr>
                <w:noProof/>
                <w:webHidden/>
              </w:rPr>
              <w:t>9</w:t>
            </w:r>
            <w:r>
              <w:rPr>
                <w:noProof/>
                <w:webHidden/>
              </w:rPr>
              <w:fldChar w:fldCharType="end"/>
            </w:r>
          </w:hyperlink>
        </w:p>
        <w:p w:rsidR="00F72DA2" w:rsidRDefault="00F72DA2">
          <w:pPr>
            <w:pStyle w:val="TOC2"/>
            <w:tabs>
              <w:tab w:val="left" w:pos="1100"/>
            </w:tabs>
            <w:rPr>
              <w:rFonts w:asciiTheme="minorHAnsi" w:eastAsiaTheme="minorEastAsia" w:hAnsiTheme="minorHAnsi" w:cstheme="minorBidi"/>
              <w:b w:val="0"/>
              <w:noProof/>
              <w:sz w:val="22"/>
              <w:lang w:eastAsia="en-AU"/>
            </w:rPr>
          </w:pPr>
          <w:hyperlink w:anchor="_Toc474335004" w:history="1">
            <w:r w:rsidRPr="009A6458">
              <w:rPr>
                <w:rStyle w:val="Hyperlink"/>
                <w:noProof/>
              </w:rPr>
              <w:t>2.</w:t>
            </w:r>
            <w:r>
              <w:rPr>
                <w:rFonts w:asciiTheme="minorHAnsi" w:eastAsiaTheme="minorEastAsia" w:hAnsiTheme="minorHAnsi" w:cstheme="minorBidi"/>
                <w:b w:val="0"/>
                <w:noProof/>
                <w:sz w:val="22"/>
                <w:lang w:eastAsia="en-AU"/>
              </w:rPr>
              <w:tab/>
            </w:r>
            <w:r w:rsidRPr="009A6458">
              <w:rPr>
                <w:rStyle w:val="Hyperlink"/>
                <w:noProof/>
              </w:rPr>
              <w:t>Clinical rationale</w:t>
            </w:r>
            <w:r>
              <w:rPr>
                <w:noProof/>
                <w:webHidden/>
              </w:rPr>
              <w:tab/>
            </w:r>
            <w:r>
              <w:rPr>
                <w:noProof/>
                <w:webHidden/>
              </w:rPr>
              <w:fldChar w:fldCharType="begin"/>
            </w:r>
            <w:r>
              <w:rPr>
                <w:noProof/>
                <w:webHidden/>
              </w:rPr>
              <w:instrText xml:space="preserve"> PAGEREF _Toc474335004 \h </w:instrText>
            </w:r>
            <w:r>
              <w:rPr>
                <w:noProof/>
                <w:webHidden/>
              </w:rPr>
            </w:r>
            <w:r>
              <w:rPr>
                <w:noProof/>
                <w:webHidden/>
              </w:rPr>
              <w:fldChar w:fldCharType="separate"/>
            </w:r>
            <w:r>
              <w:rPr>
                <w:noProof/>
                <w:webHidden/>
              </w:rPr>
              <w:t>9</w:t>
            </w:r>
            <w:r>
              <w:rPr>
                <w:noProof/>
                <w:webHidden/>
              </w:rPr>
              <w:fldChar w:fldCharType="end"/>
            </w:r>
          </w:hyperlink>
        </w:p>
        <w:p w:rsidR="00F72DA2" w:rsidRDefault="00F72DA2">
          <w:pPr>
            <w:pStyle w:val="TOC2"/>
            <w:tabs>
              <w:tab w:val="left" w:pos="1100"/>
            </w:tabs>
            <w:rPr>
              <w:rFonts w:asciiTheme="minorHAnsi" w:eastAsiaTheme="minorEastAsia" w:hAnsiTheme="minorHAnsi" w:cstheme="minorBidi"/>
              <w:b w:val="0"/>
              <w:noProof/>
              <w:sz w:val="22"/>
              <w:lang w:eastAsia="en-AU"/>
            </w:rPr>
          </w:pPr>
          <w:hyperlink w:anchor="_Toc474335005" w:history="1">
            <w:r w:rsidRPr="009A6458">
              <w:rPr>
                <w:rStyle w:val="Hyperlink"/>
                <w:noProof/>
                <w:lang w:eastAsia="en-AU"/>
              </w:rPr>
              <w:t>3.</w:t>
            </w:r>
            <w:r>
              <w:rPr>
                <w:rFonts w:asciiTheme="minorHAnsi" w:eastAsiaTheme="minorEastAsia" w:hAnsiTheme="minorHAnsi" w:cstheme="minorBidi"/>
                <w:b w:val="0"/>
                <w:noProof/>
                <w:sz w:val="22"/>
                <w:lang w:eastAsia="en-AU"/>
              </w:rPr>
              <w:tab/>
            </w:r>
            <w:r w:rsidRPr="009A645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_Toc474335005 \h </w:instrText>
            </w:r>
            <w:r>
              <w:rPr>
                <w:noProof/>
                <w:webHidden/>
              </w:rPr>
            </w:r>
            <w:r>
              <w:rPr>
                <w:noProof/>
                <w:webHidden/>
              </w:rPr>
              <w:fldChar w:fldCharType="separate"/>
            </w:r>
            <w:r>
              <w:rPr>
                <w:noProof/>
                <w:webHidden/>
              </w:rPr>
              <w:t>9</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06" w:history="1">
            <w:r w:rsidRPr="009A6458">
              <w:rPr>
                <w:rStyle w:val="Hyperlink"/>
                <w:noProof/>
              </w:rPr>
              <w:t>3.1.</w:t>
            </w:r>
            <w:r>
              <w:rPr>
                <w:rFonts w:asciiTheme="minorHAnsi" w:eastAsiaTheme="minorEastAsia" w:hAnsiTheme="minorHAnsi" w:cstheme="minorBidi"/>
                <w:noProof/>
                <w:lang w:eastAsia="en-AU"/>
              </w:rPr>
              <w:tab/>
            </w:r>
            <w:r w:rsidRPr="009A6458">
              <w:rPr>
                <w:rStyle w:val="Hyperlink"/>
                <w:noProof/>
              </w:rPr>
              <w:t>Scope of the clinical dossier</w:t>
            </w:r>
            <w:r>
              <w:rPr>
                <w:noProof/>
                <w:webHidden/>
              </w:rPr>
              <w:tab/>
            </w:r>
            <w:r>
              <w:rPr>
                <w:noProof/>
                <w:webHidden/>
              </w:rPr>
              <w:fldChar w:fldCharType="begin"/>
            </w:r>
            <w:r>
              <w:rPr>
                <w:noProof/>
                <w:webHidden/>
              </w:rPr>
              <w:instrText xml:space="preserve"> PAGEREF _Toc474335006 \h </w:instrText>
            </w:r>
            <w:r>
              <w:rPr>
                <w:noProof/>
                <w:webHidden/>
              </w:rPr>
            </w:r>
            <w:r>
              <w:rPr>
                <w:noProof/>
                <w:webHidden/>
              </w:rPr>
              <w:fldChar w:fldCharType="separate"/>
            </w:r>
            <w:r>
              <w:rPr>
                <w:noProof/>
                <w:webHidden/>
              </w:rPr>
              <w:t>9</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07" w:history="1">
            <w:r w:rsidRPr="009A6458">
              <w:rPr>
                <w:rStyle w:val="Hyperlink"/>
                <w:noProof/>
              </w:rPr>
              <w:t>3.2.</w:t>
            </w:r>
            <w:r>
              <w:rPr>
                <w:rFonts w:asciiTheme="minorHAnsi" w:eastAsiaTheme="minorEastAsia" w:hAnsiTheme="minorHAnsi" w:cstheme="minorBidi"/>
                <w:noProof/>
                <w:lang w:eastAsia="en-AU"/>
              </w:rPr>
              <w:tab/>
            </w:r>
            <w:r w:rsidRPr="009A6458">
              <w:rPr>
                <w:rStyle w:val="Hyperlink"/>
                <w:noProof/>
              </w:rPr>
              <w:t>Paediatric data</w:t>
            </w:r>
            <w:r>
              <w:rPr>
                <w:noProof/>
                <w:webHidden/>
              </w:rPr>
              <w:tab/>
            </w:r>
            <w:r>
              <w:rPr>
                <w:noProof/>
                <w:webHidden/>
              </w:rPr>
              <w:fldChar w:fldCharType="begin"/>
            </w:r>
            <w:r>
              <w:rPr>
                <w:noProof/>
                <w:webHidden/>
              </w:rPr>
              <w:instrText xml:space="preserve"> PAGEREF _Toc474335007 \h </w:instrText>
            </w:r>
            <w:r>
              <w:rPr>
                <w:noProof/>
                <w:webHidden/>
              </w:rPr>
            </w:r>
            <w:r>
              <w:rPr>
                <w:noProof/>
                <w:webHidden/>
              </w:rPr>
              <w:fldChar w:fldCharType="separate"/>
            </w:r>
            <w:r>
              <w:rPr>
                <w:noProof/>
                <w:webHidden/>
              </w:rPr>
              <w:t>9</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08" w:history="1">
            <w:r w:rsidRPr="009A6458">
              <w:rPr>
                <w:rStyle w:val="Hyperlink"/>
                <w:noProof/>
              </w:rPr>
              <w:t>3.3.</w:t>
            </w:r>
            <w:r>
              <w:rPr>
                <w:rFonts w:asciiTheme="minorHAnsi" w:eastAsiaTheme="minorEastAsia" w:hAnsiTheme="minorHAnsi" w:cstheme="minorBidi"/>
                <w:noProof/>
                <w:lang w:eastAsia="en-AU"/>
              </w:rPr>
              <w:tab/>
            </w:r>
            <w:r w:rsidRPr="009A6458">
              <w:rPr>
                <w:rStyle w:val="Hyperlink"/>
                <w:noProof/>
              </w:rPr>
              <w:t>Good clinical practice</w:t>
            </w:r>
            <w:r>
              <w:rPr>
                <w:noProof/>
                <w:webHidden/>
              </w:rPr>
              <w:tab/>
            </w:r>
            <w:r>
              <w:rPr>
                <w:noProof/>
                <w:webHidden/>
              </w:rPr>
              <w:fldChar w:fldCharType="begin"/>
            </w:r>
            <w:r>
              <w:rPr>
                <w:noProof/>
                <w:webHidden/>
              </w:rPr>
              <w:instrText xml:space="preserve"> PAGEREF _Toc474335008 \h </w:instrText>
            </w:r>
            <w:r>
              <w:rPr>
                <w:noProof/>
                <w:webHidden/>
              </w:rPr>
            </w:r>
            <w:r>
              <w:rPr>
                <w:noProof/>
                <w:webHidden/>
              </w:rPr>
              <w:fldChar w:fldCharType="separate"/>
            </w:r>
            <w:r>
              <w:rPr>
                <w:noProof/>
                <w:webHidden/>
              </w:rPr>
              <w:t>10</w:t>
            </w:r>
            <w:r>
              <w:rPr>
                <w:noProof/>
                <w:webHidden/>
              </w:rPr>
              <w:fldChar w:fldCharType="end"/>
            </w:r>
          </w:hyperlink>
        </w:p>
        <w:p w:rsidR="00F72DA2" w:rsidRDefault="00F72DA2">
          <w:pPr>
            <w:pStyle w:val="TOC2"/>
            <w:tabs>
              <w:tab w:val="left" w:pos="1100"/>
            </w:tabs>
            <w:rPr>
              <w:rFonts w:asciiTheme="minorHAnsi" w:eastAsiaTheme="minorEastAsia" w:hAnsiTheme="minorHAnsi" w:cstheme="minorBidi"/>
              <w:b w:val="0"/>
              <w:noProof/>
              <w:sz w:val="22"/>
              <w:lang w:eastAsia="en-AU"/>
            </w:rPr>
          </w:pPr>
          <w:hyperlink w:anchor="_Toc474335009" w:history="1">
            <w:r w:rsidRPr="009A6458">
              <w:rPr>
                <w:rStyle w:val="Hyperlink"/>
                <w:noProof/>
              </w:rPr>
              <w:t>4.</w:t>
            </w:r>
            <w:r>
              <w:rPr>
                <w:rFonts w:asciiTheme="minorHAnsi" w:eastAsiaTheme="minorEastAsia" w:hAnsiTheme="minorHAnsi" w:cstheme="minorBidi"/>
                <w:b w:val="0"/>
                <w:noProof/>
                <w:sz w:val="22"/>
                <w:lang w:eastAsia="en-AU"/>
              </w:rPr>
              <w:tab/>
            </w:r>
            <w:r w:rsidRPr="009A6458">
              <w:rPr>
                <w:rStyle w:val="Hyperlink"/>
                <w:noProof/>
              </w:rPr>
              <w:t>Pharmacokinetics</w:t>
            </w:r>
            <w:r>
              <w:rPr>
                <w:noProof/>
                <w:webHidden/>
              </w:rPr>
              <w:tab/>
            </w:r>
            <w:r>
              <w:rPr>
                <w:noProof/>
                <w:webHidden/>
              </w:rPr>
              <w:fldChar w:fldCharType="begin"/>
            </w:r>
            <w:r>
              <w:rPr>
                <w:noProof/>
                <w:webHidden/>
              </w:rPr>
              <w:instrText xml:space="preserve"> PAGEREF _Toc474335009 \h </w:instrText>
            </w:r>
            <w:r>
              <w:rPr>
                <w:noProof/>
                <w:webHidden/>
              </w:rPr>
            </w:r>
            <w:r>
              <w:rPr>
                <w:noProof/>
                <w:webHidden/>
              </w:rPr>
              <w:fldChar w:fldCharType="separate"/>
            </w:r>
            <w:r>
              <w:rPr>
                <w:noProof/>
                <w:webHidden/>
              </w:rPr>
              <w:t>10</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10" w:history="1">
            <w:r w:rsidRPr="009A6458">
              <w:rPr>
                <w:rStyle w:val="Hyperlink"/>
                <w:noProof/>
              </w:rPr>
              <w:t>4.1.</w:t>
            </w:r>
            <w:r>
              <w:rPr>
                <w:rFonts w:asciiTheme="minorHAnsi" w:eastAsiaTheme="minorEastAsia" w:hAnsiTheme="minorHAnsi" w:cstheme="minorBidi"/>
                <w:noProof/>
                <w:lang w:eastAsia="en-AU"/>
              </w:rPr>
              <w:tab/>
            </w:r>
            <w:r w:rsidRPr="009A6458">
              <w:rPr>
                <w:rStyle w:val="Hyperlink"/>
                <w:noProof/>
              </w:rPr>
              <w:t>Studies providing pharmacokinetic data</w:t>
            </w:r>
            <w:r>
              <w:rPr>
                <w:noProof/>
                <w:webHidden/>
              </w:rPr>
              <w:tab/>
            </w:r>
            <w:r>
              <w:rPr>
                <w:noProof/>
                <w:webHidden/>
              </w:rPr>
              <w:fldChar w:fldCharType="begin"/>
            </w:r>
            <w:r>
              <w:rPr>
                <w:noProof/>
                <w:webHidden/>
              </w:rPr>
              <w:instrText xml:space="preserve"> PAGEREF _Toc474335010 \h </w:instrText>
            </w:r>
            <w:r>
              <w:rPr>
                <w:noProof/>
                <w:webHidden/>
              </w:rPr>
            </w:r>
            <w:r>
              <w:rPr>
                <w:noProof/>
                <w:webHidden/>
              </w:rPr>
              <w:fldChar w:fldCharType="separate"/>
            </w:r>
            <w:r>
              <w:rPr>
                <w:noProof/>
                <w:webHidden/>
              </w:rPr>
              <w:t>10</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11" w:history="1">
            <w:r w:rsidRPr="009A6458">
              <w:rPr>
                <w:rStyle w:val="Hyperlink"/>
                <w:noProof/>
              </w:rPr>
              <w:t>4.2.</w:t>
            </w:r>
            <w:r>
              <w:rPr>
                <w:rFonts w:asciiTheme="minorHAnsi" w:eastAsiaTheme="minorEastAsia" w:hAnsiTheme="minorHAnsi" w:cstheme="minorBidi"/>
                <w:noProof/>
                <w:lang w:eastAsia="en-AU"/>
              </w:rPr>
              <w:tab/>
            </w:r>
            <w:r w:rsidRPr="009A6458">
              <w:rPr>
                <w:rStyle w:val="Hyperlink"/>
                <w:noProof/>
              </w:rPr>
              <w:t>Summary of pharmacokinetics</w:t>
            </w:r>
            <w:r>
              <w:rPr>
                <w:noProof/>
                <w:webHidden/>
              </w:rPr>
              <w:tab/>
            </w:r>
            <w:r>
              <w:rPr>
                <w:noProof/>
                <w:webHidden/>
              </w:rPr>
              <w:fldChar w:fldCharType="begin"/>
            </w:r>
            <w:r>
              <w:rPr>
                <w:noProof/>
                <w:webHidden/>
              </w:rPr>
              <w:instrText xml:space="preserve"> PAGEREF _Toc474335011 \h </w:instrText>
            </w:r>
            <w:r>
              <w:rPr>
                <w:noProof/>
                <w:webHidden/>
              </w:rPr>
            </w:r>
            <w:r>
              <w:rPr>
                <w:noProof/>
                <w:webHidden/>
              </w:rPr>
              <w:fldChar w:fldCharType="separate"/>
            </w:r>
            <w:r>
              <w:rPr>
                <w:noProof/>
                <w:webHidden/>
              </w:rPr>
              <w:t>10</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12" w:history="1">
            <w:r w:rsidRPr="009A6458">
              <w:rPr>
                <w:rStyle w:val="Hyperlink"/>
                <w:noProof/>
              </w:rPr>
              <w:t>4.3.</w:t>
            </w:r>
            <w:r>
              <w:rPr>
                <w:rFonts w:asciiTheme="minorHAnsi" w:eastAsiaTheme="minorEastAsia" w:hAnsiTheme="minorHAnsi" w:cstheme="minorBidi"/>
                <w:noProof/>
                <w:lang w:eastAsia="en-AU"/>
              </w:rPr>
              <w:tab/>
            </w:r>
            <w:r w:rsidRPr="009A6458">
              <w:rPr>
                <w:rStyle w:val="Hyperlink"/>
                <w:noProof/>
              </w:rPr>
              <w:t>Evaluator’s overall conclusions on pharmacokinetics</w:t>
            </w:r>
            <w:r>
              <w:rPr>
                <w:noProof/>
                <w:webHidden/>
              </w:rPr>
              <w:tab/>
            </w:r>
            <w:r>
              <w:rPr>
                <w:noProof/>
                <w:webHidden/>
              </w:rPr>
              <w:fldChar w:fldCharType="begin"/>
            </w:r>
            <w:r>
              <w:rPr>
                <w:noProof/>
                <w:webHidden/>
              </w:rPr>
              <w:instrText xml:space="preserve"> PAGEREF _Toc474335012 \h </w:instrText>
            </w:r>
            <w:r>
              <w:rPr>
                <w:noProof/>
                <w:webHidden/>
              </w:rPr>
            </w:r>
            <w:r>
              <w:rPr>
                <w:noProof/>
                <w:webHidden/>
              </w:rPr>
              <w:fldChar w:fldCharType="separate"/>
            </w:r>
            <w:r>
              <w:rPr>
                <w:noProof/>
                <w:webHidden/>
              </w:rPr>
              <w:t>12</w:t>
            </w:r>
            <w:r>
              <w:rPr>
                <w:noProof/>
                <w:webHidden/>
              </w:rPr>
              <w:fldChar w:fldCharType="end"/>
            </w:r>
          </w:hyperlink>
        </w:p>
        <w:p w:rsidR="00F72DA2" w:rsidRDefault="00F72DA2">
          <w:pPr>
            <w:pStyle w:val="TOC2"/>
            <w:tabs>
              <w:tab w:val="left" w:pos="1100"/>
            </w:tabs>
            <w:rPr>
              <w:rFonts w:asciiTheme="minorHAnsi" w:eastAsiaTheme="minorEastAsia" w:hAnsiTheme="minorHAnsi" w:cstheme="minorBidi"/>
              <w:b w:val="0"/>
              <w:noProof/>
              <w:sz w:val="22"/>
              <w:lang w:eastAsia="en-AU"/>
            </w:rPr>
          </w:pPr>
          <w:hyperlink w:anchor="_Toc474335013" w:history="1">
            <w:r w:rsidRPr="009A6458">
              <w:rPr>
                <w:rStyle w:val="Hyperlink"/>
                <w:noProof/>
              </w:rPr>
              <w:t>5.</w:t>
            </w:r>
            <w:r>
              <w:rPr>
                <w:rFonts w:asciiTheme="minorHAnsi" w:eastAsiaTheme="minorEastAsia" w:hAnsiTheme="minorHAnsi" w:cstheme="minorBidi"/>
                <w:b w:val="0"/>
                <w:noProof/>
                <w:sz w:val="22"/>
                <w:lang w:eastAsia="en-AU"/>
              </w:rPr>
              <w:tab/>
            </w:r>
            <w:r w:rsidRPr="009A6458">
              <w:rPr>
                <w:rStyle w:val="Hyperlink"/>
                <w:noProof/>
              </w:rPr>
              <w:t>Pharmacodynamics</w:t>
            </w:r>
            <w:r>
              <w:rPr>
                <w:noProof/>
                <w:webHidden/>
              </w:rPr>
              <w:tab/>
            </w:r>
            <w:r>
              <w:rPr>
                <w:noProof/>
                <w:webHidden/>
              </w:rPr>
              <w:fldChar w:fldCharType="begin"/>
            </w:r>
            <w:r>
              <w:rPr>
                <w:noProof/>
                <w:webHidden/>
              </w:rPr>
              <w:instrText xml:space="preserve"> PAGEREF _Toc474335013 \h </w:instrText>
            </w:r>
            <w:r>
              <w:rPr>
                <w:noProof/>
                <w:webHidden/>
              </w:rPr>
            </w:r>
            <w:r>
              <w:rPr>
                <w:noProof/>
                <w:webHidden/>
              </w:rPr>
              <w:fldChar w:fldCharType="separate"/>
            </w:r>
            <w:r>
              <w:rPr>
                <w:noProof/>
                <w:webHidden/>
              </w:rPr>
              <w:t>12</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14" w:history="1">
            <w:r w:rsidRPr="009A6458">
              <w:rPr>
                <w:rStyle w:val="Hyperlink"/>
                <w:noProof/>
              </w:rPr>
              <w:t>5.1.</w:t>
            </w:r>
            <w:r>
              <w:rPr>
                <w:rFonts w:asciiTheme="minorHAnsi" w:eastAsiaTheme="minorEastAsia" w:hAnsiTheme="minorHAnsi" w:cstheme="minorBidi"/>
                <w:noProof/>
                <w:lang w:eastAsia="en-AU"/>
              </w:rPr>
              <w:tab/>
            </w:r>
            <w:r w:rsidRPr="009A6458">
              <w:rPr>
                <w:rStyle w:val="Hyperlink"/>
                <w:noProof/>
              </w:rPr>
              <w:t>Studies providing pharmacodynamic data</w:t>
            </w:r>
            <w:r>
              <w:rPr>
                <w:noProof/>
                <w:webHidden/>
              </w:rPr>
              <w:tab/>
            </w:r>
            <w:r>
              <w:rPr>
                <w:noProof/>
                <w:webHidden/>
              </w:rPr>
              <w:fldChar w:fldCharType="begin"/>
            </w:r>
            <w:r>
              <w:rPr>
                <w:noProof/>
                <w:webHidden/>
              </w:rPr>
              <w:instrText xml:space="preserve"> PAGEREF _Toc474335014 \h </w:instrText>
            </w:r>
            <w:r>
              <w:rPr>
                <w:noProof/>
                <w:webHidden/>
              </w:rPr>
            </w:r>
            <w:r>
              <w:rPr>
                <w:noProof/>
                <w:webHidden/>
              </w:rPr>
              <w:fldChar w:fldCharType="separate"/>
            </w:r>
            <w:r>
              <w:rPr>
                <w:noProof/>
                <w:webHidden/>
              </w:rPr>
              <w:t>12</w:t>
            </w:r>
            <w:r>
              <w:rPr>
                <w:noProof/>
                <w:webHidden/>
              </w:rPr>
              <w:fldChar w:fldCharType="end"/>
            </w:r>
          </w:hyperlink>
        </w:p>
        <w:p w:rsidR="00F72DA2" w:rsidRDefault="00F72DA2">
          <w:pPr>
            <w:pStyle w:val="TOC2"/>
            <w:tabs>
              <w:tab w:val="left" w:pos="1100"/>
            </w:tabs>
            <w:rPr>
              <w:rFonts w:asciiTheme="minorHAnsi" w:eastAsiaTheme="minorEastAsia" w:hAnsiTheme="minorHAnsi" w:cstheme="minorBidi"/>
              <w:b w:val="0"/>
              <w:noProof/>
              <w:sz w:val="22"/>
              <w:lang w:eastAsia="en-AU"/>
            </w:rPr>
          </w:pPr>
          <w:hyperlink w:anchor="_Toc474335015" w:history="1">
            <w:r w:rsidRPr="009A6458">
              <w:rPr>
                <w:rStyle w:val="Hyperlink"/>
                <w:noProof/>
              </w:rPr>
              <w:t>6.</w:t>
            </w:r>
            <w:r>
              <w:rPr>
                <w:rFonts w:asciiTheme="minorHAnsi" w:eastAsiaTheme="minorEastAsia" w:hAnsiTheme="minorHAnsi" w:cstheme="minorBidi"/>
                <w:b w:val="0"/>
                <w:noProof/>
                <w:sz w:val="22"/>
                <w:lang w:eastAsia="en-AU"/>
              </w:rPr>
              <w:tab/>
            </w:r>
            <w:r w:rsidRPr="009A6458">
              <w:rPr>
                <w:rStyle w:val="Hyperlink"/>
                <w:noProof/>
              </w:rPr>
              <w:t>Dosage selection for the pivotal studies</w:t>
            </w:r>
            <w:r>
              <w:rPr>
                <w:noProof/>
                <w:webHidden/>
              </w:rPr>
              <w:tab/>
            </w:r>
            <w:r>
              <w:rPr>
                <w:noProof/>
                <w:webHidden/>
              </w:rPr>
              <w:fldChar w:fldCharType="begin"/>
            </w:r>
            <w:r>
              <w:rPr>
                <w:noProof/>
                <w:webHidden/>
              </w:rPr>
              <w:instrText xml:space="preserve"> PAGEREF _Toc474335015 \h </w:instrText>
            </w:r>
            <w:r>
              <w:rPr>
                <w:noProof/>
                <w:webHidden/>
              </w:rPr>
            </w:r>
            <w:r>
              <w:rPr>
                <w:noProof/>
                <w:webHidden/>
              </w:rPr>
              <w:fldChar w:fldCharType="separate"/>
            </w:r>
            <w:r>
              <w:rPr>
                <w:noProof/>
                <w:webHidden/>
              </w:rPr>
              <w:t>12</w:t>
            </w:r>
            <w:r>
              <w:rPr>
                <w:noProof/>
                <w:webHidden/>
              </w:rPr>
              <w:fldChar w:fldCharType="end"/>
            </w:r>
          </w:hyperlink>
        </w:p>
        <w:p w:rsidR="00F72DA2" w:rsidRDefault="00F72DA2">
          <w:pPr>
            <w:pStyle w:val="TOC2"/>
            <w:tabs>
              <w:tab w:val="left" w:pos="1100"/>
            </w:tabs>
            <w:rPr>
              <w:rFonts w:asciiTheme="minorHAnsi" w:eastAsiaTheme="minorEastAsia" w:hAnsiTheme="minorHAnsi" w:cstheme="minorBidi"/>
              <w:b w:val="0"/>
              <w:noProof/>
              <w:sz w:val="22"/>
              <w:lang w:eastAsia="en-AU"/>
            </w:rPr>
          </w:pPr>
          <w:hyperlink w:anchor="_Toc474335016" w:history="1">
            <w:r w:rsidRPr="009A6458">
              <w:rPr>
                <w:rStyle w:val="Hyperlink"/>
                <w:noProof/>
              </w:rPr>
              <w:t>7.</w:t>
            </w:r>
            <w:r>
              <w:rPr>
                <w:rFonts w:asciiTheme="minorHAnsi" w:eastAsiaTheme="minorEastAsia" w:hAnsiTheme="minorHAnsi" w:cstheme="minorBidi"/>
                <w:b w:val="0"/>
                <w:noProof/>
                <w:sz w:val="22"/>
                <w:lang w:eastAsia="en-AU"/>
              </w:rPr>
              <w:tab/>
            </w:r>
            <w:r w:rsidRPr="009A6458">
              <w:rPr>
                <w:rStyle w:val="Hyperlink"/>
                <w:noProof/>
              </w:rPr>
              <w:t>Clinical efficacy</w:t>
            </w:r>
            <w:r>
              <w:rPr>
                <w:noProof/>
                <w:webHidden/>
              </w:rPr>
              <w:tab/>
            </w:r>
            <w:r>
              <w:rPr>
                <w:noProof/>
                <w:webHidden/>
              </w:rPr>
              <w:fldChar w:fldCharType="begin"/>
            </w:r>
            <w:r>
              <w:rPr>
                <w:noProof/>
                <w:webHidden/>
              </w:rPr>
              <w:instrText xml:space="preserve"> PAGEREF _Toc474335016 \h </w:instrText>
            </w:r>
            <w:r>
              <w:rPr>
                <w:noProof/>
                <w:webHidden/>
              </w:rPr>
            </w:r>
            <w:r>
              <w:rPr>
                <w:noProof/>
                <w:webHidden/>
              </w:rPr>
              <w:fldChar w:fldCharType="separate"/>
            </w:r>
            <w:r>
              <w:rPr>
                <w:noProof/>
                <w:webHidden/>
              </w:rPr>
              <w:t>12</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17" w:history="1">
            <w:r w:rsidRPr="009A6458">
              <w:rPr>
                <w:rStyle w:val="Hyperlink"/>
                <w:noProof/>
              </w:rPr>
              <w:t>7.1.</w:t>
            </w:r>
            <w:r>
              <w:rPr>
                <w:rFonts w:asciiTheme="minorHAnsi" w:eastAsiaTheme="minorEastAsia" w:hAnsiTheme="minorHAnsi" w:cstheme="minorBidi"/>
                <w:noProof/>
                <w:lang w:eastAsia="en-AU"/>
              </w:rPr>
              <w:tab/>
            </w:r>
            <w:r w:rsidRPr="009A6458">
              <w:rPr>
                <w:rStyle w:val="Hyperlink"/>
                <w:noProof/>
              </w:rPr>
              <w:t>Paediatric patients less than 2 years of age</w:t>
            </w:r>
            <w:r>
              <w:rPr>
                <w:noProof/>
                <w:webHidden/>
              </w:rPr>
              <w:tab/>
            </w:r>
            <w:r>
              <w:rPr>
                <w:noProof/>
                <w:webHidden/>
              </w:rPr>
              <w:fldChar w:fldCharType="begin"/>
            </w:r>
            <w:r>
              <w:rPr>
                <w:noProof/>
                <w:webHidden/>
              </w:rPr>
              <w:instrText xml:space="preserve"> PAGEREF _Toc474335017 \h </w:instrText>
            </w:r>
            <w:r>
              <w:rPr>
                <w:noProof/>
                <w:webHidden/>
              </w:rPr>
            </w:r>
            <w:r>
              <w:rPr>
                <w:noProof/>
                <w:webHidden/>
              </w:rPr>
              <w:fldChar w:fldCharType="separate"/>
            </w:r>
            <w:r>
              <w:rPr>
                <w:noProof/>
                <w:webHidden/>
              </w:rPr>
              <w:t>12</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18" w:history="1">
            <w:r w:rsidRPr="009A6458">
              <w:rPr>
                <w:rStyle w:val="Hyperlink"/>
                <w:noProof/>
              </w:rPr>
              <w:t>7.2.</w:t>
            </w:r>
            <w:r>
              <w:rPr>
                <w:rFonts w:asciiTheme="minorHAnsi" w:eastAsiaTheme="minorEastAsia" w:hAnsiTheme="minorHAnsi" w:cstheme="minorBidi"/>
                <w:noProof/>
                <w:lang w:eastAsia="en-AU"/>
              </w:rPr>
              <w:tab/>
            </w:r>
            <w:r w:rsidRPr="009A6458">
              <w:rPr>
                <w:rStyle w:val="Hyperlink"/>
                <w:noProof/>
              </w:rPr>
              <w:t>Other efficacy studies</w:t>
            </w:r>
            <w:r>
              <w:rPr>
                <w:noProof/>
                <w:webHidden/>
              </w:rPr>
              <w:tab/>
            </w:r>
            <w:r>
              <w:rPr>
                <w:noProof/>
                <w:webHidden/>
              </w:rPr>
              <w:fldChar w:fldCharType="begin"/>
            </w:r>
            <w:r>
              <w:rPr>
                <w:noProof/>
                <w:webHidden/>
              </w:rPr>
              <w:instrText xml:space="preserve"> PAGEREF _Toc474335018 \h </w:instrText>
            </w:r>
            <w:r>
              <w:rPr>
                <w:noProof/>
                <w:webHidden/>
              </w:rPr>
            </w:r>
            <w:r>
              <w:rPr>
                <w:noProof/>
                <w:webHidden/>
              </w:rPr>
              <w:fldChar w:fldCharType="separate"/>
            </w:r>
            <w:r>
              <w:rPr>
                <w:noProof/>
                <w:webHidden/>
              </w:rPr>
              <w:t>18</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19" w:history="1">
            <w:r w:rsidRPr="009A6458">
              <w:rPr>
                <w:rStyle w:val="Hyperlink"/>
                <w:noProof/>
              </w:rPr>
              <w:t>7.3.</w:t>
            </w:r>
            <w:r>
              <w:rPr>
                <w:rFonts w:asciiTheme="minorHAnsi" w:eastAsiaTheme="minorEastAsia" w:hAnsiTheme="minorHAnsi" w:cstheme="minorBidi"/>
                <w:noProof/>
                <w:lang w:eastAsia="en-AU"/>
              </w:rPr>
              <w:tab/>
            </w:r>
            <w:r w:rsidRPr="009A6458">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_Toc474335019 \h </w:instrText>
            </w:r>
            <w:r>
              <w:rPr>
                <w:noProof/>
                <w:webHidden/>
              </w:rPr>
            </w:r>
            <w:r>
              <w:rPr>
                <w:noProof/>
                <w:webHidden/>
              </w:rPr>
              <w:fldChar w:fldCharType="separate"/>
            </w:r>
            <w:r>
              <w:rPr>
                <w:noProof/>
                <w:webHidden/>
              </w:rPr>
              <w:t>18</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20" w:history="1">
            <w:r w:rsidRPr="009A6458">
              <w:rPr>
                <w:rStyle w:val="Hyperlink"/>
                <w:noProof/>
              </w:rPr>
              <w:t>7.4.</w:t>
            </w:r>
            <w:r>
              <w:rPr>
                <w:rFonts w:asciiTheme="minorHAnsi" w:eastAsiaTheme="minorEastAsia" w:hAnsiTheme="minorHAnsi" w:cstheme="minorBidi"/>
                <w:noProof/>
                <w:lang w:eastAsia="en-AU"/>
              </w:rPr>
              <w:tab/>
            </w:r>
            <w:r w:rsidRPr="009A6458">
              <w:rPr>
                <w:rStyle w:val="Hyperlink"/>
                <w:noProof/>
              </w:rPr>
              <w:t>Evaluator’s conclusions on clinical efficacy for children &lt; 2 years age</w:t>
            </w:r>
            <w:r>
              <w:rPr>
                <w:noProof/>
                <w:webHidden/>
              </w:rPr>
              <w:tab/>
            </w:r>
            <w:r>
              <w:rPr>
                <w:noProof/>
                <w:webHidden/>
              </w:rPr>
              <w:fldChar w:fldCharType="begin"/>
            </w:r>
            <w:r>
              <w:rPr>
                <w:noProof/>
                <w:webHidden/>
              </w:rPr>
              <w:instrText xml:space="preserve"> PAGEREF _Toc474335020 \h </w:instrText>
            </w:r>
            <w:r>
              <w:rPr>
                <w:noProof/>
                <w:webHidden/>
              </w:rPr>
            </w:r>
            <w:r>
              <w:rPr>
                <w:noProof/>
                <w:webHidden/>
              </w:rPr>
              <w:fldChar w:fldCharType="separate"/>
            </w:r>
            <w:r>
              <w:rPr>
                <w:noProof/>
                <w:webHidden/>
              </w:rPr>
              <w:t>19</w:t>
            </w:r>
            <w:r>
              <w:rPr>
                <w:noProof/>
                <w:webHidden/>
              </w:rPr>
              <w:fldChar w:fldCharType="end"/>
            </w:r>
          </w:hyperlink>
        </w:p>
        <w:p w:rsidR="00F72DA2" w:rsidRDefault="00F72DA2">
          <w:pPr>
            <w:pStyle w:val="TOC2"/>
            <w:tabs>
              <w:tab w:val="left" w:pos="1100"/>
            </w:tabs>
            <w:rPr>
              <w:rFonts w:asciiTheme="minorHAnsi" w:eastAsiaTheme="minorEastAsia" w:hAnsiTheme="minorHAnsi" w:cstheme="minorBidi"/>
              <w:b w:val="0"/>
              <w:noProof/>
              <w:sz w:val="22"/>
              <w:lang w:eastAsia="en-AU"/>
            </w:rPr>
          </w:pPr>
          <w:hyperlink w:anchor="_Toc474335021" w:history="1">
            <w:r w:rsidRPr="009A6458">
              <w:rPr>
                <w:rStyle w:val="Hyperlink"/>
                <w:noProof/>
              </w:rPr>
              <w:t>8.</w:t>
            </w:r>
            <w:r>
              <w:rPr>
                <w:rFonts w:asciiTheme="minorHAnsi" w:eastAsiaTheme="minorEastAsia" w:hAnsiTheme="minorHAnsi" w:cstheme="minorBidi"/>
                <w:b w:val="0"/>
                <w:noProof/>
                <w:sz w:val="22"/>
                <w:lang w:eastAsia="en-AU"/>
              </w:rPr>
              <w:tab/>
            </w:r>
            <w:r w:rsidRPr="009A6458">
              <w:rPr>
                <w:rStyle w:val="Hyperlink"/>
                <w:noProof/>
              </w:rPr>
              <w:t>Clinical safety</w:t>
            </w:r>
            <w:r>
              <w:rPr>
                <w:noProof/>
                <w:webHidden/>
              </w:rPr>
              <w:tab/>
            </w:r>
            <w:r>
              <w:rPr>
                <w:noProof/>
                <w:webHidden/>
              </w:rPr>
              <w:fldChar w:fldCharType="begin"/>
            </w:r>
            <w:r>
              <w:rPr>
                <w:noProof/>
                <w:webHidden/>
              </w:rPr>
              <w:instrText xml:space="preserve"> PAGEREF _Toc474335021 \h </w:instrText>
            </w:r>
            <w:r>
              <w:rPr>
                <w:noProof/>
                <w:webHidden/>
              </w:rPr>
            </w:r>
            <w:r>
              <w:rPr>
                <w:noProof/>
                <w:webHidden/>
              </w:rPr>
              <w:fldChar w:fldCharType="separate"/>
            </w:r>
            <w:r>
              <w:rPr>
                <w:noProof/>
                <w:webHidden/>
              </w:rPr>
              <w:t>19</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22" w:history="1">
            <w:r w:rsidRPr="009A6458">
              <w:rPr>
                <w:rStyle w:val="Hyperlink"/>
                <w:noProof/>
              </w:rPr>
              <w:t>8.1.</w:t>
            </w:r>
            <w:r>
              <w:rPr>
                <w:rFonts w:asciiTheme="minorHAnsi" w:eastAsiaTheme="minorEastAsia" w:hAnsiTheme="minorHAnsi" w:cstheme="minorBidi"/>
                <w:noProof/>
                <w:lang w:eastAsia="en-AU"/>
              </w:rPr>
              <w:tab/>
            </w:r>
            <w:r w:rsidRPr="009A6458">
              <w:rPr>
                <w:rStyle w:val="Hyperlink"/>
                <w:noProof/>
              </w:rPr>
              <w:t>Studies providing evaluable safety data</w:t>
            </w:r>
            <w:r>
              <w:rPr>
                <w:noProof/>
                <w:webHidden/>
              </w:rPr>
              <w:tab/>
            </w:r>
            <w:r>
              <w:rPr>
                <w:noProof/>
                <w:webHidden/>
              </w:rPr>
              <w:fldChar w:fldCharType="begin"/>
            </w:r>
            <w:r>
              <w:rPr>
                <w:noProof/>
                <w:webHidden/>
              </w:rPr>
              <w:instrText xml:space="preserve"> PAGEREF _Toc474335022 \h </w:instrText>
            </w:r>
            <w:r>
              <w:rPr>
                <w:noProof/>
                <w:webHidden/>
              </w:rPr>
            </w:r>
            <w:r>
              <w:rPr>
                <w:noProof/>
                <w:webHidden/>
              </w:rPr>
              <w:fldChar w:fldCharType="separate"/>
            </w:r>
            <w:r>
              <w:rPr>
                <w:noProof/>
                <w:webHidden/>
              </w:rPr>
              <w:t>19</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23" w:history="1">
            <w:r w:rsidRPr="009A6458">
              <w:rPr>
                <w:rStyle w:val="Hyperlink"/>
                <w:noProof/>
              </w:rPr>
              <w:t>8.2.</w:t>
            </w:r>
            <w:r>
              <w:rPr>
                <w:rFonts w:asciiTheme="minorHAnsi" w:eastAsiaTheme="minorEastAsia" w:hAnsiTheme="minorHAnsi" w:cstheme="minorBidi"/>
                <w:noProof/>
                <w:lang w:eastAsia="en-AU"/>
              </w:rPr>
              <w:tab/>
            </w:r>
            <w:r w:rsidRPr="009A6458">
              <w:rPr>
                <w:rStyle w:val="Hyperlink"/>
                <w:noProof/>
              </w:rPr>
              <w:t>Other studies evaluable for safety only</w:t>
            </w:r>
            <w:r>
              <w:rPr>
                <w:noProof/>
                <w:webHidden/>
              </w:rPr>
              <w:tab/>
            </w:r>
            <w:r>
              <w:rPr>
                <w:noProof/>
                <w:webHidden/>
              </w:rPr>
              <w:fldChar w:fldCharType="begin"/>
            </w:r>
            <w:r>
              <w:rPr>
                <w:noProof/>
                <w:webHidden/>
              </w:rPr>
              <w:instrText xml:space="preserve"> PAGEREF _Toc474335023 \h </w:instrText>
            </w:r>
            <w:r>
              <w:rPr>
                <w:noProof/>
                <w:webHidden/>
              </w:rPr>
            </w:r>
            <w:r>
              <w:rPr>
                <w:noProof/>
                <w:webHidden/>
              </w:rPr>
              <w:fldChar w:fldCharType="separate"/>
            </w:r>
            <w:r>
              <w:rPr>
                <w:noProof/>
                <w:webHidden/>
              </w:rPr>
              <w:t>19</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24" w:history="1">
            <w:r w:rsidRPr="009A6458">
              <w:rPr>
                <w:rStyle w:val="Hyperlink"/>
                <w:noProof/>
              </w:rPr>
              <w:t>8.3.</w:t>
            </w:r>
            <w:r>
              <w:rPr>
                <w:rFonts w:asciiTheme="minorHAnsi" w:eastAsiaTheme="minorEastAsia" w:hAnsiTheme="minorHAnsi" w:cstheme="minorBidi"/>
                <w:noProof/>
                <w:lang w:eastAsia="en-AU"/>
              </w:rPr>
              <w:tab/>
            </w:r>
            <w:r w:rsidRPr="009A6458">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_Toc474335024 \h </w:instrText>
            </w:r>
            <w:r>
              <w:rPr>
                <w:noProof/>
                <w:webHidden/>
              </w:rPr>
            </w:r>
            <w:r>
              <w:rPr>
                <w:noProof/>
                <w:webHidden/>
              </w:rPr>
              <w:fldChar w:fldCharType="separate"/>
            </w:r>
            <w:r>
              <w:rPr>
                <w:noProof/>
                <w:webHidden/>
              </w:rPr>
              <w:t>19</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25" w:history="1">
            <w:r w:rsidRPr="009A6458">
              <w:rPr>
                <w:rStyle w:val="Hyperlink"/>
                <w:noProof/>
              </w:rPr>
              <w:t>8.4.</w:t>
            </w:r>
            <w:r>
              <w:rPr>
                <w:rFonts w:asciiTheme="minorHAnsi" w:eastAsiaTheme="minorEastAsia" w:hAnsiTheme="minorHAnsi" w:cstheme="minorBidi"/>
                <w:noProof/>
                <w:lang w:eastAsia="en-AU"/>
              </w:rPr>
              <w:tab/>
            </w:r>
            <w:r w:rsidRPr="009A6458">
              <w:rPr>
                <w:rStyle w:val="Hyperlink"/>
                <w:noProof/>
              </w:rPr>
              <w:t>Patient exposure</w:t>
            </w:r>
            <w:r>
              <w:rPr>
                <w:noProof/>
                <w:webHidden/>
              </w:rPr>
              <w:tab/>
            </w:r>
            <w:r>
              <w:rPr>
                <w:noProof/>
                <w:webHidden/>
              </w:rPr>
              <w:fldChar w:fldCharType="begin"/>
            </w:r>
            <w:r>
              <w:rPr>
                <w:noProof/>
                <w:webHidden/>
              </w:rPr>
              <w:instrText xml:space="preserve"> PAGEREF _Toc474335025 \h </w:instrText>
            </w:r>
            <w:r>
              <w:rPr>
                <w:noProof/>
                <w:webHidden/>
              </w:rPr>
            </w:r>
            <w:r>
              <w:rPr>
                <w:noProof/>
                <w:webHidden/>
              </w:rPr>
              <w:fldChar w:fldCharType="separate"/>
            </w:r>
            <w:r>
              <w:rPr>
                <w:noProof/>
                <w:webHidden/>
              </w:rPr>
              <w:t>19</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26" w:history="1">
            <w:r w:rsidRPr="009A6458">
              <w:rPr>
                <w:rStyle w:val="Hyperlink"/>
                <w:noProof/>
              </w:rPr>
              <w:t>8.5.</w:t>
            </w:r>
            <w:r>
              <w:rPr>
                <w:rFonts w:asciiTheme="minorHAnsi" w:eastAsiaTheme="minorEastAsia" w:hAnsiTheme="minorHAnsi" w:cstheme="minorBidi"/>
                <w:noProof/>
                <w:lang w:eastAsia="en-AU"/>
              </w:rPr>
              <w:tab/>
            </w:r>
            <w:r w:rsidRPr="009A6458">
              <w:rPr>
                <w:rStyle w:val="Hyperlink"/>
                <w:noProof/>
              </w:rPr>
              <w:t>Adverse events</w:t>
            </w:r>
            <w:r>
              <w:rPr>
                <w:noProof/>
                <w:webHidden/>
              </w:rPr>
              <w:tab/>
            </w:r>
            <w:r>
              <w:rPr>
                <w:noProof/>
                <w:webHidden/>
              </w:rPr>
              <w:fldChar w:fldCharType="begin"/>
            </w:r>
            <w:r>
              <w:rPr>
                <w:noProof/>
                <w:webHidden/>
              </w:rPr>
              <w:instrText xml:space="preserve"> PAGEREF _Toc474335026 \h </w:instrText>
            </w:r>
            <w:r>
              <w:rPr>
                <w:noProof/>
                <w:webHidden/>
              </w:rPr>
            </w:r>
            <w:r>
              <w:rPr>
                <w:noProof/>
                <w:webHidden/>
              </w:rPr>
              <w:fldChar w:fldCharType="separate"/>
            </w:r>
            <w:r>
              <w:rPr>
                <w:noProof/>
                <w:webHidden/>
              </w:rPr>
              <w:t>20</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27" w:history="1">
            <w:r w:rsidRPr="009A6458">
              <w:rPr>
                <w:rStyle w:val="Hyperlink"/>
                <w:noProof/>
              </w:rPr>
              <w:t>8.6.</w:t>
            </w:r>
            <w:r>
              <w:rPr>
                <w:rFonts w:asciiTheme="minorHAnsi" w:eastAsiaTheme="minorEastAsia" w:hAnsiTheme="minorHAnsi" w:cstheme="minorBidi"/>
                <w:noProof/>
                <w:lang w:eastAsia="en-AU"/>
              </w:rPr>
              <w:tab/>
            </w:r>
            <w:r w:rsidRPr="009A6458">
              <w:rPr>
                <w:rStyle w:val="Hyperlink"/>
                <w:noProof/>
              </w:rPr>
              <w:t>Laboratory tests</w:t>
            </w:r>
            <w:r>
              <w:rPr>
                <w:noProof/>
                <w:webHidden/>
              </w:rPr>
              <w:tab/>
            </w:r>
            <w:r>
              <w:rPr>
                <w:noProof/>
                <w:webHidden/>
              </w:rPr>
              <w:fldChar w:fldCharType="begin"/>
            </w:r>
            <w:r>
              <w:rPr>
                <w:noProof/>
                <w:webHidden/>
              </w:rPr>
              <w:instrText xml:space="preserve"> PAGEREF _Toc474335027 \h </w:instrText>
            </w:r>
            <w:r>
              <w:rPr>
                <w:noProof/>
                <w:webHidden/>
              </w:rPr>
            </w:r>
            <w:r>
              <w:rPr>
                <w:noProof/>
                <w:webHidden/>
              </w:rPr>
              <w:fldChar w:fldCharType="separate"/>
            </w:r>
            <w:r>
              <w:rPr>
                <w:noProof/>
                <w:webHidden/>
              </w:rPr>
              <w:t>24</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28" w:history="1">
            <w:r w:rsidRPr="009A6458">
              <w:rPr>
                <w:rStyle w:val="Hyperlink"/>
                <w:noProof/>
              </w:rPr>
              <w:t>8.7.</w:t>
            </w:r>
            <w:r>
              <w:rPr>
                <w:rFonts w:asciiTheme="minorHAnsi" w:eastAsiaTheme="minorEastAsia" w:hAnsiTheme="minorHAnsi" w:cstheme="minorBidi"/>
                <w:noProof/>
                <w:lang w:eastAsia="en-AU"/>
              </w:rPr>
              <w:tab/>
            </w:r>
            <w:r w:rsidRPr="009A6458">
              <w:rPr>
                <w:rStyle w:val="Hyperlink"/>
                <w:noProof/>
              </w:rPr>
              <w:t>Post-marketing experience</w:t>
            </w:r>
            <w:r>
              <w:rPr>
                <w:noProof/>
                <w:webHidden/>
              </w:rPr>
              <w:tab/>
            </w:r>
            <w:r>
              <w:rPr>
                <w:noProof/>
                <w:webHidden/>
              </w:rPr>
              <w:fldChar w:fldCharType="begin"/>
            </w:r>
            <w:r>
              <w:rPr>
                <w:noProof/>
                <w:webHidden/>
              </w:rPr>
              <w:instrText xml:space="preserve"> PAGEREF _Toc474335028 \h </w:instrText>
            </w:r>
            <w:r>
              <w:rPr>
                <w:noProof/>
                <w:webHidden/>
              </w:rPr>
            </w:r>
            <w:r>
              <w:rPr>
                <w:noProof/>
                <w:webHidden/>
              </w:rPr>
              <w:fldChar w:fldCharType="separate"/>
            </w:r>
            <w:r>
              <w:rPr>
                <w:noProof/>
                <w:webHidden/>
              </w:rPr>
              <w:t>25</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29" w:history="1">
            <w:r w:rsidRPr="009A6458">
              <w:rPr>
                <w:rStyle w:val="Hyperlink"/>
                <w:noProof/>
              </w:rPr>
              <w:t>8.8.</w:t>
            </w:r>
            <w:r>
              <w:rPr>
                <w:rFonts w:asciiTheme="minorHAnsi" w:eastAsiaTheme="minorEastAsia" w:hAnsiTheme="minorHAnsi" w:cstheme="minorBidi"/>
                <w:noProof/>
                <w:lang w:eastAsia="en-AU"/>
              </w:rPr>
              <w:tab/>
            </w:r>
            <w:r w:rsidRPr="009A6458">
              <w:rPr>
                <w:rStyle w:val="Hyperlink"/>
                <w:noProof/>
              </w:rPr>
              <w:t>Risk management plan</w:t>
            </w:r>
            <w:r>
              <w:rPr>
                <w:noProof/>
                <w:webHidden/>
              </w:rPr>
              <w:tab/>
            </w:r>
            <w:r>
              <w:rPr>
                <w:noProof/>
                <w:webHidden/>
              </w:rPr>
              <w:fldChar w:fldCharType="begin"/>
            </w:r>
            <w:r>
              <w:rPr>
                <w:noProof/>
                <w:webHidden/>
              </w:rPr>
              <w:instrText xml:space="preserve"> PAGEREF _Toc474335029 \h </w:instrText>
            </w:r>
            <w:r>
              <w:rPr>
                <w:noProof/>
                <w:webHidden/>
              </w:rPr>
            </w:r>
            <w:r>
              <w:rPr>
                <w:noProof/>
                <w:webHidden/>
              </w:rPr>
              <w:fldChar w:fldCharType="separate"/>
            </w:r>
            <w:r>
              <w:rPr>
                <w:noProof/>
                <w:webHidden/>
              </w:rPr>
              <w:t>25</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30" w:history="1">
            <w:r w:rsidRPr="009A6458">
              <w:rPr>
                <w:rStyle w:val="Hyperlink"/>
                <w:noProof/>
              </w:rPr>
              <w:t>8.9.</w:t>
            </w:r>
            <w:r>
              <w:rPr>
                <w:rFonts w:asciiTheme="minorHAnsi" w:eastAsiaTheme="minorEastAsia" w:hAnsiTheme="minorHAnsi" w:cstheme="minorBidi"/>
                <w:noProof/>
                <w:lang w:eastAsia="en-AU"/>
              </w:rPr>
              <w:tab/>
            </w:r>
            <w:r w:rsidRPr="009A645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_Toc474335030 \h </w:instrText>
            </w:r>
            <w:r>
              <w:rPr>
                <w:noProof/>
                <w:webHidden/>
              </w:rPr>
            </w:r>
            <w:r>
              <w:rPr>
                <w:noProof/>
                <w:webHidden/>
              </w:rPr>
              <w:fldChar w:fldCharType="separate"/>
            </w:r>
            <w:r>
              <w:rPr>
                <w:noProof/>
                <w:webHidden/>
              </w:rPr>
              <w:t>26</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31" w:history="1">
            <w:r w:rsidRPr="009A6458">
              <w:rPr>
                <w:rStyle w:val="Hyperlink"/>
                <w:noProof/>
              </w:rPr>
              <w:t>8.10.</w:t>
            </w:r>
            <w:r>
              <w:rPr>
                <w:rFonts w:asciiTheme="minorHAnsi" w:eastAsiaTheme="minorEastAsia" w:hAnsiTheme="minorHAnsi" w:cstheme="minorBidi"/>
                <w:noProof/>
                <w:lang w:eastAsia="en-AU"/>
              </w:rPr>
              <w:tab/>
            </w:r>
            <w:r w:rsidRPr="009A6458">
              <w:rPr>
                <w:rStyle w:val="Hyperlink"/>
                <w:noProof/>
              </w:rPr>
              <w:t>Evaluator’s overall conclusions on clinical safety</w:t>
            </w:r>
            <w:r>
              <w:rPr>
                <w:noProof/>
                <w:webHidden/>
              </w:rPr>
              <w:tab/>
            </w:r>
            <w:r>
              <w:rPr>
                <w:noProof/>
                <w:webHidden/>
              </w:rPr>
              <w:fldChar w:fldCharType="begin"/>
            </w:r>
            <w:r>
              <w:rPr>
                <w:noProof/>
                <w:webHidden/>
              </w:rPr>
              <w:instrText xml:space="preserve"> PAGEREF _Toc474335031 \h </w:instrText>
            </w:r>
            <w:r>
              <w:rPr>
                <w:noProof/>
                <w:webHidden/>
              </w:rPr>
            </w:r>
            <w:r>
              <w:rPr>
                <w:noProof/>
                <w:webHidden/>
              </w:rPr>
              <w:fldChar w:fldCharType="separate"/>
            </w:r>
            <w:r>
              <w:rPr>
                <w:noProof/>
                <w:webHidden/>
              </w:rPr>
              <w:t>26</w:t>
            </w:r>
            <w:r>
              <w:rPr>
                <w:noProof/>
                <w:webHidden/>
              </w:rPr>
              <w:fldChar w:fldCharType="end"/>
            </w:r>
          </w:hyperlink>
        </w:p>
        <w:p w:rsidR="00F72DA2" w:rsidRDefault="00F72DA2">
          <w:pPr>
            <w:pStyle w:val="TOC2"/>
            <w:tabs>
              <w:tab w:val="left" w:pos="1100"/>
            </w:tabs>
            <w:rPr>
              <w:rFonts w:asciiTheme="minorHAnsi" w:eastAsiaTheme="minorEastAsia" w:hAnsiTheme="minorHAnsi" w:cstheme="minorBidi"/>
              <w:b w:val="0"/>
              <w:noProof/>
              <w:sz w:val="22"/>
              <w:lang w:eastAsia="en-AU"/>
            </w:rPr>
          </w:pPr>
          <w:hyperlink w:anchor="_Toc474335032" w:history="1">
            <w:r w:rsidRPr="009A6458">
              <w:rPr>
                <w:rStyle w:val="Hyperlink"/>
                <w:noProof/>
              </w:rPr>
              <w:t>9.</w:t>
            </w:r>
            <w:r>
              <w:rPr>
                <w:rFonts w:asciiTheme="minorHAnsi" w:eastAsiaTheme="minorEastAsia" w:hAnsiTheme="minorHAnsi" w:cstheme="minorBidi"/>
                <w:b w:val="0"/>
                <w:noProof/>
                <w:sz w:val="22"/>
                <w:lang w:eastAsia="en-AU"/>
              </w:rPr>
              <w:tab/>
            </w:r>
            <w:r w:rsidRPr="009A6458">
              <w:rPr>
                <w:rStyle w:val="Hyperlink"/>
                <w:noProof/>
              </w:rPr>
              <w:t>First round benefit-risk assessment</w:t>
            </w:r>
            <w:r>
              <w:rPr>
                <w:noProof/>
                <w:webHidden/>
              </w:rPr>
              <w:tab/>
            </w:r>
            <w:r>
              <w:rPr>
                <w:noProof/>
                <w:webHidden/>
              </w:rPr>
              <w:fldChar w:fldCharType="begin"/>
            </w:r>
            <w:r>
              <w:rPr>
                <w:noProof/>
                <w:webHidden/>
              </w:rPr>
              <w:instrText xml:space="preserve"> PAGEREF _Toc474335032 \h </w:instrText>
            </w:r>
            <w:r>
              <w:rPr>
                <w:noProof/>
                <w:webHidden/>
              </w:rPr>
            </w:r>
            <w:r>
              <w:rPr>
                <w:noProof/>
                <w:webHidden/>
              </w:rPr>
              <w:fldChar w:fldCharType="separate"/>
            </w:r>
            <w:r>
              <w:rPr>
                <w:noProof/>
                <w:webHidden/>
              </w:rPr>
              <w:t>26</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33" w:history="1">
            <w:r w:rsidRPr="009A6458">
              <w:rPr>
                <w:rStyle w:val="Hyperlink"/>
                <w:noProof/>
              </w:rPr>
              <w:t>9.1.</w:t>
            </w:r>
            <w:r>
              <w:rPr>
                <w:rFonts w:asciiTheme="minorHAnsi" w:eastAsiaTheme="minorEastAsia" w:hAnsiTheme="minorHAnsi" w:cstheme="minorBidi"/>
                <w:noProof/>
                <w:lang w:eastAsia="en-AU"/>
              </w:rPr>
              <w:tab/>
            </w:r>
            <w:r w:rsidRPr="009A6458">
              <w:rPr>
                <w:rStyle w:val="Hyperlink"/>
                <w:noProof/>
              </w:rPr>
              <w:t>First round assessment of benefits</w:t>
            </w:r>
            <w:r>
              <w:rPr>
                <w:noProof/>
                <w:webHidden/>
              </w:rPr>
              <w:tab/>
            </w:r>
            <w:r>
              <w:rPr>
                <w:noProof/>
                <w:webHidden/>
              </w:rPr>
              <w:fldChar w:fldCharType="begin"/>
            </w:r>
            <w:r>
              <w:rPr>
                <w:noProof/>
                <w:webHidden/>
              </w:rPr>
              <w:instrText xml:space="preserve"> PAGEREF _Toc474335033 \h </w:instrText>
            </w:r>
            <w:r>
              <w:rPr>
                <w:noProof/>
                <w:webHidden/>
              </w:rPr>
            </w:r>
            <w:r>
              <w:rPr>
                <w:noProof/>
                <w:webHidden/>
              </w:rPr>
              <w:fldChar w:fldCharType="separate"/>
            </w:r>
            <w:r>
              <w:rPr>
                <w:noProof/>
                <w:webHidden/>
              </w:rPr>
              <w:t>26</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34" w:history="1">
            <w:r w:rsidRPr="009A6458">
              <w:rPr>
                <w:rStyle w:val="Hyperlink"/>
                <w:noProof/>
              </w:rPr>
              <w:t>9.2.</w:t>
            </w:r>
            <w:r>
              <w:rPr>
                <w:rFonts w:asciiTheme="minorHAnsi" w:eastAsiaTheme="minorEastAsia" w:hAnsiTheme="minorHAnsi" w:cstheme="minorBidi"/>
                <w:noProof/>
                <w:lang w:eastAsia="en-AU"/>
              </w:rPr>
              <w:tab/>
            </w:r>
            <w:r w:rsidRPr="009A6458">
              <w:rPr>
                <w:rStyle w:val="Hyperlink"/>
                <w:noProof/>
              </w:rPr>
              <w:t>First round assessment of risks</w:t>
            </w:r>
            <w:r>
              <w:rPr>
                <w:noProof/>
                <w:webHidden/>
              </w:rPr>
              <w:tab/>
            </w:r>
            <w:r>
              <w:rPr>
                <w:noProof/>
                <w:webHidden/>
              </w:rPr>
              <w:fldChar w:fldCharType="begin"/>
            </w:r>
            <w:r>
              <w:rPr>
                <w:noProof/>
                <w:webHidden/>
              </w:rPr>
              <w:instrText xml:space="preserve"> PAGEREF _Toc474335034 \h </w:instrText>
            </w:r>
            <w:r>
              <w:rPr>
                <w:noProof/>
                <w:webHidden/>
              </w:rPr>
            </w:r>
            <w:r>
              <w:rPr>
                <w:noProof/>
                <w:webHidden/>
              </w:rPr>
              <w:fldChar w:fldCharType="separate"/>
            </w:r>
            <w:r>
              <w:rPr>
                <w:noProof/>
                <w:webHidden/>
              </w:rPr>
              <w:t>27</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35" w:history="1">
            <w:r w:rsidRPr="009A6458">
              <w:rPr>
                <w:rStyle w:val="Hyperlink"/>
                <w:noProof/>
              </w:rPr>
              <w:t>9.3.</w:t>
            </w:r>
            <w:r>
              <w:rPr>
                <w:rFonts w:asciiTheme="minorHAnsi" w:eastAsiaTheme="minorEastAsia" w:hAnsiTheme="minorHAnsi" w:cstheme="minorBidi"/>
                <w:noProof/>
                <w:lang w:eastAsia="en-AU"/>
              </w:rPr>
              <w:tab/>
            </w:r>
            <w:r w:rsidRPr="009A6458">
              <w:rPr>
                <w:rStyle w:val="Hyperlink"/>
                <w:noProof/>
              </w:rPr>
              <w:t>First round assessment of benefit-risk balance</w:t>
            </w:r>
            <w:r>
              <w:rPr>
                <w:noProof/>
                <w:webHidden/>
              </w:rPr>
              <w:tab/>
            </w:r>
            <w:r>
              <w:rPr>
                <w:noProof/>
                <w:webHidden/>
              </w:rPr>
              <w:fldChar w:fldCharType="begin"/>
            </w:r>
            <w:r>
              <w:rPr>
                <w:noProof/>
                <w:webHidden/>
              </w:rPr>
              <w:instrText xml:space="preserve"> PAGEREF _Toc474335035 \h </w:instrText>
            </w:r>
            <w:r>
              <w:rPr>
                <w:noProof/>
                <w:webHidden/>
              </w:rPr>
            </w:r>
            <w:r>
              <w:rPr>
                <w:noProof/>
                <w:webHidden/>
              </w:rPr>
              <w:fldChar w:fldCharType="separate"/>
            </w:r>
            <w:r>
              <w:rPr>
                <w:noProof/>
                <w:webHidden/>
              </w:rPr>
              <w:t>27</w:t>
            </w:r>
            <w:r>
              <w:rPr>
                <w:noProof/>
                <w:webHidden/>
              </w:rPr>
              <w:fldChar w:fldCharType="end"/>
            </w:r>
          </w:hyperlink>
        </w:p>
        <w:p w:rsidR="00F72DA2" w:rsidRDefault="00F72DA2">
          <w:pPr>
            <w:pStyle w:val="TOC2"/>
            <w:tabs>
              <w:tab w:val="left" w:pos="1320"/>
            </w:tabs>
            <w:rPr>
              <w:rFonts w:asciiTheme="minorHAnsi" w:eastAsiaTheme="minorEastAsia" w:hAnsiTheme="minorHAnsi" w:cstheme="minorBidi"/>
              <w:b w:val="0"/>
              <w:noProof/>
              <w:sz w:val="22"/>
              <w:lang w:eastAsia="en-AU"/>
            </w:rPr>
          </w:pPr>
          <w:hyperlink w:anchor="_Toc474335036" w:history="1">
            <w:r w:rsidRPr="009A6458">
              <w:rPr>
                <w:rStyle w:val="Hyperlink"/>
                <w:noProof/>
              </w:rPr>
              <w:t>10.</w:t>
            </w:r>
            <w:r>
              <w:rPr>
                <w:rFonts w:asciiTheme="minorHAnsi" w:eastAsiaTheme="minorEastAsia" w:hAnsiTheme="minorHAnsi" w:cstheme="minorBidi"/>
                <w:b w:val="0"/>
                <w:noProof/>
                <w:sz w:val="22"/>
                <w:lang w:eastAsia="en-AU"/>
              </w:rPr>
              <w:tab/>
            </w:r>
            <w:r w:rsidRPr="009A6458">
              <w:rPr>
                <w:rStyle w:val="Hyperlink"/>
                <w:noProof/>
              </w:rPr>
              <w:t>First round recommendation regarding authorisation</w:t>
            </w:r>
            <w:r>
              <w:rPr>
                <w:noProof/>
                <w:webHidden/>
              </w:rPr>
              <w:tab/>
            </w:r>
            <w:r>
              <w:rPr>
                <w:noProof/>
                <w:webHidden/>
              </w:rPr>
              <w:fldChar w:fldCharType="begin"/>
            </w:r>
            <w:r>
              <w:rPr>
                <w:noProof/>
                <w:webHidden/>
              </w:rPr>
              <w:instrText xml:space="preserve"> PAGEREF _Toc474335036 \h </w:instrText>
            </w:r>
            <w:r>
              <w:rPr>
                <w:noProof/>
                <w:webHidden/>
              </w:rPr>
            </w:r>
            <w:r>
              <w:rPr>
                <w:noProof/>
                <w:webHidden/>
              </w:rPr>
              <w:fldChar w:fldCharType="separate"/>
            </w:r>
            <w:r>
              <w:rPr>
                <w:noProof/>
                <w:webHidden/>
              </w:rPr>
              <w:t>27</w:t>
            </w:r>
            <w:r>
              <w:rPr>
                <w:noProof/>
                <w:webHidden/>
              </w:rPr>
              <w:fldChar w:fldCharType="end"/>
            </w:r>
          </w:hyperlink>
        </w:p>
        <w:p w:rsidR="00F72DA2" w:rsidRDefault="00F72DA2">
          <w:pPr>
            <w:pStyle w:val="TOC2"/>
            <w:tabs>
              <w:tab w:val="left" w:pos="1320"/>
            </w:tabs>
            <w:rPr>
              <w:rFonts w:asciiTheme="minorHAnsi" w:eastAsiaTheme="minorEastAsia" w:hAnsiTheme="minorHAnsi" w:cstheme="minorBidi"/>
              <w:b w:val="0"/>
              <w:noProof/>
              <w:sz w:val="22"/>
              <w:lang w:eastAsia="en-AU"/>
            </w:rPr>
          </w:pPr>
          <w:hyperlink w:anchor="_Toc474335037" w:history="1">
            <w:r w:rsidRPr="009A6458">
              <w:rPr>
                <w:rStyle w:val="Hyperlink"/>
                <w:noProof/>
              </w:rPr>
              <w:t>11.</w:t>
            </w:r>
            <w:r>
              <w:rPr>
                <w:rFonts w:asciiTheme="minorHAnsi" w:eastAsiaTheme="minorEastAsia" w:hAnsiTheme="minorHAnsi" w:cstheme="minorBidi"/>
                <w:b w:val="0"/>
                <w:noProof/>
                <w:sz w:val="22"/>
                <w:lang w:eastAsia="en-AU"/>
              </w:rPr>
              <w:tab/>
            </w:r>
            <w:r w:rsidRPr="009A6458">
              <w:rPr>
                <w:rStyle w:val="Hyperlink"/>
                <w:noProof/>
              </w:rPr>
              <w:t>Clinical questions</w:t>
            </w:r>
            <w:r>
              <w:rPr>
                <w:noProof/>
                <w:webHidden/>
              </w:rPr>
              <w:tab/>
            </w:r>
            <w:r>
              <w:rPr>
                <w:noProof/>
                <w:webHidden/>
              </w:rPr>
              <w:fldChar w:fldCharType="begin"/>
            </w:r>
            <w:r>
              <w:rPr>
                <w:noProof/>
                <w:webHidden/>
              </w:rPr>
              <w:instrText xml:space="preserve"> PAGEREF _Toc474335037 \h </w:instrText>
            </w:r>
            <w:r>
              <w:rPr>
                <w:noProof/>
                <w:webHidden/>
              </w:rPr>
            </w:r>
            <w:r>
              <w:rPr>
                <w:noProof/>
                <w:webHidden/>
              </w:rPr>
              <w:fldChar w:fldCharType="separate"/>
            </w:r>
            <w:r>
              <w:rPr>
                <w:noProof/>
                <w:webHidden/>
              </w:rPr>
              <w:t>28</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38" w:history="1">
            <w:r w:rsidRPr="009A6458">
              <w:rPr>
                <w:rStyle w:val="Hyperlink"/>
                <w:noProof/>
              </w:rPr>
              <w:t>11.1.</w:t>
            </w:r>
            <w:r>
              <w:rPr>
                <w:rFonts w:asciiTheme="minorHAnsi" w:eastAsiaTheme="minorEastAsia" w:hAnsiTheme="minorHAnsi" w:cstheme="minorBidi"/>
                <w:noProof/>
                <w:lang w:eastAsia="en-AU"/>
              </w:rPr>
              <w:tab/>
            </w:r>
            <w:r w:rsidRPr="009A6458">
              <w:rPr>
                <w:rStyle w:val="Hyperlink"/>
                <w:noProof/>
              </w:rPr>
              <w:t>Pharmacokinetics</w:t>
            </w:r>
            <w:r>
              <w:rPr>
                <w:noProof/>
                <w:webHidden/>
              </w:rPr>
              <w:tab/>
            </w:r>
            <w:r>
              <w:rPr>
                <w:noProof/>
                <w:webHidden/>
              </w:rPr>
              <w:fldChar w:fldCharType="begin"/>
            </w:r>
            <w:r>
              <w:rPr>
                <w:noProof/>
                <w:webHidden/>
              </w:rPr>
              <w:instrText xml:space="preserve"> PAGEREF _Toc474335038 \h </w:instrText>
            </w:r>
            <w:r>
              <w:rPr>
                <w:noProof/>
                <w:webHidden/>
              </w:rPr>
            </w:r>
            <w:r>
              <w:rPr>
                <w:noProof/>
                <w:webHidden/>
              </w:rPr>
              <w:fldChar w:fldCharType="separate"/>
            </w:r>
            <w:r>
              <w:rPr>
                <w:noProof/>
                <w:webHidden/>
              </w:rPr>
              <w:t>28</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39" w:history="1">
            <w:r w:rsidRPr="009A6458">
              <w:rPr>
                <w:rStyle w:val="Hyperlink"/>
                <w:noProof/>
              </w:rPr>
              <w:t>11.2.</w:t>
            </w:r>
            <w:r>
              <w:rPr>
                <w:rFonts w:asciiTheme="minorHAnsi" w:eastAsiaTheme="minorEastAsia" w:hAnsiTheme="minorHAnsi" w:cstheme="minorBidi"/>
                <w:noProof/>
                <w:lang w:eastAsia="en-AU"/>
              </w:rPr>
              <w:tab/>
            </w:r>
            <w:r w:rsidRPr="009A6458">
              <w:rPr>
                <w:rStyle w:val="Hyperlink"/>
                <w:noProof/>
              </w:rPr>
              <w:t>Pharmacodynamics</w:t>
            </w:r>
            <w:r>
              <w:rPr>
                <w:noProof/>
                <w:webHidden/>
              </w:rPr>
              <w:tab/>
            </w:r>
            <w:r>
              <w:rPr>
                <w:noProof/>
                <w:webHidden/>
              </w:rPr>
              <w:fldChar w:fldCharType="begin"/>
            </w:r>
            <w:r>
              <w:rPr>
                <w:noProof/>
                <w:webHidden/>
              </w:rPr>
              <w:instrText xml:space="preserve"> PAGEREF _Toc474335039 \h </w:instrText>
            </w:r>
            <w:r>
              <w:rPr>
                <w:noProof/>
                <w:webHidden/>
              </w:rPr>
            </w:r>
            <w:r>
              <w:rPr>
                <w:noProof/>
                <w:webHidden/>
              </w:rPr>
              <w:fldChar w:fldCharType="separate"/>
            </w:r>
            <w:r>
              <w:rPr>
                <w:noProof/>
                <w:webHidden/>
              </w:rPr>
              <w:t>28</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40" w:history="1">
            <w:r w:rsidRPr="009A6458">
              <w:rPr>
                <w:rStyle w:val="Hyperlink"/>
                <w:noProof/>
              </w:rPr>
              <w:t>11.3.</w:t>
            </w:r>
            <w:r>
              <w:rPr>
                <w:rFonts w:asciiTheme="minorHAnsi" w:eastAsiaTheme="minorEastAsia" w:hAnsiTheme="minorHAnsi" w:cstheme="minorBidi"/>
                <w:noProof/>
                <w:lang w:eastAsia="en-AU"/>
              </w:rPr>
              <w:tab/>
            </w:r>
            <w:r w:rsidRPr="009A6458">
              <w:rPr>
                <w:rStyle w:val="Hyperlink"/>
                <w:noProof/>
              </w:rPr>
              <w:t>Efficacy</w:t>
            </w:r>
            <w:r>
              <w:rPr>
                <w:noProof/>
                <w:webHidden/>
              </w:rPr>
              <w:tab/>
            </w:r>
            <w:r>
              <w:rPr>
                <w:noProof/>
                <w:webHidden/>
              </w:rPr>
              <w:fldChar w:fldCharType="begin"/>
            </w:r>
            <w:r>
              <w:rPr>
                <w:noProof/>
                <w:webHidden/>
              </w:rPr>
              <w:instrText xml:space="preserve"> PAGEREF _Toc474335040 \h </w:instrText>
            </w:r>
            <w:r>
              <w:rPr>
                <w:noProof/>
                <w:webHidden/>
              </w:rPr>
            </w:r>
            <w:r>
              <w:rPr>
                <w:noProof/>
                <w:webHidden/>
              </w:rPr>
              <w:fldChar w:fldCharType="separate"/>
            </w:r>
            <w:r>
              <w:rPr>
                <w:noProof/>
                <w:webHidden/>
              </w:rPr>
              <w:t>28</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41" w:history="1">
            <w:r w:rsidRPr="009A6458">
              <w:rPr>
                <w:rStyle w:val="Hyperlink"/>
                <w:noProof/>
              </w:rPr>
              <w:t>11.4.</w:t>
            </w:r>
            <w:r>
              <w:rPr>
                <w:rFonts w:asciiTheme="minorHAnsi" w:eastAsiaTheme="minorEastAsia" w:hAnsiTheme="minorHAnsi" w:cstheme="minorBidi"/>
                <w:noProof/>
                <w:lang w:eastAsia="en-AU"/>
              </w:rPr>
              <w:tab/>
            </w:r>
            <w:r w:rsidRPr="009A6458">
              <w:rPr>
                <w:rStyle w:val="Hyperlink"/>
                <w:noProof/>
              </w:rPr>
              <w:t>Safety</w:t>
            </w:r>
            <w:r>
              <w:rPr>
                <w:noProof/>
                <w:webHidden/>
              </w:rPr>
              <w:tab/>
            </w:r>
            <w:r>
              <w:rPr>
                <w:noProof/>
                <w:webHidden/>
              </w:rPr>
              <w:fldChar w:fldCharType="begin"/>
            </w:r>
            <w:r>
              <w:rPr>
                <w:noProof/>
                <w:webHidden/>
              </w:rPr>
              <w:instrText xml:space="preserve"> PAGEREF _Toc474335041 \h </w:instrText>
            </w:r>
            <w:r>
              <w:rPr>
                <w:noProof/>
                <w:webHidden/>
              </w:rPr>
            </w:r>
            <w:r>
              <w:rPr>
                <w:noProof/>
                <w:webHidden/>
              </w:rPr>
              <w:fldChar w:fldCharType="separate"/>
            </w:r>
            <w:r>
              <w:rPr>
                <w:noProof/>
                <w:webHidden/>
              </w:rPr>
              <w:t>28</w:t>
            </w:r>
            <w:r>
              <w:rPr>
                <w:noProof/>
                <w:webHidden/>
              </w:rPr>
              <w:fldChar w:fldCharType="end"/>
            </w:r>
          </w:hyperlink>
        </w:p>
        <w:p w:rsidR="00F72DA2" w:rsidRDefault="00F72DA2">
          <w:pPr>
            <w:pStyle w:val="TOC2"/>
            <w:tabs>
              <w:tab w:val="left" w:pos="1320"/>
            </w:tabs>
            <w:rPr>
              <w:rFonts w:asciiTheme="minorHAnsi" w:eastAsiaTheme="minorEastAsia" w:hAnsiTheme="minorHAnsi" w:cstheme="minorBidi"/>
              <w:b w:val="0"/>
              <w:noProof/>
              <w:sz w:val="22"/>
              <w:lang w:eastAsia="en-AU"/>
            </w:rPr>
          </w:pPr>
          <w:hyperlink w:anchor="_Toc474335042" w:history="1">
            <w:r w:rsidRPr="009A6458">
              <w:rPr>
                <w:rStyle w:val="Hyperlink"/>
                <w:noProof/>
              </w:rPr>
              <w:t>12.</w:t>
            </w:r>
            <w:r>
              <w:rPr>
                <w:rFonts w:asciiTheme="minorHAnsi" w:eastAsiaTheme="minorEastAsia" w:hAnsiTheme="minorHAnsi" w:cstheme="minorBidi"/>
                <w:b w:val="0"/>
                <w:noProof/>
                <w:sz w:val="22"/>
                <w:lang w:eastAsia="en-AU"/>
              </w:rPr>
              <w:tab/>
            </w:r>
            <w:r w:rsidRPr="009A645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_Toc474335042 \h </w:instrText>
            </w:r>
            <w:r>
              <w:rPr>
                <w:noProof/>
                <w:webHidden/>
              </w:rPr>
            </w:r>
            <w:r>
              <w:rPr>
                <w:noProof/>
                <w:webHidden/>
              </w:rPr>
              <w:fldChar w:fldCharType="separate"/>
            </w:r>
            <w:r>
              <w:rPr>
                <w:noProof/>
                <w:webHidden/>
              </w:rPr>
              <w:t>28</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43" w:history="1">
            <w:r w:rsidRPr="009A6458">
              <w:rPr>
                <w:rStyle w:val="Hyperlink"/>
                <w:noProof/>
                <w:lang w:val="en-NZ"/>
              </w:rPr>
              <w:t>12.1.</w:t>
            </w:r>
            <w:r>
              <w:rPr>
                <w:rFonts w:asciiTheme="minorHAnsi" w:eastAsiaTheme="minorEastAsia" w:hAnsiTheme="minorHAnsi" w:cstheme="minorBidi"/>
                <w:noProof/>
                <w:lang w:eastAsia="en-AU"/>
              </w:rPr>
              <w:tab/>
            </w:r>
            <w:r w:rsidRPr="009A6458">
              <w:rPr>
                <w:rStyle w:val="Hyperlink"/>
                <w:noProof/>
                <w:lang w:val="en-NZ"/>
              </w:rPr>
              <w:t>Clinical aspects of the draft PI</w:t>
            </w:r>
            <w:r>
              <w:rPr>
                <w:noProof/>
                <w:webHidden/>
              </w:rPr>
              <w:tab/>
            </w:r>
            <w:r>
              <w:rPr>
                <w:noProof/>
                <w:webHidden/>
              </w:rPr>
              <w:fldChar w:fldCharType="begin"/>
            </w:r>
            <w:r>
              <w:rPr>
                <w:noProof/>
                <w:webHidden/>
              </w:rPr>
              <w:instrText xml:space="preserve"> PAGEREF _Toc474335043 \h </w:instrText>
            </w:r>
            <w:r>
              <w:rPr>
                <w:noProof/>
                <w:webHidden/>
              </w:rPr>
            </w:r>
            <w:r>
              <w:rPr>
                <w:noProof/>
                <w:webHidden/>
              </w:rPr>
              <w:fldChar w:fldCharType="separate"/>
            </w:r>
            <w:r>
              <w:rPr>
                <w:noProof/>
                <w:webHidden/>
              </w:rPr>
              <w:t>29</w:t>
            </w:r>
            <w:r>
              <w:rPr>
                <w:noProof/>
                <w:webHidden/>
              </w:rPr>
              <w:fldChar w:fldCharType="end"/>
            </w:r>
          </w:hyperlink>
        </w:p>
        <w:p w:rsidR="00F72DA2" w:rsidRDefault="00F72DA2">
          <w:pPr>
            <w:pStyle w:val="TOC2"/>
            <w:tabs>
              <w:tab w:val="left" w:pos="1320"/>
            </w:tabs>
            <w:rPr>
              <w:rFonts w:asciiTheme="minorHAnsi" w:eastAsiaTheme="minorEastAsia" w:hAnsiTheme="minorHAnsi" w:cstheme="minorBidi"/>
              <w:b w:val="0"/>
              <w:noProof/>
              <w:sz w:val="22"/>
              <w:lang w:eastAsia="en-AU"/>
            </w:rPr>
          </w:pPr>
          <w:hyperlink w:anchor="_Toc474335044" w:history="1">
            <w:r w:rsidRPr="009A6458">
              <w:rPr>
                <w:rStyle w:val="Hyperlink"/>
                <w:noProof/>
              </w:rPr>
              <w:t>13.</w:t>
            </w:r>
            <w:r>
              <w:rPr>
                <w:rFonts w:asciiTheme="minorHAnsi" w:eastAsiaTheme="minorEastAsia" w:hAnsiTheme="minorHAnsi" w:cstheme="minorBidi"/>
                <w:b w:val="0"/>
                <w:noProof/>
                <w:sz w:val="22"/>
                <w:lang w:eastAsia="en-AU"/>
              </w:rPr>
              <w:tab/>
            </w:r>
            <w:r w:rsidRPr="009A6458">
              <w:rPr>
                <w:rStyle w:val="Hyperlink"/>
                <w:noProof/>
              </w:rPr>
              <w:t>Second round benefit-risk assessment</w:t>
            </w:r>
            <w:r>
              <w:rPr>
                <w:noProof/>
                <w:webHidden/>
              </w:rPr>
              <w:tab/>
            </w:r>
            <w:r>
              <w:rPr>
                <w:noProof/>
                <w:webHidden/>
              </w:rPr>
              <w:fldChar w:fldCharType="begin"/>
            </w:r>
            <w:r>
              <w:rPr>
                <w:noProof/>
                <w:webHidden/>
              </w:rPr>
              <w:instrText xml:space="preserve"> PAGEREF _Toc474335044 \h </w:instrText>
            </w:r>
            <w:r>
              <w:rPr>
                <w:noProof/>
                <w:webHidden/>
              </w:rPr>
            </w:r>
            <w:r>
              <w:rPr>
                <w:noProof/>
                <w:webHidden/>
              </w:rPr>
              <w:fldChar w:fldCharType="separate"/>
            </w:r>
            <w:r>
              <w:rPr>
                <w:noProof/>
                <w:webHidden/>
              </w:rPr>
              <w:t>31</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45" w:history="1">
            <w:r w:rsidRPr="009A6458">
              <w:rPr>
                <w:rStyle w:val="Hyperlink"/>
                <w:noProof/>
              </w:rPr>
              <w:t>13.1.</w:t>
            </w:r>
            <w:r>
              <w:rPr>
                <w:rFonts w:asciiTheme="minorHAnsi" w:eastAsiaTheme="minorEastAsia" w:hAnsiTheme="minorHAnsi" w:cstheme="minorBidi"/>
                <w:noProof/>
                <w:lang w:eastAsia="en-AU"/>
              </w:rPr>
              <w:tab/>
            </w:r>
            <w:r w:rsidRPr="009A6458">
              <w:rPr>
                <w:rStyle w:val="Hyperlink"/>
                <w:noProof/>
              </w:rPr>
              <w:t>Second round assessment of benefits</w:t>
            </w:r>
            <w:r>
              <w:rPr>
                <w:noProof/>
                <w:webHidden/>
              </w:rPr>
              <w:tab/>
            </w:r>
            <w:r>
              <w:rPr>
                <w:noProof/>
                <w:webHidden/>
              </w:rPr>
              <w:fldChar w:fldCharType="begin"/>
            </w:r>
            <w:r>
              <w:rPr>
                <w:noProof/>
                <w:webHidden/>
              </w:rPr>
              <w:instrText xml:space="preserve"> PAGEREF _Toc474335045 \h </w:instrText>
            </w:r>
            <w:r>
              <w:rPr>
                <w:noProof/>
                <w:webHidden/>
              </w:rPr>
            </w:r>
            <w:r>
              <w:rPr>
                <w:noProof/>
                <w:webHidden/>
              </w:rPr>
              <w:fldChar w:fldCharType="separate"/>
            </w:r>
            <w:r>
              <w:rPr>
                <w:noProof/>
                <w:webHidden/>
              </w:rPr>
              <w:t>31</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46" w:history="1">
            <w:r w:rsidRPr="009A6458">
              <w:rPr>
                <w:rStyle w:val="Hyperlink"/>
                <w:noProof/>
              </w:rPr>
              <w:t>13.2.</w:t>
            </w:r>
            <w:r>
              <w:rPr>
                <w:rFonts w:asciiTheme="minorHAnsi" w:eastAsiaTheme="minorEastAsia" w:hAnsiTheme="minorHAnsi" w:cstheme="minorBidi"/>
                <w:noProof/>
                <w:lang w:eastAsia="en-AU"/>
              </w:rPr>
              <w:tab/>
            </w:r>
            <w:r w:rsidRPr="009A6458">
              <w:rPr>
                <w:rStyle w:val="Hyperlink"/>
                <w:noProof/>
              </w:rPr>
              <w:t>Second round assessment of risks</w:t>
            </w:r>
            <w:r>
              <w:rPr>
                <w:noProof/>
                <w:webHidden/>
              </w:rPr>
              <w:tab/>
            </w:r>
            <w:r>
              <w:rPr>
                <w:noProof/>
                <w:webHidden/>
              </w:rPr>
              <w:fldChar w:fldCharType="begin"/>
            </w:r>
            <w:r>
              <w:rPr>
                <w:noProof/>
                <w:webHidden/>
              </w:rPr>
              <w:instrText xml:space="preserve"> PAGEREF _Toc474335046 \h </w:instrText>
            </w:r>
            <w:r>
              <w:rPr>
                <w:noProof/>
                <w:webHidden/>
              </w:rPr>
            </w:r>
            <w:r>
              <w:rPr>
                <w:noProof/>
                <w:webHidden/>
              </w:rPr>
              <w:fldChar w:fldCharType="separate"/>
            </w:r>
            <w:r>
              <w:rPr>
                <w:noProof/>
                <w:webHidden/>
              </w:rPr>
              <w:t>31</w:t>
            </w:r>
            <w:r>
              <w:rPr>
                <w:noProof/>
                <w:webHidden/>
              </w:rPr>
              <w:fldChar w:fldCharType="end"/>
            </w:r>
          </w:hyperlink>
        </w:p>
        <w:p w:rsidR="00F72DA2" w:rsidRDefault="00F72DA2">
          <w:pPr>
            <w:pStyle w:val="TOC3"/>
            <w:tabs>
              <w:tab w:val="left" w:pos="1760"/>
            </w:tabs>
            <w:rPr>
              <w:rFonts w:asciiTheme="minorHAnsi" w:eastAsiaTheme="minorEastAsia" w:hAnsiTheme="minorHAnsi" w:cstheme="minorBidi"/>
              <w:noProof/>
              <w:lang w:eastAsia="en-AU"/>
            </w:rPr>
          </w:pPr>
          <w:hyperlink w:anchor="_Toc474335047" w:history="1">
            <w:r w:rsidRPr="009A6458">
              <w:rPr>
                <w:rStyle w:val="Hyperlink"/>
                <w:noProof/>
              </w:rPr>
              <w:t>13.3.</w:t>
            </w:r>
            <w:r>
              <w:rPr>
                <w:rFonts w:asciiTheme="minorHAnsi" w:eastAsiaTheme="minorEastAsia" w:hAnsiTheme="minorHAnsi" w:cstheme="minorBidi"/>
                <w:noProof/>
                <w:lang w:eastAsia="en-AU"/>
              </w:rPr>
              <w:tab/>
            </w:r>
            <w:r w:rsidRPr="009A6458">
              <w:rPr>
                <w:rStyle w:val="Hyperlink"/>
                <w:noProof/>
              </w:rPr>
              <w:t>Second round assessment of benefit-risk balance</w:t>
            </w:r>
            <w:r>
              <w:rPr>
                <w:noProof/>
                <w:webHidden/>
              </w:rPr>
              <w:tab/>
            </w:r>
            <w:r>
              <w:rPr>
                <w:noProof/>
                <w:webHidden/>
              </w:rPr>
              <w:fldChar w:fldCharType="begin"/>
            </w:r>
            <w:r>
              <w:rPr>
                <w:noProof/>
                <w:webHidden/>
              </w:rPr>
              <w:instrText xml:space="preserve"> PAGEREF _Toc474335047 \h </w:instrText>
            </w:r>
            <w:r>
              <w:rPr>
                <w:noProof/>
                <w:webHidden/>
              </w:rPr>
            </w:r>
            <w:r>
              <w:rPr>
                <w:noProof/>
                <w:webHidden/>
              </w:rPr>
              <w:fldChar w:fldCharType="separate"/>
            </w:r>
            <w:r>
              <w:rPr>
                <w:noProof/>
                <w:webHidden/>
              </w:rPr>
              <w:t>32</w:t>
            </w:r>
            <w:r>
              <w:rPr>
                <w:noProof/>
                <w:webHidden/>
              </w:rPr>
              <w:fldChar w:fldCharType="end"/>
            </w:r>
          </w:hyperlink>
        </w:p>
        <w:p w:rsidR="00F72DA2" w:rsidRDefault="00F72DA2">
          <w:pPr>
            <w:pStyle w:val="TOC2"/>
            <w:tabs>
              <w:tab w:val="left" w:pos="1320"/>
            </w:tabs>
            <w:rPr>
              <w:rFonts w:asciiTheme="minorHAnsi" w:eastAsiaTheme="minorEastAsia" w:hAnsiTheme="minorHAnsi" w:cstheme="minorBidi"/>
              <w:b w:val="0"/>
              <w:noProof/>
              <w:sz w:val="22"/>
              <w:lang w:eastAsia="en-AU"/>
            </w:rPr>
          </w:pPr>
          <w:hyperlink w:anchor="_Toc474335048" w:history="1">
            <w:r w:rsidRPr="009A6458">
              <w:rPr>
                <w:rStyle w:val="Hyperlink"/>
                <w:noProof/>
              </w:rPr>
              <w:t>14.</w:t>
            </w:r>
            <w:r>
              <w:rPr>
                <w:rFonts w:asciiTheme="minorHAnsi" w:eastAsiaTheme="minorEastAsia" w:hAnsiTheme="minorHAnsi" w:cstheme="minorBidi"/>
                <w:b w:val="0"/>
                <w:noProof/>
                <w:sz w:val="22"/>
                <w:lang w:eastAsia="en-AU"/>
              </w:rPr>
              <w:tab/>
            </w:r>
            <w:r w:rsidRPr="009A6458">
              <w:rPr>
                <w:rStyle w:val="Hyperlink"/>
                <w:noProof/>
              </w:rPr>
              <w:t>Second round recommendation regarding authorisation</w:t>
            </w:r>
            <w:r>
              <w:rPr>
                <w:noProof/>
                <w:webHidden/>
              </w:rPr>
              <w:tab/>
            </w:r>
            <w:r>
              <w:rPr>
                <w:noProof/>
                <w:webHidden/>
              </w:rPr>
              <w:fldChar w:fldCharType="begin"/>
            </w:r>
            <w:r>
              <w:rPr>
                <w:noProof/>
                <w:webHidden/>
              </w:rPr>
              <w:instrText xml:space="preserve"> PAGEREF _Toc474335048 \h </w:instrText>
            </w:r>
            <w:r>
              <w:rPr>
                <w:noProof/>
                <w:webHidden/>
              </w:rPr>
            </w:r>
            <w:r>
              <w:rPr>
                <w:noProof/>
                <w:webHidden/>
              </w:rPr>
              <w:fldChar w:fldCharType="separate"/>
            </w:r>
            <w:r>
              <w:rPr>
                <w:noProof/>
                <w:webHidden/>
              </w:rPr>
              <w:t>32</w:t>
            </w:r>
            <w:r>
              <w:rPr>
                <w:noProof/>
                <w:webHidden/>
              </w:rPr>
              <w:fldChar w:fldCharType="end"/>
            </w:r>
          </w:hyperlink>
        </w:p>
        <w:p w:rsidR="00F72DA2" w:rsidRDefault="00F72DA2">
          <w:pPr>
            <w:pStyle w:val="TOC2"/>
            <w:tabs>
              <w:tab w:val="left" w:pos="1320"/>
            </w:tabs>
            <w:rPr>
              <w:rFonts w:asciiTheme="minorHAnsi" w:eastAsiaTheme="minorEastAsia" w:hAnsiTheme="minorHAnsi" w:cstheme="minorBidi"/>
              <w:b w:val="0"/>
              <w:noProof/>
              <w:sz w:val="22"/>
              <w:lang w:eastAsia="en-AU"/>
            </w:rPr>
          </w:pPr>
          <w:hyperlink w:anchor="_Toc474335049" w:history="1">
            <w:r w:rsidRPr="009A6458">
              <w:rPr>
                <w:rStyle w:val="Hyperlink"/>
                <w:noProof/>
              </w:rPr>
              <w:t>15.</w:t>
            </w:r>
            <w:r>
              <w:rPr>
                <w:rFonts w:asciiTheme="minorHAnsi" w:eastAsiaTheme="minorEastAsia" w:hAnsiTheme="minorHAnsi" w:cstheme="minorBidi"/>
                <w:b w:val="0"/>
                <w:noProof/>
                <w:sz w:val="22"/>
                <w:lang w:eastAsia="en-AU"/>
              </w:rPr>
              <w:tab/>
            </w:r>
            <w:r w:rsidRPr="009A6458">
              <w:rPr>
                <w:rStyle w:val="Hyperlink"/>
                <w:noProof/>
              </w:rPr>
              <w:t>References</w:t>
            </w:r>
            <w:r>
              <w:rPr>
                <w:noProof/>
                <w:webHidden/>
              </w:rPr>
              <w:tab/>
            </w:r>
            <w:r>
              <w:rPr>
                <w:noProof/>
                <w:webHidden/>
              </w:rPr>
              <w:fldChar w:fldCharType="begin"/>
            </w:r>
            <w:r>
              <w:rPr>
                <w:noProof/>
                <w:webHidden/>
              </w:rPr>
              <w:instrText xml:space="preserve"> PAGEREF _Toc474335049 \h </w:instrText>
            </w:r>
            <w:r>
              <w:rPr>
                <w:noProof/>
                <w:webHidden/>
              </w:rPr>
            </w:r>
            <w:r>
              <w:rPr>
                <w:noProof/>
                <w:webHidden/>
              </w:rPr>
              <w:fldChar w:fldCharType="separate"/>
            </w:r>
            <w:r>
              <w:rPr>
                <w:noProof/>
                <w:webHidden/>
              </w:rPr>
              <w:t>32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0F3492" w:rsidRDefault="000F349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74335001"/>
      <w:r>
        <w:t xml:space="preserve">List of </w:t>
      </w:r>
      <w:r w:rsidR="000F3492">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0F3492" w:rsidRPr="00C051F1" w:rsidTr="000F349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ind w:left="0" w:right="0"/>
              <w:rPr>
                <w:rFonts w:asciiTheme="minorHAnsi" w:hAnsiTheme="minorHAnsi"/>
                <w:sz w:val="20"/>
                <w:szCs w:val="20"/>
                <w:lang w:eastAsia="en-US"/>
              </w:rPr>
            </w:pPr>
            <w:r w:rsidRPr="00C051F1">
              <w:rPr>
                <w:rFonts w:asciiTheme="minorHAnsi" w:hAnsiTheme="minorHAnsi"/>
                <w:sz w:val="20"/>
                <w:szCs w:val="20"/>
                <w:lang w:eastAsia="en-US"/>
              </w:rPr>
              <w:t>Abbreviation</w:t>
            </w:r>
          </w:p>
        </w:tc>
        <w:tc>
          <w:tcPr>
            <w:tcW w:w="6911" w:type="dxa"/>
          </w:tcPr>
          <w:p w:rsidR="000F3492" w:rsidRPr="00C051F1" w:rsidRDefault="000F3492" w:rsidP="00156740">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051F1">
              <w:rPr>
                <w:rFonts w:asciiTheme="minorHAnsi" w:hAnsiTheme="minorHAnsi"/>
                <w:sz w:val="20"/>
                <w:szCs w:val="20"/>
                <w:lang w:eastAsia="en-US"/>
              </w:rPr>
              <w:t>Meaning</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AE</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Adverse event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ATC</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Anatomic Therapeutic Chemical Classification System</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AUC </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Area under the plasma concentration vs. time curve from time 0 (start of injection) to infinity</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BSA</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Body surface area</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BUN</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Blood urea nitrogen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BW</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Body weight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w:t>
            </w:r>
            <w:r w:rsidRPr="00C051F1">
              <w:rPr>
                <w:rFonts w:asciiTheme="minorHAnsi" w:eastAsia="TimesNewRoman" w:hAnsiTheme="minorHAnsi"/>
                <w:sz w:val="20"/>
                <w:szCs w:val="20"/>
                <w:vertAlign w:val="subscript"/>
                <w:lang w:val="en-NZ"/>
              </w:rPr>
              <w:t>20</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Gadobutrol</w:t>
            </w:r>
            <w:proofErr w:type="spellEnd"/>
            <w:r w:rsidRPr="00C051F1">
              <w:rPr>
                <w:rFonts w:asciiTheme="minorHAnsi" w:eastAsia="TimesNewRoman" w:hAnsiTheme="minorHAnsi"/>
                <w:sz w:val="20"/>
                <w:szCs w:val="20"/>
                <w:lang w:val="en-NZ"/>
              </w:rPr>
              <w:t xml:space="preserve"> plasma concentration 20 min post-injection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w:t>
            </w:r>
            <w:r w:rsidRPr="00C051F1">
              <w:rPr>
                <w:rFonts w:asciiTheme="minorHAnsi" w:eastAsia="TimesNewRoman" w:hAnsiTheme="minorHAnsi"/>
                <w:sz w:val="20"/>
                <w:szCs w:val="20"/>
                <w:vertAlign w:val="subscript"/>
                <w:lang w:val="en-NZ"/>
              </w:rPr>
              <w:t>30</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Gadobutrol</w:t>
            </w:r>
            <w:proofErr w:type="spellEnd"/>
            <w:r w:rsidRPr="00C051F1">
              <w:rPr>
                <w:rFonts w:asciiTheme="minorHAnsi" w:eastAsia="TimesNewRoman" w:hAnsiTheme="minorHAnsi"/>
                <w:sz w:val="20"/>
                <w:szCs w:val="20"/>
                <w:lang w:val="en-NZ"/>
              </w:rPr>
              <w:t xml:space="preserve"> plasma concentration 30 min post-injection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C</w:t>
            </w:r>
            <w:r w:rsidRPr="00C051F1">
              <w:rPr>
                <w:rFonts w:asciiTheme="minorHAnsi" w:eastAsia="TimesNewRoman" w:hAnsiTheme="minorHAnsi"/>
                <w:sz w:val="20"/>
                <w:szCs w:val="20"/>
                <w:vertAlign w:val="subscript"/>
                <w:lang w:val="en-NZ"/>
              </w:rPr>
              <w:t>max</w:t>
            </w:r>
            <w:proofErr w:type="spellEnd"/>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Maximum observed drug concentration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CE</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Contrast-enhanced</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CE-MRI</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Contrast-enhanced magnetic resonance imaging</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CL</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Total body clearance of drug from plasma</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CNS</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Central nervous system</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CRO</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Contract research organization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CSP</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Clinical study protocol</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CSR</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Clinical study report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CV</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Coefficient of variation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DAE</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Discontinuation due to adverse event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DICOM</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Digital imaging and communications in medicine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DMPK</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Drug Metabolism and Pharmacokinetics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eGFR</w:t>
            </w:r>
            <w:proofErr w:type="spellEnd"/>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Estimated glomerular filtration rate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ECG</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Electrocardiogram</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EMA</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European Medicines Agency</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EU</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European Union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FAS</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Full analysis set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FDA</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Food and Drug Administration (USA)</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GBCA </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Gadolinium-based contrast agents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GCIS</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Global Clinical Imaging Services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GCP</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Good Clinical Practice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Gd</w:t>
            </w:r>
            <w:proofErr w:type="spellEnd"/>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Gadolinium</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GFR</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Glomerular filtration rate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GMP</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Good Manufacturing Practice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IB</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Investigator’s brochure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ICH</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 International Conference on Harmonization of Technical Requirements for Registration of Pharmaceutical for Human Use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ICP-MS</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Inductive Coupled Plasma – Mass Spectrometric method</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IDMS</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Isotope dilution mass spectroscopy</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IEC</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Independent Ethics Committee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IgE</w:t>
            </w:r>
            <w:proofErr w:type="spellEnd"/>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Immunoglobulin 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INN</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International </w:t>
            </w:r>
            <w:proofErr w:type="spellStart"/>
            <w:r w:rsidRPr="00C051F1">
              <w:rPr>
                <w:rFonts w:asciiTheme="minorHAnsi" w:eastAsia="TimesNewRoman" w:hAnsiTheme="minorHAnsi"/>
                <w:sz w:val="20"/>
                <w:szCs w:val="20"/>
                <w:lang w:val="en-NZ"/>
              </w:rPr>
              <w:t>Nonproprietary</w:t>
            </w:r>
            <w:proofErr w:type="spellEnd"/>
            <w:r w:rsidRPr="00C051F1">
              <w:rPr>
                <w:rFonts w:asciiTheme="minorHAnsi" w:eastAsia="TimesNewRoman" w:hAnsiTheme="minorHAnsi"/>
                <w:sz w:val="20"/>
                <w:szCs w:val="20"/>
                <w:lang w:val="en-NZ"/>
              </w:rPr>
              <w:t xml:space="preserve"> Name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rPr>
                <w:rFonts w:asciiTheme="minorHAnsi" w:eastAsia="TimesNewRoman" w:hAnsiTheme="minorHAnsi"/>
                <w:sz w:val="20"/>
                <w:szCs w:val="20"/>
                <w:lang w:val="en-NZ"/>
              </w:rPr>
            </w:pPr>
            <w:r w:rsidRPr="00C051F1">
              <w:rPr>
                <w:rFonts w:asciiTheme="minorHAnsi" w:eastAsia="TimesNewRoman" w:hAnsiTheme="minorHAnsi"/>
                <w:sz w:val="20"/>
                <w:szCs w:val="20"/>
                <w:lang w:val="en-NZ"/>
              </w:rPr>
              <w:t>IRB</w:t>
            </w:r>
          </w:p>
        </w:tc>
        <w:tc>
          <w:tcPr>
            <w:tcW w:w="6911" w:type="dxa"/>
          </w:tcPr>
          <w:p w:rsidR="000F3492" w:rsidRPr="00C051F1" w:rsidRDefault="000F3492" w:rsidP="00156740">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Institutional Review Board</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IV</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Intravenous(</w:t>
            </w:r>
            <w:proofErr w:type="spellStart"/>
            <w:r w:rsidRPr="00C051F1">
              <w:rPr>
                <w:rFonts w:asciiTheme="minorHAnsi" w:eastAsia="TimesNewRoman" w:hAnsiTheme="minorHAnsi"/>
                <w:sz w:val="20"/>
                <w:szCs w:val="20"/>
                <w:lang w:val="en-NZ"/>
              </w:rPr>
              <w:t>ly</w:t>
            </w:r>
            <w:proofErr w:type="spellEnd"/>
            <w:r w:rsidRPr="00C051F1">
              <w:rPr>
                <w:rFonts w:asciiTheme="minorHAnsi" w:eastAsia="TimesNewRoman" w:hAnsiTheme="minorHAnsi"/>
                <w:sz w:val="20"/>
                <w:szCs w:val="20"/>
                <w:lang w:val="en-NZ"/>
              </w:rPr>
              <w: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kg</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Kilogram(s)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LLOQ</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Lower limit of quantification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MedDRA</w:t>
            </w:r>
            <w:proofErr w:type="spellEnd"/>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Medical Dictionary for Regulatory Activities min Minute(s)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mL</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Milliliter</w:t>
            </w:r>
            <w:proofErr w:type="spellEnd"/>
            <w:r w:rsidRPr="00C051F1">
              <w:rPr>
                <w:rFonts w:asciiTheme="minorHAnsi" w:eastAsia="TimesNewRoman" w:hAnsiTheme="minorHAnsi"/>
                <w:sz w:val="20"/>
                <w:szCs w:val="20"/>
                <w:lang w:val="en-NZ"/>
              </w:rPr>
              <w:t>(s)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MR</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Magnetic resonance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MRA</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Magnetic resonance angiography</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MRI</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Magnetic resonance imaging</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MRT</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Mean residence time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NSF</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Nephrogenic</w:t>
            </w:r>
            <w:proofErr w:type="spellEnd"/>
            <w:r w:rsidRPr="00C051F1">
              <w:rPr>
                <w:rFonts w:asciiTheme="minorHAnsi" w:eastAsia="TimesNewRoman" w:hAnsiTheme="minorHAnsi"/>
                <w:sz w:val="20"/>
                <w:szCs w:val="20"/>
                <w:lang w:val="en-NZ"/>
              </w:rPr>
              <w:t xml:space="preserve"> systemic fibrosis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PBPK</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Physiologically based pharmacokinetic modelling</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PD</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Pharmacodynamic</w:t>
            </w:r>
            <w:proofErr w:type="spellEnd"/>
            <w:r w:rsidRPr="00C051F1">
              <w:rPr>
                <w:rFonts w:asciiTheme="minorHAnsi" w:eastAsia="TimesNewRoman" w:hAnsiTheme="minorHAnsi"/>
                <w:sz w:val="20"/>
                <w:szCs w:val="20"/>
                <w:lang w:val="en-NZ"/>
              </w:rPr>
              <w:t>(s)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PDCO </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Paediatric Committee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PK</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Pharmacokinetic(s)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PMA</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Post menstrual age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PPS</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Per-protocol set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PT</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Preferred term</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QA</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Quality assurance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QC</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Quality control</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QT</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QT interval in electrocardiogram (ECG)</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RAVE</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Validated electronic system for data collection in this study</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SAE</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Serious adverse event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SAF</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Safety analysis set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Scr</w:t>
            </w:r>
            <w:proofErr w:type="spellEnd"/>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Serum creatinine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SD</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Standard deviation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SE</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Standard error</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SID</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Subject identification (number)</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SOC</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System organ class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SOP</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Standard operating procedure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SUSAR</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Suspected unexpected serious adverse reaction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Tesla</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w:t>
            </w:r>
            <w:r w:rsidRPr="00C051F1">
              <w:rPr>
                <w:rFonts w:asciiTheme="minorHAnsi" w:eastAsia="TimesNewRoman" w:hAnsiTheme="minorHAnsi"/>
                <w:sz w:val="20"/>
                <w:szCs w:val="20"/>
                <w:vertAlign w:val="subscript"/>
                <w:lang w:val="en-NZ"/>
              </w:rPr>
              <w:t>½</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Terminal elimination half-life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TEAE</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Treatment-emergent adverse event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TESAE</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Treatment-emergent serious adverse event</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TOSCA</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Tools for syntactic corpus analysis</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ULOQ</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Upper limit of quantitation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USA</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United States of America</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V</w:t>
            </w:r>
            <w:r w:rsidRPr="00C051F1">
              <w:rPr>
                <w:rFonts w:asciiTheme="minorHAnsi" w:eastAsia="TimesNewRoman" w:hAnsiTheme="minorHAnsi"/>
                <w:sz w:val="20"/>
                <w:szCs w:val="20"/>
                <w:vertAlign w:val="subscript"/>
                <w:lang w:val="en-NZ"/>
              </w:rPr>
              <w:t>ss</w:t>
            </w:r>
            <w:proofErr w:type="spellEnd"/>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Apparent volume of distribution at steady state</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WHO</w:t>
            </w:r>
          </w:p>
        </w:tc>
        <w:tc>
          <w:tcPr>
            <w:tcW w:w="6911" w:type="dxa"/>
          </w:tcPr>
          <w:p w:rsidR="000F3492" w:rsidRPr="00C051F1" w:rsidRDefault="000F3492" w:rsidP="001567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World Health Organization</w:t>
            </w:r>
          </w:p>
        </w:tc>
      </w:tr>
      <w:tr w:rsidR="000F3492" w:rsidRPr="00C051F1" w:rsidTr="000F3492">
        <w:tc>
          <w:tcPr>
            <w:cnfStyle w:val="001000000000" w:firstRow="0" w:lastRow="0" w:firstColumn="1" w:lastColumn="0" w:oddVBand="0" w:evenVBand="0" w:oddHBand="0" w:evenHBand="0" w:firstRowFirstColumn="0" w:firstRowLastColumn="0" w:lastRowFirstColumn="0" w:lastRowLastColumn="0"/>
            <w:tcW w:w="1890" w:type="dxa"/>
          </w:tcPr>
          <w:p w:rsidR="000F3492" w:rsidRPr="00C051F1" w:rsidRDefault="000F3492" w:rsidP="00156740">
            <w:pPr>
              <w:rPr>
                <w:rFonts w:asciiTheme="minorHAnsi" w:eastAsia="TimesNewRoman" w:hAnsiTheme="minorHAnsi"/>
                <w:sz w:val="20"/>
                <w:szCs w:val="20"/>
                <w:lang w:val="en-NZ"/>
              </w:rPr>
            </w:pPr>
            <w:r w:rsidRPr="00C051F1">
              <w:rPr>
                <w:rFonts w:asciiTheme="minorHAnsi" w:eastAsia="TimesNewRoman" w:hAnsiTheme="minorHAnsi"/>
                <w:sz w:val="20"/>
                <w:szCs w:val="20"/>
                <w:lang w:val="en-NZ"/>
              </w:rPr>
              <w:t>WHO-DD</w:t>
            </w:r>
          </w:p>
        </w:tc>
        <w:tc>
          <w:tcPr>
            <w:tcW w:w="6911" w:type="dxa"/>
          </w:tcPr>
          <w:p w:rsidR="000F3492" w:rsidRPr="00C051F1" w:rsidRDefault="000F3492" w:rsidP="00156740">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sz w:val="20"/>
                <w:szCs w:val="20"/>
                <w:lang w:val="en-NZ"/>
              </w:rPr>
            </w:pPr>
            <w:r w:rsidRPr="00C051F1">
              <w:rPr>
                <w:rFonts w:asciiTheme="minorHAnsi" w:eastAsia="TimesNewRoman" w:hAnsiTheme="minorHAnsi"/>
                <w:sz w:val="20"/>
                <w:szCs w:val="20"/>
                <w:lang w:val="en-NZ"/>
              </w:rPr>
              <w:t>WHO Drug Dictionary</w:t>
            </w:r>
          </w:p>
        </w:tc>
      </w:tr>
    </w:tbl>
    <w:p w:rsidR="0094614A" w:rsidRDefault="0094614A" w:rsidP="0043797D">
      <w:pPr>
        <w:pStyle w:val="Heading2"/>
        <w:pageBreakBefore/>
        <w:rPr>
          <w:lang w:eastAsia="en-AU"/>
        </w:rPr>
      </w:pPr>
      <w:bookmarkStart w:id="8" w:name="_Toc351718900"/>
      <w:bookmarkStart w:id="9" w:name="_Toc355338635"/>
      <w:bookmarkStart w:id="10" w:name="_Toc474335002"/>
      <w:r>
        <w:rPr>
          <w:lang w:eastAsia="en-AU"/>
        </w:rPr>
        <w:t>Introduction</w:t>
      </w:r>
      <w:bookmarkEnd w:id="10"/>
    </w:p>
    <w:p w:rsidR="008564D1" w:rsidRDefault="008564D1" w:rsidP="005367B8">
      <w:pPr>
        <w:rPr>
          <w:szCs w:val="24"/>
        </w:rPr>
      </w:pPr>
      <w:r>
        <w:t xml:space="preserve">This is a submission to change/increase the patient group for </w:t>
      </w:r>
      <w:proofErr w:type="spellStart"/>
      <w:r w:rsidR="002D73B1">
        <w:t>Gadovist</w:t>
      </w:r>
      <w:proofErr w:type="spellEnd"/>
      <w:r>
        <w:t xml:space="preserve"> 1.0 (</w:t>
      </w:r>
      <w:proofErr w:type="spellStart"/>
      <w:r>
        <w:t>gadobutrol</w:t>
      </w:r>
      <w:proofErr w:type="spellEnd"/>
      <w:r>
        <w:t xml:space="preserve"> 1 </w:t>
      </w:r>
      <w:proofErr w:type="spellStart"/>
      <w:r>
        <w:t>mmol</w:t>
      </w:r>
      <w:proofErr w:type="spellEnd"/>
      <w:r>
        <w:t>/mL) to include paediatric patients less than 2 years of age (including term neonates and toddlers 23 months of age) for the same indications approved for adults, adolescents and children above 2 years of age.</w:t>
      </w:r>
    </w:p>
    <w:p w:rsidR="008564D1" w:rsidRDefault="008564D1" w:rsidP="005367B8">
      <w:pPr>
        <w:rPr>
          <w:lang w:val="en-NZ"/>
        </w:rPr>
      </w:pPr>
      <w:proofErr w:type="spellStart"/>
      <w:r>
        <w:rPr>
          <w:lang w:val="en-NZ"/>
        </w:rPr>
        <w:t>Gadovist</w:t>
      </w:r>
      <w:proofErr w:type="spellEnd"/>
      <w:r>
        <w:rPr>
          <w:lang w:val="en-NZ"/>
        </w:rPr>
        <w:t xml:space="preserve"> 1.0 (</w:t>
      </w:r>
      <w:proofErr w:type="spellStart"/>
      <w:r>
        <w:rPr>
          <w:lang w:val="en-NZ"/>
        </w:rPr>
        <w:t>gadobutrol</w:t>
      </w:r>
      <w:proofErr w:type="spellEnd"/>
      <w:r>
        <w:rPr>
          <w:lang w:val="en-NZ"/>
        </w:rPr>
        <w:t xml:space="preserve">) solution for injection is the complex consisting of gadolinium (III) and the macrocyclic </w:t>
      </w:r>
      <w:proofErr w:type="spellStart"/>
      <w:r>
        <w:rPr>
          <w:lang w:val="en-NZ"/>
        </w:rPr>
        <w:t>dihydroxy-hydroxymethylpropyl-tetraazacyclododecanetriacetic</w:t>
      </w:r>
      <w:proofErr w:type="spellEnd"/>
      <w:r>
        <w:rPr>
          <w:lang w:val="en-NZ"/>
        </w:rPr>
        <w:t xml:space="preserve"> acid (</w:t>
      </w:r>
      <w:proofErr w:type="spellStart"/>
      <w:r>
        <w:rPr>
          <w:lang w:val="en-NZ"/>
        </w:rPr>
        <w:t>butrol</w:t>
      </w:r>
      <w:proofErr w:type="spellEnd"/>
      <w:r>
        <w:rPr>
          <w:lang w:val="en-NZ"/>
        </w:rPr>
        <w:t>), and is an injectable neutral contrast medium for magnetic resonance imaging (MRI).</w:t>
      </w:r>
      <w:r w:rsidR="002D73B1">
        <w:rPr>
          <w:lang w:val="en-NZ"/>
        </w:rPr>
        <w:t xml:space="preserve"> </w:t>
      </w:r>
      <w:proofErr w:type="spellStart"/>
      <w:r>
        <w:rPr>
          <w:lang w:val="en-NZ"/>
        </w:rPr>
        <w:t>Gadobutrol</w:t>
      </w:r>
      <w:proofErr w:type="spellEnd"/>
      <w:r>
        <w:rPr>
          <w:lang w:val="en-NZ"/>
        </w:rPr>
        <w:t xml:space="preserve"> is to be administered by intravenous injection.</w:t>
      </w:r>
    </w:p>
    <w:p w:rsidR="008564D1" w:rsidRDefault="008564D1" w:rsidP="002D73B1">
      <w:pPr>
        <w:pStyle w:val="Heading3"/>
      </w:pPr>
      <w:bookmarkStart w:id="11" w:name="_Toc448083033"/>
      <w:bookmarkStart w:id="12" w:name="_Toc290846231"/>
      <w:bookmarkStart w:id="13" w:name="_Toc272414609"/>
      <w:bookmarkStart w:id="14" w:name="_Toc474335003"/>
      <w:r>
        <w:t>Guidance</w:t>
      </w:r>
      <w:bookmarkEnd w:id="11"/>
      <w:bookmarkEnd w:id="12"/>
      <w:bookmarkEnd w:id="13"/>
      <w:bookmarkEnd w:id="14"/>
    </w:p>
    <w:p w:rsidR="008564D1" w:rsidRDefault="002D73B1" w:rsidP="005367B8">
      <w:pPr>
        <w:rPr>
          <w:szCs w:val="24"/>
        </w:rPr>
      </w:pPr>
      <w:r>
        <w:t>The sponsor</w:t>
      </w:r>
      <w:r w:rsidR="008564D1">
        <w:t xml:space="preserve"> argues that: </w:t>
      </w:r>
      <w:r>
        <w:t>‘</w:t>
      </w:r>
      <w:r w:rsidR="008564D1" w:rsidRPr="002D73B1">
        <w:rPr>
          <w:i/>
          <w:lang w:val="en-NZ"/>
        </w:rPr>
        <w:t xml:space="preserve">Based on guidelines on clinical investigation of products in paediatric populations </w:t>
      </w:r>
      <w:r w:rsidR="00BE4592">
        <w:rPr>
          <w:i/>
          <w:lang w:val="en-NZ"/>
        </w:rPr>
        <w:t>that is,</w:t>
      </w:r>
      <w:r w:rsidR="008564D1" w:rsidRPr="002D73B1">
        <w:rPr>
          <w:i/>
          <w:lang w:val="en-NZ"/>
        </w:rPr>
        <w:t xml:space="preserve"> ICHE11, if indications are the same as those studied and approved in adults, the disease process is similar and the expected outcome is similar to adults, efficacy may be extrapolated from adults to the paediatric population if the pharmacokinetics and safety of studies prove data are similar to adults</w:t>
      </w:r>
      <w:r w:rsidR="008564D1">
        <w:rPr>
          <w:lang w:val="en-NZ"/>
        </w:rPr>
        <w:t>.</w:t>
      </w:r>
      <w:r>
        <w:rPr>
          <w:lang w:val="en-NZ"/>
        </w:rPr>
        <w:t>’</w:t>
      </w:r>
    </w:p>
    <w:p w:rsidR="00586F98" w:rsidRDefault="00586F98" w:rsidP="006B4C50">
      <w:pPr>
        <w:pStyle w:val="Heading2"/>
      </w:pPr>
      <w:bookmarkStart w:id="15" w:name="_Toc474335004"/>
      <w:r w:rsidRPr="0094614A">
        <w:t>Clinical rationale</w:t>
      </w:r>
      <w:bookmarkEnd w:id="15"/>
    </w:p>
    <w:p w:rsidR="008564D1" w:rsidRPr="008564D1" w:rsidRDefault="002D73B1" w:rsidP="005367B8">
      <w:pPr>
        <w:rPr>
          <w:lang w:eastAsia="ja-JP"/>
        </w:rPr>
      </w:pPr>
      <w:r>
        <w:t>The sponsor</w:t>
      </w:r>
      <w:r w:rsidR="008564D1">
        <w:t xml:space="preserve"> argues that </w:t>
      </w:r>
      <w:r>
        <w:t>‘</w:t>
      </w:r>
      <w:r w:rsidR="008564D1" w:rsidRPr="002D73B1">
        <w:rPr>
          <w:i/>
          <w:lang w:val="en-NZ"/>
        </w:rPr>
        <w:t xml:space="preserve">There are no other macrocyclic gadolinium-based contrast agent GBCAs approved for use in children </w:t>
      </w:r>
      <w:proofErr w:type="gramStart"/>
      <w:r w:rsidR="008564D1" w:rsidRPr="002D73B1">
        <w:rPr>
          <w:i/>
          <w:lang w:val="en-NZ"/>
        </w:rPr>
        <w:t>under</w:t>
      </w:r>
      <w:proofErr w:type="gramEnd"/>
      <w:r w:rsidR="008564D1" w:rsidRPr="002D73B1">
        <w:rPr>
          <w:i/>
          <w:lang w:val="en-NZ"/>
        </w:rPr>
        <w:t xml:space="preserve"> 2 years of age with all the approved indications in the United States, Europe and Australia.</w:t>
      </w:r>
      <w:r w:rsidRPr="002D73B1">
        <w:rPr>
          <w:i/>
          <w:lang w:val="en-NZ"/>
        </w:rPr>
        <w:t xml:space="preserve"> </w:t>
      </w:r>
      <w:r w:rsidR="008564D1" w:rsidRPr="002D73B1">
        <w:rPr>
          <w:i/>
          <w:lang w:val="en-NZ"/>
        </w:rPr>
        <w:t>The availability of a GBCA in the full paediatric age range (0 to 17 years) with the full approved indications will fulfil an unmet medical need</w:t>
      </w:r>
      <w:r>
        <w:rPr>
          <w:i/>
          <w:lang w:val="en-NZ"/>
        </w:rPr>
        <w:t>.’</w:t>
      </w:r>
    </w:p>
    <w:p w:rsidR="00586F98" w:rsidRDefault="00586F98" w:rsidP="00586F98">
      <w:pPr>
        <w:pStyle w:val="Heading2"/>
        <w:rPr>
          <w:lang w:eastAsia="en-AU"/>
        </w:rPr>
      </w:pPr>
      <w:bookmarkStart w:id="16" w:name="_Toc474335005"/>
      <w:r>
        <w:rPr>
          <w:lang w:eastAsia="en-AU"/>
        </w:rPr>
        <w:t>Contents of the clinical dossier</w:t>
      </w:r>
      <w:bookmarkEnd w:id="8"/>
      <w:bookmarkEnd w:id="9"/>
      <w:bookmarkEnd w:id="16"/>
    </w:p>
    <w:p w:rsidR="00586F98" w:rsidRDefault="00586F98" w:rsidP="002D73B1">
      <w:pPr>
        <w:pStyle w:val="Heading3"/>
      </w:pPr>
      <w:bookmarkStart w:id="17" w:name="_Toc474335006"/>
      <w:r>
        <w:t>Scope of the clinical dossier</w:t>
      </w:r>
      <w:bookmarkEnd w:id="17"/>
    </w:p>
    <w:p w:rsidR="008564D1" w:rsidRDefault="008564D1" w:rsidP="002D73B1">
      <w:pPr>
        <w:rPr>
          <w:szCs w:val="24"/>
        </w:rPr>
      </w:pPr>
      <w:r>
        <w:t>The submission contained the following clinical information:</w:t>
      </w:r>
    </w:p>
    <w:p w:rsidR="008564D1" w:rsidRDefault="008564D1" w:rsidP="005367B8">
      <w:pPr>
        <w:pStyle w:val="ListBullet"/>
      </w:pPr>
      <w:r>
        <w:t>One population pharmacokinetic study (Study 16152).</w:t>
      </w:r>
    </w:p>
    <w:p w:rsidR="008564D1" w:rsidRDefault="008564D1" w:rsidP="005367B8">
      <w:pPr>
        <w:pStyle w:val="ListBullet"/>
      </w:pPr>
      <w:r>
        <w:t>Two physiologically based pharmacokinetic (PBPK) studies (Study A37273 and Study A49970).</w:t>
      </w:r>
    </w:p>
    <w:p w:rsidR="008564D1" w:rsidRDefault="008564D1" w:rsidP="005367B8">
      <w:pPr>
        <w:pStyle w:val="ListBullet"/>
      </w:pPr>
      <w:r>
        <w:t>One open-label efficacy study (Study 91741) conducted in children aged 0 to &lt;</w:t>
      </w:r>
      <w:r w:rsidR="00463595">
        <w:t xml:space="preserve"> </w:t>
      </w:r>
      <w:r>
        <w:t>2 years.</w:t>
      </w:r>
      <w:r w:rsidR="002D73B1">
        <w:t xml:space="preserve"> </w:t>
      </w:r>
      <w:r>
        <w:t>This study provided the data for the population pharmacokinetic analysis in Study 16152.</w:t>
      </w:r>
    </w:p>
    <w:p w:rsidR="008564D1" w:rsidRDefault="008564D1" w:rsidP="005367B8">
      <w:pPr>
        <w:pStyle w:val="ListBullet"/>
      </w:pPr>
      <w:r>
        <w:t>One other safety study (Study 14823)</w:t>
      </w:r>
    </w:p>
    <w:p w:rsidR="008564D1" w:rsidRDefault="008564D1" w:rsidP="005367B8">
      <w:pPr>
        <w:pStyle w:val="ListBullet"/>
      </w:pPr>
      <w:r>
        <w:t>Two Integrated Safety reports</w:t>
      </w:r>
    </w:p>
    <w:p w:rsidR="00586F98" w:rsidRDefault="008564D1" w:rsidP="00463595">
      <w:pPr>
        <w:pStyle w:val="Heading3"/>
      </w:pPr>
      <w:r>
        <w:t xml:space="preserve"> </w:t>
      </w:r>
      <w:bookmarkStart w:id="18" w:name="_Toc474335007"/>
      <w:r w:rsidR="00586F98">
        <w:t>Paediatric data</w:t>
      </w:r>
      <w:bookmarkEnd w:id="18"/>
    </w:p>
    <w:p w:rsidR="008564D1" w:rsidRDefault="008564D1" w:rsidP="005367B8">
      <w:pPr>
        <w:rPr>
          <w:szCs w:val="24"/>
        </w:rPr>
      </w:pPr>
      <w:r>
        <w:t>The submission included paediatric pharmacokinetic, efficacy and safety data.</w:t>
      </w:r>
    </w:p>
    <w:p w:rsidR="00586F98" w:rsidRDefault="00586F98" w:rsidP="00156740">
      <w:pPr>
        <w:pStyle w:val="Heading3"/>
      </w:pPr>
      <w:bookmarkStart w:id="19" w:name="_Toc474335008"/>
      <w:r>
        <w:t xml:space="preserve">Good clinical </w:t>
      </w:r>
      <w:r w:rsidRPr="00156740">
        <w:t>practice</w:t>
      </w:r>
      <w:bookmarkEnd w:id="19"/>
    </w:p>
    <w:p w:rsidR="008564D1" w:rsidRDefault="008564D1" w:rsidP="005367B8">
      <w:pPr>
        <w:rPr>
          <w:szCs w:val="24"/>
        </w:rPr>
      </w:pPr>
      <w:bookmarkStart w:id="20" w:name="_Toc241374282"/>
      <w:r>
        <w:t>The clinical studies were stated to have been, and appeared to have been, performed according to GCP.</w:t>
      </w:r>
      <w:bookmarkEnd w:id="20"/>
    </w:p>
    <w:p w:rsidR="00586F98" w:rsidRDefault="00586F98" w:rsidP="00586F98">
      <w:pPr>
        <w:pStyle w:val="Heading2"/>
      </w:pPr>
      <w:bookmarkStart w:id="21" w:name="_Toc355338639"/>
      <w:bookmarkStart w:id="22" w:name="_Toc474335009"/>
      <w:r>
        <w:t>Pharmacokinetics</w:t>
      </w:r>
      <w:bookmarkEnd w:id="21"/>
      <w:bookmarkEnd w:id="22"/>
      <w:r>
        <w:t xml:space="preserve"> </w:t>
      </w:r>
    </w:p>
    <w:p w:rsidR="008564D1" w:rsidRDefault="008564D1" w:rsidP="00463595">
      <w:pPr>
        <w:pStyle w:val="Heading3"/>
      </w:pPr>
      <w:bookmarkStart w:id="23" w:name="_Ref271018934"/>
      <w:bookmarkStart w:id="24" w:name="_Ref271018924"/>
      <w:bookmarkStart w:id="25" w:name="_Ref271017296"/>
      <w:bookmarkStart w:id="26" w:name="_Toc448083040"/>
      <w:bookmarkStart w:id="27" w:name="_Toc290846238"/>
      <w:bookmarkStart w:id="28" w:name="_Toc272414614"/>
      <w:bookmarkStart w:id="29" w:name="_Toc474335010"/>
      <w:r>
        <w:t>Studies</w:t>
      </w:r>
      <w:bookmarkEnd w:id="23"/>
      <w:bookmarkEnd w:id="24"/>
      <w:bookmarkEnd w:id="25"/>
      <w:r>
        <w:t xml:space="preserve"> providing pharmacokinetic data</w:t>
      </w:r>
      <w:bookmarkEnd w:id="26"/>
      <w:bookmarkEnd w:id="27"/>
      <w:bookmarkEnd w:id="28"/>
      <w:bookmarkEnd w:id="29"/>
    </w:p>
    <w:p w:rsidR="008564D1" w:rsidRDefault="00463595" w:rsidP="005367B8">
      <w:pPr>
        <w:rPr>
          <w:szCs w:val="24"/>
        </w:rPr>
      </w:pPr>
      <w:r>
        <w:t>Table 1</w:t>
      </w:r>
      <w:r w:rsidR="008564D1">
        <w:t xml:space="preserve"> shows the studies relating to each pharmacokinetic topic.</w:t>
      </w:r>
    </w:p>
    <w:p w:rsidR="008564D1" w:rsidRDefault="008564D1" w:rsidP="00463595">
      <w:pPr>
        <w:pStyle w:val="Tabletitle"/>
      </w:pPr>
      <w:bookmarkStart w:id="30" w:name="_Ref272426277"/>
      <w:bookmarkStart w:id="31" w:name="_Toc290888900"/>
      <w:r>
        <w:t>Table</w:t>
      </w:r>
      <w:bookmarkEnd w:id="30"/>
      <w:r w:rsidR="00463595">
        <w:t xml:space="preserve"> 1:</w:t>
      </w:r>
      <w:r>
        <w:t xml:space="preserve"> Submitted pharmacokinetic studies.</w:t>
      </w:r>
      <w:bookmarkEnd w:id="31"/>
    </w:p>
    <w:tbl>
      <w:tblPr>
        <w:tblStyle w:val="TableTGAblue"/>
        <w:tblW w:w="8789" w:type="dxa"/>
        <w:tblInd w:w="108" w:type="dxa"/>
        <w:tblLayout w:type="fixed"/>
        <w:tblLook w:val="04A0" w:firstRow="1" w:lastRow="0" w:firstColumn="1" w:lastColumn="0" w:noHBand="0" w:noVBand="1"/>
      </w:tblPr>
      <w:tblGrid>
        <w:gridCol w:w="2835"/>
        <w:gridCol w:w="2977"/>
        <w:gridCol w:w="2977"/>
      </w:tblGrid>
      <w:tr w:rsidR="00463595" w:rsidTr="00F72D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hideMark/>
          </w:tcPr>
          <w:p w:rsidR="00463595" w:rsidRPr="00463595" w:rsidRDefault="00463595">
            <w:pPr>
              <w:pStyle w:val="Tabletext"/>
              <w:keepNext/>
              <w:rPr>
                <w:rFonts w:asciiTheme="minorHAnsi" w:hAnsiTheme="minorHAnsi"/>
                <w:sz w:val="20"/>
                <w:szCs w:val="20"/>
              </w:rPr>
            </w:pPr>
            <w:r w:rsidRPr="00463595">
              <w:rPr>
                <w:rFonts w:asciiTheme="minorHAnsi" w:hAnsiTheme="minorHAnsi"/>
                <w:sz w:val="20"/>
                <w:szCs w:val="20"/>
              </w:rPr>
              <w:t>PK topic</w:t>
            </w:r>
          </w:p>
        </w:tc>
        <w:tc>
          <w:tcPr>
            <w:tcW w:w="2977" w:type="dxa"/>
            <w:hideMark/>
          </w:tcPr>
          <w:p w:rsidR="00463595" w:rsidRPr="00463595" w:rsidRDefault="00463595">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63595">
              <w:rPr>
                <w:rFonts w:asciiTheme="minorHAnsi" w:hAnsiTheme="minorHAnsi"/>
                <w:sz w:val="20"/>
                <w:szCs w:val="20"/>
              </w:rPr>
              <w:t>Subtopic</w:t>
            </w:r>
          </w:p>
        </w:tc>
        <w:tc>
          <w:tcPr>
            <w:tcW w:w="2977" w:type="dxa"/>
            <w:hideMark/>
          </w:tcPr>
          <w:p w:rsidR="00463595" w:rsidRPr="00463595" w:rsidRDefault="00463595">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63595">
              <w:rPr>
                <w:rFonts w:asciiTheme="minorHAnsi" w:hAnsiTheme="minorHAnsi"/>
                <w:sz w:val="20"/>
                <w:szCs w:val="20"/>
              </w:rPr>
              <w:t>Study ID</w:t>
            </w:r>
          </w:p>
        </w:tc>
      </w:tr>
      <w:tr w:rsidR="00463595" w:rsidTr="00F43EE0">
        <w:tc>
          <w:tcPr>
            <w:cnfStyle w:val="001000000000" w:firstRow="0" w:lastRow="0" w:firstColumn="1" w:lastColumn="0" w:oddVBand="0" w:evenVBand="0" w:oddHBand="0" w:evenHBand="0" w:firstRowFirstColumn="0" w:firstRowLastColumn="0" w:lastRowFirstColumn="0" w:lastRowLastColumn="0"/>
            <w:tcW w:w="2835" w:type="dxa"/>
            <w:vMerge w:val="restart"/>
            <w:hideMark/>
          </w:tcPr>
          <w:p w:rsidR="00463595" w:rsidRDefault="00463595">
            <w:pPr>
              <w:pStyle w:val="Tabletext"/>
              <w:keepNext/>
              <w:rPr>
                <w:rFonts w:asciiTheme="minorHAnsi" w:hAnsiTheme="minorHAnsi"/>
                <w:b/>
                <w:sz w:val="20"/>
                <w:szCs w:val="20"/>
              </w:rPr>
            </w:pPr>
            <w:r w:rsidRPr="00463595">
              <w:rPr>
                <w:rFonts w:asciiTheme="minorHAnsi" w:hAnsiTheme="minorHAnsi"/>
                <w:b/>
                <w:sz w:val="20"/>
                <w:szCs w:val="20"/>
              </w:rPr>
              <w:t xml:space="preserve">Population </w:t>
            </w:r>
          </w:p>
          <w:p w:rsidR="00463595" w:rsidRPr="00463595" w:rsidRDefault="00463595">
            <w:pPr>
              <w:pStyle w:val="Tabletext"/>
              <w:keepNext/>
              <w:rPr>
                <w:rFonts w:asciiTheme="minorHAnsi" w:hAnsiTheme="minorHAnsi"/>
                <w:sz w:val="20"/>
                <w:szCs w:val="20"/>
              </w:rPr>
            </w:pPr>
            <w:r w:rsidRPr="00463595">
              <w:rPr>
                <w:rFonts w:asciiTheme="minorHAnsi" w:hAnsiTheme="minorHAnsi"/>
                <w:b/>
                <w:sz w:val="20"/>
                <w:szCs w:val="20"/>
              </w:rPr>
              <w:t>PK analyses</w:t>
            </w:r>
          </w:p>
        </w:tc>
        <w:tc>
          <w:tcPr>
            <w:tcW w:w="2977" w:type="dxa"/>
            <w:hideMark/>
          </w:tcPr>
          <w:p w:rsidR="00463595" w:rsidRPr="00463595" w:rsidRDefault="00463595">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3595">
              <w:rPr>
                <w:rFonts w:asciiTheme="minorHAnsi" w:hAnsiTheme="minorHAnsi"/>
                <w:sz w:val="20"/>
                <w:szCs w:val="20"/>
              </w:rPr>
              <w:t>Target population</w:t>
            </w:r>
          </w:p>
        </w:tc>
        <w:tc>
          <w:tcPr>
            <w:tcW w:w="2977" w:type="dxa"/>
            <w:hideMark/>
          </w:tcPr>
          <w:p w:rsidR="00463595" w:rsidRPr="00463595" w:rsidRDefault="00463595">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3595">
              <w:rPr>
                <w:rFonts w:asciiTheme="minorHAnsi" w:hAnsiTheme="minorHAnsi"/>
                <w:sz w:val="20"/>
                <w:szCs w:val="20"/>
              </w:rPr>
              <w:t>Study 16152</w:t>
            </w:r>
          </w:p>
        </w:tc>
      </w:tr>
      <w:tr w:rsidR="00463595" w:rsidTr="00F43EE0">
        <w:tc>
          <w:tcPr>
            <w:cnfStyle w:val="001000000000" w:firstRow="0" w:lastRow="0" w:firstColumn="1" w:lastColumn="0" w:oddVBand="0" w:evenVBand="0" w:oddHBand="0" w:evenHBand="0" w:firstRowFirstColumn="0" w:firstRowLastColumn="0" w:lastRowFirstColumn="0" w:lastRowLastColumn="0"/>
            <w:tcW w:w="2835" w:type="dxa"/>
            <w:vMerge/>
            <w:hideMark/>
          </w:tcPr>
          <w:p w:rsidR="00463595" w:rsidRPr="00463595" w:rsidRDefault="00463595">
            <w:pPr>
              <w:rPr>
                <w:rFonts w:asciiTheme="minorHAnsi" w:hAnsiTheme="minorHAnsi"/>
                <w:kern w:val="16"/>
                <w:sz w:val="20"/>
                <w:szCs w:val="20"/>
              </w:rPr>
            </w:pPr>
          </w:p>
        </w:tc>
        <w:tc>
          <w:tcPr>
            <w:tcW w:w="2977" w:type="dxa"/>
            <w:hideMark/>
          </w:tcPr>
          <w:p w:rsidR="00463595" w:rsidRPr="00463595" w:rsidRDefault="00463595">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3595">
              <w:rPr>
                <w:rFonts w:asciiTheme="minorHAnsi" w:hAnsiTheme="minorHAnsi"/>
                <w:sz w:val="20"/>
                <w:szCs w:val="20"/>
              </w:rPr>
              <w:t>Other: PBPK studies</w:t>
            </w:r>
          </w:p>
        </w:tc>
        <w:tc>
          <w:tcPr>
            <w:tcW w:w="2977" w:type="dxa"/>
            <w:hideMark/>
          </w:tcPr>
          <w:p w:rsidR="00463595" w:rsidRPr="00463595" w:rsidRDefault="00463595">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rPr>
            </w:pPr>
            <w:r w:rsidRPr="00463595">
              <w:rPr>
                <w:rFonts w:asciiTheme="minorHAnsi" w:hAnsiTheme="minorHAnsi"/>
                <w:sz w:val="20"/>
                <w:szCs w:val="20"/>
              </w:rPr>
              <w:t xml:space="preserve">Study A37273 </w:t>
            </w:r>
          </w:p>
          <w:p w:rsidR="00463595" w:rsidRPr="00463595" w:rsidRDefault="00463595">
            <w:pPr>
              <w:pStyle w:val="Tabletext"/>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3595">
              <w:rPr>
                <w:rFonts w:asciiTheme="minorHAnsi" w:hAnsiTheme="minorHAnsi"/>
                <w:sz w:val="20"/>
                <w:szCs w:val="20"/>
              </w:rPr>
              <w:t>Study A49970</w:t>
            </w:r>
          </w:p>
        </w:tc>
      </w:tr>
    </w:tbl>
    <w:p w:rsidR="008564D1" w:rsidRDefault="008564D1" w:rsidP="00463595">
      <w:r>
        <w:t>None of the pharmacokinetic studies had deficiencies that excluded their results from consideration.</w:t>
      </w:r>
    </w:p>
    <w:p w:rsidR="008564D1" w:rsidRDefault="008564D1" w:rsidP="00463595">
      <w:pPr>
        <w:pStyle w:val="Heading3"/>
        <w:rPr>
          <w:sz w:val="24"/>
        </w:rPr>
      </w:pPr>
      <w:bookmarkStart w:id="32" w:name="_Toc448083041"/>
      <w:bookmarkStart w:id="33" w:name="_Toc290846239"/>
      <w:bookmarkStart w:id="34" w:name="_Toc272414616"/>
      <w:bookmarkStart w:id="35" w:name="_Ref269118175"/>
      <w:bookmarkStart w:id="36" w:name="_Toc474335011"/>
      <w:r>
        <w:t>Summary of pharmacokinetics</w:t>
      </w:r>
      <w:bookmarkEnd w:id="32"/>
      <w:bookmarkEnd w:id="33"/>
      <w:bookmarkEnd w:id="34"/>
      <w:bookmarkEnd w:id="35"/>
      <w:bookmarkEnd w:id="36"/>
    </w:p>
    <w:p w:rsidR="008564D1" w:rsidRDefault="008564D1" w:rsidP="005367B8">
      <w:pPr>
        <w:rPr>
          <w:szCs w:val="24"/>
        </w:rPr>
      </w:pPr>
      <w:r>
        <w:t>The information in the following summary is derived from conventional pharmacokinetic studies unless otherwise stated.</w:t>
      </w:r>
    </w:p>
    <w:p w:rsidR="008564D1" w:rsidRDefault="008564D1" w:rsidP="00463595">
      <w:pPr>
        <w:pStyle w:val="Heading4"/>
        <w:rPr>
          <w:sz w:val="24"/>
        </w:rPr>
      </w:pPr>
      <w:bookmarkStart w:id="37" w:name="_Toc448083042"/>
      <w:bookmarkStart w:id="38" w:name="_Toc290846240"/>
      <w:bookmarkStart w:id="39" w:name="_Toc272414617"/>
      <w:r>
        <w:t>Physicochemical characteristics of the active substance</w:t>
      </w:r>
      <w:bookmarkEnd w:id="37"/>
      <w:bookmarkEnd w:id="38"/>
      <w:bookmarkEnd w:id="39"/>
    </w:p>
    <w:p w:rsidR="00F72DA2" w:rsidRDefault="008564D1" w:rsidP="005367B8">
      <w:r>
        <w:t>There were no new data with regard to physicochemical characteristics</w:t>
      </w:r>
      <w:r w:rsidR="00F72DA2">
        <w:t>.</w:t>
      </w:r>
    </w:p>
    <w:p w:rsidR="008564D1" w:rsidRDefault="008564D1" w:rsidP="00463595">
      <w:pPr>
        <w:pStyle w:val="Heading4"/>
        <w:rPr>
          <w:sz w:val="24"/>
        </w:rPr>
      </w:pPr>
      <w:bookmarkStart w:id="40" w:name="_Toc448083043"/>
      <w:bookmarkStart w:id="41" w:name="_Toc290846241"/>
      <w:bookmarkStart w:id="42" w:name="_Toc272414618"/>
      <w:bookmarkStart w:id="43" w:name="_Ref271189143"/>
      <w:bookmarkStart w:id="44" w:name="_Ref271189106"/>
      <w:r>
        <w:t>Pharmacokinetics in healthy subjects</w:t>
      </w:r>
      <w:bookmarkEnd w:id="40"/>
      <w:bookmarkEnd w:id="41"/>
      <w:bookmarkEnd w:id="42"/>
      <w:bookmarkEnd w:id="43"/>
      <w:bookmarkEnd w:id="44"/>
    </w:p>
    <w:p w:rsidR="008564D1" w:rsidRDefault="008564D1" w:rsidP="005367B8">
      <w:pPr>
        <w:rPr>
          <w:szCs w:val="24"/>
        </w:rPr>
      </w:pPr>
      <w:r>
        <w:t>There were no new data with regard to pharmacokinetics in healthy subjects.</w:t>
      </w:r>
    </w:p>
    <w:p w:rsidR="008564D1" w:rsidRDefault="008564D1" w:rsidP="00463595">
      <w:pPr>
        <w:pStyle w:val="Heading4"/>
        <w:rPr>
          <w:sz w:val="24"/>
        </w:rPr>
      </w:pPr>
      <w:bookmarkStart w:id="45" w:name="_Toc448083044"/>
      <w:bookmarkStart w:id="46" w:name="_Toc290846248"/>
      <w:bookmarkStart w:id="47" w:name="_Toc272414625"/>
      <w:bookmarkStart w:id="48" w:name="_Ref271189136"/>
      <w:bookmarkStart w:id="49" w:name="_Ref271189131"/>
      <w:bookmarkStart w:id="50" w:name="_Toc241374292"/>
      <w:r>
        <w:t>Pharmacokinetics in the target population</w:t>
      </w:r>
      <w:bookmarkEnd w:id="45"/>
      <w:bookmarkEnd w:id="46"/>
      <w:bookmarkEnd w:id="47"/>
      <w:bookmarkEnd w:id="48"/>
      <w:bookmarkEnd w:id="49"/>
      <w:bookmarkEnd w:id="50"/>
    </w:p>
    <w:p w:rsidR="008564D1" w:rsidRDefault="008564D1" w:rsidP="005367B8">
      <w:pPr>
        <w:rPr>
          <w:szCs w:val="24"/>
        </w:rPr>
      </w:pPr>
      <w:r>
        <w:t>The target population for the proposed extension of indications are children 0 to &lt;</w:t>
      </w:r>
      <w:r w:rsidR="00156740">
        <w:t xml:space="preserve"> </w:t>
      </w:r>
      <w:r>
        <w:t>2 years.</w:t>
      </w:r>
      <w:r w:rsidR="002D73B1">
        <w:t xml:space="preserve"> </w:t>
      </w:r>
      <w:r>
        <w:t xml:space="preserve">This is discussed </w:t>
      </w:r>
      <w:r w:rsidR="00463595">
        <w:t>further below</w:t>
      </w:r>
      <w:r>
        <w:t>.</w:t>
      </w:r>
    </w:p>
    <w:p w:rsidR="008564D1" w:rsidRDefault="008564D1" w:rsidP="00463595">
      <w:pPr>
        <w:pStyle w:val="Heading4"/>
        <w:rPr>
          <w:sz w:val="24"/>
        </w:rPr>
      </w:pPr>
      <w:bookmarkStart w:id="51" w:name="_Toc241374293"/>
      <w:bookmarkStart w:id="52" w:name="_Toc448083045"/>
      <w:bookmarkStart w:id="53" w:name="_Toc290846249"/>
      <w:bookmarkStart w:id="54" w:name="_Toc272414626"/>
      <w:r>
        <w:t>Pharmacokinetics in other special populations</w:t>
      </w:r>
      <w:bookmarkEnd w:id="51"/>
      <w:bookmarkEnd w:id="52"/>
      <w:bookmarkEnd w:id="53"/>
      <w:bookmarkEnd w:id="54"/>
    </w:p>
    <w:p w:rsidR="008564D1" w:rsidRDefault="008564D1" w:rsidP="00463595">
      <w:pPr>
        <w:pStyle w:val="Heading5"/>
      </w:pPr>
      <w:bookmarkStart w:id="55" w:name="_Toc448083046"/>
      <w:bookmarkStart w:id="56" w:name="_Toc290846250"/>
      <w:bookmarkStart w:id="57" w:name="_Toc272414627"/>
      <w:r>
        <w:t>Pharmacokinetics in subjects with impaired hepatic function</w:t>
      </w:r>
      <w:bookmarkEnd w:id="55"/>
      <w:bookmarkEnd w:id="56"/>
      <w:bookmarkEnd w:id="57"/>
    </w:p>
    <w:p w:rsidR="008564D1" w:rsidRDefault="008564D1" w:rsidP="005367B8">
      <w:pPr>
        <w:rPr>
          <w:szCs w:val="24"/>
        </w:rPr>
      </w:pPr>
      <w:r>
        <w:t>There were no new data with regard to subjects with impaired hepatic function.</w:t>
      </w:r>
    </w:p>
    <w:p w:rsidR="008564D1" w:rsidRDefault="008564D1" w:rsidP="00463595">
      <w:pPr>
        <w:pStyle w:val="Heading5"/>
      </w:pPr>
      <w:bookmarkStart w:id="58" w:name="_Toc448083047"/>
      <w:bookmarkStart w:id="59" w:name="_Toc290846251"/>
      <w:bookmarkStart w:id="60" w:name="_Toc272414628"/>
      <w:r>
        <w:t>Pharmacokinetics in subjects with impaired renal function</w:t>
      </w:r>
      <w:bookmarkEnd w:id="58"/>
      <w:bookmarkEnd w:id="59"/>
      <w:bookmarkEnd w:id="60"/>
    </w:p>
    <w:p w:rsidR="008564D1" w:rsidRDefault="008564D1" w:rsidP="005367B8">
      <w:pPr>
        <w:rPr>
          <w:szCs w:val="24"/>
        </w:rPr>
      </w:pPr>
      <w:r>
        <w:t>There were no new data with regard to subjects with impaired renal function.</w:t>
      </w:r>
    </w:p>
    <w:p w:rsidR="008564D1" w:rsidRDefault="008564D1" w:rsidP="00463595">
      <w:pPr>
        <w:pStyle w:val="Heading5"/>
      </w:pPr>
      <w:bookmarkStart w:id="61" w:name="_Toc448083048"/>
      <w:bookmarkStart w:id="62" w:name="_Toc290846252"/>
      <w:bookmarkStart w:id="63" w:name="_Toc272414629"/>
      <w:r>
        <w:t>Pharmacokinetics according to age</w:t>
      </w:r>
      <w:bookmarkEnd w:id="61"/>
      <w:bookmarkEnd w:id="62"/>
      <w:bookmarkEnd w:id="63"/>
    </w:p>
    <w:p w:rsidR="008564D1" w:rsidRDefault="008564D1" w:rsidP="005367B8">
      <w:pPr>
        <w:rPr>
          <w:szCs w:val="24"/>
        </w:rPr>
      </w:pPr>
      <w:r>
        <w:t>There were no new data with regard to elderly subjects.</w:t>
      </w:r>
    </w:p>
    <w:p w:rsidR="008564D1" w:rsidRDefault="008564D1" w:rsidP="00463595">
      <w:pPr>
        <w:pStyle w:val="Heading5"/>
      </w:pPr>
      <w:bookmarkStart w:id="64" w:name="_Toc448083049"/>
      <w:bookmarkStart w:id="65" w:name="_Toc290846253"/>
      <w:bookmarkStart w:id="66" w:name="_Toc272414630"/>
      <w:r>
        <w:t>Pharmacokinetics related to genetic factors</w:t>
      </w:r>
      <w:bookmarkEnd w:id="64"/>
      <w:bookmarkEnd w:id="65"/>
      <w:bookmarkEnd w:id="66"/>
    </w:p>
    <w:p w:rsidR="008564D1" w:rsidRDefault="008564D1" w:rsidP="005367B8">
      <w:pPr>
        <w:rPr>
          <w:szCs w:val="24"/>
        </w:rPr>
      </w:pPr>
      <w:r>
        <w:t>There were no new data with regard to genetic factors.</w:t>
      </w:r>
    </w:p>
    <w:p w:rsidR="008564D1" w:rsidRDefault="008564D1" w:rsidP="00463595">
      <w:pPr>
        <w:pStyle w:val="Heading5"/>
      </w:pPr>
      <w:bookmarkStart w:id="67" w:name="_Pharmacokinetics_in_paediatric"/>
      <w:bookmarkStart w:id="68" w:name="_Toc272414631"/>
      <w:bookmarkStart w:id="69" w:name="_Toc290846254"/>
      <w:bookmarkStart w:id="70" w:name="_Toc448083050"/>
      <w:bookmarkEnd w:id="67"/>
      <w:r>
        <w:t xml:space="preserve">Pharmacokinetics </w:t>
      </w:r>
      <w:bookmarkEnd w:id="68"/>
      <w:bookmarkEnd w:id="69"/>
      <w:r>
        <w:t>in paediatric populations</w:t>
      </w:r>
      <w:bookmarkEnd w:id="70"/>
    </w:p>
    <w:p w:rsidR="008564D1" w:rsidRDefault="008564D1" w:rsidP="005367B8">
      <w:r>
        <w:t xml:space="preserve">In Study 16152 there was significantly greater exposure to </w:t>
      </w:r>
      <w:proofErr w:type="spellStart"/>
      <w:r>
        <w:t>gadobutrol</w:t>
      </w:r>
      <w:proofErr w:type="spellEnd"/>
      <w:r>
        <w:t xml:space="preserve"> in the &lt;2 month age group compared to the 2 to 23 month age group: median (95% CI) post</w:t>
      </w:r>
      <w:r w:rsidR="00DC3496">
        <w:t xml:space="preserve"> </w:t>
      </w:r>
      <w:r>
        <w:t>hoc AUC 1070 (959 to 1220) µ</w:t>
      </w:r>
      <w:proofErr w:type="spellStart"/>
      <w:r>
        <w:t>mol•h</w:t>
      </w:r>
      <w:proofErr w:type="spellEnd"/>
      <w:r>
        <w:t>/L compared to 751 (706 to 781) µ</w:t>
      </w:r>
      <w:proofErr w:type="spellStart"/>
      <w:r>
        <w:t>mol•h</w:t>
      </w:r>
      <w:proofErr w:type="spellEnd"/>
      <w:r>
        <w:t>/L respectively (</w:t>
      </w:r>
      <w:r w:rsidR="00463595">
        <w:t>Table 2</w:t>
      </w:r>
      <w:r>
        <w:t>).</w:t>
      </w:r>
      <w:r w:rsidR="002D73B1">
        <w:t xml:space="preserve"> </w:t>
      </w:r>
      <w:r>
        <w:t>Half-life was longer in the &lt;2 month age group: median (95% CI) post</w:t>
      </w:r>
      <w:r w:rsidR="00DC3496">
        <w:t xml:space="preserve"> </w:t>
      </w:r>
      <w:r>
        <w:t>hoc t</w:t>
      </w:r>
      <w:r w:rsidRPr="00463595">
        <w:rPr>
          <w:vertAlign w:val="subscript"/>
        </w:rPr>
        <w:t>½</w:t>
      </w:r>
      <w:r>
        <w:t xml:space="preserve"> 2.63 (2.52 to 3.33) h compared to 1.46 (1.42 to 1.67) h respectively.</w:t>
      </w:r>
      <w:r w:rsidR="002D73B1">
        <w:t xml:space="preserve"> </w:t>
      </w:r>
      <w:r>
        <w:t>Mean residency time (MRT) was longer in the &lt;2 month age group: median (95% CI) post</w:t>
      </w:r>
      <w:r w:rsidR="00DC3496">
        <w:t xml:space="preserve"> </w:t>
      </w:r>
      <w:r>
        <w:t>hoc t</w:t>
      </w:r>
      <w:r w:rsidRPr="00156740">
        <w:rPr>
          <w:vertAlign w:val="subscript"/>
        </w:rPr>
        <w:t>½</w:t>
      </w:r>
      <w:r>
        <w:t xml:space="preserve"> 3.60 (3.39 to 4.57) h compared to 1.97 </w:t>
      </w:r>
      <w:r w:rsidR="009B263A">
        <w:t>(1.90 to 2.25) h respectively.</w:t>
      </w:r>
    </w:p>
    <w:p w:rsidR="009B263A" w:rsidRDefault="00463595" w:rsidP="00463595">
      <w:pPr>
        <w:pStyle w:val="Tabletitle"/>
        <w:rPr>
          <w:lang w:val="en-NZ"/>
        </w:rPr>
      </w:pPr>
      <w:bookmarkStart w:id="71" w:name="Table_18_1_1_3"/>
      <w:r>
        <w:t>Table 2:</w:t>
      </w:r>
      <w:bookmarkEnd w:id="71"/>
      <w:r>
        <w:t xml:space="preserve"> </w:t>
      </w:r>
      <w:r w:rsidR="009B263A" w:rsidRPr="00197AA6">
        <w:rPr>
          <w:lang w:val="en-NZ"/>
        </w:rPr>
        <w:t>Summary of individual post</w:t>
      </w:r>
      <w:r w:rsidR="00DC3496">
        <w:rPr>
          <w:lang w:val="en-NZ"/>
        </w:rPr>
        <w:t xml:space="preserve"> </w:t>
      </w:r>
      <w:r w:rsidR="009B263A" w:rsidRPr="00197AA6">
        <w:rPr>
          <w:lang w:val="en-NZ"/>
        </w:rPr>
        <w:t xml:space="preserve">hoc estimates and derived PK parameters of all </w:t>
      </w:r>
      <w:proofErr w:type="spellStart"/>
      <w:r w:rsidR="009B263A" w:rsidRPr="00197AA6">
        <w:rPr>
          <w:lang w:val="en-NZ"/>
        </w:rPr>
        <w:t>pediatric</w:t>
      </w:r>
      <w:proofErr w:type="spellEnd"/>
      <w:r w:rsidR="009B263A" w:rsidRPr="00197AA6">
        <w:rPr>
          <w:lang w:val="en-NZ"/>
        </w:rPr>
        <w:t xml:space="preserve"> subjects and by age group based on the final population PK model (PPS; all ages: N=43, age group 0 - &lt; 2 months: N=9, age group ≥ 2 months: N=34</w:t>
      </w:r>
      <w:r>
        <w:rPr>
          <w:lang w:val="en-NZ"/>
        </w:rPr>
        <w:t>)</w:t>
      </w:r>
    </w:p>
    <w:p w:rsidR="009B263A" w:rsidRPr="00197AA6" w:rsidRDefault="009B263A" w:rsidP="009B263A">
      <w:pPr>
        <w:rPr>
          <w:rFonts w:ascii="Times New Roman" w:hAnsi="Times New Roman"/>
          <w:sz w:val="24"/>
        </w:rPr>
      </w:pPr>
      <w:r w:rsidRPr="00197AA6">
        <w:rPr>
          <w:rFonts w:ascii="Times New Roman" w:hAnsi="Times New Roman"/>
          <w:noProof/>
          <w:sz w:val="24"/>
          <w:lang w:eastAsia="en-AU"/>
        </w:rPr>
        <w:drawing>
          <wp:inline distT="0" distB="0" distL="0" distR="0" wp14:anchorId="242883A9" wp14:editId="414FB699">
            <wp:extent cx="4519961" cy="4809072"/>
            <wp:effectExtent l="0" t="0" r="0" b="0"/>
            <wp:docPr id="69" name="Picture 69" descr="Table 2: Summary of individual posthoc estimates and derived PK parameters of all pediatric subjects and by age group based on the final population PK model (PPS; all ages: N=43, age group 0 - &lt; 2 months: N=9, age group ≥ 2 months: N=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4520575" cy="4809725"/>
                    </a:xfrm>
                    <a:prstGeom prst="rect">
                      <a:avLst/>
                    </a:prstGeom>
                    <a:noFill/>
                    <a:ln>
                      <a:noFill/>
                    </a:ln>
                  </pic:spPr>
                </pic:pic>
              </a:graphicData>
            </a:graphic>
          </wp:inline>
        </w:drawing>
      </w:r>
    </w:p>
    <w:p w:rsidR="008564D1" w:rsidRDefault="008564D1" w:rsidP="005367B8">
      <w:r>
        <w:t>C</w:t>
      </w:r>
      <w:r>
        <w:rPr>
          <w:vertAlign w:val="subscript"/>
        </w:rPr>
        <w:t>20</w:t>
      </w:r>
      <w:r>
        <w:t xml:space="preserve"> was similar in the &lt;2 month age group to the 2 to 23 month age group: median (5</w:t>
      </w:r>
      <w:r>
        <w:rPr>
          <w:vertAlign w:val="superscript"/>
        </w:rPr>
        <w:t>th</w:t>
      </w:r>
      <w:r>
        <w:t xml:space="preserve"> to 95</w:t>
      </w:r>
      <w:r>
        <w:rPr>
          <w:vertAlign w:val="superscript"/>
        </w:rPr>
        <w:t>th</w:t>
      </w:r>
      <w:r>
        <w:t xml:space="preserve"> percentile) post</w:t>
      </w:r>
      <w:r w:rsidR="00DC3496">
        <w:t xml:space="preserve"> </w:t>
      </w:r>
      <w:r>
        <w:t>hoc C</w:t>
      </w:r>
      <w:r>
        <w:rPr>
          <w:vertAlign w:val="subscript"/>
        </w:rPr>
        <w:t>20</w:t>
      </w:r>
      <w:r>
        <w:t xml:space="preserve"> 313 (230 to 456) h compared to 341 (234 to 457) h respectively.</w:t>
      </w:r>
      <w:r w:rsidR="002D73B1">
        <w:t xml:space="preserve"> </w:t>
      </w:r>
      <w:r>
        <w:t>C</w:t>
      </w:r>
      <w:r>
        <w:rPr>
          <w:vertAlign w:val="subscript"/>
        </w:rPr>
        <w:t>30</w:t>
      </w:r>
      <w:r>
        <w:t xml:space="preserve"> was similar in the &lt;2 month age group to the 2 to 23 month age group: median (5</w:t>
      </w:r>
      <w:r>
        <w:rPr>
          <w:vertAlign w:val="superscript"/>
        </w:rPr>
        <w:t>th</w:t>
      </w:r>
      <w:r>
        <w:t xml:space="preserve"> to 95</w:t>
      </w:r>
      <w:r>
        <w:rPr>
          <w:vertAlign w:val="superscript"/>
        </w:rPr>
        <w:t>th</w:t>
      </w:r>
      <w:r>
        <w:t xml:space="preserve"> percentile) post</w:t>
      </w:r>
      <w:r w:rsidR="00DC3496">
        <w:t xml:space="preserve"> </w:t>
      </w:r>
      <w:r>
        <w:t>hoc C</w:t>
      </w:r>
      <w:r>
        <w:rPr>
          <w:vertAlign w:val="subscript"/>
        </w:rPr>
        <w:t>30</w:t>
      </w:r>
      <w:r>
        <w:t xml:space="preserve"> 279 (176 to 371) h compared to 293 (195 to 396) h respectively.</w:t>
      </w:r>
      <w:r w:rsidR="002D73B1">
        <w:t xml:space="preserve"> </w:t>
      </w:r>
      <w:r>
        <w:t>However, these findings might indicate a similar redistribution phase, whilst the terminal elimination phase may have slower clearance in the &lt;2 month age group.</w:t>
      </w:r>
    </w:p>
    <w:p w:rsidR="00F72DA2" w:rsidRDefault="008564D1" w:rsidP="005367B8">
      <w:r>
        <w:rPr>
          <w:bCs/>
        </w:rPr>
        <w:t>In the PBPK modelling, there was significantly higher exposure in the 0 to 3 Days age group than in older infants and children.</w:t>
      </w:r>
      <w:r w:rsidR="002D73B1">
        <w:rPr>
          <w:bCs/>
        </w:rPr>
        <w:t xml:space="preserve"> </w:t>
      </w:r>
      <w:r>
        <w:rPr>
          <w:bCs/>
        </w:rPr>
        <w:t xml:space="preserve">In Study A37273, </w:t>
      </w:r>
      <w:r>
        <w:t>the model predicted a much higher AUC in the in the first three days after birth than subsequently, and a higher exposure prior to 2 months of age than in the 2 month to 23 month age group.</w:t>
      </w:r>
      <w:r w:rsidR="002D73B1">
        <w:t xml:space="preserve"> </w:t>
      </w:r>
      <w:r>
        <w:t>Exposure was similar in the 3 Days to 2 months age group compared to the 17 to 18 years age group.</w:t>
      </w:r>
      <w:r w:rsidR="002D73B1">
        <w:t xml:space="preserve"> </w:t>
      </w:r>
      <w:r>
        <w:t>However, C</w:t>
      </w:r>
      <w:r>
        <w:rPr>
          <w:vertAlign w:val="subscript"/>
        </w:rPr>
        <w:t>20</w:t>
      </w:r>
      <w:r>
        <w:t xml:space="preserve"> was similar across the age groups</w:t>
      </w:r>
      <w:r w:rsidR="00F72DA2">
        <w:t>.</w:t>
      </w:r>
    </w:p>
    <w:p w:rsidR="008564D1" w:rsidRDefault="008564D1" w:rsidP="00463595">
      <w:pPr>
        <w:pStyle w:val="Heading4"/>
        <w:rPr>
          <w:sz w:val="24"/>
        </w:rPr>
      </w:pPr>
      <w:bookmarkStart w:id="72" w:name="_Toc448083051"/>
      <w:bookmarkStart w:id="73" w:name="_Toc290846255"/>
      <w:bookmarkStart w:id="74" w:name="_Toc272414632"/>
      <w:bookmarkStart w:id="75" w:name="_Toc241374294"/>
      <w:r>
        <w:t>Pharmacokinetic interactions</w:t>
      </w:r>
      <w:bookmarkEnd w:id="72"/>
      <w:bookmarkEnd w:id="73"/>
      <w:bookmarkEnd w:id="74"/>
      <w:bookmarkEnd w:id="75"/>
    </w:p>
    <w:p w:rsidR="008564D1" w:rsidRDefault="008564D1" w:rsidP="005367B8">
      <w:pPr>
        <w:rPr>
          <w:szCs w:val="24"/>
        </w:rPr>
      </w:pPr>
      <w:r>
        <w:t>There were no new data with regard to pharmacokinetic interactions.</w:t>
      </w:r>
    </w:p>
    <w:p w:rsidR="008564D1" w:rsidRDefault="008564D1" w:rsidP="00463595">
      <w:pPr>
        <w:pStyle w:val="Heading3"/>
        <w:rPr>
          <w:sz w:val="24"/>
        </w:rPr>
      </w:pPr>
      <w:bookmarkStart w:id="76" w:name="_Toc448083052"/>
      <w:bookmarkStart w:id="77" w:name="_Toc290846258"/>
      <w:bookmarkStart w:id="78" w:name="_Toc272414635"/>
      <w:bookmarkStart w:id="79" w:name="_Ref271018755"/>
      <w:bookmarkStart w:id="80" w:name="_Ref271018704"/>
      <w:bookmarkStart w:id="81" w:name="_Ref269982040"/>
      <w:bookmarkStart w:id="82" w:name="_Toc241374296"/>
      <w:bookmarkStart w:id="83" w:name="_Toc474335012"/>
      <w:r>
        <w:t>Evaluator’s overall conclusions on pharmacokinetics</w:t>
      </w:r>
      <w:bookmarkEnd w:id="76"/>
      <w:bookmarkEnd w:id="77"/>
      <w:bookmarkEnd w:id="78"/>
      <w:bookmarkEnd w:id="79"/>
      <w:bookmarkEnd w:id="80"/>
      <w:bookmarkEnd w:id="81"/>
      <w:bookmarkEnd w:id="82"/>
      <w:bookmarkEnd w:id="83"/>
    </w:p>
    <w:p w:rsidR="00586F98" w:rsidRDefault="008564D1" w:rsidP="005367B8">
      <w:r>
        <w:t xml:space="preserve">The proposed dosing in children, </w:t>
      </w:r>
      <w:r w:rsidR="00463595">
        <w:t>that is,</w:t>
      </w:r>
      <w:r>
        <w:t xml:space="preserve"> 0</w:t>
      </w:r>
      <w:r>
        <w:rPr>
          <w:lang w:val="en-NZ"/>
        </w:rPr>
        <w:t xml:space="preserve">.1 </w:t>
      </w:r>
      <w:proofErr w:type="spellStart"/>
      <w:r>
        <w:rPr>
          <w:lang w:val="en-NZ"/>
        </w:rPr>
        <w:t>mmol</w:t>
      </w:r>
      <w:proofErr w:type="spellEnd"/>
      <w:r>
        <w:rPr>
          <w:lang w:val="en-NZ"/>
        </w:rPr>
        <w:t xml:space="preserve"> </w:t>
      </w:r>
      <w:proofErr w:type="spellStart"/>
      <w:r>
        <w:rPr>
          <w:lang w:val="en-NZ"/>
        </w:rPr>
        <w:t>Gadovist</w:t>
      </w:r>
      <w:proofErr w:type="spellEnd"/>
      <w:r>
        <w:rPr>
          <w:lang w:val="en-NZ"/>
        </w:rPr>
        <w:t xml:space="preserve"> 1.0 per kg body weight, results in a similar C</w:t>
      </w:r>
      <w:r>
        <w:rPr>
          <w:vertAlign w:val="subscript"/>
          <w:lang w:val="en-NZ"/>
        </w:rPr>
        <w:t>20</w:t>
      </w:r>
      <w:r>
        <w:rPr>
          <w:lang w:val="en-NZ"/>
        </w:rPr>
        <w:t xml:space="preserve"> and C</w:t>
      </w:r>
      <w:r>
        <w:rPr>
          <w:vertAlign w:val="subscript"/>
          <w:lang w:val="en-NZ"/>
        </w:rPr>
        <w:t>30</w:t>
      </w:r>
      <w:r>
        <w:rPr>
          <w:lang w:val="en-NZ"/>
        </w:rPr>
        <w:t xml:space="preserve"> compared to older children and adults.</w:t>
      </w:r>
      <w:r w:rsidR="002D73B1">
        <w:rPr>
          <w:lang w:val="en-NZ"/>
        </w:rPr>
        <w:t xml:space="preserve"> </w:t>
      </w:r>
      <w:r>
        <w:rPr>
          <w:lang w:val="en-NZ"/>
        </w:rPr>
        <w:t>Hence this dose would be expected to have similar efficacy.</w:t>
      </w:r>
      <w:r w:rsidR="002D73B1">
        <w:rPr>
          <w:lang w:val="en-NZ"/>
        </w:rPr>
        <w:t xml:space="preserve"> </w:t>
      </w:r>
      <w:r>
        <w:rPr>
          <w:lang w:val="en-NZ"/>
        </w:rPr>
        <w:t xml:space="preserve">The exposure to </w:t>
      </w:r>
      <w:proofErr w:type="spellStart"/>
      <w:r>
        <w:rPr>
          <w:lang w:val="en-NZ"/>
        </w:rPr>
        <w:t>Gadovist</w:t>
      </w:r>
      <w:proofErr w:type="spellEnd"/>
      <w:r w:rsidR="00C04FBC">
        <w:rPr>
          <w:lang w:val="en-NZ"/>
        </w:rPr>
        <w:t xml:space="preserve"> 1.0</w:t>
      </w:r>
      <w:r>
        <w:rPr>
          <w:lang w:val="en-NZ"/>
        </w:rPr>
        <w:t>, as measured by AUC, is similar for the 3 days to &lt;2 months age group as that for the adolescent age group</w:t>
      </w:r>
      <w:r>
        <w:t>.</w:t>
      </w:r>
      <w:r w:rsidR="002D73B1">
        <w:t xml:space="preserve"> </w:t>
      </w:r>
      <w:r>
        <w:t>The exposure for the 2 months to &lt;2 years age group is lower than that for adolescents.</w:t>
      </w:r>
      <w:r w:rsidR="002D73B1">
        <w:t xml:space="preserve"> </w:t>
      </w:r>
      <w:r>
        <w:t>However, in the 0 to 3 days age group, the exposure is estimated to be twice that of the adolescent age group.</w:t>
      </w:r>
    </w:p>
    <w:p w:rsidR="00586F98" w:rsidRDefault="00586F98" w:rsidP="00586F98">
      <w:pPr>
        <w:pStyle w:val="Heading2"/>
      </w:pPr>
      <w:bookmarkStart w:id="84" w:name="_Toc474335013"/>
      <w:r>
        <w:t>Pharmacodynamics</w:t>
      </w:r>
      <w:bookmarkEnd w:id="84"/>
    </w:p>
    <w:p w:rsidR="008564D1" w:rsidRDefault="008564D1" w:rsidP="00463595">
      <w:pPr>
        <w:pStyle w:val="Heading3"/>
      </w:pPr>
      <w:bookmarkStart w:id="85" w:name="_Toc448083054"/>
      <w:bookmarkStart w:id="86" w:name="_Toc290846260"/>
      <w:bookmarkStart w:id="87" w:name="_Toc272414637"/>
      <w:bookmarkStart w:id="88" w:name="_Toc474335014"/>
      <w:r>
        <w:t xml:space="preserve">Studies providing </w:t>
      </w:r>
      <w:proofErr w:type="spellStart"/>
      <w:r>
        <w:t>pharmacodynamic</w:t>
      </w:r>
      <w:proofErr w:type="spellEnd"/>
      <w:r>
        <w:t xml:space="preserve"> data</w:t>
      </w:r>
      <w:bookmarkEnd w:id="85"/>
      <w:bookmarkEnd w:id="86"/>
      <w:bookmarkEnd w:id="87"/>
      <w:bookmarkEnd w:id="88"/>
    </w:p>
    <w:p w:rsidR="008564D1" w:rsidRDefault="008564D1" w:rsidP="00463595">
      <w:pPr>
        <w:rPr>
          <w:szCs w:val="24"/>
        </w:rPr>
      </w:pPr>
      <w:r>
        <w:t xml:space="preserve">There were no new </w:t>
      </w:r>
      <w:proofErr w:type="spellStart"/>
      <w:r>
        <w:t>pharmacodynamic</w:t>
      </w:r>
      <w:proofErr w:type="spellEnd"/>
      <w:r>
        <w:t xml:space="preserve"> data presented in the submission.</w:t>
      </w:r>
    </w:p>
    <w:p w:rsidR="00586F98" w:rsidRDefault="00C22678" w:rsidP="00463595">
      <w:pPr>
        <w:pStyle w:val="Heading2"/>
      </w:pPr>
      <w:bookmarkStart w:id="89" w:name="_Toc474335015"/>
      <w:r>
        <w:t xml:space="preserve">Dosage selection for the pivotal </w:t>
      </w:r>
      <w:r w:rsidRPr="00463595">
        <w:t>studies</w:t>
      </w:r>
      <w:bookmarkEnd w:id="89"/>
    </w:p>
    <w:p w:rsidR="008564D1" w:rsidRDefault="008564D1" w:rsidP="005367B8">
      <w:r>
        <w:t>The dose used in Study 91741 was based on physiologically based pharmacokinetic modelling (see Study A49970)</w:t>
      </w:r>
    </w:p>
    <w:p w:rsidR="00C22678" w:rsidRDefault="00C22678" w:rsidP="00C22678">
      <w:pPr>
        <w:pStyle w:val="Heading2"/>
      </w:pPr>
      <w:bookmarkStart w:id="90" w:name="_Toc474335016"/>
      <w:r>
        <w:t>Clinical efficacy</w:t>
      </w:r>
      <w:bookmarkEnd w:id="90"/>
    </w:p>
    <w:p w:rsidR="008564D1" w:rsidRDefault="008564D1" w:rsidP="00463595">
      <w:pPr>
        <w:pStyle w:val="Heading3"/>
        <w:rPr>
          <w:sz w:val="24"/>
        </w:rPr>
      </w:pPr>
      <w:bookmarkStart w:id="91" w:name="_Toc448083057"/>
      <w:bookmarkStart w:id="92" w:name="_Toc474335017"/>
      <w:r>
        <w:t>Paediatric patients less</w:t>
      </w:r>
      <w:r w:rsidRPr="00463595">
        <w:rPr>
          <w:rStyle w:val="Heading3Char"/>
        </w:rPr>
        <w:t xml:space="preserve"> </w:t>
      </w:r>
      <w:r>
        <w:t>than 2 years of age</w:t>
      </w:r>
      <w:bookmarkEnd w:id="91"/>
      <w:bookmarkEnd w:id="92"/>
    </w:p>
    <w:p w:rsidR="008564D1" w:rsidRDefault="008564D1" w:rsidP="00463595">
      <w:pPr>
        <w:pStyle w:val="Heading4"/>
      </w:pPr>
      <w:bookmarkStart w:id="93" w:name="_Toc448083058"/>
      <w:bookmarkStart w:id="94" w:name="_Toc290846274"/>
      <w:bookmarkStart w:id="95" w:name="_Toc272414652"/>
      <w:bookmarkStart w:id="96" w:name="_Ref271037274"/>
      <w:r>
        <w:t>Pivotal efficacy studies</w:t>
      </w:r>
      <w:bookmarkEnd w:id="93"/>
      <w:bookmarkEnd w:id="94"/>
      <w:bookmarkEnd w:id="95"/>
      <w:bookmarkEnd w:id="96"/>
    </w:p>
    <w:p w:rsidR="008564D1" w:rsidRDefault="008564D1" w:rsidP="00463595">
      <w:pPr>
        <w:pStyle w:val="Heading5"/>
      </w:pPr>
      <w:bookmarkStart w:id="97" w:name="_Study_91741"/>
      <w:bookmarkStart w:id="98" w:name="_Ref243301615"/>
      <w:bookmarkStart w:id="99" w:name="_Ref271040927"/>
      <w:bookmarkStart w:id="100" w:name="_Ref271040932"/>
      <w:bookmarkStart w:id="101" w:name="_Toc272414653"/>
      <w:bookmarkStart w:id="102" w:name="_Toc290846275"/>
      <w:bookmarkStart w:id="103" w:name="_Toc448083059"/>
      <w:bookmarkEnd w:id="97"/>
      <w:r>
        <w:t>Study 91741</w:t>
      </w:r>
      <w:bookmarkEnd w:id="98"/>
      <w:bookmarkEnd w:id="99"/>
      <w:bookmarkEnd w:id="100"/>
      <w:bookmarkEnd w:id="101"/>
      <w:bookmarkEnd w:id="102"/>
      <w:bookmarkEnd w:id="103"/>
    </w:p>
    <w:p w:rsidR="008564D1" w:rsidRDefault="008564D1" w:rsidP="00463595">
      <w:pPr>
        <w:pStyle w:val="Heading6"/>
        <w:rPr>
          <w:szCs w:val="24"/>
        </w:rPr>
      </w:pPr>
      <w:bookmarkStart w:id="104" w:name="_Study_design,_objectives,"/>
      <w:bookmarkEnd w:id="104"/>
      <w:r>
        <w:t>Study design, objectives, locations and dates</w:t>
      </w:r>
    </w:p>
    <w:p w:rsidR="008564D1" w:rsidRDefault="008564D1" w:rsidP="005367B8">
      <w:r>
        <w:t xml:space="preserve">Study 91741 was an open label, multicentre, pharmacokinetic and safety study in children (term newborn to 23 months age) undergoing a contrast-enhanced MRI with intravenous </w:t>
      </w:r>
      <w:proofErr w:type="spellStart"/>
      <w:r>
        <w:t>gadobutrol</w:t>
      </w:r>
      <w:proofErr w:type="spellEnd"/>
      <w:r>
        <w:rPr>
          <w:rStyle w:val="Hyperlink"/>
          <w:rFonts w:ascii="Times New Roman" w:hAnsi="Times New Roman"/>
          <w:sz w:val="24"/>
        </w:rPr>
        <w:t>.</w:t>
      </w:r>
      <w:r w:rsidR="002D73B1">
        <w:rPr>
          <w:rStyle w:val="Hyperlink"/>
          <w:rFonts w:ascii="Times New Roman" w:hAnsi="Times New Roman"/>
          <w:sz w:val="24"/>
        </w:rPr>
        <w:t xml:space="preserve"> </w:t>
      </w:r>
      <w:r>
        <w:t xml:space="preserve">The study was conducted at nine centres in three countries: Canada (1), Germany (3), </w:t>
      </w:r>
      <w:r w:rsidR="00DC3496">
        <w:t>and USA</w:t>
      </w:r>
      <w:r>
        <w:t xml:space="preserve"> (5) from May 2012 to November 2013.</w:t>
      </w:r>
    </w:p>
    <w:p w:rsidR="008564D1" w:rsidRDefault="008564D1" w:rsidP="00463595">
      <w:pPr>
        <w:pStyle w:val="Heading6"/>
      </w:pPr>
      <w:r>
        <w:t>Inclusion and exclusion criteria</w:t>
      </w:r>
    </w:p>
    <w:p w:rsidR="008564D1" w:rsidRDefault="008564D1" w:rsidP="005367B8">
      <w:pPr>
        <w:rPr>
          <w:lang w:val="en-NZ"/>
        </w:rPr>
      </w:pPr>
      <w:r>
        <w:rPr>
          <w:lang w:val="en-NZ"/>
        </w:rPr>
        <w:t>The inclusion criteria included:</w:t>
      </w:r>
    </w:p>
    <w:p w:rsidR="008564D1" w:rsidRDefault="008564D1" w:rsidP="005367B8">
      <w:pPr>
        <w:pStyle w:val="ListBullet"/>
        <w:rPr>
          <w:lang w:val="en-NZ"/>
        </w:rPr>
      </w:pPr>
      <w:r>
        <w:rPr>
          <w:lang w:val="en-NZ"/>
        </w:rPr>
        <w:t xml:space="preserve">Children aged &lt; 2 years (term </w:t>
      </w:r>
      <w:proofErr w:type="spellStart"/>
      <w:r>
        <w:rPr>
          <w:lang w:val="en-NZ"/>
        </w:rPr>
        <w:t>newborn</w:t>
      </w:r>
      <w:proofErr w:type="spellEnd"/>
      <w:r>
        <w:rPr>
          <w:lang w:val="en-NZ"/>
        </w:rPr>
        <w:t xml:space="preserve"> infants to toddlers 23 months of age inclusive) at the time of </w:t>
      </w:r>
      <w:proofErr w:type="spellStart"/>
      <w:r>
        <w:rPr>
          <w:lang w:val="en-NZ"/>
        </w:rPr>
        <w:t>gadobutrol</w:t>
      </w:r>
      <w:proofErr w:type="spellEnd"/>
      <w:r>
        <w:rPr>
          <w:lang w:val="en-NZ"/>
        </w:rPr>
        <w:t xml:space="preserve"> injection</w:t>
      </w:r>
    </w:p>
    <w:p w:rsidR="008564D1" w:rsidRDefault="008564D1" w:rsidP="005367B8">
      <w:pPr>
        <w:pStyle w:val="ListBullet"/>
        <w:rPr>
          <w:lang w:val="en-NZ"/>
        </w:rPr>
      </w:pPr>
      <w:r>
        <w:rPr>
          <w:lang w:val="en-NZ"/>
        </w:rPr>
        <w:t xml:space="preserve">Scheduled to undergo routine gadolinium-enhanced MRI of </w:t>
      </w:r>
      <w:r w:rsidR="00463595">
        <w:rPr>
          <w:lang w:val="en-NZ"/>
        </w:rPr>
        <w:t>‘</w:t>
      </w:r>
      <w:r>
        <w:rPr>
          <w:lang w:val="en-NZ"/>
        </w:rPr>
        <w:t>any</w:t>
      </w:r>
      <w:r w:rsidR="00463595">
        <w:rPr>
          <w:lang w:val="en-NZ"/>
        </w:rPr>
        <w:t>’</w:t>
      </w:r>
      <w:r>
        <w:rPr>
          <w:lang w:val="en-NZ"/>
        </w:rPr>
        <w:t xml:space="preserve"> body region</w:t>
      </w:r>
    </w:p>
    <w:p w:rsidR="008564D1" w:rsidRDefault="008564D1" w:rsidP="005367B8">
      <w:pPr>
        <w:pStyle w:val="ListBullet"/>
        <w:rPr>
          <w:lang w:val="en-NZ"/>
        </w:rPr>
      </w:pPr>
      <w:r>
        <w:rPr>
          <w:lang w:val="en-NZ"/>
        </w:rPr>
        <w:t xml:space="preserve">Able to comply with the study procedures such as availability at the study centre for 8 hours after the MRI examination for PK blood sampling and for safety assessments at 24 ± 4 hours after the administration of </w:t>
      </w:r>
      <w:proofErr w:type="spellStart"/>
      <w:r>
        <w:rPr>
          <w:lang w:val="en-NZ"/>
        </w:rPr>
        <w:t>gadobutrol</w:t>
      </w:r>
      <w:proofErr w:type="spellEnd"/>
    </w:p>
    <w:p w:rsidR="008564D1" w:rsidRDefault="008564D1" w:rsidP="005367B8">
      <w:pPr>
        <w:rPr>
          <w:lang w:val="en-NZ"/>
        </w:rPr>
      </w:pPr>
      <w:r>
        <w:rPr>
          <w:lang w:val="en-NZ"/>
        </w:rPr>
        <w:t>The exclusion criteria included:</w:t>
      </w:r>
    </w:p>
    <w:p w:rsidR="008564D1" w:rsidRDefault="008564D1" w:rsidP="005367B8">
      <w:pPr>
        <w:pStyle w:val="ListBullet"/>
        <w:rPr>
          <w:lang w:val="en-NZ"/>
        </w:rPr>
      </w:pPr>
      <w:r>
        <w:rPr>
          <w:lang w:val="en-NZ"/>
        </w:rPr>
        <w:t xml:space="preserve">Clinically unstable subjects, </w:t>
      </w:r>
      <w:r w:rsidR="00463595">
        <w:rPr>
          <w:lang w:val="en-NZ"/>
        </w:rPr>
        <w:t>such as</w:t>
      </w:r>
      <w:r>
        <w:rPr>
          <w:lang w:val="en-NZ"/>
        </w:rPr>
        <w:t xml:space="preserve"> subjects in whom fluctuations in safety parameters was observed during the study period due to underlying disease and/or treatment regimens such as </w:t>
      </w:r>
      <w:proofErr w:type="spellStart"/>
      <w:r>
        <w:rPr>
          <w:lang w:val="en-NZ"/>
        </w:rPr>
        <w:t>polytrauma</w:t>
      </w:r>
      <w:proofErr w:type="spellEnd"/>
      <w:r>
        <w:rPr>
          <w:lang w:val="en-NZ"/>
        </w:rPr>
        <w:t xml:space="preserve"> subjects</w:t>
      </w:r>
    </w:p>
    <w:p w:rsidR="008564D1" w:rsidRDefault="008564D1" w:rsidP="005367B8">
      <w:pPr>
        <w:pStyle w:val="ListBullet"/>
        <w:rPr>
          <w:lang w:val="en-NZ"/>
        </w:rPr>
      </w:pPr>
      <w:r>
        <w:rPr>
          <w:lang w:val="en-NZ"/>
        </w:rPr>
        <w:t>Subjects who had a change in chemotherapy ≤</w:t>
      </w:r>
      <w:r w:rsidR="00463595">
        <w:rPr>
          <w:lang w:val="en-NZ"/>
        </w:rPr>
        <w:t xml:space="preserve"> </w:t>
      </w:r>
      <w:r>
        <w:rPr>
          <w:lang w:val="en-NZ"/>
        </w:rPr>
        <w:t xml:space="preserve">48 hours prior to and up to 24 hours after </w:t>
      </w:r>
      <w:proofErr w:type="spellStart"/>
      <w:r>
        <w:rPr>
          <w:lang w:val="en-NZ"/>
        </w:rPr>
        <w:t>gadobutrol</w:t>
      </w:r>
      <w:proofErr w:type="spellEnd"/>
      <w:r>
        <w:rPr>
          <w:lang w:val="en-NZ"/>
        </w:rPr>
        <w:t xml:space="preserve"> injection</w:t>
      </w:r>
    </w:p>
    <w:p w:rsidR="008564D1" w:rsidRDefault="008564D1" w:rsidP="005367B8">
      <w:pPr>
        <w:pStyle w:val="ListBullet"/>
        <w:rPr>
          <w:lang w:val="en-NZ"/>
        </w:rPr>
      </w:pPr>
      <w:r>
        <w:rPr>
          <w:lang w:val="en-NZ"/>
        </w:rPr>
        <w:t xml:space="preserve">Any planned intervention during the study and up to 24 hours after </w:t>
      </w:r>
      <w:proofErr w:type="spellStart"/>
      <w:r>
        <w:rPr>
          <w:lang w:val="en-NZ"/>
        </w:rPr>
        <w:t>gadobutrol</w:t>
      </w:r>
      <w:proofErr w:type="spellEnd"/>
      <w:r>
        <w:rPr>
          <w:lang w:val="en-NZ"/>
        </w:rPr>
        <w:t xml:space="preserve"> injection (excluding lumbar puncture)</w:t>
      </w:r>
    </w:p>
    <w:p w:rsidR="008564D1" w:rsidRDefault="008564D1" w:rsidP="005367B8">
      <w:pPr>
        <w:pStyle w:val="ListBullet"/>
        <w:rPr>
          <w:color w:val="000000"/>
          <w:lang w:val="en-NZ"/>
        </w:rPr>
      </w:pPr>
      <w:r>
        <w:rPr>
          <w:color w:val="000000"/>
          <w:lang w:val="en-NZ"/>
        </w:rPr>
        <w:t xml:space="preserve">Subjects who received or were planned to receive any other contrast agent within 48 hours prior to </w:t>
      </w:r>
      <w:proofErr w:type="spellStart"/>
      <w:r>
        <w:rPr>
          <w:color w:val="000000"/>
          <w:lang w:val="en-NZ"/>
        </w:rPr>
        <w:t>gadobutrol</w:t>
      </w:r>
      <w:proofErr w:type="spellEnd"/>
      <w:r>
        <w:rPr>
          <w:color w:val="000000"/>
          <w:lang w:val="en-NZ"/>
        </w:rPr>
        <w:t xml:space="preserve"> injection or up to 24 hours after </w:t>
      </w:r>
      <w:proofErr w:type="spellStart"/>
      <w:r>
        <w:rPr>
          <w:color w:val="000000"/>
          <w:lang w:val="en-NZ"/>
        </w:rPr>
        <w:t>gadobutrol</w:t>
      </w:r>
      <w:proofErr w:type="spellEnd"/>
      <w:r>
        <w:rPr>
          <w:color w:val="000000"/>
          <w:lang w:val="en-NZ"/>
        </w:rPr>
        <w:t xml:space="preserve"> injection</w:t>
      </w:r>
    </w:p>
    <w:p w:rsidR="008564D1" w:rsidRDefault="008564D1" w:rsidP="005367B8">
      <w:pPr>
        <w:pStyle w:val="ListBullet"/>
        <w:rPr>
          <w:color w:val="000000"/>
          <w:lang w:val="en-NZ"/>
        </w:rPr>
      </w:pPr>
      <w:r>
        <w:rPr>
          <w:color w:val="000000"/>
          <w:lang w:val="en-NZ"/>
        </w:rPr>
        <w:t>Subjects with contraindication for MRI such as iron metal implants (</w:t>
      </w:r>
      <w:r w:rsidR="00463595">
        <w:rPr>
          <w:color w:val="000000"/>
          <w:lang w:val="en-NZ"/>
        </w:rPr>
        <w:t>for example,</w:t>
      </w:r>
      <w:r>
        <w:rPr>
          <w:color w:val="000000"/>
          <w:lang w:val="en-NZ"/>
        </w:rPr>
        <w:t xml:space="preserve"> aneurysm clips)</w:t>
      </w:r>
    </w:p>
    <w:p w:rsidR="008564D1" w:rsidRDefault="008564D1" w:rsidP="005367B8">
      <w:pPr>
        <w:pStyle w:val="ListBullet"/>
        <w:rPr>
          <w:color w:val="000000"/>
          <w:lang w:val="en-NZ"/>
        </w:rPr>
      </w:pPr>
      <w:r>
        <w:rPr>
          <w:color w:val="000000"/>
          <w:lang w:val="en-NZ"/>
        </w:rPr>
        <w:t xml:space="preserve">History of </w:t>
      </w:r>
      <w:proofErr w:type="spellStart"/>
      <w:r>
        <w:rPr>
          <w:color w:val="000000"/>
          <w:lang w:val="en-NZ"/>
        </w:rPr>
        <w:t>anaphylactoid</w:t>
      </w:r>
      <w:proofErr w:type="spellEnd"/>
      <w:r>
        <w:rPr>
          <w:color w:val="000000"/>
          <w:lang w:val="en-NZ"/>
        </w:rPr>
        <w:t xml:space="preserve"> or anaphylactic</w:t>
      </w:r>
      <w:r>
        <w:rPr>
          <w:color w:val="0000FF"/>
          <w:lang w:val="en-NZ"/>
        </w:rPr>
        <w:t xml:space="preserve"> </w:t>
      </w:r>
      <w:r>
        <w:rPr>
          <w:color w:val="000000"/>
          <w:lang w:val="en-NZ"/>
        </w:rPr>
        <w:t>reaction to any allergen including drugs and contrast agents</w:t>
      </w:r>
    </w:p>
    <w:p w:rsidR="008564D1" w:rsidRDefault="008564D1" w:rsidP="005367B8">
      <w:pPr>
        <w:pStyle w:val="ListBullet"/>
        <w:rPr>
          <w:color w:val="000000"/>
          <w:lang w:val="en-NZ"/>
        </w:rPr>
      </w:pPr>
      <w:r>
        <w:rPr>
          <w:color w:val="000000"/>
          <w:lang w:val="en-NZ"/>
        </w:rPr>
        <w:t>Severe inborn or acquired heart rhythm anomalies</w:t>
      </w:r>
    </w:p>
    <w:p w:rsidR="008564D1" w:rsidRDefault="008564D1" w:rsidP="005367B8">
      <w:pPr>
        <w:pStyle w:val="ListBullet"/>
        <w:rPr>
          <w:color w:val="000000"/>
          <w:lang w:val="en-NZ"/>
        </w:rPr>
      </w:pPr>
      <w:r>
        <w:rPr>
          <w:color w:val="000000"/>
          <w:lang w:val="en-NZ"/>
        </w:rPr>
        <w:t>Congenital long QT syndrome or family history of congenital long QT syndrome</w:t>
      </w:r>
    </w:p>
    <w:p w:rsidR="008564D1" w:rsidRDefault="008564D1" w:rsidP="005367B8">
      <w:pPr>
        <w:pStyle w:val="ListBullet"/>
        <w:rPr>
          <w:color w:val="000000"/>
          <w:lang w:val="en-NZ"/>
        </w:rPr>
      </w:pPr>
      <w:r>
        <w:rPr>
          <w:color w:val="000000"/>
          <w:lang w:val="en-NZ"/>
        </w:rPr>
        <w:t>Any concomitant medication known to prolong the QT interval</w:t>
      </w:r>
    </w:p>
    <w:p w:rsidR="008564D1" w:rsidRDefault="008564D1" w:rsidP="005367B8">
      <w:pPr>
        <w:pStyle w:val="ListBullet"/>
        <w:rPr>
          <w:color w:val="000000"/>
          <w:lang w:val="en-NZ"/>
        </w:rPr>
      </w:pPr>
      <w:r>
        <w:rPr>
          <w:color w:val="000000"/>
          <w:lang w:val="en-NZ"/>
        </w:rPr>
        <w:t>Congenital heart defect or higher degree heart block</w:t>
      </w:r>
    </w:p>
    <w:p w:rsidR="008564D1" w:rsidRDefault="008564D1" w:rsidP="005367B8">
      <w:pPr>
        <w:pStyle w:val="ListBullet"/>
        <w:rPr>
          <w:color w:val="000000"/>
          <w:lang w:val="en-NZ"/>
        </w:rPr>
      </w:pPr>
      <w:r>
        <w:rPr>
          <w:color w:val="000000"/>
          <w:lang w:val="en-NZ"/>
        </w:rPr>
        <w:t>Uncorrected hypokalaemia</w:t>
      </w:r>
    </w:p>
    <w:p w:rsidR="008564D1" w:rsidRDefault="008564D1" w:rsidP="005367B8">
      <w:pPr>
        <w:pStyle w:val="ListBullet"/>
        <w:rPr>
          <w:color w:val="000000"/>
          <w:lang w:val="en-NZ"/>
        </w:rPr>
      </w:pPr>
      <w:r>
        <w:rPr>
          <w:color w:val="000000"/>
          <w:lang w:val="en-NZ"/>
        </w:rPr>
        <w:t>Subject with known and clinically relevant deviations of available clinical laboratory parameters from reference ranges (</w:t>
      </w:r>
      <w:r w:rsidR="00BE4592">
        <w:rPr>
          <w:color w:val="000000"/>
          <w:lang w:val="en-NZ"/>
        </w:rPr>
        <w:t>for example,</w:t>
      </w:r>
      <w:r>
        <w:rPr>
          <w:color w:val="000000"/>
          <w:lang w:val="en-NZ"/>
        </w:rPr>
        <w:t xml:space="preserve"> more than 3 times upper limit of reference range), in particular with regard to liver/renal function and blood coagulation</w:t>
      </w:r>
    </w:p>
    <w:p w:rsidR="008564D1" w:rsidRDefault="008564D1" w:rsidP="005367B8">
      <w:pPr>
        <w:pStyle w:val="ListBullet"/>
        <w:rPr>
          <w:color w:val="000000"/>
          <w:lang w:val="en-NZ"/>
        </w:rPr>
      </w:pPr>
      <w:r>
        <w:rPr>
          <w:color w:val="000000"/>
          <w:lang w:val="en-NZ"/>
        </w:rPr>
        <w:t xml:space="preserve">Subject with renal insufficiency of any intensity, </w:t>
      </w:r>
      <w:r w:rsidR="00BE4592">
        <w:rPr>
          <w:color w:val="000000"/>
          <w:lang w:val="en-NZ"/>
        </w:rPr>
        <w:t>that is,</w:t>
      </w:r>
      <w:r>
        <w:rPr>
          <w:color w:val="000000"/>
          <w:lang w:val="en-NZ"/>
        </w:rPr>
        <w:t xml:space="preserve"> </w:t>
      </w:r>
      <w:proofErr w:type="spellStart"/>
      <w:r>
        <w:rPr>
          <w:color w:val="000000"/>
          <w:lang w:val="en-NZ"/>
        </w:rPr>
        <w:t>eGFR</w:t>
      </w:r>
      <w:proofErr w:type="spellEnd"/>
      <w:r>
        <w:rPr>
          <w:color w:val="000000"/>
          <w:lang w:val="en-NZ"/>
        </w:rPr>
        <w:t xml:space="preserve"> &lt;</w:t>
      </w:r>
      <w:r w:rsidR="00156740">
        <w:rPr>
          <w:color w:val="000000"/>
          <w:lang w:val="en-NZ"/>
        </w:rPr>
        <w:t xml:space="preserve"> </w:t>
      </w:r>
      <w:r>
        <w:rPr>
          <w:color w:val="000000"/>
          <w:lang w:val="en-NZ"/>
        </w:rPr>
        <w:t>80% of age adjusted normal value calculated based on the Schwartz formula</w:t>
      </w:r>
    </w:p>
    <w:p w:rsidR="008564D1" w:rsidRDefault="008564D1" w:rsidP="005367B8">
      <w:pPr>
        <w:pStyle w:val="ListBullet"/>
        <w:rPr>
          <w:color w:val="000000"/>
          <w:lang w:val="en-NZ"/>
        </w:rPr>
      </w:pPr>
      <w:r>
        <w:rPr>
          <w:color w:val="000000"/>
          <w:lang w:val="en-NZ"/>
        </w:rPr>
        <w:t xml:space="preserve">Acute renal failure of any intensity, either due to </w:t>
      </w:r>
      <w:proofErr w:type="spellStart"/>
      <w:r>
        <w:rPr>
          <w:color w:val="000000"/>
          <w:lang w:val="en-NZ"/>
        </w:rPr>
        <w:t>hepato</w:t>
      </w:r>
      <w:proofErr w:type="spellEnd"/>
      <w:r>
        <w:rPr>
          <w:color w:val="000000"/>
          <w:lang w:val="en-NZ"/>
        </w:rPr>
        <w:t xml:space="preserve">-renal syndrome or occurring in the </w:t>
      </w:r>
      <w:proofErr w:type="spellStart"/>
      <w:r>
        <w:rPr>
          <w:color w:val="000000"/>
          <w:lang w:val="en-NZ"/>
        </w:rPr>
        <w:t>peri</w:t>
      </w:r>
      <w:proofErr w:type="spellEnd"/>
      <w:r>
        <w:rPr>
          <w:color w:val="000000"/>
          <w:lang w:val="en-NZ"/>
        </w:rPr>
        <w:t>-operative liver transplantation period</w:t>
      </w:r>
    </w:p>
    <w:p w:rsidR="008564D1" w:rsidRDefault="008564D1" w:rsidP="00BE4592">
      <w:pPr>
        <w:pStyle w:val="Heading6"/>
      </w:pPr>
      <w:r>
        <w:t>Study treatments</w:t>
      </w:r>
    </w:p>
    <w:p w:rsidR="008564D1" w:rsidRDefault="008564D1" w:rsidP="005367B8">
      <w:r>
        <w:rPr>
          <w:lang w:val="en-NZ"/>
        </w:rPr>
        <w:t xml:space="preserve">All subjects received a single dose of </w:t>
      </w:r>
      <w:proofErr w:type="spellStart"/>
      <w:r>
        <w:rPr>
          <w:lang w:val="en-NZ"/>
        </w:rPr>
        <w:t>gadobutrol</w:t>
      </w:r>
      <w:proofErr w:type="spellEnd"/>
      <w:r>
        <w:rPr>
          <w:lang w:val="en-NZ"/>
        </w:rPr>
        <w:t xml:space="preserve">, 0.1 </w:t>
      </w:r>
      <w:proofErr w:type="spellStart"/>
      <w:r>
        <w:rPr>
          <w:lang w:val="en-NZ"/>
        </w:rPr>
        <w:t>mmol</w:t>
      </w:r>
      <w:proofErr w:type="spellEnd"/>
      <w:r>
        <w:rPr>
          <w:lang w:val="en-NZ"/>
        </w:rPr>
        <w:t>/kg (0.1 mL/kg) body weight.</w:t>
      </w:r>
      <w:r w:rsidR="002D73B1">
        <w:rPr>
          <w:lang w:val="en-NZ"/>
        </w:rPr>
        <w:t xml:space="preserve"> </w:t>
      </w:r>
      <w:proofErr w:type="spellStart"/>
      <w:r>
        <w:rPr>
          <w:lang w:val="en-NZ"/>
        </w:rPr>
        <w:t>Gadobutrol</w:t>
      </w:r>
      <w:proofErr w:type="spellEnd"/>
      <w:r>
        <w:rPr>
          <w:lang w:val="en-NZ"/>
        </w:rPr>
        <w:t xml:space="preserve"> was administered as IV injection at a flow rate of approximately 1 mL within approximately 1 or 2 seconds.</w:t>
      </w:r>
      <w:r w:rsidR="002D73B1">
        <w:rPr>
          <w:lang w:val="en-NZ"/>
        </w:rPr>
        <w:t xml:space="preserve"> </w:t>
      </w:r>
      <w:r>
        <w:rPr>
          <w:lang w:val="en-NZ"/>
        </w:rPr>
        <w:t xml:space="preserve">The injection was followed by a flush of at least 5 mL saline (sodium chloride 0.9% solution) at the same injection rate as the </w:t>
      </w:r>
      <w:proofErr w:type="spellStart"/>
      <w:r>
        <w:rPr>
          <w:lang w:val="en-NZ"/>
        </w:rPr>
        <w:t>gadobutrol</w:t>
      </w:r>
      <w:proofErr w:type="spellEnd"/>
      <w:r>
        <w:rPr>
          <w:lang w:val="en-NZ"/>
        </w:rPr>
        <w:t xml:space="preserve"> injection.</w:t>
      </w:r>
    </w:p>
    <w:p w:rsidR="008564D1" w:rsidRDefault="008564D1" w:rsidP="00BE4592">
      <w:pPr>
        <w:pStyle w:val="Heading6"/>
      </w:pPr>
      <w:bookmarkStart w:id="105" w:name="_Efficacy_variables_and"/>
      <w:bookmarkEnd w:id="105"/>
      <w:r>
        <w:t>Efficacy variables and outcomes</w:t>
      </w:r>
    </w:p>
    <w:p w:rsidR="008564D1" w:rsidRDefault="008564D1" w:rsidP="005367B8">
      <w:r>
        <w:t xml:space="preserve">MRI was performed immediately before the </w:t>
      </w:r>
      <w:proofErr w:type="spellStart"/>
      <w:r>
        <w:t>gadobutrol</w:t>
      </w:r>
      <w:proofErr w:type="spellEnd"/>
      <w:r>
        <w:t xml:space="preserve"> injection and repeated immediately afterwards.</w:t>
      </w:r>
      <w:r w:rsidR="002D73B1">
        <w:t xml:space="preserve"> </w:t>
      </w:r>
      <w:r>
        <w:t>MRI was performed using systems of 1.5 tesla (T) magnetic field strength.</w:t>
      </w:r>
      <w:r w:rsidR="002D73B1">
        <w:t xml:space="preserve"> </w:t>
      </w:r>
      <w:r>
        <w:t>A series of predefined sequences were performed, and in addition the investigator could perform additional sequences as indicated by the subject’s medical condition.</w:t>
      </w:r>
    </w:p>
    <w:p w:rsidR="008564D1" w:rsidRDefault="008564D1" w:rsidP="005367B8">
      <w:r>
        <w:t>The efficacy analysis was secondary.</w:t>
      </w:r>
      <w:r w:rsidR="002D73B1">
        <w:t xml:space="preserve"> </w:t>
      </w:r>
      <w:r>
        <w:t>The efficacy outcome measures used to compare the pre</w:t>
      </w:r>
      <w:r w:rsidR="00BE4592">
        <w:t xml:space="preserve"> and post </w:t>
      </w:r>
      <w:proofErr w:type="spellStart"/>
      <w:r>
        <w:t>gadobutrol</w:t>
      </w:r>
      <w:proofErr w:type="spellEnd"/>
      <w:r>
        <w:t xml:space="preserve"> MRI scans were:</w:t>
      </w:r>
    </w:p>
    <w:p w:rsidR="008564D1" w:rsidRDefault="008564D1" w:rsidP="005367B8">
      <w:pPr>
        <w:pStyle w:val="ListBullet"/>
        <w:rPr>
          <w:lang w:val="en-NZ"/>
        </w:rPr>
      </w:pPr>
      <w:r>
        <w:rPr>
          <w:lang w:val="en-NZ"/>
        </w:rPr>
        <w:t>The technical adequacy of the images was assessed on the following 4-point scale:</w:t>
      </w:r>
    </w:p>
    <w:p w:rsidR="008564D1" w:rsidRDefault="00BE4592" w:rsidP="00BE4592">
      <w:pPr>
        <w:pStyle w:val="Numberbullet0"/>
        <w:ind w:left="709" w:hanging="283"/>
        <w:rPr>
          <w:szCs w:val="24"/>
          <w:lang w:val="en-NZ"/>
        </w:rPr>
      </w:pPr>
      <w:r>
        <w:rPr>
          <w:lang w:val="en-NZ"/>
        </w:rPr>
        <w:t>Region visualis</w:t>
      </w:r>
      <w:r w:rsidR="008564D1">
        <w:rPr>
          <w:lang w:val="en-NZ"/>
        </w:rPr>
        <w:t xml:space="preserve">ed with </w:t>
      </w:r>
      <w:proofErr w:type="spellStart"/>
      <w:r w:rsidR="008564D1">
        <w:rPr>
          <w:lang w:val="en-NZ"/>
        </w:rPr>
        <w:t>artifacts</w:t>
      </w:r>
      <w:proofErr w:type="spellEnd"/>
      <w:r w:rsidR="008564D1">
        <w:rPr>
          <w:lang w:val="en-NZ"/>
        </w:rPr>
        <w:t xml:space="preserve"> compromising quality and interpretability of images</w:t>
      </w:r>
    </w:p>
    <w:p w:rsidR="008564D1" w:rsidRDefault="008564D1" w:rsidP="00BE4592">
      <w:pPr>
        <w:pStyle w:val="Numberbullet0"/>
        <w:ind w:left="709" w:hanging="283"/>
        <w:rPr>
          <w:lang w:val="en-NZ"/>
        </w:rPr>
      </w:pPr>
      <w:r>
        <w:rPr>
          <w:lang w:val="en-NZ"/>
        </w:rPr>
        <w:t>Only partial evaluation of images possible, region not covered adequately anatomically</w:t>
      </w:r>
    </w:p>
    <w:p w:rsidR="008564D1" w:rsidRDefault="00BE4592" w:rsidP="00BE4592">
      <w:pPr>
        <w:pStyle w:val="Numberbullet0"/>
        <w:ind w:left="709" w:hanging="283"/>
        <w:rPr>
          <w:lang w:val="en-NZ"/>
        </w:rPr>
      </w:pPr>
      <w:r>
        <w:rPr>
          <w:lang w:val="en-NZ"/>
        </w:rPr>
        <w:t>Region visualis</w:t>
      </w:r>
      <w:r w:rsidR="008564D1">
        <w:rPr>
          <w:lang w:val="en-NZ"/>
        </w:rPr>
        <w:t xml:space="preserve">ed with </w:t>
      </w:r>
      <w:proofErr w:type="spellStart"/>
      <w:r w:rsidR="008564D1">
        <w:rPr>
          <w:lang w:val="en-NZ"/>
        </w:rPr>
        <w:t>artifacts</w:t>
      </w:r>
      <w:proofErr w:type="spellEnd"/>
      <w:r w:rsidR="008564D1">
        <w:rPr>
          <w:lang w:val="en-NZ"/>
        </w:rPr>
        <w:t>, partially compromising image quality but evaluation and diagnosis still possible</w:t>
      </w:r>
    </w:p>
    <w:p w:rsidR="008564D1" w:rsidRDefault="008564D1" w:rsidP="00BE4592">
      <w:pPr>
        <w:pStyle w:val="Numberbullet0"/>
        <w:ind w:left="709" w:hanging="283"/>
        <w:rPr>
          <w:lang w:val="en-NZ"/>
        </w:rPr>
      </w:pPr>
      <w:r>
        <w:rPr>
          <w:lang w:val="en-NZ"/>
        </w:rPr>
        <w:t>Region clearly visualized, excellent quality</w:t>
      </w:r>
    </w:p>
    <w:p w:rsidR="008564D1" w:rsidRDefault="008564D1" w:rsidP="005367B8">
      <w:pPr>
        <w:pStyle w:val="ListBullet"/>
        <w:rPr>
          <w:lang w:val="en-NZ"/>
        </w:rPr>
      </w:pPr>
      <w:r>
        <w:rPr>
          <w:lang w:val="en-NZ"/>
        </w:rPr>
        <w:t xml:space="preserve">Assessment of the overall contrast quality, </w:t>
      </w:r>
      <w:r w:rsidR="00BE4592">
        <w:rPr>
          <w:lang w:val="en-NZ"/>
        </w:rPr>
        <w:t>that is,</w:t>
      </w:r>
      <w:r>
        <w:rPr>
          <w:lang w:val="en-NZ"/>
        </w:rPr>
        <w:t xml:space="preserve"> general impression of contrast differentiation between tissues, on the </w:t>
      </w:r>
      <w:proofErr w:type="spellStart"/>
      <w:r>
        <w:rPr>
          <w:lang w:val="en-NZ"/>
        </w:rPr>
        <w:t>gadobutrol</w:t>
      </w:r>
      <w:proofErr w:type="spellEnd"/>
      <w:r>
        <w:rPr>
          <w:lang w:val="en-NZ"/>
        </w:rPr>
        <w:t>-enhanced imaging dataset using the following pre-defined 5-point scale:</w:t>
      </w:r>
    </w:p>
    <w:p w:rsidR="008564D1" w:rsidRPr="005367B8" w:rsidRDefault="008564D1" w:rsidP="00BE4592">
      <w:pPr>
        <w:pStyle w:val="Numberbullet0"/>
        <w:numPr>
          <w:ilvl w:val="0"/>
          <w:numId w:val="43"/>
        </w:numPr>
        <w:ind w:firstLine="1"/>
        <w:rPr>
          <w:szCs w:val="24"/>
          <w:lang w:val="en-NZ"/>
        </w:rPr>
      </w:pPr>
      <w:r w:rsidRPr="005367B8">
        <w:rPr>
          <w:lang w:val="en-NZ"/>
        </w:rPr>
        <w:t>None (</w:t>
      </w:r>
      <w:r w:rsidR="00BE4592">
        <w:rPr>
          <w:lang w:val="en-NZ"/>
        </w:rPr>
        <w:t>for example,</w:t>
      </w:r>
      <w:r w:rsidRPr="005367B8">
        <w:rPr>
          <w:lang w:val="en-NZ"/>
        </w:rPr>
        <w:t xml:space="preserve"> in case of a </w:t>
      </w:r>
      <w:proofErr w:type="spellStart"/>
      <w:r w:rsidRPr="005367B8">
        <w:rPr>
          <w:lang w:val="en-NZ"/>
        </w:rPr>
        <w:t>non</w:t>
      </w:r>
      <w:r w:rsidR="00156740">
        <w:rPr>
          <w:lang w:val="en-NZ"/>
        </w:rPr>
        <w:t xml:space="preserve"> </w:t>
      </w:r>
      <w:r w:rsidRPr="005367B8">
        <w:rPr>
          <w:lang w:val="en-NZ"/>
        </w:rPr>
        <w:t>enhancing</w:t>
      </w:r>
      <w:proofErr w:type="spellEnd"/>
      <w:r w:rsidRPr="005367B8">
        <w:rPr>
          <w:lang w:val="en-NZ"/>
        </w:rPr>
        <w:t xml:space="preserve"> vessel)</w:t>
      </w:r>
    </w:p>
    <w:p w:rsidR="008564D1" w:rsidRPr="005367B8" w:rsidRDefault="008564D1" w:rsidP="00BE4592">
      <w:pPr>
        <w:pStyle w:val="Numberbullet0"/>
        <w:numPr>
          <w:ilvl w:val="0"/>
          <w:numId w:val="43"/>
        </w:numPr>
        <w:ind w:firstLine="1"/>
        <w:rPr>
          <w:lang w:val="en-NZ"/>
        </w:rPr>
      </w:pPr>
      <w:r w:rsidRPr="005367B8">
        <w:rPr>
          <w:lang w:val="en-NZ"/>
        </w:rPr>
        <w:t>Poor</w:t>
      </w:r>
    </w:p>
    <w:p w:rsidR="008564D1" w:rsidRPr="005367B8" w:rsidRDefault="008564D1" w:rsidP="00BE4592">
      <w:pPr>
        <w:pStyle w:val="Numberbullet0"/>
        <w:numPr>
          <w:ilvl w:val="0"/>
          <w:numId w:val="43"/>
        </w:numPr>
        <w:ind w:firstLine="1"/>
        <w:rPr>
          <w:lang w:val="en-NZ"/>
        </w:rPr>
      </w:pPr>
      <w:r w:rsidRPr="005367B8">
        <w:rPr>
          <w:lang w:val="en-NZ"/>
        </w:rPr>
        <w:t>Moderate</w:t>
      </w:r>
    </w:p>
    <w:p w:rsidR="008564D1" w:rsidRPr="005367B8" w:rsidRDefault="008564D1" w:rsidP="00BE4592">
      <w:pPr>
        <w:pStyle w:val="Numberbullet0"/>
        <w:numPr>
          <w:ilvl w:val="0"/>
          <w:numId w:val="43"/>
        </w:numPr>
        <w:ind w:firstLine="1"/>
        <w:rPr>
          <w:lang w:val="en-NZ"/>
        </w:rPr>
      </w:pPr>
      <w:r w:rsidRPr="005367B8">
        <w:rPr>
          <w:lang w:val="en-NZ"/>
        </w:rPr>
        <w:t>Good</w:t>
      </w:r>
    </w:p>
    <w:p w:rsidR="008564D1" w:rsidRPr="005367B8" w:rsidRDefault="008564D1" w:rsidP="00BE4592">
      <w:pPr>
        <w:pStyle w:val="Numberbullet0"/>
        <w:numPr>
          <w:ilvl w:val="0"/>
          <w:numId w:val="43"/>
        </w:numPr>
        <w:ind w:firstLine="1"/>
        <w:rPr>
          <w:rFonts w:eastAsia="Times New Roman"/>
          <w:kern w:val="16"/>
        </w:rPr>
      </w:pPr>
      <w:r w:rsidRPr="005367B8">
        <w:rPr>
          <w:lang w:val="en-NZ"/>
        </w:rPr>
        <w:t>Excellent</w:t>
      </w:r>
    </w:p>
    <w:p w:rsidR="008564D1" w:rsidRDefault="008564D1" w:rsidP="005367B8">
      <w:pPr>
        <w:pStyle w:val="ListBullet"/>
      </w:pPr>
      <w:r>
        <w:t>Presence of pathology</w:t>
      </w:r>
    </w:p>
    <w:p w:rsidR="008564D1" w:rsidRDefault="008564D1" w:rsidP="005367B8">
      <w:pPr>
        <w:pStyle w:val="ListBullet"/>
        <w:rPr>
          <w:rFonts w:eastAsia="TimesNewRoman"/>
          <w:lang w:val="en-NZ"/>
        </w:rPr>
      </w:pPr>
      <w:r>
        <w:rPr>
          <w:rFonts w:eastAsia="TimesNewRoman"/>
          <w:lang w:val="en-NZ"/>
        </w:rPr>
        <w:t>The degree of contrast-enhancement for each lesion or vessel was assessed on a 4-point scale as follows:</w:t>
      </w:r>
    </w:p>
    <w:p w:rsidR="008564D1" w:rsidRPr="005367B8" w:rsidRDefault="008564D1" w:rsidP="00BE4592">
      <w:pPr>
        <w:pStyle w:val="Numberbullet0"/>
        <w:numPr>
          <w:ilvl w:val="0"/>
          <w:numId w:val="44"/>
        </w:numPr>
        <w:ind w:firstLine="1"/>
        <w:rPr>
          <w:szCs w:val="24"/>
          <w:lang w:val="en-NZ"/>
        </w:rPr>
      </w:pPr>
      <w:r w:rsidRPr="005367B8">
        <w:rPr>
          <w:lang w:val="en-NZ"/>
        </w:rPr>
        <w:t>No, lesion or vessel is not enhanced</w:t>
      </w:r>
    </w:p>
    <w:p w:rsidR="008564D1" w:rsidRPr="005367B8" w:rsidRDefault="008564D1" w:rsidP="00BE4592">
      <w:pPr>
        <w:pStyle w:val="Numberbullet0"/>
        <w:numPr>
          <w:ilvl w:val="0"/>
          <w:numId w:val="44"/>
        </w:numPr>
        <w:ind w:firstLine="1"/>
        <w:rPr>
          <w:lang w:val="en-NZ"/>
        </w:rPr>
      </w:pPr>
      <w:r w:rsidRPr="005367B8">
        <w:rPr>
          <w:lang w:val="en-NZ"/>
        </w:rPr>
        <w:t>Moderate, lesion or vessel is weakly enhanced</w:t>
      </w:r>
    </w:p>
    <w:p w:rsidR="008564D1" w:rsidRPr="005367B8" w:rsidRDefault="008564D1" w:rsidP="00BE4592">
      <w:pPr>
        <w:pStyle w:val="Numberbullet0"/>
        <w:numPr>
          <w:ilvl w:val="0"/>
          <w:numId w:val="44"/>
        </w:numPr>
        <w:ind w:firstLine="1"/>
        <w:rPr>
          <w:lang w:val="en-NZ"/>
        </w:rPr>
      </w:pPr>
      <w:r w:rsidRPr="005367B8">
        <w:rPr>
          <w:lang w:val="en-NZ"/>
        </w:rPr>
        <w:t>Good, lesion or vessel is clearly enhanced</w:t>
      </w:r>
    </w:p>
    <w:p w:rsidR="008564D1" w:rsidRPr="005367B8" w:rsidRDefault="008564D1" w:rsidP="00BE4592">
      <w:pPr>
        <w:pStyle w:val="Numberbullet0"/>
        <w:numPr>
          <w:ilvl w:val="0"/>
          <w:numId w:val="44"/>
        </w:numPr>
        <w:ind w:firstLine="1"/>
        <w:rPr>
          <w:rFonts w:eastAsia="Times New Roman"/>
          <w:kern w:val="16"/>
        </w:rPr>
      </w:pPr>
      <w:r w:rsidRPr="005367B8">
        <w:rPr>
          <w:lang w:val="en-NZ"/>
        </w:rPr>
        <w:t>Excellent, lesion or vessel is clearly and brightly enhanced</w:t>
      </w:r>
    </w:p>
    <w:p w:rsidR="008564D1" w:rsidRDefault="008564D1" w:rsidP="005367B8">
      <w:pPr>
        <w:pStyle w:val="ListBullet"/>
        <w:rPr>
          <w:lang w:val="en-NZ"/>
        </w:rPr>
      </w:pPr>
      <w:r>
        <w:rPr>
          <w:lang w:val="en-NZ"/>
        </w:rPr>
        <w:t>Border delineation for each lesion or vessel was recorded on a 4-point scale as follows:</w:t>
      </w:r>
    </w:p>
    <w:p w:rsidR="008564D1" w:rsidRPr="005367B8" w:rsidRDefault="008564D1" w:rsidP="00BE4592">
      <w:pPr>
        <w:pStyle w:val="Numberbullet0"/>
        <w:numPr>
          <w:ilvl w:val="0"/>
          <w:numId w:val="45"/>
        </w:numPr>
        <w:ind w:left="709" w:hanging="283"/>
        <w:rPr>
          <w:szCs w:val="24"/>
          <w:lang w:val="en-NZ"/>
        </w:rPr>
      </w:pPr>
      <w:r w:rsidRPr="005367B8">
        <w:rPr>
          <w:lang w:val="en-NZ"/>
        </w:rPr>
        <w:t>None, no or unclear delineation of the boundary between the lesion or vessel and the surrounding tissue</w:t>
      </w:r>
    </w:p>
    <w:p w:rsidR="008564D1" w:rsidRPr="005367B8" w:rsidRDefault="008564D1" w:rsidP="00BE4592">
      <w:pPr>
        <w:pStyle w:val="Numberbullet0"/>
        <w:numPr>
          <w:ilvl w:val="0"/>
          <w:numId w:val="45"/>
        </w:numPr>
        <w:ind w:left="709" w:hanging="283"/>
        <w:rPr>
          <w:lang w:val="en-NZ"/>
        </w:rPr>
      </w:pPr>
      <w:r w:rsidRPr="005367B8">
        <w:rPr>
          <w:lang w:val="en-NZ"/>
        </w:rPr>
        <w:t>Moderate, some aspects of border delineation covered</w:t>
      </w:r>
    </w:p>
    <w:p w:rsidR="008564D1" w:rsidRPr="005367B8" w:rsidRDefault="008564D1" w:rsidP="00BE4592">
      <w:pPr>
        <w:pStyle w:val="Numberbullet0"/>
        <w:numPr>
          <w:ilvl w:val="0"/>
          <w:numId w:val="45"/>
        </w:numPr>
        <w:ind w:left="709" w:hanging="283"/>
        <w:rPr>
          <w:lang w:val="en-NZ"/>
        </w:rPr>
      </w:pPr>
      <w:r w:rsidRPr="005367B8">
        <w:rPr>
          <w:lang w:val="en-NZ"/>
        </w:rPr>
        <w:t>Good, almost clear delineation, but not complete on relevant slices</w:t>
      </w:r>
    </w:p>
    <w:p w:rsidR="008564D1" w:rsidRPr="005367B8" w:rsidRDefault="008564D1" w:rsidP="00BE4592">
      <w:pPr>
        <w:pStyle w:val="Numberbullet0"/>
        <w:numPr>
          <w:ilvl w:val="0"/>
          <w:numId w:val="45"/>
        </w:numPr>
        <w:ind w:left="709" w:hanging="283"/>
        <w:rPr>
          <w:rFonts w:eastAsia="Times New Roman"/>
          <w:kern w:val="16"/>
        </w:rPr>
      </w:pPr>
      <w:r w:rsidRPr="005367B8">
        <w:rPr>
          <w:lang w:val="en-NZ"/>
        </w:rPr>
        <w:t>Excellent, clear and complete delineation</w:t>
      </w:r>
    </w:p>
    <w:p w:rsidR="008564D1" w:rsidRDefault="008564D1" w:rsidP="005367B8">
      <w:pPr>
        <w:pStyle w:val="ListBullet"/>
        <w:rPr>
          <w:lang w:val="en-NZ"/>
        </w:rPr>
      </w:pPr>
      <w:r>
        <w:rPr>
          <w:lang w:val="en-NZ"/>
        </w:rPr>
        <w:t>The degree of information available on internal morphology and structure was scored on a 3-point scale as follows:</w:t>
      </w:r>
    </w:p>
    <w:p w:rsidR="008564D1" w:rsidRPr="005367B8" w:rsidRDefault="008564D1" w:rsidP="00BE4592">
      <w:pPr>
        <w:pStyle w:val="Numberbullet0"/>
        <w:numPr>
          <w:ilvl w:val="0"/>
          <w:numId w:val="46"/>
        </w:numPr>
        <w:ind w:left="709" w:hanging="283"/>
        <w:rPr>
          <w:szCs w:val="24"/>
          <w:lang w:val="en-NZ"/>
        </w:rPr>
      </w:pPr>
      <w:r w:rsidRPr="005367B8">
        <w:rPr>
          <w:lang w:val="en-NZ"/>
        </w:rPr>
        <w:t>Poor, the structure and internal morphology of the lesion or vessel is poorly visible</w:t>
      </w:r>
    </w:p>
    <w:p w:rsidR="008564D1" w:rsidRPr="005367B8" w:rsidRDefault="008564D1" w:rsidP="00BE4592">
      <w:pPr>
        <w:pStyle w:val="Numberbullet0"/>
        <w:numPr>
          <w:ilvl w:val="0"/>
          <w:numId w:val="46"/>
        </w:numPr>
        <w:ind w:left="709" w:hanging="283"/>
        <w:rPr>
          <w:lang w:val="en-NZ"/>
        </w:rPr>
      </w:pPr>
      <w:r w:rsidRPr="005367B8">
        <w:rPr>
          <w:lang w:val="en-NZ"/>
        </w:rPr>
        <w:t>Moderate, the structure and internal morphology of the lesion or vessel is visible but sufficient information cannot be obtained</w:t>
      </w:r>
    </w:p>
    <w:p w:rsidR="008564D1" w:rsidRPr="005367B8" w:rsidRDefault="008564D1" w:rsidP="00BE4592">
      <w:pPr>
        <w:pStyle w:val="Numberbullet0"/>
        <w:numPr>
          <w:ilvl w:val="0"/>
          <w:numId w:val="46"/>
        </w:numPr>
        <w:ind w:left="709" w:hanging="283"/>
        <w:rPr>
          <w:rFonts w:eastAsia="Times New Roman"/>
          <w:kern w:val="16"/>
        </w:rPr>
      </w:pPr>
      <w:r w:rsidRPr="005367B8">
        <w:rPr>
          <w:lang w:val="en-NZ"/>
        </w:rPr>
        <w:t>Good, the structure and internal morphology of the lesion or vessel is sufficiently visible for diagnostic purposes</w:t>
      </w:r>
    </w:p>
    <w:p w:rsidR="008564D1" w:rsidRDefault="008564D1" w:rsidP="005367B8">
      <w:pPr>
        <w:pStyle w:val="ListBullet"/>
      </w:pPr>
      <w:r>
        <w:t>The diagnosis based on the scan</w:t>
      </w:r>
    </w:p>
    <w:p w:rsidR="008564D1" w:rsidRDefault="008564D1" w:rsidP="005367B8">
      <w:pPr>
        <w:pStyle w:val="ListBullet"/>
        <w:rPr>
          <w:rFonts w:eastAsia="TimesNewRoman"/>
          <w:lang w:val="en-NZ"/>
        </w:rPr>
      </w:pPr>
      <w:r>
        <w:rPr>
          <w:rFonts w:eastAsia="TimesNewRoman"/>
          <w:lang w:val="en-NZ"/>
        </w:rPr>
        <w:t>Additional diagnostic gain by the contrast-enhanced image set was assessed according to a 3-point scale:</w:t>
      </w:r>
    </w:p>
    <w:p w:rsidR="008564D1" w:rsidRPr="005367B8" w:rsidRDefault="008564D1" w:rsidP="00BE4592">
      <w:pPr>
        <w:pStyle w:val="Numberbullet0"/>
        <w:numPr>
          <w:ilvl w:val="0"/>
          <w:numId w:val="47"/>
        </w:numPr>
        <w:ind w:firstLine="1"/>
        <w:rPr>
          <w:szCs w:val="24"/>
          <w:lang w:val="en-NZ"/>
        </w:rPr>
      </w:pPr>
      <w:r w:rsidRPr="005367B8">
        <w:rPr>
          <w:lang w:val="en-NZ"/>
        </w:rPr>
        <w:t>Initial diagnosis unchanged</w:t>
      </w:r>
    </w:p>
    <w:p w:rsidR="008564D1" w:rsidRPr="005367B8" w:rsidRDefault="008564D1" w:rsidP="00BE4592">
      <w:pPr>
        <w:pStyle w:val="Numberbullet0"/>
        <w:numPr>
          <w:ilvl w:val="0"/>
          <w:numId w:val="47"/>
        </w:numPr>
        <w:ind w:firstLine="1"/>
        <w:rPr>
          <w:lang w:val="en-NZ"/>
        </w:rPr>
      </w:pPr>
      <w:r w:rsidRPr="005367B8">
        <w:rPr>
          <w:lang w:val="en-NZ"/>
        </w:rPr>
        <w:t xml:space="preserve">Initial diagnosis changed - improved, </w:t>
      </w:r>
      <w:r w:rsidR="00BE4592">
        <w:rPr>
          <w:lang w:val="en-NZ"/>
        </w:rPr>
        <w:t>that is,</w:t>
      </w:r>
      <w:r w:rsidRPr="005367B8">
        <w:rPr>
          <w:lang w:val="en-NZ"/>
        </w:rPr>
        <w:t xml:space="preserve"> more specific</w:t>
      </w:r>
    </w:p>
    <w:p w:rsidR="008564D1" w:rsidRPr="005367B8" w:rsidRDefault="008564D1" w:rsidP="00BE4592">
      <w:pPr>
        <w:pStyle w:val="Numberbullet0"/>
        <w:numPr>
          <w:ilvl w:val="0"/>
          <w:numId w:val="47"/>
        </w:numPr>
        <w:ind w:firstLine="1"/>
        <w:rPr>
          <w:rFonts w:eastAsia="Times New Roman"/>
          <w:kern w:val="16"/>
        </w:rPr>
      </w:pPr>
      <w:r w:rsidRPr="005367B8">
        <w:rPr>
          <w:lang w:val="en-NZ"/>
        </w:rPr>
        <w:t>Initial diagnosis changed -new diagnosis</w:t>
      </w:r>
    </w:p>
    <w:p w:rsidR="008564D1" w:rsidRDefault="008564D1" w:rsidP="005367B8">
      <w:pPr>
        <w:pStyle w:val="ListBullet"/>
        <w:rPr>
          <w:lang w:val="en-NZ"/>
        </w:rPr>
      </w:pPr>
      <w:r>
        <w:rPr>
          <w:lang w:val="en-NZ"/>
        </w:rPr>
        <w:t>Overall diagnostic confidence based on the unenhanced images and thereafter on the combined unenhanced and contrast-enhanced images were indicated by the investigator or his/her designee based on the following 3 point scale:</w:t>
      </w:r>
    </w:p>
    <w:p w:rsidR="008564D1" w:rsidRDefault="008564D1" w:rsidP="005367B8">
      <w:pPr>
        <w:ind w:left="360"/>
        <w:rPr>
          <w:szCs w:val="24"/>
          <w:lang w:val="en-NZ"/>
        </w:rPr>
      </w:pPr>
      <w:r>
        <w:rPr>
          <w:lang w:val="en-NZ"/>
        </w:rPr>
        <w:t>3. Very confident</w:t>
      </w:r>
    </w:p>
    <w:p w:rsidR="008564D1" w:rsidRDefault="008564D1" w:rsidP="005367B8">
      <w:pPr>
        <w:ind w:left="360"/>
        <w:rPr>
          <w:lang w:val="en-NZ"/>
        </w:rPr>
      </w:pPr>
      <w:r>
        <w:rPr>
          <w:lang w:val="en-NZ"/>
        </w:rPr>
        <w:t>2. Confident</w:t>
      </w:r>
    </w:p>
    <w:p w:rsidR="008564D1" w:rsidRDefault="008564D1" w:rsidP="005367B8">
      <w:pPr>
        <w:ind w:left="360"/>
        <w:rPr>
          <w:rFonts w:eastAsia="Times New Roman"/>
          <w:kern w:val="16"/>
        </w:rPr>
      </w:pPr>
      <w:r>
        <w:rPr>
          <w:lang w:val="en-NZ"/>
        </w:rPr>
        <w:t>1. Not confident</w:t>
      </w:r>
    </w:p>
    <w:p w:rsidR="008564D1" w:rsidRDefault="008564D1" w:rsidP="005367B8">
      <w:pPr>
        <w:pStyle w:val="ListBullet"/>
      </w:pPr>
      <w:r>
        <w:t>Final diagnosis</w:t>
      </w:r>
    </w:p>
    <w:p w:rsidR="008564D1" w:rsidRDefault="008564D1" w:rsidP="005367B8">
      <w:r>
        <w:t xml:space="preserve">For the pharmacokinetic analysis, three blood samples were drawn from each subject during sampling time intervals (windows), up to 8 hours post-dose, which were randomly allocated to each </w:t>
      </w:r>
      <w:r w:rsidR="00C5782C">
        <w:t>subject.</w:t>
      </w:r>
    </w:p>
    <w:p w:rsidR="008564D1" w:rsidRDefault="008564D1" w:rsidP="005367B8">
      <w:r>
        <w:t>Safety was assessed by: AEs, physical examination, continuous cardiac rhythm monitoring and pulse oximetry, and vital signs.</w:t>
      </w:r>
      <w:r w:rsidR="002D73B1">
        <w:t xml:space="preserve"> </w:t>
      </w:r>
      <w:r>
        <w:t>Follow-up was for 7</w:t>
      </w:r>
      <w:r w:rsidR="00C5782C">
        <w:t xml:space="preserve"> days after </w:t>
      </w:r>
      <w:proofErr w:type="spellStart"/>
      <w:r w:rsidR="00C5782C">
        <w:t>gadobutrol</w:t>
      </w:r>
      <w:proofErr w:type="spellEnd"/>
      <w:r w:rsidR="00C5782C">
        <w:t xml:space="preserve"> dosing.</w:t>
      </w:r>
    </w:p>
    <w:p w:rsidR="008564D1" w:rsidRDefault="008564D1" w:rsidP="005367B8">
      <w:pPr>
        <w:rPr>
          <w:rFonts w:eastAsia="TimesNewRoman"/>
          <w:color w:val="000000"/>
          <w:lang w:val="en-NZ"/>
        </w:rPr>
      </w:pPr>
      <w:r>
        <w:t xml:space="preserve">Renal function was measured using </w:t>
      </w:r>
      <w:proofErr w:type="spellStart"/>
      <w:r>
        <w:t>eGFR</w:t>
      </w:r>
      <w:proofErr w:type="spellEnd"/>
      <w:r>
        <w:t xml:space="preserve"> calculated using the Schwartz formula.</w:t>
      </w:r>
      <w:r w:rsidR="002D73B1">
        <w:t xml:space="preserve"> </w:t>
      </w:r>
      <w:r>
        <w:rPr>
          <w:rFonts w:eastAsia="TimesNewRoman"/>
          <w:color w:val="000000"/>
          <w:lang w:val="en-NZ"/>
        </w:rPr>
        <w:t>If serum creatinine (</w:t>
      </w:r>
      <w:proofErr w:type="spellStart"/>
      <w:r>
        <w:rPr>
          <w:rFonts w:eastAsia="TimesNewRoman"/>
          <w:color w:val="000000"/>
          <w:lang w:val="en-NZ"/>
        </w:rPr>
        <w:t>Scr</w:t>
      </w:r>
      <w:proofErr w:type="spellEnd"/>
      <w:r>
        <w:rPr>
          <w:rFonts w:eastAsia="TimesNewRoman"/>
          <w:color w:val="000000"/>
          <w:lang w:val="en-NZ"/>
        </w:rPr>
        <w:t>) was measured with routine methods that had not been recalibrated to be traceable to isotope dilution mass spectrometry (IDMS) (</w:t>
      </w:r>
      <w:r w:rsidR="00BE4592">
        <w:rPr>
          <w:rFonts w:eastAsia="TimesNewRoman"/>
          <w:color w:val="000000"/>
          <w:lang w:val="en-NZ"/>
        </w:rPr>
        <w:t>for example,</w:t>
      </w:r>
      <w:r>
        <w:rPr>
          <w:rFonts w:eastAsia="TimesNewRoman"/>
          <w:color w:val="000000"/>
          <w:lang w:val="en-NZ"/>
        </w:rPr>
        <w:t xml:space="preserve"> the traditional </w:t>
      </w:r>
      <w:proofErr w:type="spellStart"/>
      <w:r>
        <w:rPr>
          <w:rFonts w:eastAsia="TimesNewRoman"/>
          <w:color w:val="000000"/>
          <w:lang w:val="en-NZ"/>
        </w:rPr>
        <w:t>Jaffé</w:t>
      </w:r>
      <w:proofErr w:type="spellEnd"/>
      <w:r>
        <w:rPr>
          <w:rFonts w:eastAsia="TimesNewRoman"/>
          <w:color w:val="000000"/>
          <w:lang w:val="en-NZ"/>
        </w:rPr>
        <w:t xml:space="preserve"> reaction), the </w:t>
      </w:r>
      <w:proofErr w:type="spellStart"/>
      <w:r>
        <w:rPr>
          <w:rFonts w:eastAsia="TimesNewRoman"/>
          <w:color w:val="000000"/>
          <w:lang w:val="en-NZ"/>
        </w:rPr>
        <w:t>eGFR</w:t>
      </w:r>
      <w:proofErr w:type="spellEnd"/>
      <w:r>
        <w:rPr>
          <w:rFonts w:eastAsia="TimesNewRoman"/>
          <w:color w:val="000000"/>
          <w:lang w:val="en-NZ"/>
        </w:rPr>
        <w:t xml:space="preserve"> was obtained from the original Schwartz formula:</w:t>
      </w:r>
    </w:p>
    <w:p w:rsidR="008564D1" w:rsidRDefault="008564D1" w:rsidP="005367B8">
      <w:pPr>
        <w:ind w:firstLine="720"/>
        <w:rPr>
          <w:rFonts w:eastAsia="Times New Roman"/>
          <w:kern w:val="16"/>
        </w:rPr>
      </w:pPr>
      <w:proofErr w:type="spellStart"/>
      <w:proofErr w:type="gramStart"/>
      <w:r>
        <w:rPr>
          <w:lang w:val="en-NZ"/>
        </w:rPr>
        <w:t>eGFR</w:t>
      </w:r>
      <w:proofErr w:type="spellEnd"/>
      <w:proofErr w:type="gramEnd"/>
      <w:r>
        <w:rPr>
          <w:lang w:val="en-NZ"/>
        </w:rPr>
        <w:t xml:space="preserve"> (mL/min/1.73 m</w:t>
      </w:r>
      <w:r>
        <w:rPr>
          <w:vertAlign w:val="superscript"/>
          <w:lang w:val="en-NZ"/>
        </w:rPr>
        <w:t>2</w:t>
      </w:r>
      <w:r>
        <w:rPr>
          <w:lang w:val="en-NZ"/>
        </w:rPr>
        <w:t xml:space="preserve">) = k * height (cm) / </w:t>
      </w:r>
      <w:proofErr w:type="spellStart"/>
      <w:r>
        <w:rPr>
          <w:lang w:val="en-NZ"/>
        </w:rPr>
        <w:t>Scr</w:t>
      </w:r>
      <w:proofErr w:type="spellEnd"/>
      <w:r>
        <w:rPr>
          <w:lang w:val="en-NZ"/>
        </w:rPr>
        <w:t xml:space="preserve"> (mg/</w:t>
      </w:r>
      <w:proofErr w:type="spellStart"/>
      <w:r>
        <w:rPr>
          <w:lang w:val="en-NZ"/>
        </w:rPr>
        <w:t>dL</w:t>
      </w:r>
      <w:proofErr w:type="spellEnd"/>
      <w:r>
        <w:rPr>
          <w:lang w:val="en-NZ"/>
        </w:rPr>
        <w:t>)</w:t>
      </w:r>
    </w:p>
    <w:p w:rsidR="008564D1" w:rsidRDefault="008564D1" w:rsidP="005367B8">
      <w:pPr>
        <w:rPr>
          <w:lang w:val="en-NZ"/>
        </w:rPr>
      </w:pPr>
      <w:proofErr w:type="gramStart"/>
      <w:r>
        <w:rPr>
          <w:lang w:val="en-NZ"/>
        </w:rPr>
        <w:t>where</w:t>
      </w:r>
      <w:proofErr w:type="gramEnd"/>
      <w:r>
        <w:rPr>
          <w:lang w:val="en-NZ"/>
        </w:rPr>
        <w:t xml:space="preserve"> k is a proportionality constant:</w:t>
      </w:r>
    </w:p>
    <w:p w:rsidR="008564D1" w:rsidRDefault="008564D1" w:rsidP="005367B8">
      <w:pPr>
        <w:rPr>
          <w:lang w:val="en-NZ"/>
        </w:rPr>
      </w:pPr>
      <w:r>
        <w:rPr>
          <w:lang w:val="en-NZ"/>
        </w:rPr>
        <w:t xml:space="preserve">k = 0.45 in term </w:t>
      </w:r>
      <w:proofErr w:type="spellStart"/>
      <w:r>
        <w:rPr>
          <w:lang w:val="en-NZ"/>
        </w:rPr>
        <w:t>newborn</w:t>
      </w:r>
      <w:proofErr w:type="spellEnd"/>
      <w:r>
        <w:rPr>
          <w:lang w:val="en-NZ"/>
        </w:rPr>
        <w:t xml:space="preserve"> infants &lt;1 year of age</w:t>
      </w:r>
    </w:p>
    <w:p w:rsidR="008564D1" w:rsidRDefault="008564D1" w:rsidP="005367B8">
      <w:pPr>
        <w:rPr>
          <w:lang w:val="en-NZ"/>
        </w:rPr>
      </w:pPr>
      <w:r>
        <w:rPr>
          <w:lang w:val="en-NZ"/>
        </w:rPr>
        <w:t>k = 0.55 in children up to 13 years of age</w:t>
      </w:r>
    </w:p>
    <w:p w:rsidR="008564D1" w:rsidRDefault="008564D1" w:rsidP="005367B8">
      <w:pPr>
        <w:rPr>
          <w:lang w:val="en-NZ"/>
        </w:rPr>
      </w:pPr>
      <w:r>
        <w:rPr>
          <w:lang w:val="en-NZ"/>
        </w:rPr>
        <w:t xml:space="preserve">If </w:t>
      </w:r>
      <w:proofErr w:type="spellStart"/>
      <w:r>
        <w:rPr>
          <w:lang w:val="en-NZ"/>
        </w:rPr>
        <w:t>Scr</w:t>
      </w:r>
      <w:proofErr w:type="spellEnd"/>
      <w:r>
        <w:rPr>
          <w:lang w:val="en-NZ"/>
        </w:rPr>
        <w:t xml:space="preserve"> was measured by an enzymatic creatinine methods that had been calibrated to be traceable to IDMS, the updated Schwartz formula was used to obtain the </w:t>
      </w:r>
      <w:proofErr w:type="spellStart"/>
      <w:r>
        <w:rPr>
          <w:lang w:val="en-NZ"/>
        </w:rPr>
        <w:t>eGFR</w:t>
      </w:r>
      <w:proofErr w:type="spellEnd"/>
      <w:r>
        <w:rPr>
          <w:lang w:val="en-NZ"/>
        </w:rPr>
        <w:t>:</w:t>
      </w:r>
    </w:p>
    <w:p w:rsidR="008564D1" w:rsidRDefault="008564D1" w:rsidP="005367B8">
      <w:pPr>
        <w:ind w:firstLine="720"/>
        <w:rPr>
          <w:lang w:val="en-NZ"/>
        </w:rPr>
      </w:pPr>
      <w:proofErr w:type="spellStart"/>
      <w:proofErr w:type="gramStart"/>
      <w:r>
        <w:rPr>
          <w:lang w:val="en-NZ"/>
        </w:rPr>
        <w:t>eGFR</w:t>
      </w:r>
      <w:proofErr w:type="spellEnd"/>
      <w:proofErr w:type="gramEnd"/>
      <w:r>
        <w:rPr>
          <w:lang w:val="en-NZ"/>
        </w:rPr>
        <w:t xml:space="preserve"> (mL/min/1.73 m</w:t>
      </w:r>
      <w:r>
        <w:rPr>
          <w:vertAlign w:val="superscript"/>
          <w:lang w:val="en-NZ"/>
        </w:rPr>
        <w:t>2</w:t>
      </w:r>
      <w:r>
        <w:rPr>
          <w:lang w:val="en-NZ"/>
        </w:rPr>
        <w:t xml:space="preserve">) = 0.413 * height (cm) / </w:t>
      </w:r>
      <w:proofErr w:type="spellStart"/>
      <w:r>
        <w:rPr>
          <w:lang w:val="en-NZ"/>
        </w:rPr>
        <w:t>Scr</w:t>
      </w:r>
      <w:proofErr w:type="spellEnd"/>
      <w:r>
        <w:rPr>
          <w:lang w:val="en-NZ"/>
        </w:rPr>
        <w:t xml:space="preserve"> (mg/</w:t>
      </w:r>
      <w:proofErr w:type="spellStart"/>
      <w:r>
        <w:rPr>
          <w:lang w:val="en-NZ"/>
        </w:rPr>
        <w:t>dL</w:t>
      </w:r>
      <w:proofErr w:type="spellEnd"/>
      <w:r>
        <w:rPr>
          <w:lang w:val="en-NZ"/>
        </w:rPr>
        <w:t>)</w:t>
      </w:r>
    </w:p>
    <w:p w:rsidR="008564D1" w:rsidRDefault="008564D1" w:rsidP="005367B8">
      <w:pPr>
        <w:rPr>
          <w:rFonts w:eastAsia="Times New Roman"/>
          <w:kern w:val="16"/>
        </w:rPr>
      </w:pPr>
      <w:r>
        <w:rPr>
          <w:lang w:val="en-NZ"/>
        </w:rPr>
        <w:t xml:space="preserve">Note: To express </w:t>
      </w:r>
      <w:proofErr w:type="spellStart"/>
      <w:r>
        <w:rPr>
          <w:lang w:val="en-NZ"/>
        </w:rPr>
        <w:t>Scr</w:t>
      </w:r>
      <w:proofErr w:type="spellEnd"/>
      <w:r>
        <w:rPr>
          <w:lang w:val="en-NZ"/>
        </w:rPr>
        <w:t xml:space="preserve"> in micromoles per litre, the value was to be multiplied by 88.4 (1 mg/</w:t>
      </w:r>
      <w:proofErr w:type="spellStart"/>
      <w:r>
        <w:rPr>
          <w:lang w:val="en-NZ"/>
        </w:rPr>
        <w:t>dL</w:t>
      </w:r>
      <w:proofErr w:type="spellEnd"/>
      <w:r>
        <w:rPr>
          <w:lang w:val="en-NZ"/>
        </w:rPr>
        <w:t xml:space="preserve"> = 88.4 µ</w:t>
      </w:r>
      <w:proofErr w:type="spellStart"/>
      <w:r>
        <w:rPr>
          <w:lang w:val="en-NZ"/>
        </w:rPr>
        <w:t>mol</w:t>
      </w:r>
      <w:proofErr w:type="spellEnd"/>
      <w:r>
        <w:rPr>
          <w:lang w:val="en-NZ"/>
        </w:rPr>
        <w:t>/L).</w:t>
      </w:r>
    </w:p>
    <w:p w:rsidR="008564D1" w:rsidRDefault="008564D1" w:rsidP="00BE4592">
      <w:pPr>
        <w:pStyle w:val="Heading6"/>
      </w:pPr>
      <w:r>
        <w:t>Randomisation and blinding methods</w:t>
      </w:r>
    </w:p>
    <w:p w:rsidR="008564D1" w:rsidRDefault="008564D1" w:rsidP="005367B8">
      <w:r>
        <w:t>Subjects were not randomised to treatment, but were randomised to pharmacokinetic sampling schedule.</w:t>
      </w:r>
      <w:r w:rsidR="002D73B1">
        <w:t xml:space="preserve"> </w:t>
      </w:r>
      <w:r>
        <w:t>The study was open and there was no blinding.</w:t>
      </w:r>
    </w:p>
    <w:p w:rsidR="008564D1" w:rsidRDefault="008564D1" w:rsidP="00BE4592">
      <w:pPr>
        <w:pStyle w:val="Heading6"/>
      </w:pPr>
      <w:r>
        <w:t>Analysis populations</w:t>
      </w:r>
    </w:p>
    <w:p w:rsidR="008564D1" w:rsidRDefault="008564D1" w:rsidP="005367B8">
      <w:r>
        <w:rPr>
          <w:lang w:val="en-NZ"/>
        </w:rPr>
        <w:t xml:space="preserve">The safety analysis set included all subjects who received any amount of </w:t>
      </w:r>
      <w:proofErr w:type="spellStart"/>
      <w:r>
        <w:rPr>
          <w:lang w:val="en-NZ"/>
        </w:rPr>
        <w:t>gadobutrol</w:t>
      </w:r>
      <w:proofErr w:type="spellEnd"/>
      <w:r>
        <w:rPr>
          <w:lang w:val="en-NZ"/>
        </w:rPr>
        <w:t>.</w:t>
      </w:r>
      <w:r w:rsidR="002D73B1">
        <w:rPr>
          <w:lang w:val="en-NZ"/>
        </w:rPr>
        <w:t xml:space="preserve"> </w:t>
      </w:r>
      <w:r>
        <w:rPr>
          <w:lang w:val="en-NZ"/>
        </w:rPr>
        <w:t>The full analysis set for efficacy included all subjects who had combined unenhanced and enhanced image sets available regardless of any other protocol deviation.</w:t>
      </w:r>
      <w:r w:rsidR="002D73B1">
        <w:rPr>
          <w:lang w:val="en-NZ"/>
        </w:rPr>
        <w:t xml:space="preserve"> </w:t>
      </w:r>
      <w:r>
        <w:rPr>
          <w:lang w:val="en-NZ"/>
        </w:rPr>
        <w:t xml:space="preserve">The per-protocol set served as a basis for the analysis of the primary variables and included all subjects who received the appropriate dose of </w:t>
      </w:r>
      <w:proofErr w:type="spellStart"/>
      <w:r>
        <w:rPr>
          <w:lang w:val="en-NZ"/>
        </w:rPr>
        <w:t>gadobutrol</w:t>
      </w:r>
      <w:proofErr w:type="spellEnd"/>
      <w:r>
        <w:rPr>
          <w:lang w:val="en-NZ"/>
        </w:rPr>
        <w:t xml:space="preserve"> based on the dose specification of 0.1 </w:t>
      </w:r>
      <w:proofErr w:type="spellStart"/>
      <w:r>
        <w:rPr>
          <w:lang w:val="en-NZ"/>
        </w:rPr>
        <w:t>mmol</w:t>
      </w:r>
      <w:proofErr w:type="spellEnd"/>
      <w:r>
        <w:rPr>
          <w:lang w:val="en-NZ"/>
        </w:rPr>
        <w:t xml:space="preserve">/kg BW ±10% </w:t>
      </w:r>
      <w:r>
        <w:rPr>
          <w:bCs/>
          <w:lang w:val="en-NZ"/>
        </w:rPr>
        <w:t>and</w:t>
      </w:r>
      <w:r>
        <w:rPr>
          <w:b/>
          <w:bCs/>
          <w:lang w:val="en-NZ"/>
        </w:rPr>
        <w:t xml:space="preserve"> </w:t>
      </w:r>
      <w:r>
        <w:rPr>
          <w:lang w:val="en-NZ"/>
        </w:rPr>
        <w:t>had quantifiable gadolinium plasma concentrations in at least one valid PK sample.</w:t>
      </w:r>
    </w:p>
    <w:p w:rsidR="008564D1" w:rsidRDefault="008564D1" w:rsidP="00BE4592">
      <w:pPr>
        <w:pStyle w:val="Heading6"/>
      </w:pPr>
      <w:r>
        <w:t>Sample size</w:t>
      </w:r>
    </w:p>
    <w:p w:rsidR="008564D1" w:rsidRDefault="008564D1" w:rsidP="005367B8">
      <w:r>
        <w:t xml:space="preserve">The sample size was based on simulations using data from a previous paediatric study in subjects that were </w:t>
      </w:r>
      <w:r w:rsidR="00156740">
        <w:t>≥</w:t>
      </w:r>
      <w:r w:rsidR="00BE4592">
        <w:t xml:space="preserve"> </w:t>
      </w:r>
      <w:r>
        <w:t>2 years of age.</w:t>
      </w:r>
    </w:p>
    <w:p w:rsidR="008564D1" w:rsidRDefault="008564D1" w:rsidP="00BE4592">
      <w:pPr>
        <w:pStyle w:val="Heading6"/>
      </w:pPr>
      <w:r>
        <w:t>Statistical methods</w:t>
      </w:r>
    </w:p>
    <w:p w:rsidR="008564D1" w:rsidRDefault="008564D1" w:rsidP="005367B8">
      <w:r>
        <w:t>The outcome measures were analysed using descriptive statistics.</w:t>
      </w:r>
      <w:r w:rsidR="002D73B1">
        <w:t xml:space="preserve"> </w:t>
      </w:r>
      <w:r>
        <w:t>Hypothesis tests were not performed.</w:t>
      </w:r>
    </w:p>
    <w:p w:rsidR="008564D1" w:rsidRDefault="008564D1" w:rsidP="00BE4592">
      <w:pPr>
        <w:pStyle w:val="Heading6"/>
      </w:pPr>
      <w:r>
        <w:t>Participant flow</w:t>
      </w:r>
    </w:p>
    <w:p w:rsidR="00F72DA2" w:rsidRDefault="008564D1" w:rsidP="005367B8">
      <w:r>
        <w:t>There were 47 children enrolled in the study.</w:t>
      </w:r>
      <w:r w:rsidR="002D73B1">
        <w:t xml:space="preserve"> </w:t>
      </w:r>
      <w:r>
        <w:t>Three were screening failures and 44 received treatment.</w:t>
      </w:r>
      <w:r w:rsidR="002D73B1">
        <w:t xml:space="preserve"> </w:t>
      </w:r>
      <w:r>
        <w:t>All 44 completed the study</w:t>
      </w:r>
      <w:r w:rsidR="00F72DA2">
        <w:t>.</w:t>
      </w:r>
    </w:p>
    <w:p w:rsidR="008564D1" w:rsidRDefault="008564D1" w:rsidP="0016229D">
      <w:pPr>
        <w:pStyle w:val="Heading6"/>
      </w:pPr>
      <w:r>
        <w:t>Major protocol violations/deviations</w:t>
      </w:r>
    </w:p>
    <w:p w:rsidR="008564D1" w:rsidRDefault="008564D1" w:rsidP="005367B8">
      <w:r>
        <w:t xml:space="preserve">There was one major protocol deviation: incorrect dose of </w:t>
      </w:r>
      <w:proofErr w:type="spellStart"/>
      <w:r>
        <w:t>gadobutrol</w:t>
      </w:r>
      <w:proofErr w:type="spellEnd"/>
      <w:r>
        <w:t>.</w:t>
      </w:r>
      <w:r w:rsidR="002D73B1">
        <w:t xml:space="preserve"> </w:t>
      </w:r>
      <w:r>
        <w:t>This subject was excluded from the pharmacokinetic analysis.</w:t>
      </w:r>
    </w:p>
    <w:p w:rsidR="008564D1" w:rsidRDefault="008564D1" w:rsidP="0016229D">
      <w:pPr>
        <w:pStyle w:val="Heading6"/>
      </w:pPr>
      <w:bookmarkStart w:id="106" w:name="_Baseline_data"/>
      <w:bookmarkEnd w:id="106"/>
      <w:r>
        <w:t>Baseline data</w:t>
      </w:r>
    </w:p>
    <w:p w:rsidR="008564D1" w:rsidRDefault="008564D1" w:rsidP="005367B8">
      <w:pPr>
        <w:rPr>
          <w:lang w:val="en-NZ"/>
        </w:rPr>
      </w:pPr>
      <w:r>
        <w:t>There were 26 (59.1%) males, 18 (40.9%) females and the age range was 0.2 to 23.0 months.</w:t>
      </w:r>
      <w:r w:rsidR="002D73B1">
        <w:t xml:space="preserve"> </w:t>
      </w:r>
      <w:r>
        <w:t>The most common body region for referral diagnosis was the brain, 19 (43.2%) subjects.</w:t>
      </w:r>
      <w:r w:rsidR="002D73B1">
        <w:t xml:space="preserve"> </w:t>
      </w:r>
      <w:r>
        <w:rPr>
          <w:lang w:val="en-NZ"/>
        </w:rPr>
        <w:t>Nine subjects were aged &lt;2 months.</w:t>
      </w:r>
    </w:p>
    <w:p w:rsidR="008564D1" w:rsidRDefault="008564D1" w:rsidP="0016229D">
      <w:pPr>
        <w:pStyle w:val="Heading6"/>
      </w:pPr>
      <w:bookmarkStart w:id="107" w:name="_Results_for_the"/>
      <w:bookmarkEnd w:id="107"/>
      <w:r>
        <w:t>Results for the primary efficacy outcome</w:t>
      </w:r>
    </w:p>
    <w:p w:rsidR="008564D1" w:rsidRDefault="008564D1" w:rsidP="005367B8">
      <w:r>
        <w:t>There was no primary efficacy outcome measure.</w:t>
      </w:r>
    </w:p>
    <w:p w:rsidR="008564D1" w:rsidRDefault="008564D1" w:rsidP="0016229D">
      <w:pPr>
        <w:pStyle w:val="Heading6"/>
      </w:pPr>
      <w:r>
        <w:t>Results for other efficacy outcomes</w:t>
      </w:r>
    </w:p>
    <w:p w:rsidR="008564D1" w:rsidRDefault="008564D1" w:rsidP="0016229D">
      <w:r>
        <w:t>The most common anatomical region scanned was the brain: 20 (45.45%) subjects (</w:t>
      </w:r>
      <w:r w:rsidR="0016229D">
        <w:t>Table 3</w:t>
      </w:r>
      <w:r>
        <w:t>).</w:t>
      </w:r>
      <w:r w:rsidR="002D73B1">
        <w:t xml:space="preserve"> </w:t>
      </w:r>
      <w:r>
        <w:t>The technical adequacy of the image was improved by enhancement for one (2.3%) subject (</w:t>
      </w:r>
      <w:r w:rsidR="0016229D">
        <w:t>Table 4</w:t>
      </w:r>
      <w:r>
        <w:t>).</w:t>
      </w:r>
      <w:r w:rsidR="002D73B1">
        <w:t xml:space="preserve"> </w:t>
      </w:r>
      <w:r>
        <w:t>Overall contrast quality was good for five (11.36%) subjects and excellent for 38 (86.36%) subjects.</w:t>
      </w:r>
      <w:r w:rsidR="002D73B1">
        <w:t xml:space="preserve"> </w:t>
      </w:r>
      <w:r>
        <w:t>Pathologies were visible in 33 (75.0%) subjects in both unenhanced and combined datasets.</w:t>
      </w:r>
      <w:r w:rsidR="002D73B1">
        <w:t xml:space="preserve"> </w:t>
      </w:r>
      <w:r>
        <w:t>Contrast enhancement of the lesion / vessel was none in three (6.82%) subjects, good in six (13.64%) and excellent in 35 (79.55%).</w:t>
      </w:r>
      <w:r w:rsidR="002D73B1">
        <w:t xml:space="preserve"> </w:t>
      </w:r>
      <w:r>
        <w:t>Border delineation of lesion/vessel was improved by enhancement in 18 (40.9%) subjects (</w:t>
      </w:r>
      <w:r w:rsidR="0016229D">
        <w:t>Table 5</w:t>
      </w:r>
      <w:r>
        <w:t>).</w:t>
      </w:r>
      <w:r w:rsidR="002D73B1">
        <w:t xml:space="preserve"> </w:t>
      </w:r>
      <w:r>
        <w:t>The visualisation of lesion internal morphology was enhanced in 16 (36.4%) subjects (</w:t>
      </w:r>
      <w:r w:rsidR="0016229D">
        <w:t>Table 6</w:t>
      </w:r>
      <w:r>
        <w:t>).</w:t>
      </w:r>
      <w:r w:rsidR="002D73B1">
        <w:t xml:space="preserve"> </w:t>
      </w:r>
      <w:r>
        <w:t xml:space="preserve">The pre and </w:t>
      </w:r>
      <w:r w:rsidR="00DC3496">
        <w:t>post enhancement</w:t>
      </w:r>
      <w:r>
        <w:t xml:space="preserve"> diagnoses are summarised in </w:t>
      </w:r>
      <w:r w:rsidR="0016229D">
        <w:t>Table 7</w:t>
      </w:r>
      <w:r>
        <w:t>.</w:t>
      </w:r>
      <w:r w:rsidR="002D73B1">
        <w:t xml:space="preserve"> </w:t>
      </w:r>
      <w:r>
        <w:t>The initial diagnosis was unchanged in 19 (43.2%) subjects, improved in 24 (54.5%) subjects and changed to a new diagnosis in one (2.3%) subject.</w:t>
      </w:r>
      <w:r w:rsidR="002D73B1">
        <w:t xml:space="preserve"> </w:t>
      </w:r>
      <w:r>
        <w:t>The confidence in the diagnosis was increased by enhancement in 16 (36.4%) subjects (</w:t>
      </w:r>
      <w:r w:rsidR="0016229D">
        <w:t>Table 8</w:t>
      </w:r>
      <w:r>
        <w:t>).</w:t>
      </w:r>
      <w:r w:rsidR="002D73B1">
        <w:t xml:space="preserve"> </w:t>
      </w:r>
      <w:r>
        <w:t>In five (11.4%) subjects there was a change in diagnosis from unenhanced to combined MRI (</w:t>
      </w:r>
      <w:r w:rsidR="0016229D">
        <w:t>Table 9</w:t>
      </w:r>
      <w:r>
        <w:t>).</w:t>
      </w:r>
      <w:r w:rsidR="002D73B1">
        <w:t xml:space="preserve"> </w:t>
      </w:r>
      <w:r>
        <w:t>In 11 (25.0%) subjects there was a change in diagnosis from the unenhanced MRI to final diagnosis.</w:t>
      </w:r>
      <w:r w:rsidR="002D73B1">
        <w:t xml:space="preserve"> </w:t>
      </w:r>
      <w:r>
        <w:t>In eight (18.2%) subjects the management changed from unenhanced to combined MRI, but in seven of these subjects the plan after unenhanced MRI was to perform an enhanced MRI.</w:t>
      </w:r>
    </w:p>
    <w:p w:rsidR="00F72DA2" w:rsidRDefault="0016229D" w:rsidP="0016229D">
      <w:pPr>
        <w:pStyle w:val="Tabletitle"/>
        <w:rPr>
          <w:lang w:val="en-NZ"/>
        </w:rPr>
      </w:pPr>
      <w:bookmarkStart w:id="108" w:name="Table_7_1_1_1_5"/>
      <w:r>
        <w:t>Table 3</w:t>
      </w:r>
      <w:bookmarkEnd w:id="108"/>
      <w:r>
        <w:t xml:space="preserve">: </w:t>
      </w:r>
      <w:r w:rsidR="009B263A" w:rsidRPr="00197AA6">
        <w:rPr>
          <w:lang w:val="en-NZ"/>
        </w:rPr>
        <w:t xml:space="preserve">Anatomical area evaluated body region for unenhanced and combined MRI (FAS) </w:t>
      </w:r>
    </w:p>
    <w:p w:rsidR="009B263A" w:rsidRPr="00197AA6" w:rsidRDefault="009B263A" w:rsidP="00F72DA2">
      <w:r w:rsidRPr="00197AA6">
        <w:rPr>
          <w:noProof/>
          <w:lang w:eastAsia="en-AU"/>
        </w:rPr>
        <w:drawing>
          <wp:inline distT="0" distB="0" distL="0" distR="0" wp14:anchorId="2413DADC" wp14:editId="28BFFE38">
            <wp:extent cx="4942863" cy="2839844"/>
            <wp:effectExtent l="0" t="0" r="0" b="0"/>
            <wp:docPr id="50" name="Picture 50" descr="Table 3: Anatomical area evaluated body region for unenhanced and combined MRI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3535" cy="2840230"/>
                    </a:xfrm>
                    <a:prstGeom prst="rect">
                      <a:avLst/>
                    </a:prstGeom>
                    <a:noFill/>
                    <a:ln>
                      <a:noFill/>
                    </a:ln>
                  </pic:spPr>
                </pic:pic>
              </a:graphicData>
            </a:graphic>
          </wp:inline>
        </w:drawing>
      </w:r>
    </w:p>
    <w:p w:rsidR="009B263A" w:rsidRPr="00197AA6" w:rsidRDefault="0016229D" w:rsidP="007D2075">
      <w:pPr>
        <w:pStyle w:val="Tabletitle"/>
      </w:pPr>
      <w:bookmarkStart w:id="109" w:name="Table_7_1_1_1_6"/>
      <w:r>
        <w:t>Table 4</w:t>
      </w:r>
      <w:bookmarkEnd w:id="109"/>
      <w:r>
        <w:t xml:space="preserve">: </w:t>
      </w:r>
      <w:r w:rsidR="009B263A" w:rsidRPr="00197AA6">
        <w:rPr>
          <w:lang w:val="en-NZ"/>
        </w:rPr>
        <w:t xml:space="preserve">Number of subjects with technical adequacy of the images by unenhanced and combined MRI (FAS) </w:t>
      </w:r>
    </w:p>
    <w:p w:rsidR="009B263A" w:rsidRPr="00197AA6" w:rsidRDefault="009B263A" w:rsidP="00F72DA2">
      <w:r w:rsidRPr="00197AA6">
        <w:rPr>
          <w:noProof/>
          <w:lang w:eastAsia="en-AU"/>
        </w:rPr>
        <w:drawing>
          <wp:inline distT="0" distB="0" distL="0" distR="0" wp14:anchorId="5280C2D7" wp14:editId="30BF93BD">
            <wp:extent cx="5471532" cy="1667632"/>
            <wp:effectExtent l="0" t="0" r="0" b="8890"/>
            <wp:docPr id="51" name="Picture 51" descr="Table 4: Number of subjects with technical adequacy of the images by unenhanced and combined MRI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2909" cy="1674147"/>
                    </a:xfrm>
                    <a:prstGeom prst="rect">
                      <a:avLst/>
                    </a:prstGeom>
                    <a:noFill/>
                    <a:ln>
                      <a:noFill/>
                    </a:ln>
                  </pic:spPr>
                </pic:pic>
              </a:graphicData>
            </a:graphic>
          </wp:inline>
        </w:drawing>
      </w:r>
    </w:p>
    <w:p w:rsidR="009B263A" w:rsidRPr="00197AA6" w:rsidRDefault="0016229D" w:rsidP="0016229D">
      <w:pPr>
        <w:pStyle w:val="Tabletitle"/>
      </w:pPr>
      <w:bookmarkStart w:id="110" w:name="Table_7_1_1_1_7"/>
      <w:r>
        <w:t>Table 5</w:t>
      </w:r>
      <w:bookmarkEnd w:id="110"/>
      <w:r>
        <w:t xml:space="preserve">: </w:t>
      </w:r>
      <w:r w:rsidR="009B263A" w:rsidRPr="00197AA6">
        <w:rPr>
          <w:lang w:val="en-NZ"/>
        </w:rPr>
        <w:t>Number of subjects by border delineation of lesion/vessel in un</w:t>
      </w:r>
      <w:r>
        <w:rPr>
          <w:lang w:val="en-NZ"/>
        </w:rPr>
        <w:t>enhanced and combined MRI (FAS)</w:t>
      </w:r>
    </w:p>
    <w:p w:rsidR="009B263A" w:rsidRPr="00197AA6" w:rsidRDefault="009B263A" w:rsidP="009B263A">
      <w:pPr>
        <w:rPr>
          <w:rFonts w:ascii="Times New Roman" w:hAnsi="Times New Roman"/>
          <w:sz w:val="24"/>
        </w:rPr>
      </w:pPr>
      <w:r w:rsidRPr="00197AA6">
        <w:rPr>
          <w:rFonts w:ascii="Times New Roman" w:hAnsi="Times New Roman"/>
          <w:noProof/>
          <w:sz w:val="24"/>
          <w:lang w:eastAsia="en-AU"/>
        </w:rPr>
        <w:drawing>
          <wp:inline distT="0" distB="0" distL="0" distR="0" wp14:anchorId="7533054E" wp14:editId="415F84FC">
            <wp:extent cx="5389756" cy="1569399"/>
            <wp:effectExtent l="0" t="0" r="1905" b="0"/>
            <wp:docPr id="52" name="Picture 52" descr="Table 5: Number of subjects by border delineation of lesion/vessel in unenhanced and combined MRI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2159" cy="1570099"/>
                    </a:xfrm>
                    <a:prstGeom prst="rect">
                      <a:avLst/>
                    </a:prstGeom>
                    <a:noFill/>
                    <a:ln>
                      <a:noFill/>
                    </a:ln>
                  </pic:spPr>
                </pic:pic>
              </a:graphicData>
            </a:graphic>
          </wp:inline>
        </w:drawing>
      </w:r>
    </w:p>
    <w:p w:rsidR="009B263A" w:rsidRPr="00197AA6" w:rsidRDefault="0016229D" w:rsidP="0016229D">
      <w:pPr>
        <w:pStyle w:val="Tabletitle"/>
      </w:pPr>
      <w:bookmarkStart w:id="111" w:name="Table_7_1_1_1_8"/>
      <w:r>
        <w:t>Table 6</w:t>
      </w:r>
      <w:bookmarkEnd w:id="111"/>
      <w:r>
        <w:t xml:space="preserve">: </w:t>
      </w:r>
      <w:r w:rsidR="009B263A" w:rsidRPr="00197AA6">
        <w:rPr>
          <w:lang w:val="en-NZ"/>
        </w:rPr>
        <w:t xml:space="preserve">Number of subjects by lesion characterization or homogeneity of vessel enhancement in unenhanced and combined MRI (FAS) </w:t>
      </w:r>
    </w:p>
    <w:p w:rsidR="009B263A" w:rsidRPr="00197AA6" w:rsidRDefault="009B263A" w:rsidP="009B263A">
      <w:pPr>
        <w:rPr>
          <w:rFonts w:ascii="Times New Roman" w:hAnsi="Times New Roman"/>
          <w:sz w:val="24"/>
        </w:rPr>
      </w:pPr>
      <w:r w:rsidRPr="00197AA6">
        <w:rPr>
          <w:rFonts w:ascii="Times New Roman" w:hAnsi="Times New Roman"/>
          <w:noProof/>
          <w:sz w:val="24"/>
          <w:lang w:eastAsia="en-AU"/>
        </w:rPr>
        <w:drawing>
          <wp:inline distT="0" distB="0" distL="0" distR="0" wp14:anchorId="087D96EF" wp14:editId="55140B11">
            <wp:extent cx="5322849" cy="1752387"/>
            <wp:effectExtent l="0" t="0" r="0" b="635"/>
            <wp:docPr id="53" name="Picture 53" descr="Table 6: Number of subjects by lesion characterization or homogeneity of vessel enhancement in unenhanced and combined MRI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1457" cy="1755221"/>
                    </a:xfrm>
                    <a:prstGeom prst="rect">
                      <a:avLst/>
                    </a:prstGeom>
                    <a:noFill/>
                    <a:ln>
                      <a:noFill/>
                    </a:ln>
                  </pic:spPr>
                </pic:pic>
              </a:graphicData>
            </a:graphic>
          </wp:inline>
        </w:drawing>
      </w:r>
    </w:p>
    <w:p w:rsidR="009B263A" w:rsidRPr="00197AA6" w:rsidRDefault="0016229D" w:rsidP="0016229D">
      <w:pPr>
        <w:pStyle w:val="Tabletitle"/>
      </w:pPr>
      <w:bookmarkStart w:id="112" w:name="Table_7_1_1_1_9"/>
      <w:r>
        <w:t>Table 7</w:t>
      </w:r>
      <w:bookmarkEnd w:id="112"/>
      <w:r>
        <w:t xml:space="preserve">: </w:t>
      </w:r>
      <w:r w:rsidR="009B263A" w:rsidRPr="00197AA6">
        <w:rPr>
          <w:lang w:val="en-NZ"/>
        </w:rPr>
        <w:t xml:space="preserve">Diagnosis by image set and body region (FAS) </w:t>
      </w:r>
    </w:p>
    <w:p w:rsidR="009B263A" w:rsidRPr="00197AA6" w:rsidRDefault="009B263A" w:rsidP="009B263A">
      <w:pPr>
        <w:rPr>
          <w:rFonts w:ascii="Times New Roman" w:hAnsi="Times New Roman"/>
          <w:sz w:val="24"/>
        </w:rPr>
      </w:pPr>
      <w:r w:rsidRPr="00197AA6">
        <w:rPr>
          <w:rFonts w:ascii="Times New Roman" w:hAnsi="Times New Roman"/>
          <w:noProof/>
          <w:sz w:val="24"/>
          <w:lang w:eastAsia="en-AU"/>
        </w:rPr>
        <w:drawing>
          <wp:inline distT="0" distB="0" distL="0" distR="0" wp14:anchorId="7CF96683" wp14:editId="06DE998B">
            <wp:extent cx="5078723" cy="3211551"/>
            <wp:effectExtent l="0" t="0" r="8255" b="8255"/>
            <wp:docPr id="54" name="Picture 54" descr="Table 7: Diagnosis by image set and body reg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9413" cy="3211987"/>
                    </a:xfrm>
                    <a:prstGeom prst="rect">
                      <a:avLst/>
                    </a:prstGeom>
                    <a:noFill/>
                    <a:ln>
                      <a:noFill/>
                    </a:ln>
                  </pic:spPr>
                </pic:pic>
              </a:graphicData>
            </a:graphic>
          </wp:inline>
        </w:drawing>
      </w:r>
    </w:p>
    <w:p w:rsidR="009B263A" w:rsidRPr="00197AA6" w:rsidRDefault="0016229D" w:rsidP="0016229D">
      <w:pPr>
        <w:pStyle w:val="Tabletitle"/>
      </w:pPr>
      <w:bookmarkStart w:id="113" w:name="Table_7_1_1_1_10"/>
      <w:r>
        <w:t>Table 8:</w:t>
      </w:r>
      <w:bookmarkEnd w:id="113"/>
      <w:r>
        <w:t xml:space="preserve"> </w:t>
      </w:r>
      <w:r w:rsidR="009B263A" w:rsidRPr="00197AA6">
        <w:rPr>
          <w:lang w:val="en-NZ"/>
        </w:rPr>
        <w:t xml:space="preserve">Confidence in diagnosis by image set (FAS) </w:t>
      </w:r>
    </w:p>
    <w:p w:rsidR="009B263A" w:rsidRPr="00197AA6" w:rsidRDefault="009B263A" w:rsidP="009B263A">
      <w:pPr>
        <w:rPr>
          <w:rFonts w:ascii="Times New Roman" w:hAnsi="Times New Roman"/>
          <w:sz w:val="24"/>
        </w:rPr>
      </w:pPr>
      <w:r w:rsidRPr="00197AA6">
        <w:rPr>
          <w:rFonts w:ascii="Times New Roman" w:hAnsi="Times New Roman"/>
          <w:noProof/>
          <w:sz w:val="24"/>
          <w:lang w:eastAsia="en-AU"/>
        </w:rPr>
        <w:drawing>
          <wp:inline distT="0" distB="0" distL="0" distR="0" wp14:anchorId="24B516D4" wp14:editId="523998BC">
            <wp:extent cx="5419493" cy="755588"/>
            <wp:effectExtent l="0" t="0" r="0" b="6985"/>
            <wp:docPr id="55" name="Picture 55" descr="Table 8: Confidence in diagnosis by image set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5995" cy="756494"/>
                    </a:xfrm>
                    <a:prstGeom prst="rect">
                      <a:avLst/>
                    </a:prstGeom>
                    <a:noFill/>
                    <a:ln>
                      <a:noFill/>
                    </a:ln>
                  </pic:spPr>
                </pic:pic>
              </a:graphicData>
            </a:graphic>
          </wp:inline>
        </w:drawing>
      </w:r>
    </w:p>
    <w:p w:rsidR="009B263A" w:rsidRDefault="0016229D" w:rsidP="0016229D">
      <w:pPr>
        <w:pStyle w:val="Tabletitle"/>
        <w:rPr>
          <w:lang w:val="en-NZ"/>
        </w:rPr>
      </w:pPr>
      <w:bookmarkStart w:id="114" w:name="Table_7_1_1_1_11"/>
      <w:r>
        <w:t>Table 9</w:t>
      </w:r>
      <w:bookmarkEnd w:id="114"/>
      <w:r>
        <w:t xml:space="preserve">: </w:t>
      </w:r>
      <w:r w:rsidR="009B263A" w:rsidRPr="00197AA6">
        <w:rPr>
          <w:lang w:val="en-NZ"/>
        </w:rPr>
        <w:t>Subjects with changes in diagnoses from unenhanced MRI to combined MRI by body region (FAS)</w:t>
      </w:r>
    </w:p>
    <w:p w:rsidR="0016229D" w:rsidRPr="0016229D" w:rsidRDefault="0016229D" w:rsidP="0016229D">
      <w:pPr>
        <w:rPr>
          <w:lang w:val="en-NZ"/>
        </w:rPr>
      </w:pPr>
      <w:r>
        <w:rPr>
          <w:noProof/>
          <w:lang w:eastAsia="en-AU"/>
        </w:rPr>
        <w:drawing>
          <wp:inline distT="0" distB="0" distL="0" distR="0" wp14:anchorId="06A53659" wp14:editId="0B22A3D7">
            <wp:extent cx="5731727" cy="1865199"/>
            <wp:effectExtent l="0" t="0" r="2540" b="1905"/>
            <wp:docPr id="3" name="Picture 3" descr="Table 9: Subjects with changes in diagnoses from unenhanced MRI to combined MRI by body regi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641"/>
                    <a:stretch/>
                  </pic:blipFill>
                  <pic:spPr bwMode="auto">
                    <a:xfrm>
                      <a:off x="0" y="0"/>
                      <a:ext cx="5731510" cy="1865128"/>
                    </a:xfrm>
                    <a:prstGeom prst="rect">
                      <a:avLst/>
                    </a:prstGeom>
                    <a:ln>
                      <a:noFill/>
                    </a:ln>
                    <a:extLst>
                      <a:ext uri="{53640926-AAD7-44D8-BBD7-CCE9431645EC}">
                        <a14:shadowObscured xmlns:a14="http://schemas.microsoft.com/office/drawing/2010/main"/>
                      </a:ext>
                    </a:extLst>
                  </pic:spPr>
                </pic:pic>
              </a:graphicData>
            </a:graphic>
          </wp:inline>
        </w:drawing>
      </w:r>
    </w:p>
    <w:p w:rsidR="009B263A" w:rsidRPr="00197AA6" w:rsidRDefault="0016229D" w:rsidP="0016229D">
      <w:pPr>
        <w:pStyle w:val="TableDescription"/>
      </w:pPr>
      <w:r>
        <w:rPr>
          <w:noProof/>
          <w:lang w:eastAsia="en-AU"/>
        </w:rPr>
        <w:t>Subject identifiers have been blacked out in this table.</w:t>
      </w:r>
    </w:p>
    <w:p w:rsidR="008564D1" w:rsidRDefault="008564D1" w:rsidP="007D2075">
      <w:pPr>
        <w:pStyle w:val="Heading3"/>
        <w:rPr>
          <w:sz w:val="24"/>
        </w:rPr>
      </w:pPr>
      <w:bookmarkStart w:id="115" w:name="_Toc448083060"/>
      <w:bookmarkStart w:id="116" w:name="_Toc290846277"/>
      <w:bookmarkStart w:id="117" w:name="_Toc272414655"/>
      <w:bookmarkStart w:id="118" w:name="_Ref271037210"/>
      <w:bookmarkStart w:id="119" w:name="_Ref271037188"/>
      <w:bookmarkStart w:id="120" w:name="_Ref243294291"/>
      <w:bookmarkStart w:id="121" w:name="_Toc241374311"/>
      <w:bookmarkStart w:id="122" w:name="_Toc474335018"/>
      <w:r>
        <w:t>Other efficacy studies</w:t>
      </w:r>
      <w:bookmarkEnd w:id="115"/>
      <w:bookmarkEnd w:id="116"/>
      <w:bookmarkEnd w:id="117"/>
      <w:bookmarkEnd w:id="118"/>
      <w:bookmarkEnd w:id="119"/>
      <w:bookmarkEnd w:id="122"/>
    </w:p>
    <w:bookmarkEnd w:id="120"/>
    <w:bookmarkEnd w:id="121"/>
    <w:p w:rsidR="008564D1" w:rsidRDefault="008564D1" w:rsidP="007D2075">
      <w:pPr>
        <w:rPr>
          <w:szCs w:val="24"/>
        </w:rPr>
      </w:pPr>
      <w:r>
        <w:t>There were no other efficacy studies submitted in support of the extension of indications.</w:t>
      </w:r>
    </w:p>
    <w:p w:rsidR="008564D1" w:rsidRDefault="008564D1" w:rsidP="007D2075">
      <w:pPr>
        <w:pStyle w:val="Heading3"/>
        <w:rPr>
          <w:sz w:val="24"/>
        </w:rPr>
      </w:pPr>
      <w:bookmarkStart w:id="123" w:name="_Toc448083061"/>
      <w:bookmarkStart w:id="124" w:name="_Toc290846281"/>
      <w:bookmarkStart w:id="125" w:name="_Toc272414656"/>
      <w:bookmarkStart w:id="126" w:name="_Toc241374312"/>
      <w:bookmarkStart w:id="127" w:name="_Toc474335019"/>
      <w:r>
        <w:t xml:space="preserve">Analyses performed across </w:t>
      </w:r>
      <w:r w:rsidRPr="007D2075">
        <w:t>trials</w:t>
      </w:r>
      <w:r>
        <w:t xml:space="preserve"> (pooled analyses and meta-analyses)</w:t>
      </w:r>
      <w:bookmarkEnd w:id="123"/>
      <w:bookmarkEnd w:id="124"/>
      <w:bookmarkEnd w:id="125"/>
      <w:bookmarkEnd w:id="126"/>
      <w:bookmarkEnd w:id="127"/>
    </w:p>
    <w:p w:rsidR="008564D1" w:rsidRDefault="008564D1" w:rsidP="005367B8">
      <w:pPr>
        <w:rPr>
          <w:rFonts w:ascii="Times New Roman" w:hAnsi="Times New Roman"/>
          <w:szCs w:val="24"/>
        </w:rPr>
      </w:pPr>
      <w:r>
        <w:t xml:space="preserve">No pooled analyses or meta-analyses were submitted in support of the extension of </w:t>
      </w:r>
      <w:r>
        <w:rPr>
          <w:rFonts w:ascii="Times New Roman" w:hAnsi="Times New Roman"/>
        </w:rPr>
        <w:t>indications.</w:t>
      </w:r>
    </w:p>
    <w:p w:rsidR="008564D1" w:rsidRDefault="008564D1" w:rsidP="007D2075">
      <w:pPr>
        <w:pStyle w:val="Heading3"/>
        <w:rPr>
          <w:sz w:val="24"/>
        </w:rPr>
      </w:pPr>
      <w:bookmarkStart w:id="128" w:name="_Toc290846282"/>
      <w:bookmarkStart w:id="129" w:name="_Toc272414657"/>
      <w:bookmarkStart w:id="130" w:name="_Ref271126605"/>
      <w:bookmarkStart w:id="131" w:name="_Toc448083062"/>
      <w:bookmarkStart w:id="132" w:name="_Toc474335020"/>
      <w:r>
        <w:t xml:space="preserve">Evaluator’s </w:t>
      </w:r>
      <w:r w:rsidRPr="007D2075">
        <w:t>conclusions</w:t>
      </w:r>
      <w:r>
        <w:t xml:space="preserve"> on clinical efficacy for </w:t>
      </w:r>
      <w:bookmarkEnd w:id="128"/>
      <w:bookmarkEnd w:id="129"/>
      <w:bookmarkEnd w:id="130"/>
      <w:r>
        <w:t>children &lt;</w:t>
      </w:r>
      <w:r w:rsidR="00156740">
        <w:t xml:space="preserve"> </w:t>
      </w:r>
      <w:r>
        <w:t>2 years age</w:t>
      </w:r>
      <w:bookmarkEnd w:id="131"/>
      <w:bookmarkEnd w:id="132"/>
    </w:p>
    <w:p w:rsidR="00C22678" w:rsidRPr="00586F98" w:rsidRDefault="008564D1" w:rsidP="007D2075">
      <w:pPr>
        <w:rPr>
          <w:lang w:eastAsia="ja-JP"/>
        </w:rPr>
      </w:pPr>
      <w:proofErr w:type="spellStart"/>
      <w:r>
        <w:t>Gadobutrol</w:t>
      </w:r>
      <w:proofErr w:type="spellEnd"/>
      <w:r>
        <w:t xml:space="preserve"> improved the delineation of borders and blood vessels in the MRI studies.</w:t>
      </w:r>
      <w:r w:rsidR="002D73B1">
        <w:t xml:space="preserve"> </w:t>
      </w:r>
      <w:r>
        <w:t>The radiologists had increased confidence in their interpretation of the studies.</w:t>
      </w:r>
      <w:r w:rsidR="002D73B1">
        <w:t xml:space="preserve"> </w:t>
      </w:r>
      <w:r>
        <w:t xml:space="preserve">However, the use of </w:t>
      </w:r>
      <w:proofErr w:type="spellStart"/>
      <w:r>
        <w:t>gadobutrol</w:t>
      </w:r>
      <w:proofErr w:type="spellEnd"/>
      <w:r>
        <w:t xml:space="preserve"> improved the technical adequacy of the study in only one (2.3%) subject, and changed to a new diagnosis in only one (2.3%) subject.</w:t>
      </w:r>
      <w:r w:rsidR="002D73B1">
        <w:t xml:space="preserve"> </w:t>
      </w:r>
      <w:r>
        <w:t xml:space="preserve">In the opinion of the </w:t>
      </w:r>
      <w:r w:rsidR="007D2075">
        <w:t>clinical e</w:t>
      </w:r>
      <w:r>
        <w:t>valuator, radiologists will want to use enhancement in order to improve their confidence (</w:t>
      </w:r>
      <w:r w:rsidR="00BE4592">
        <w:t>that is,</w:t>
      </w:r>
      <w:r>
        <w:t xml:space="preserve"> for reassurance) but only a small minority of patients will benefit.</w:t>
      </w:r>
    </w:p>
    <w:p w:rsidR="00C22678" w:rsidRDefault="00C22678" w:rsidP="00C22678">
      <w:pPr>
        <w:pStyle w:val="Heading2"/>
      </w:pPr>
      <w:bookmarkStart w:id="133" w:name="_Toc474335021"/>
      <w:r>
        <w:t>Clinical safety</w:t>
      </w:r>
      <w:bookmarkEnd w:id="133"/>
    </w:p>
    <w:p w:rsidR="008564D1" w:rsidRDefault="008564D1" w:rsidP="007D2075">
      <w:pPr>
        <w:pStyle w:val="Heading3"/>
        <w:rPr>
          <w:sz w:val="24"/>
        </w:rPr>
      </w:pPr>
      <w:bookmarkStart w:id="134" w:name="_Toc448083064"/>
      <w:bookmarkStart w:id="135" w:name="_Toc290846284"/>
      <w:bookmarkStart w:id="136" w:name="_Toc272414659"/>
      <w:bookmarkStart w:id="137" w:name="_Toc474335022"/>
      <w:r>
        <w:t>Studies providing evaluable safety data</w:t>
      </w:r>
      <w:bookmarkEnd w:id="134"/>
      <w:bookmarkEnd w:id="135"/>
      <w:bookmarkEnd w:id="136"/>
      <w:bookmarkEnd w:id="137"/>
    </w:p>
    <w:p w:rsidR="008564D1" w:rsidRDefault="008564D1" w:rsidP="005367B8">
      <w:pPr>
        <w:rPr>
          <w:szCs w:val="24"/>
        </w:rPr>
      </w:pPr>
      <w:bookmarkStart w:id="138" w:name="_Ref268776745"/>
      <w:r>
        <w:t>The following studies provided evaluable safety data: Study 91741 and Study 1482</w:t>
      </w:r>
      <w:bookmarkEnd w:id="138"/>
      <w:r>
        <w:t>3.</w:t>
      </w:r>
    </w:p>
    <w:p w:rsidR="008564D1" w:rsidRDefault="008564D1" w:rsidP="00DC3496">
      <w:pPr>
        <w:pStyle w:val="Heading3"/>
      </w:pPr>
      <w:bookmarkStart w:id="139" w:name="_Toc474335023"/>
      <w:r>
        <w:t>Other studies evaluable for safety only</w:t>
      </w:r>
      <w:bookmarkEnd w:id="139"/>
    </w:p>
    <w:p w:rsidR="008564D1" w:rsidRDefault="008564D1" w:rsidP="007D2075">
      <w:pPr>
        <w:pStyle w:val="Heading4"/>
      </w:pPr>
      <w:bookmarkStart w:id="140" w:name="_Study_14823"/>
      <w:bookmarkEnd w:id="140"/>
      <w:r>
        <w:t>Study 14823</w:t>
      </w:r>
    </w:p>
    <w:p w:rsidR="008564D1" w:rsidRDefault="008564D1" w:rsidP="005367B8">
      <w:pPr>
        <w:rPr>
          <w:szCs w:val="24"/>
        </w:rPr>
      </w:pPr>
      <w:r>
        <w:t>Study 14823 was an open label, observational, safety and tolerability study.</w:t>
      </w:r>
      <w:r w:rsidR="002D73B1">
        <w:t xml:space="preserve"> </w:t>
      </w:r>
      <w:r>
        <w:t xml:space="preserve">The study was conducted at 272 sites in 17 countries: Canada (1), Europe (121), Asia (91), Russia (46), </w:t>
      </w:r>
      <w:r w:rsidR="00DC3496">
        <w:t>and South</w:t>
      </w:r>
      <w:r>
        <w:t xml:space="preserve"> Africa (3) from August 2010 to March 2011.</w:t>
      </w:r>
      <w:r w:rsidR="002D73B1">
        <w:t xml:space="preserve"> </w:t>
      </w:r>
      <w:r>
        <w:t>There was follow-up only during the period of the study (</w:t>
      </w:r>
      <w:r w:rsidR="00BE4592">
        <w:t>that is,</w:t>
      </w:r>
      <w:r>
        <w:t xml:space="preserve"> the study procedure), except for subjects with severe renal impairment who were followed up with a phone call at 3 months.</w:t>
      </w:r>
      <w:r w:rsidR="002D73B1">
        <w:t xml:space="preserve"> </w:t>
      </w:r>
      <w:r>
        <w:t xml:space="preserve">The study included </w:t>
      </w:r>
      <w:r>
        <w:rPr>
          <w:lang w:val="en-NZ"/>
        </w:rPr>
        <w:t xml:space="preserve">patients undergoing contrast enhanced magnetic resonance imaging with </w:t>
      </w:r>
      <w:proofErr w:type="spellStart"/>
      <w:r>
        <w:rPr>
          <w:lang w:val="en-NZ"/>
        </w:rPr>
        <w:t>gadobutrol</w:t>
      </w:r>
      <w:proofErr w:type="spellEnd"/>
      <w:r>
        <w:rPr>
          <w:lang w:val="en-NZ"/>
        </w:rPr>
        <w:t>.</w:t>
      </w:r>
      <w:r w:rsidR="002D73B1">
        <w:rPr>
          <w:lang w:val="en-NZ"/>
        </w:rPr>
        <w:t xml:space="preserve"> </w:t>
      </w:r>
      <w:r>
        <w:rPr>
          <w:lang w:val="en-NZ"/>
        </w:rPr>
        <w:t>The study treatment was: g</w:t>
      </w:r>
      <w:proofErr w:type="spellStart"/>
      <w:r>
        <w:t>adobutrol</w:t>
      </w:r>
      <w:proofErr w:type="spellEnd"/>
      <w:r>
        <w:t xml:space="preserve"> 0.1 to 0.3 </w:t>
      </w:r>
      <w:proofErr w:type="spellStart"/>
      <w:r>
        <w:t>mmol</w:t>
      </w:r>
      <w:proofErr w:type="spellEnd"/>
      <w:r>
        <w:t>/kg body weight as a single dose.</w:t>
      </w:r>
      <w:r w:rsidR="002D73B1">
        <w:t xml:space="preserve"> </w:t>
      </w:r>
      <w:r>
        <w:t>The outcome measure was: adverse drug reactions.</w:t>
      </w:r>
    </w:p>
    <w:p w:rsidR="008564D1" w:rsidRDefault="008564D1" w:rsidP="005367B8">
      <w:r>
        <w:rPr>
          <w:lang w:val="en-NZ"/>
        </w:rPr>
        <w:t xml:space="preserve">A total of 23,764 subjects were enrolled of whom 23,708 received at least one dose of </w:t>
      </w:r>
      <w:proofErr w:type="spellStart"/>
      <w:r>
        <w:rPr>
          <w:lang w:val="en-NZ"/>
        </w:rPr>
        <w:t>gadobutrol</w:t>
      </w:r>
      <w:proofErr w:type="spellEnd"/>
      <w:r>
        <w:rPr>
          <w:lang w:val="en-NZ"/>
        </w:rPr>
        <w:t>.</w:t>
      </w:r>
      <w:r w:rsidR="002D73B1">
        <w:rPr>
          <w:lang w:val="en-NZ"/>
        </w:rPr>
        <w:t xml:space="preserve"> </w:t>
      </w:r>
      <w:r>
        <w:rPr>
          <w:lang w:val="en-NZ"/>
        </w:rPr>
        <w:t>Eleven subjects were excluded because they had not signed informed consent or no MRI/MRA scan was performed.</w:t>
      </w:r>
      <w:r w:rsidR="002D73B1">
        <w:rPr>
          <w:lang w:val="en-NZ"/>
        </w:rPr>
        <w:t xml:space="preserve"> </w:t>
      </w:r>
      <w:r>
        <w:rPr>
          <w:lang w:val="en-NZ"/>
        </w:rPr>
        <w:t>For 23,502 subjects the documentation had been signed off by the investigator.</w:t>
      </w:r>
      <w:r w:rsidR="002D73B1">
        <w:rPr>
          <w:lang w:val="en-NZ"/>
        </w:rPr>
        <w:t xml:space="preserve"> </w:t>
      </w:r>
      <w:r>
        <w:rPr>
          <w:lang w:val="en-NZ"/>
        </w:rPr>
        <w:t>There were 1,142 children: 970 aged 7 to &lt;18 years, 168 aged 2 to &lt;7 years, 4 aged &lt;</w:t>
      </w:r>
      <w:r w:rsidR="007D2075">
        <w:rPr>
          <w:lang w:val="en-NZ"/>
        </w:rPr>
        <w:t xml:space="preserve"> </w:t>
      </w:r>
      <w:r>
        <w:rPr>
          <w:lang w:val="en-NZ"/>
        </w:rPr>
        <w:t>2 years.</w:t>
      </w:r>
      <w:r w:rsidR="002D73B1">
        <w:rPr>
          <w:lang w:val="en-NZ"/>
        </w:rPr>
        <w:t xml:space="preserve"> </w:t>
      </w:r>
      <w:r>
        <w:rPr>
          <w:lang w:val="en-NZ"/>
        </w:rPr>
        <w:t>There were 12266 (51.74%) females and 11429 (48.21%) males.</w:t>
      </w:r>
      <w:r w:rsidR="002D73B1">
        <w:rPr>
          <w:lang w:val="en-NZ"/>
        </w:rPr>
        <w:t xml:space="preserve"> </w:t>
      </w:r>
      <w:r>
        <w:rPr>
          <w:lang w:val="en-NZ"/>
        </w:rPr>
        <w:t>A total of 153 subjects had acute or chronic renal failure, of whom 31 had severe renal impairment, and 100 had moderate renal impairment.</w:t>
      </w:r>
      <w:r w:rsidR="002D73B1">
        <w:rPr>
          <w:lang w:val="en-NZ"/>
        </w:rPr>
        <w:t xml:space="preserve"> </w:t>
      </w:r>
      <w:r>
        <w:rPr>
          <w:lang w:val="en-NZ"/>
        </w:rPr>
        <w:t>Eleven of the subjects with renal failure had follow-up data.</w:t>
      </w:r>
    </w:p>
    <w:p w:rsidR="008564D1" w:rsidRDefault="008564D1" w:rsidP="007D2075">
      <w:pPr>
        <w:pStyle w:val="Heading3"/>
        <w:rPr>
          <w:sz w:val="24"/>
        </w:rPr>
      </w:pPr>
      <w:bookmarkStart w:id="141" w:name="_Toc448083065"/>
      <w:bookmarkStart w:id="142" w:name="_Toc290846285"/>
      <w:bookmarkStart w:id="143" w:name="_Toc272414660"/>
      <w:bookmarkStart w:id="144" w:name="_Ref271195841"/>
      <w:bookmarkStart w:id="145" w:name="_Ref271195835"/>
      <w:bookmarkStart w:id="146" w:name="_Ref269204367"/>
      <w:bookmarkStart w:id="147" w:name="_Toc474335024"/>
      <w:r>
        <w:t>Pivotal studies that assessed safety as a primary outcome</w:t>
      </w:r>
      <w:bookmarkEnd w:id="141"/>
      <w:bookmarkEnd w:id="142"/>
      <w:bookmarkEnd w:id="143"/>
      <w:bookmarkEnd w:id="144"/>
      <w:bookmarkEnd w:id="145"/>
      <w:bookmarkEnd w:id="146"/>
      <w:bookmarkEnd w:id="147"/>
    </w:p>
    <w:p w:rsidR="008564D1" w:rsidRDefault="008564D1" w:rsidP="007D2075">
      <w:pPr>
        <w:rPr>
          <w:szCs w:val="24"/>
        </w:rPr>
      </w:pPr>
      <w:r>
        <w:t>There were no pivotal studies that assessed safety as a primary outcome</w:t>
      </w:r>
      <w:r w:rsidR="007D2075">
        <w:t>.</w:t>
      </w:r>
    </w:p>
    <w:p w:rsidR="008564D1" w:rsidRDefault="008564D1" w:rsidP="007D2075">
      <w:pPr>
        <w:pStyle w:val="Heading3"/>
        <w:rPr>
          <w:sz w:val="24"/>
        </w:rPr>
      </w:pPr>
      <w:bookmarkStart w:id="148" w:name="_Toc448083066"/>
      <w:bookmarkStart w:id="149" w:name="_Toc290846300"/>
      <w:bookmarkStart w:id="150" w:name="_Toc272414662"/>
      <w:bookmarkStart w:id="151" w:name="_Ref271196630"/>
      <w:bookmarkStart w:id="152" w:name="_Toc241374318"/>
      <w:bookmarkStart w:id="153" w:name="_Toc474335025"/>
      <w:r>
        <w:t>Patient exposure</w:t>
      </w:r>
      <w:bookmarkEnd w:id="148"/>
      <w:bookmarkEnd w:id="149"/>
      <w:bookmarkEnd w:id="150"/>
      <w:bookmarkEnd w:id="151"/>
      <w:bookmarkEnd w:id="152"/>
      <w:bookmarkEnd w:id="153"/>
    </w:p>
    <w:p w:rsidR="008564D1" w:rsidRDefault="00C5782C" w:rsidP="005367B8">
      <w:pPr>
        <w:rPr>
          <w:szCs w:val="24"/>
        </w:rPr>
      </w:pPr>
      <w:r>
        <w:t>In Study 91741</w:t>
      </w:r>
      <w:r w:rsidR="008564D1">
        <w:t>, there were 44 subjects aged 0 to &lt;</w:t>
      </w:r>
      <w:r w:rsidR="007D2075">
        <w:t xml:space="preserve"> </w:t>
      </w:r>
      <w:r w:rsidR="008564D1">
        <w:t xml:space="preserve">2 years exposed to a single dose of </w:t>
      </w:r>
      <w:proofErr w:type="spellStart"/>
      <w:r w:rsidR="008564D1">
        <w:t>gadobutrol</w:t>
      </w:r>
      <w:proofErr w:type="spellEnd"/>
      <w:r w:rsidR="008564D1">
        <w:t xml:space="preserve"> of 0.1 </w:t>
      </w:r>
      <w:proofErr w:type="spellStart"/>
      <w:r w:rsidR="008564D1">
        <w:t>mmol</w:t>
      </w:r>
      <w:proofErr w:type="spellEnd"/>
      <w:r w:rsidR="008564D1">
        <w:t>/kg body weight.</w:t>
      </w:r>
    </w:p>
    <w:p w:rsidR="008564D1" w:rsidRDefault="008564D1" w:rsidP="005367B8">
      <w:r>
        <w:t xml:space="preserve">In Study 14823there were 4 subjects aged &lt;2 years exposed to </w:t>
      </w:r>
      <w:proofErr w:type="spellStart"/>
      <w:r>
        <w:t>gadobutrol</w:t>
      </w:r>
      <w:proofErr w:type="spellEnd"/>
      <w:r>
        <w:t>.</w:t>
      </w:r>
    </w:p>
    <w:p w:rsidR="008564D1" w:rsidRDefault="008564D1" w:rsidP="007D2075">
      <w:pPr>
        <w:pStyle w:val="Heading3"/>
        <w:rPr>
          <w:sz w:val="24"/>
        </w:rPr>
      </w:pPr>
      <w:bookmarkStart w:id="154" w:name="_Toc448083067"/>
      <w:bookmarkStart w:id="155" w:name="_Toc290846301"/>
      <w:bookmarkStart w:id="156" w:name="_Toc272414663"/>
      <w:bookmarkStart w:id="157" w:name="_Ref271044764"/>
      <w:bookmarkStart w:id="158" w:name="_Toc241374319"/>
      <w:bookmarkStart w:id="159" w:name="_Toc474335026"/>
      <w:r>
        <w:t>Adverse events</w:t>
      </w:r>
      <w:bookmarkEnd w:id="154"/>
      <w:bookmarkEnd w:id="155"/>
      <w:bookmarkEnd w:id="156"/>
      <w:bookmarkEnd w:id="157"/>
      <w:bookmarkEnd w:id="158"/>
      <w:bookmarkEnd w:id="159"/>
    </w:p>
    <w:p w:rsidR="008564D1" w:rsidRDefault="008564D1" w:rsidP="007D2075">
      <w:pPr>
        <w:pStyle w:val="Heading4"/>
      </w:pPr>
      <w:bookmarkStart w:id="160" w:name="_Toc448083068"/>
      <w:bookmarkStart w:id="161" w:name="_Toc290846302"/>
      <w:bookmarkStart w:id="162" w:name="_Toc272414664"/>
      <w:bookmarkStart w:id="163" w:name="_Ref272333565"/>
      <w:bookmarkStart w:id="164" w:name="_Ref272317284"/>
      <w:r>
        <w:t>All adverse events (irrespective of relationship to study treatment)</w:t>
      </w:r>
      <w:bookmarkEnd w:id="160"/>
      <w:bookmarkEnd w:id="161"/>
      <w:bookmarkEnd w:id="162"/>
      <w:bookmarkEnd w:id="163"/>
      <w:bookmarkEnd w:id="164"/>
    </w:p>
    <w:p w:rsidR="008564D1" w:rsidRDefault="008564D1" w:rsidP="007D2075">
      <w:pPr>
        <w:pStyle w:val="Heading5"/>
        <w:rPr>
          <w:szCs w:val="24"/>
        </w:rPr>
      </w:pPr>
      <w:bookmarkStart w:id="165" w:name="_Pivotal_studies"/>
      <w:bookmarkEnd w:id="165"/>
      <w:r>
        <w:t>Pivotal studies</w:t>
      </w:r>
    </w:p>
    <w:p w:rsidR="00F72DA2" w:rsidRDefault="008564D1" w:rsidP="005367B8">
      <w:r>
        <w:t>In Study 91741, TEAEs were reported in 18 (40.9%) subjects.</w:t>
      </w:r>
      <w:r w:rsidR="002D73B1">
        <w:t xml:space="preserve"> </w:t>
      </w:r>
      <w:r>
        <w:t xml:space="preserve">The most commonly reported TEAEs were cough, in five (11.4%) subjects, and pyrexia, also in five (11.4%) </w:t>
      </w:r>
      <w:r w:rsidRPr="007D2075">
        <w:t>subjects (</w:t>
      </w:r>
      <w:hyperlink r:id="rId23" w:anchor="Table_8_4_1_1_1_1" w:history="1">
        <w:r w:rsidR="007D2075" w:rsidRPr="007D2075">
          <w:t>Table</w:t>
        </w:r>
      </w:hyperlink>
      <w:r w:rsidR="007D2075" w:rsidRPr="007D2075">
        <w:t xml:space="preserve"> 10</w:t>
      </w:r>
      <w:r w:rsidRPr="007D2075">
        <w:t>)</w:t>
      </w:r>
      <w:r w:rsidR="00F72DA2">
        <w:t>.</w:t>
      </w:r>
    </w:p>
    <w:p w:rsidR="009B263A" w:rsidRPr="00197AA6" w:rsidRDefault="007D2075" w:rsidP="007D2075">
      <w:pPr>
        <w:pStyle w:val="Tabletitle"/>
      </w:pPr>
      <w:bookmarkStart w:id="166" w:name="Table_8_4_1_1_1_1"/>
      <w:r>
        <w:t>Table 10:</w:t>
      </w:r>
      <w:bookmarkEnd w:id="166"/>
      <w:r>
        <w:t xml:space="preserve"> </w:t>
      </w:r>
      <w:r w:rsidR="009B263A" w:rsidRPr="00197AA6">
        <w:rPr>
          <w:lang w:val="en-NZ"/>
        </w:rPr>
        <w:t>Number of subjects with treatment-emergent adverse events by primary system organ class and preferred term (SAF)</w:t>
      </w:r>
    </w:p>
    <w:p w:rsidR="009B263A" w:rsidRPr="00197AA6" w:rsidRDefault="009B263A" w:rsidP="009B263A">
      <w:pPr>
        <w:rPr>
          <w:rFonts w:ascii="Times New Roman" w:hAnsi="Times New Roman"/>
          <w:sz w:val="24"/>
        </w:rPr>
      </w:pPr>
      <w:r w:rsidRPr="00197AA6">
        <w:rPr>
          <w:rFonts w:ascii="Times New Roman" w:hAnsi="Times New Roman"/>
          <w:noProof/>
          <w:sz w:val="24"/>
          <w:lang w:eastAsia="en-AU"/>
        </w:rPr>
        <w:drawing>
          <wp:inline distT="0" distB="0" distL="0" distR="0" wp14:anchorId="679C7AEC" wp14:editId="7924A43F">
            <wp:extent cx="5198374" cy="3761678"/>
            <wp:effectExtent l="0" t="0" r="2540" b="0"/>
            <wp:docPr id="57" name="Picture 57" descr="Table 10: Number of subjects with treatment-emergent adverse events by primary system organ class and preferred term (S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9080" cy="3762189"/>
                    </a:xfrm>
                    <a:prstGeom prst="rect">
                      <a:avLst/>
                    </a:prstGeom>
                    <a:noFill/>
                    <a:ln>
                      <a:noFill/>
                    </a:ln>
                  </pic:spPr>
                </pic:pic>
              </a:graphicData>
            </a:graphic>
          </wp:inline>
        </w:drawing>
      </w:r>
    </w:p>
    <w:p w:rsidR="008564D1" w:rsidRDefault="008564D1" w:rsidP="007D2075">
      <w:pPr>
        <w:pStyle w:val="Heading5"/>
      </w:pPr>
      <w:r>
        <w:t>Other studies</w:t>
      </w:r>
    </w:p>
    <w:p w:rsidR="008564D1" w:rsidRDefault="008564D1" w:rsidP="005367B8">
      <w:r>
        <w:t>In Study 14823, there were 251 adverse events in 202 (0.9%) subjects.</w:t>
      </w:r>
      <w:r w:rsidR="002D73B1">
        <w:t xml:space="preserve"> </w:t>
      </w:r>
      <w:r>
        <w:t xml:space="preserve">Nausea was reported in 68 (33.7% of AEs) subjects, vomiting in 35 (17.3%), and dizziness in 27 (13.4%) </w:t>
      </w:r>
      <w:proofErr w:type="gramStart"/>
      <w:r>
        <w:t>(</w:t>
      </w:r>
      <w:r w:rsidR="007D2075">
        <w:t>Table 11</w:t>
      </w:r>
      <w:r>
        <w:t>).</w:t>
      </w:r>
      <w:proofErr w:type="gramEnd"/>
      <w:r w:rsidR="002D73B1">
        <w:t xml:space="preserve"> </w:t>
      </w:r>
      <w:r>
        <w:t>There were no AEs in children aged &lt;</w:t>
      </w:r>
      <w:r w:rsidR="00F03B42">
        <w:t xml:space="preserve"> </w:t>
      </w:r>
      <w:r>
        <w:t>2 years, but AEs were reported in 1.2% patients aged 2 to &lt;</w:t>
      </w:r>
      <w:r w:rsidR="00F03B42">
        <w:t xml:space="preserve"> </w:t>
      </w:r>
      <w:r>
        <w:t>7 years, and 0.4% in patients aged 7 to &lt;18 years.</w:t>
      </w:r>
      <w:r w:rsidR="002D73B1">
        <w:t xml:space="preserve"> </w:t>
      </w:r>
      <w:r>
        <w:t xml:space="preserve">There were no reports of </w:t>
      </w:r>
      <w:proofErr w:type="spellStart"/>
      <w:r>
        <w:t>nephrogenic</w:t>
      </w:r>
      <w:proofErr w:type="spellEnd"/>
      <w:r>
        <w:t xml:space="preserve"> systemic fibrosis.</w:t>
      </w:r>
    </w:p>
    <w:p w:rsidR="009B263A" w:rsidRDefault="007D2075" w:rsidP="00F03B42">
      <w:pPr>
        <w:pStyle w:val="Tabletitle"/>
        <w:rPr>
          <w:lang w:val="en-NZ"/>
        </w:rPr>
      </w:pPr>
      <w:bookmarkStart w:id="167" w:name="Table_8_4_1_1_2_1"/>
      <w:r>
        <w:t>Table 11:</w:t>
      </w:r>
      <w:bookmarkEnd w:id="167"/>
      <w:r>
        <w:t xml:space="preserve"> </w:t>
      </w:r>
      <w:r w:rsidR="009B263A" w:rsidRPr="00197AA6">
        <w:rPr>
          <w:lang w:val="en-NZ"/>
        </w:rPr>
        <w:t xml:space="preserve">Adverse events by </w:t>
      </w:r>
      <w:proofErr w:type="spellStart"/>
      <w:r w:rsidR="009B263A" w:rsidRPr="00197AA6">
        <w:rPr>
          <w:lang w:val="en-NZ"/>
        </w:rPr>
        <w:t>MedDR</w:t>
      </w:r>
      <w:r>
        <w:rPr>
          <w:lang w:val="en-NZ"/>
        </w:rPr>
        <w:t>A</w:t>
      </w:r>
      <w:proofErr w:type="spellEnd"/>
      <w:r>
        <w:rPr>
          <w:lang w:val="en-NZ"/>
        </w:rPr>
        <w:t>-SOC and PT based on patients</w:t>
      </w:r>
    </w:p>
    <w:p w:rsidR="00F03B42" w:rsidRPr="00F03B42" w:rsidRDefault="00F03B42" w:rsidP="00F03B42">
      <w:pPr>
        <w:rPr>
          <w:lang w:val="en-NZ"/>
        </w:rPr>
      </w:pPr>
      <w:r>
        <w:rPr>
          <w:noProof/>
          <w:lang w:eastAsia="en-AU"/>
        </w:rPr>
        <w:drawing>
          <wp:inline distT="0" distB="0" distL="0" distR="0" wp14:anchorId="0DBDF00A" wp14:editId="4AAE595E">
            <wp:extent cx="3511757" cy="7084741"/>
            <wp:effectExtent l="0" t="0" r="0" b="1905"/>
            <wp:docPr id="5" name="Picture 5" descr="Table 11: Adverse events by MedDRA-SOC and PT based o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3513974" cy="7089214"/>
                    </a:xfrm>
                    <a:prstGeom prst="rect">
                      <a:avLst/>
                    </a:prstGeom>
                  </pic:spPr>
                </pic:pic>
              </a:graphicData>
            </a:graphic>
          </wp:inline>
        </w:drawing>
      </w:r>
    </w:p>
    <w:p w:rsidR="00F03B42" w:rsidRDefault="00F03B42" w:rsidP="00F03B42">
      <w:pPr>
        <w:pStyle w:val="Tabletitle"/>
        <w:rPr>
          <w:lang w:val="en-NZ"/>
        </w:rPr>
      </w:pPr>
      <w:r>
        <w:t xml:space="preserve">Table 11 continued: </w:t>
      </w:r>
      <w:r w:rsidRPr="00197AA6">
        <w:rPr>
          <w:lang w:val="en-NZ"/>
        </w:rPr>
        <w:t xml:space="preserve">Adverse events by </w:t>
      </w:r>
      <w:proofErr w:type="spellStart"/>
      <w:r w:rsidRPr="00197AA6">
        <w:rPr>
          <w:lang w:val="en-NZ"/>
        </w:rPr>
        <w:t>MedDR</w:t>
      </w:r>
      <w:r>
        <w:rPr>
          <w:lang w:val="en-NZ"/>
        </w:rPr>
        <w:t>A</w:t>
      </w:r>
      <w:proofErr w:type="spellEnd"/>
      <w:r>
        <w:rPr>
          <w:lang w:val="en-NZ"/>
        </w:rPr>
        <w:t>-SOC and PT based on patients</w:t>
      </w:r>
    </w:p>
    <w:p w:rsidR="00F03B42" w:rsidRPr="00F03B42" w:rsidRDefault="00F03B42" w:rsidP="00F03B42">
      <w:pPr>
        <w:rPr>
          <w:lang w:val="en-NZ"/>
        </w:rPr>
      </w:pPr>
      <w:r>
        <w:rPr>
          <w:noProof/>
          <w:lang w:eastAsia="en-AU"/>
        </w:rPr>
        <w:drawing>
          <wp:inline distT="0" distB="0" distL="0" distR="0" wp14:anchorId="1DA74BA9" wp14:editId="360E4413">
            <wp:extent cx="3623795" cy="6869151"/>
            <wp:effectExtent l="0" t="0" r="0" b="8255"/>
            <wp:docPr id="6" name="Picture 6" descr="Table 11 continued: Adverse events by MedDRA-SOC and PT based o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622063" cy="6865868"/>
                    </a:xfrm>
                    <a:prstGeom prst="rect">
                      <a:avLst/>
                    </a:prstGeom>
                  </pic:spPr>
                </pic:pic>
              </a:graphicData>
            </a:graphic>
          </wp:inline>
        </w:drawing>
      </w:r>
    </w:p>
    <w:p w:rsidR="009B263A" w:rsidRDefault="00F03B42" w:rsidP="00F03B42">
      <w:pPr>
        <w:pStyle w:val="Tabletitle"/>
        <w:rPr>
          <w:lang w:val="en-NZ"/>
        </w:rPr>
      </w:pPr>
      <w:r>
        <w:t xml:space="preserve">Table 11 continued: </w:t>
      </w:r>
      <w:r>
        <w:rPr>
          <w:lang w:val="en-NZ"/>
        </w:rPr>
        <w:t xml:space="preserve">Adverse events by </w:t>
      </w:r>
      <w:proofErr w:type="spellStart"/>
      <w:r>
        <w:rPr>
          <w:lang w:val="en-NZ"/>
        </w:rPr>
        <w:t>MedDRA</w:t>
      </w:r>
      <w:proofErr w:type="spellEnd"/>
      <w:r>
        <w:rPr>
          <w:lang w:val="en-NZ"/>
        </w:rPr>
        <w:t>-SOC and PT based on patients</w:t>
      </w:r>
    </w:p>
    <w:p w:rsidR="00F03B42" w:rsidRPr="00F03B42" w:rsidRDefault="00F03B42" w:rsidP="00F03B42">
      <w:pPr>
        <w:rPr>
          <w:lang w:val="en-NZ"/>
        </w:rPr>
      </w:pPr>
      <w:r>
        <w:rPr>
          <w:noProof/>
          <w:lang w:eastAsia="en-AU"/>
        </w:rPr>
        <w:drawing>
          <wp:inline distT="0" distB="0" distL="0" distR="0" wp14:anchorId="5C5650C9" wp14:editId="76661E96">
            <wp:extent cx="3610200" cy="5977053"/>
            <wp:effectExtent l="0" t="0" r="0" b="5080"/>
            <wp:docPr id="7" name="Picture 7" descr="Table 11 continued: Adverse events by MedDRA-SOC and PT based o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3609404" cy="5975735"/>
                    </a:xfrm>
                    <a:prstGeom prst="rect">
                      <a:avLst/>
                    </a:prstGeom>
                  </pic:spPr>
                </pic:pic>
              </a:graphicData>
            </a:graphic>
          </wp:inline>
        </w:drawing>
      </w:r>
    </w:p>
    <w:p w:rsidR="008564D1" w:rsidRDefault="008564D1" w:rsidP="00F03B42">
      <w:pPr>
        <w:pStyle w:val="Heading4"/>
        <w:rPr>
          <w:sz w:val="24"/>
        </w:rPr>
      </w:pPr>
      <w:bookmarkStart w:id="168" w:name="_Treatment-related_adverse_events"/>
      <w:bookmarkStart w:id="169" w:name="_Ref272333567"/>
      <w:bookmarkStart w:id="170" w:name="_Toc272414665"/>
      <w:bookmarkStart w:id="171" w:name="_Toc290846303"/>
      <w:bookmarkStart w:id="172" w:name="_Toc448083069"/>
      <w:bookmarkEnd w:id="168"/>
      <w:r>
        <w:t>Treatment-related adverse events (adverse drug reactions)</w:t>
      </w:r>
      <w:bookmarkEnd w:id="169"/>
      <w:bookmarkEnd w:id="170"/>
      <w:bookmarkEnd w:id="171"/>
      <w:bookmarkEnd w:id="172"/>
    </w:p>
    <w:p w:rsidR="008564D1" w:rsidRDefault="008564D1" w:rsidP="00F03B42">
      <w:pPr>
        <w:pStyle w:val="Heading5"/>
        <w:rPr>
          <w:szCs w:val="24"/>
        </w:rPr>
      </w:pPr>
      <w:r>
        <w:t>Pivotal studies</w:t>
      </w:r>
    </w:p>
    <w:p w:rsidR="008564D1" w:rsidRDefault="008564D1" w:rsidP="005367B8">
      <w:r>
        <w:t>In Study 91741, study drug related TEAEs were reported in one (2.3%) subject: vomiting of mild intensity.</w:t>
      </w:r>
    </w:p>
    <w:p w:rsidR="008564D1" w:rsidRDefault="008564D1" w:rsidP="00F03B42">
      <w:pPr>
        <w:pStyle w:val="Heading5"/>
      </w:pPr>
      <w:r>
        <w:t>Other studies</w:t>
      </w:r>
    </w:p>
    <w:p w:rsidR="008564D1" w:rsidRPr="005B637C" w:rsidRDefault="008564D1" w:rsidP="00AB4D1C">
      <w:pPr>
        <w:pStyle w:val="TOC3"/>
        <w:spacing w:line="288" w:lineRule="auto"/>
        <w:ind w:left="0"/>
      </w:pPr>
      <w:r>
        <w:t xml:space="preserve">In Study 14823 all the reported events were adverse drug </w:t>
      </w:r>
      <w:r w:rsidRPr="005B637C">
        <w:t xml:space="preserve">reactions (see </w:t>
      </w:r>
      <w:r w:rsidR="005B637C">
        <w:t>s</w:t>
      </w:r>
      <w:r w:rsidRPr="005B637C">
        <w:t xml:space="preserve">ection </w:t>
      </w:r>
      <w:hyperlink w:anchor="_Toc448083068" w:history="1">
        <w:r w:rsidR="005B637C" w:rsidRPr="005B637C">
          <w:rPr>
            <w:i/>
          </w:rPr>
          <w:t>All adverse events (irrespective of relationship to study treatment</w:t>
        </w:r>
      </w:hyperlink>
      <w:r w:rsidR="005B637C">
        <w:t xml:space="preserve"> above</w:t>
      </w:r>
      <w:r w:rsidR="005B637C" w:rsidRPr="005B637C">
        <w:t>)</w:t>
      </w:r>
      <w:r w:rsidRPr="005B637C">
        <w:t>.</w:t>
      </w:r>
    </w:p>
    <w:p w:rsidR="008564D1" w:rsidRDefault="008564D1" w:rsidP="005B637C">
      <w:pPr>
        <w:pStyle w:val="Heading4"/>
        <w:rPr>
          <w:sz w:val="24"/>
        </w:rPr>
      </w:pPr>
      <w:bookmarkStart w:id="173" w:name="_Toc448083070"/>
      <w:bookmarkStart w:id="174" w:name="_Toc290846304"/>
      <w:bookmarkStart w:id="175" w:name="_Toc272414666"/>
      <w:bookmarkStart w:id="176" w:name="_Ref272333507"/>
      <w:bookmarkStart w:id="177" w:name="_Toc241374320"/>
      <w:r>
        <w:t xml:space="preserve">Deaths and other serious adverse </w:t>
      </w:r>
      <w:r w:rsidRPr="005B637C">
        <w:t>events</w:t>
      </w:r>
      <w:bookmarkEnd w:id="173"/>
      <w:bookmarkEnd w:id="174"/>
      <w:bookmarkEnd w:id="175"/>
      <w:bookmarkEnd w:id="176"/>
      <w:bookmarkEnd w:id="177"/>
    </w:p>
    <w:p w:rsidR="008564D1" w:rsidRDefault="008564D1" w:rsidP="005B637C">
      <w:pPr>
        <w:pStyle w:val="Heading5"/>
        <w:rPr>
          <w:szCs w:val="24"/>
        </w:rPr>
      </w:pPr>
      <w:r>
        <w:t>Pivotal studies</w:t>
      </w:r>
    </w:p>
    <w:p w:rsidR="008564D1" w:rsidRDefault="008564D1" w:rsidP="005367B8">
      <w:r>
        <w:t>In Study 91741, there were no deaths.</w:t>
      </w:r>
      <w:r w:rsidR="002D73B1">
        <w:t xml:space="preserve"> </w:t>
      </w:r>
      <w:r>
        <w:t>SAEs were reported in three (6.8%) subjects: subdural empyema, respiratory failure, and infected cyst.</w:t>
      </w:r>
    </w:p>
    <w:p w:rsidR="008564D1" w:rsidRDefault="008564D1" w:rsidP="00F43EE0">
      <w:pPr>
        <w:pStyle w:val="Heading5"/>
      </w:pPr>
      <w:r>
        <w:t xml:space="preserve">Other </w:t>
      </w:r>
      <w:r w:rsidRPr="00F43EE0">
        <w:t>studies</w:t>
      </w:r>
    </w:p>
    <w:p w:rsidR="00F72DA2" w:rsidRDefault="008564D1" w:rsidP="005367B8">
      <w:r>
        <w:t xml:space="preserve">In Study 14823, there were two deaths: one anaphylactic shock attributed to </w:t>
      </w:r>
      <w:proofErr w:type="spellStart"/>
      <w:r>
        <w:t>gadobutrol</w:t>
      </w:r>
      <w:proofErr w:type="spellEnd"/>
      <w:r>
        <w:t xml:space="preserve">; the second death occurred several months after </w:t>
      </w:r>
      <w:proofErr w:type="spellStart"/>
      <w:r>
        <w:t>gadobutrol</w:t>
      </w:r>
      <w:proofErr w:type="spellEnd"/>
      <w:r>
        <w:t xml:space="preserve"> and was attributed to glioblastoma multiform.</w:t>
      </w:r>
      <w:r w:rsidR="002D73B1">
        <w:t xml:space="preserve"> </w:t>
      </w:r>
      <w:r>
        <w:t>There were five other SAEs in three subjects: hypotension, seizure and laryngeal constriction / dyspnoea / nausea</w:t>
      </w:r>
      <w:r w:rsidR="00F72DA2">
        <w:t>.</w:t>
      </w:r>
    </w:p>
    <w:p w:rsidR="008564D1" w:rsidRDefault="008564D1" w:rsidP="005B637C">
      <w:pPr>
        <w:pStyle w:val="Heading4"/>
        <w:rPr>
          <w:sz w:val="24"/>
        </w:rPr>
      </w:pPr>
      <w:bookmarkStart w:id="178" w:name="_Toc448083071"/>
      <w:bookmarkStart w:id="179" w:name="_Toc290846305"/>
      <w:bookmarkStart w:id="180" w:name="_Toc272414667"/>
      <w:bookmarkStart w:id="181" w:name="_Ref272333477"/>
      <w:bookmarkStart w:id="182" w:name="_Toc241374325"/>
      <w:r>
        <w:t>Discontinuation due to adverse events</w:t>
      </w:r>
      <w:bookmarkEnd w:id="178"/>
      <w:bookmarkEnd w:id="179"/>
      <w:bookmarkEnd w:id="180"/>
      <w:bookmarkEnd w:id="181"/>
      <w:bookmarkEnd w:id="182"/>
    </w:p>
    <w:p w:rsidR="008564D1" w:rsidRDefault="008564D1" w:rsidP="005B637C">
      <w:pPr>
        <w:pStyle w:val="Heading5"/>
        <w:rPr>
          <w:szCs w:val="24"/>
        </w:rPr>
      </w:pPr>
      <w:r>
        <w:t>Pivotal studies</w:t>
      </w:r>
    </w:p>
    <w:p w:rsidR="008564D1" w:rsidRDefault="008564D1" w:rsidP="005367B8">
      <w:r>
        <w:t>In Study 91741, there were no DAEs.</w:t>
      </w:r>
    </w:p>
    <w:p w:rsidR="008564D1" w:rsidRDefault="008564D1" w:rsidP="005B637C">
      <w:pPr>
        <w:pStyle w:val="Heading5"/>
      </w:pPr>
      <w:r>
        <w:t>Other studies</w:t>
      </w:r>
    </w:p>
    <w:p w:rsidR="008564D1" w:rsidRDefault="008564D1" w:rsidP="005367B8">
      <w:r>
        <w:t>In Study 14823, DAEs were not reported.</w:t>
      </w:r>
    </w:p>
    <w:p w:rsidR="008564D1" w:rsidRDefault="008564D1" w:rsidP="005B637C">
      <w:pPr>
        <w:pStyle w:val="Heading3"/>
        <w:rPr>
          <w:sz w:val="24"/>
        </w:rPr>
      </w:pPr>
      <w:bookmarkStart w:id="183" w:name="_Toc448083072"/>
      <w:bookmarkStart w:id="184" w:name="_Toc290846306"/>
      <w:bookmarkStart w:id="185" w:name="_Toc272414668"/>
      <w:bookmarkStart w:id="186" w:name="_Ref272333085"/>
      <w:bookmarkStart w:id="187" w:name="_Ref271196640"/>
      <w:bookmarkStart w:id="188" w:name="_Ref271044780"/>
      <w:bookmarkStart w:id="189" w:name="_Toc241374321"/>
      <w:bookmarkStart w:id="190" w:name="_Toc474335027"/>
      <w:r>
        <w:t>Laboratory tests</w:t>
      </w:r>
      <w:bookmarkEnd w:id="183"/>
      <w:bookmarkEnd w:id="184"/>
      <w:bookmarkEnd w:id="185"/>
      <w:bookmarkEnd w:id="186"/>
      <w:bookmarkEnd w:id="187"/>
      <w:bookmarkEnd w:id="188"/>
      <w:bookmarkEnd w:id="189"/>
      <w:bookmarkEnd w:id="190"/>
    </w:p>
    <w:p w:rsidR="008564D1" w:rsidRDefault="008564D1" w:rsidP="005B637C">
      <w:pPr>
        <w:pStyle w:val="Heading4"/>
      </w:pPr>
      <w:bookmarkStart w:id="191" w:name="_Toc448083073"/>
      <w:bookmarkStart w:id="192" w:name="_Toc290846307"/>
      <w:bookmarkStart w:id="193" w:name="_Toc272414669"/>
      <w:r>
        <w:t>Liver function</w:t>
      </w:r>
      <w:bookmarkEnd w:id="191"/>
      <w:bookmarkEnd w:id="192"/>
      <w:bookmarkEnd w:id="193"/>
    </w:p>
    <w:p w:rsidR="008564D1" w:rsidRDefault="008564D1" w:rsidP="005B637C">
      <w:pPr>
        <w:pStyle w:val="Heading5"/>
        <w:rPr>
          <w:szCs w:val="24"/>
        </w:rPr>
      </w:pPr>
      <w:r>
        <w:t>Pivotal studies</w:t>
      </w:r>
    </w:p>
    <w:p w:rsidR="008564D1" w:rsidRDefault="008564D1" w:rsidP="005367B8">
      <w:r>
        <w:t>In Study 91741, liver function was not assessed.</w:t>
      </w:r>
    </w:p>
    <w:p w:rsidR="008564D1" w:rsidRDefault="008564D1" w:rsidP="00F43EE0">
      <w:pPr>
        <w:pStyle w:val="Heading5"/>
      </w:pPr>
      <w:r>
        <w:t xml:space="preserve">Other </w:t>
      </w:r>
      <w:r w:rsidRPr="00F43EE0">
        <w:t>studies</w:t>
      </w:r>
    </w:p>
    <w:p w:rsidR="008564D1" w:rsidRDefault="008564D1" w:rsidP="005367B8">
      <w:r>
        <w:t>In Study 14823, routine laboratory studies were not performed.</w:t>
      </w:r>
    </w:p>
    <w:p w:rsidR="008564D1" w:rsidRDefault="008564D1" w:rsidP="005B637C">
      <w:pPr>
        <w:pStyle w:val="Heading4"/>
        <w:rPr>
          <w:sz w:val="24"/>
        </w:rPr>
      </w:pPr>
      <w:bookmarkStart w:id="194" w:name="_Toc448083074"/>
      <w:bookmarkStart w:id="195" w:name="_Toc290846308"/>
      <w:bookmarkStart w:id="196" w:name="_Toc272414670"/>
      <w:r>
        <w:t>Kidney function</w:t>
      </w:r>
      <w:bookmarkEnd w:id="194"/>
      <w:bookmarkEnd w:id="195"/>
      <w:bookmarkEnd w:id="196"/>
    </w:p>
    <w:p w:rsidR="008564D1" w:rsidRDefault="008564D1" w:rsidP="005B637C">
      <w:pPr>
        <w:pStyle w:val="Heading4"/>
        <w:rPr>
          <w:szCs w:val="24"/>
        </w:rPr>
      </w:pPr>
      <w:r>
        <w:t>Pivotal studies</w:t>
      </w:r>
    </w:p>
    <w:p w:rsidR="008564D1" w:rsidRDefault="008564D1" w:rsidP="005367B8">
      <w:r>
        <w:t>In Study 91741, there were no abnormalities in serum creatinine concentrations.</w:t>
      </w:r>
    </w:p>
    <w:p w:rsidR="008564D1" w:rsidRDefault="008564D1" w:rsidP="005B637C">
      <w:pPr>
        <w:pStyle w:val="Heading5"/>
      </w:pPr>
      <w:r>
        <w:t>Other studies</w:t>
      </w:r>
    </w:p>
    <w:p w:rsidR="008564D1" w:rsidRDefault="008564D1" w:rsidP="005367B8">
      <w:r>
        <w:t>In Study 14823, routine laboratory studies were not performed.</w:t>
      </w:r>
    </w:p>
    <w:p w:rsidR="008564D1" w:rsidRDefault="008564D1" w:rsidP="005B637C">
      <w:pPr>
        <w:pStyle w:val="Heading4"/>
        <w:rPr>
          <w:sz w:val="24"/>
        </w:rPr>
      </w:pPr>
      <w:bookmarkStart w:id="197" w:name="_Toc448083075"/>
      <w:bookmarkStart w:id="198" w:name="_Toc290846309"/>
      <w:bookmarkStart w:id="199" w:name="_Toc272414671"/>
      <w:r>
        <w:t>Other clinical chemistry</w:t>
      </w:r>
      <w:bookmarkEnd w:id="197"/>
      <w:bookmarkEnd w:id="198"/>
      <w:bookmarkEnd w:id="199"/>
    </w:p>
    <w:p w:rsidR="008564D1" w:rsidRDefault="008564D1" w:rsidP="005B637C">
      <w:pPr>
        <w:pStyle w:val="Heading5"/>
        <w:rPr>
          <w:szCs w:val="24"/>
        </w:rPr>
      </w:pPr>
      <w:r>
        <w:t>Pivotal studies</w:t>
      </w:r>
    </w:p>
    <w:p w:rsidR="008564D1" w:rsidRDefault="008564D1" w:rsidP="005367B8">
      <w:r>
        <w:t>In Study 91741, treatment emergent high serum chloride was reported in six (14.6%) subjects with normal baseline chloride.</w:t>
      </w:r>
      <w:r w:rsidR="002D73B1">
        <w:t xml:space="preserve"> </w:t>
      </w:r>
      <w:r>
        <w:t>Low potassium was reported in two (4.9%) subjects with normal baseline potassium.</w:t>
      </w:r>
    </w:p>
    <w:p w:rsidR="008564D1" w:rsidRDefault="008564D1" w:rsidP="005B637C">
      <w:pPr>
        <w:pStyle w:val="Heading5"/>
      </w:pPr>
      <w:r>
        <w:t>Other studies</w:t>
      </w:r>
    </w:p>
    <w:p w:rsidR="008564D1" w:rsidRDefault="008564D1" w:rsidP="005367B8">
      <w:r>
        <w:t>In Study 14823, routine laboratory studies were not performed.</w:t>
      </w:r>
    </w:p>
    <w:p w:rsidR="008564D1" w:rsidRDefault="008564D1" w:rsidP="005B637C">
      <w:pPr>
        <w:pStyle w:val="Heading4"/>
        <w:rPr>
          <w:sz w:val="24"/>
        </w:rPr>
      </w:pPr>
      <w:bookmarkStart w:id="200" w:name="_Toc448083076"/>
      <w:bookmarkStart w:id="201" w:name="_Toc290846310"/>
      <w:bookmarkStart w:id="202" w:name="_Toc272414672"/>
      <w:r>
        <w:t>Haematology</w:t>
      </w:r>
      <w:bookmarkEnd w:id="200"/>
      <w:bookmarkEnd w:id="201"/>
      <w:bookmarkEnd w:id="202"/>
    </w:p>
    <w:p w:rsidR="008564D1" w:rsidRDefault="008564D1" w:rsidP="005B637C">
      <w:pPr>
        <w:pStyle w:val="Heading5"/>
        <w:rPr>
          <w:szCs w:val="24"/>
        </w:rPr>
      </w:pPr>
      <w:r>
        <w:t>Pivotal studies</w:t>
      </w:r>
    </w:p>
    <w:p w:rsidR="008564D1" w:rsidRDefault="008564D1" w:rsidP="005367B8">
      <w:r>
        <w:t>In Study 91741, treatment emergent elevation in platelets was reported in four (9.1%) subjects.</w:t>
      </w:r>
    </w:p>
    <w:p w:rsidR="008564D1" w:rsidRDefault="008564D1" w:rsidP="005B637C">
      <w:pPr>
        <w:pStyle w:val="Heading5"/>
      </w:pPr>
      <w:r>
        <w:t>Other studies</w:t>
      </w:r>
    </w:p>
    <w:p w:rsidR="008564D1" w:rsidRDefault="008564D1" w:rsidP="005367B8">
      <w:r>
        <w:t>In Study 14823, routine laboratory studies were not performed.</w:t>
      </w:r>
    </w:p>
    <w:p w:rsidR="008564D1" w:rsidRDefault="008564D1" w:rsidP="005B637C">
      <w:pPr>
        <w:pStyle w:val="Heading4"/>
        <w:rPr>
          <w:sz w:val="24"/>
        </w:rPr>
      </w:pPr>
      <w:bookmarkStart w:id="203" w:name="_Toc448083077"/>
      <w:bookmarkStart w:id="204" w:name="_Toc290846313"/>
      <w:bookmarkStart w:id="205" w:name="_Toc272414675"/>
      <w:r>
        <w:t>Electrocardiograph</w:t>
      </w:r>
      <w:bookmarkEnd w:id="203"/>
      <w:bookmarkEnd w:id="204"/>
      <w:bookmarkEnd w:id="205"/>
    </w:p>
    <w:p w:rsidR="008564D1" w:rsidRDefault="008564D1" w:rsidP="005B637C">
      <w:pPr>
        <w:pStyle w:val="Heading5"/>
        <w:rPr>
          <w:szCs w:val="24"/>
        </w:rPr>
      </w:pPr>
      <w:r>
        <w:t>Pivotal studies</w:t>
      </w:r>
    </w:p>
    <w:p w:rsidR="008564D1" w:rsidRDefault="008564D1" w:rsidP="005367B8">
      <w:r>
        <w:t>In Study 91741, there were no abnormalities in cardiac rhythm reported.</w:t>
      </w:r>
    </w:p>
    <w:p w:rsidR="008564D1" w:rsidRDefault="008564D1" w:rsidP="005B637C">
      <w:pPr>
        <w:pStyle w:val="Heading5"/>
      </w:pPr>
      <w:r>
        <w:t>Other studies</w:t>
      </w:r>
    </w:p>
    <w:p w:rsidR="008564D1" w:rsidRDefault="008564D1" w:rsidP="005367B8">
      <w:r>
        <w:t>In Study 14823, routine ECGs were not performed.</w:t>
      </w:r>
    </w:p>
    <w:p w:rsidR="008564D1" w:rsidRDefault="008564D1" w:rsidP="005B637C">
      <w:pPr>
        <w:pStyle w:val="Heading4"/>
        <w:rPr>
          <w:sz w:val="24"/>
        </w:rPr>
      </w:pPr>
      <w:bookmarkStart w:id="206" w:name="_Toc448083078"/>
      <w:bookmarkStart w:id="207" w:name="_Toc290846314"/>
      <w:bookmarkStart w:id="208" w:name="_Toc272414676"/>
      <w:r>
        <w:t>Vital signs</w:t>
      </w:r>
      <w:bookmarkEnd w:id="206"/>
      <w:bookmarkEnd w:id="207"/>
      <w:bookmarkEnd w:id="208"/>
    </w:p>
    <w:p w:rsidR="008564D1" w:rsidRDefault="008564D1" w:rsidP="005B637C">
      <w:pPr>
        <w:pStyle w:val="Heading5"/>
        <w:rPr>
          <w:szCs w:val="24"/>
        </w:rPr>
      </w:pPr>
      <w:r>
        <w:t>Pivotal studies</w:t>
      </w:r>
    </w:p>
    <w:p w:rsidR="00F72DA2" w:rsidRDefault="008564D1" w:rsidP="005367B8">
      <w:r>
        <w:t>In Study 91741, all subjects underwent a general anaesthetic for the MRI procedures.</w:t>
      </w:r>
      <w:r w:rsidR="002D73B1">
        <w:t xml:space="preserve"> </w:t>
      </w:r>
      <w:r>
        <w:t>Mean systolic blood pressure increased from 75 mmHg at the time of the MRI to 104 mmHg at 24 hours post-procedure, and mean diastolic blood pressure increased from 37 mmHg at the time of the MRI to 61 mmHg at 24 hours post-procedure.</w:t>
      </w:r>
      <w:r w:rsidR="002D73B1">
        <w:t xml:space="preserve"> </w:t>
      </w:r>
      <w:r>
        <w:t>In the opinion of the</w:t>
      </w:r>
      <w:r w:rsidR="005B637C">
        <w:t xml:space="preserve"> clinical e</w:t>
      </w:r>
      <w:r>
        <w:t>valuator, the difference in blood pressure can be attributed to the effects of the general anaesthetic</w:t>
      </w:r>
      <w:r w:rsidR="00F72DA2">
        <w:t>.</w:t>
      </w:r>
    </w:p>
    <w:p w:rsidR="008564D1" w:rsidRDefault="008564D1" w:rsidP="005B637C">
      <w:pPr>
        <w:pStyle w:val="Heading5"/>
      </w:pPr>
      <w:r>
        <w:t>Other studies</w:t>
      </w:r>
    </w:p>
    <w:p w:rsidR="008564D1" w:rsidRDefault="008564D1" w:rsidP="005367B8">
      <w:r>
        <w:t>In Study 14823, vital signs were not reported.</w:t>
      </w:r>
    </w:p>
    <w:p w:rsidR="008564D1" w:rsidRDefault="008564D1" w:rsidP="005B637C">
      <w:pPr>
        <w:pStyle w:val="Heading3"/>
        <w:rPr>
          <w:sz w:val="24"/>
        </w:rPr>
      </w:pPr>
      <w:bookmarkStart w:id="209" w:name="_Toc448083079"/>
      <w:bookmarkStart w:id="210" w:name="_Toc290846317"/>
      <w:bookmarkStart w:id="211" w:name="_Toc272414679"/>
      <w:bookmarkStart w:id="212" w:name="_Ref272333048"/>
      <w:bookmarkStart w:id="213" w:name="_Toc241374326"/>
      <w:bookmarkStart w:id="214" w:name="_Toc474335028"/>
      <w:r>
        <w:t>Post-marketing experience</w:t>
      </w:r>
      <w:bookmarkEnd w:id="209"/>
      <w:bookmarkEnd w:id="210"/>
      <w:bookmarkEnd w:id="211"/>
      <w:bookmarkEnd w:id="212"/>
      <w:bookmarkEnd w:id="213"/>
      <w:bookmarkEnd w:id="214"/>
    </w:p>
    <w:p w:rsidR="008564D1" w:rsidRDefault="008564D1" w:rsidP="005367B8">
      <w:pPr>
        <w:rPr>
          <w:szCs w:val="24"/>
        </w:rPr>
      </w:pPr>
      <w:bookmarkStart w:id="215" w:name="_Post-marketing_data"/>
      <w:bookmarkEnd w:id="215"/>
      <w:r>
        <w:t>An updated Integrated Safety Analysis was included in the submission.</w:t>
      </w:r>
      <w:r w:rsidR="002D73B1">
        <w:t xml:space="preserve"> </w:t>
      </w:r>
      <w:r>
        <w:t>This included data from two new studies in adults (Study 16260 and Study 91759) a</w:t>
      </w:r>
      <w:r w:rsidR="006334DD">
        <w:t>nd one in children (Study 91741</w:t>
      </w:r>
      <w:r>
        <w:t>).</w:t>
      </w:r>
      <w:r w:rsidR="002D73B1">
        <w:t xml:space="preserve"> </w:t>
      </w:r>
      <w:r>
        <w:t xml:space="preserve">The new analysis included 6,300 subjects treated with </w:t>
      </w:r>
      <w:proofErr w:type="spellStart"/>
      <w:r>
        <w:t>Gadovist</w:t>
      </w:r>
      <w:proofErr w:type="spellEnd"/>
      <w:r w:rsidR="00C04FBC">
        <w:t xml:space="preserve"> 1.0</w:t>
      </w:r>
      <w:r>
        <w:t xml:space="preserve"> up to November 2013.</w:t>
      </w:r>
      <w:r w:rsidR="002D73B1">
        <w:t xml:space="preserve"> </w:t>
      </w:r>
      <w:r>
        <w:t>There were 184 children aged 0 to 17 years in the analysis, but there was no subgroup analysis for these patients.</w:t>
      </w:r>
      <w:r w:rsidR="002D73B1">
        <w:t xml:space="preserve"> </w:t>
      </w:r>
      <w:r>
        <w:t xml:space="preserve">The most commonly reported AEs were: nausea 72 (1.4%) subjects, dizziness 32 (0.5%), feeling hot 25 (0.4%), diarrhoea 24 (0.4%), </w:t>
      </w:r>
      <w:proofErr w:type="spellStart"/>
      <w:r>
        <w:t>dysgeusia</w:t>
      </w:r>
      <w:proofErr w:type="spellEnd"/>
      <w:r>
        <w:t xml:space="preserve"> 24 (0.4%), and vomiting 24 (0.4%).</w:t>
      </w:r>
    </w:p>
    <w:p w:rsidR="008564D1" w:rsidRDefault="008564D1" w:rsidP="005367B8">
      <w:r>
        <w:t>Report 058-JD was an integrated safety report on paediatric subjects.</w:t>
      </w:r>
      <w:r w:rsidR="002D73B1">
        <w:t xml:space="preserve"> </w:t>
      </w:r>
      <w:r>
        <w:t>There were 140 subjects aged 2 to 17 years and 47 aged 0 to 2 years.</w:t>
      </w:r>
      <w:r w:rsidR="002D73B1">
        <w:t xml:space="preserve"> </w:t>
      </w:r>
      <w:r>
        <w:t>It included data from Study 310788 which included the 140 subjects aged 2 to 17 years.</w:t>
      </w:r>
      <w:r w:rsidR="002D73B1">
        <w:t xml:space="preserve"> </w:t>
      </w:r>
      <w:r>
        <w:t xml:space="preserve">In that study there were ten AEs in eight subjects that were related to administration of </w:t>
      </w:r>
      <w:proofErr w:type="spellStart"/>
      <w:r>
        <w:t>Gadovist</w:t>
      </w:r>
      <w:proofErr w:type="spellEnd"/>
      <w:r w:rsidR="00C04FBC">
        <w:t xml:space="preserve"> 1.0</w:t>
      </w:r>
      <w:r>
        <w:t xml:space="preserve">: </w:t>
      </w:r>
      <w:proofErr w:type="spellStart"/>
      <w:r>
        <w:t>dysgeusia</w:t>
      </w:r>
      <w:proofErr w:type="spellEnd"/>
      <w:r>
        <w:t xml:space="preserve"> (2), feeling hot (2), crystal urine (1), headache (1), nausea (1), rash (1), rash pruritic (1) and pruritus (1).</w:t>
      </w:r>
      <w:r w:rsidR="002D73B1">
        <w:t xml:space="preserve"> </w:t>
      </w:r>
      <w:r>
        <w:t>There were three SAEs in two subjects: crystal urine, pneumonia and meningitis.</w:t>
      </w:r>
      <w:r w:rsidR="002D73B1">
        <w:t xml:space="preserve"> </w:t>
      </w:r>
      <w:r>
        <w:t>There were no deaths.</w:t>
      </w:r>
      <w:r w:rsidR="002D73B1">
        <w:t xml:space="preserve"> </w:t>
      </w:r>
      <w:r>
        <w:t xml:space="preserve">The remaining data came from Study 91741 (previously discussed </w:t>
      </w:r>
      <w:r w:rsidR="005B637C">
        <w:t>above</w:t>
      </w:r>
      <w:r>
        <w:t xml:space="preserve">) and Study 14823 (previously discussed </w:t>
      </w:r>
      <w:r w:rsidR="005B637C">
        <w:t>above</w:t>
      </w:r>
      <w:r>
        <w:t>).</w:t>
      </w:r>
    </w:p>
    <w:p w:rsidR="008564D1" w:rsidRPr="005B637C" w:rsidRDefault="008564D1" w:rsidP="005367B8">
      <w:pPr>
        <w:rPr>
          <w:rFonts w:asciiTheme="minorHAnsi" w:hAnsiTheme="minorHAnsi"/>
        </w:rPr>
      </w:pPr>
      <w:r>
        <w:t xml:space="preserve">In the published literature, there have been reports of accumulation of gadolinium in the </w:t>
      </w:r>
      <w:proofErr w:type="spellStart"/>
      <w:r>
        <w:t>globus</w:t>
      </w:r>
      <w:proofErr w:type="spellEnd"/>
      <w:r>
        <w:t xml:space="preserve"> </w:t>
      </w:r>
      <w:proofErr w:type="spellStart"/>
      <w:r>
        <w:t>pallidus</w:t>
      </w:r>
      <w:proofErr w:type="spellEnd"/>
      <w:r>
        <w:t xml:space="preserve"> and dentate nucleus following repeated contrast-enhanced </w:t>
      </w:r>
      <w:r w:rsidRPr="005B637C">
        <w:rPr>
          <w:rFonts w:asciiTheme="minorHAnsi" w:hAnsiTheme="minorHAnsi"/>
        </w:rPr>
        <w:t>MRIs (</w:t>
      </w:r>
      <w:proofErr w:type="spellStart"/>
      <w:r w:rsidR="00F72DA2">
        <w:fldChar w:fldCharType="begin"/>
      </w:r>
      <w:r w:rsidR="00F72DA2">
        <w:instrText xml:space="preserve"> HYPERLINK "file:///I:\\apps\\OMA\\AusPARs\\Working%20documents\\PM-2015-01572-1-2\\Word%20documents\\M5%20Clinical%20evaluation%20report%20-%20round%202.DOCX" \l "Ramalho_2015" </w:instrText>
      </w:r>
      <w:r w:rsidR="00F72DA2">
        <w:fldChar w:fldCharType="separate"/>
      </w:r>
      <w:r w:rsidRPr="005B637C">
        <w:rPr>
          <w:rStyle w:val="Hyperlink"/>
          <w:rFonts w:asciiTheme="minorHAnsi" w:hAnsiTheme="minorHAnsi"/>
          <w:color w:val="auto"/>
          <w:u w:val="none"/>
        </w:rPr>
        <w:t>Ramalho</w:t>
      </w:r>
      <w:proofErr w:type="spellEnd"/>
      <w:r w:rsidRPr="005B637C">
        <w:rPr>
          <w:rStyle w:val="Hyperlink"/>
          <w:rFonts w:asciiTheme="minorHAnsi" w:hAnsiTheme="minorHAnsi"/>
          <w:color w:val="auto"/>
          <w:u w:val="none"/>
        </w:rPr>
        <w:t xml:space="preserve"> J et al 2015</w:t>
      </w:r>
      <w:r w:rsidR="00F72DA2">
        <w:rPr>
          <w:rStyle w:val="Hyperlink"/>
          <w:rFonts w:asciiTheme="minorHAnsi" w:hAnsiTheme="minorHAnsi"/>
          <w:color w:val="auto"/>
          <w:u w:val="none"/>
        </w:rPr>
        <w:fldChar w:fldCharType="end"/>
      </w:r>
      <w:r w:rsidRPr="005B637C">
        <w:rPr>
          <w:rFonts w:asciiTheme="minorHAnsi" w:hAnsiTheme="minorHAnsi"/>
        </w:rPr>
        <w:t>).</w:t>
      </w:r>
      <w:r w:rsidR="002D73B1" w:rsidRPr="005B637C">
        <w:rPr>
          <w:rFonts w:asciiTheme="minorHAnsi" w:hAnsiTheme="minorHAnsi"/>
        </w:rPr>
        <w:t xml:space="preserve"> </w:t>
      </w:r>
      <w:r w:rsidRPr="005B637C">
        <w:rPr>
          <w:rFonts w:asciiTheme="minorHAnsi" w:hAnsiTheme="minorHAnsi"/>
        </w:rPr>
        <w:t>There is a similar case report in a child (</w:t>
      </w:r>
      <w:hyperlink r:id="rId31" w:anchor="Roberts_inpress" w:history="1">
        <w:r w:rsidRPr="005B637C">
          <w:rPr>
            <w:rStyle w:val="Hyperlink"/>
            <w:rFonts w:asciiTheme="minorHAnsi" w:hAnsiTheme="minorHAnsi"/>
            <w:color w:val="auto"/>
            <w:u w:val="none"/>
          </w:rPr>
          <w:t>Roberts DR and Holden KR</w:t>
        </w:r>
      </w:hyperlink>
      <w:r w:rsidRPr="005B637C">
        <w:rPr>
          <w:rFonts w:asciiTheme="minorHAnsi" w:hAnsiTheme="minorHAnsi"/>
        </w:rPr>
        <w:t>).</w:t>
      </w:r>
      <w:r w:rsidR="002D73B1" w:rsidRPr="005B637C">
        <w:rPr>
          <w:rFonts w:asciiTheme="minorHAnsi" w:hAnsiTheme="minorHAnsi"/>
        </w:rPr>
        <w:t xml:space="preserve"> </w:t>
      </w:r>
      <w:r w:rsidRPr="005B637C">
        <w:rPr>
          <w:rFonts w:asciiTheme="minorHAnsi" w:hAnsiTheme="minorHAnsi"/>
        </w:rPr>
        <w:t>These reports indicate a potential for CNS toxicity.</w:t>
      </w:r>
    </w:p>
    <w:p w:rsidR="008564D1" w:rsidRDefault="008564D1" w:rsidP="005B637C">
      <w:pPr>
        <w:pStyle w:val="Heading3"/>
        <w:rPr>
          <w:sz w:val="24"/>
        </w:rPr>
      </w:pPr>
      <w:bookmarkStart w:id="216" w:name="_Toc448083081"/>
      <w:bookmarkStart w:id="217" w:name="_Toc474335029"/>
      <w:r>
        <w:t xml:space="preserve">Risk </w:t>
      </w:r>
      <w:r w:rsidR="00F72DA2">
        <w:t>management plan</w:t>
      </w:r>
      <w:bookmarkEnd w:id="216"/>
      <w:bookmarkEnd w:id="217"/>
    </w:p>
    <w:p w:rsidR="008564D1" w:rsidRDefault="008564D1" w:rsidP="005367B8">
      <w:pPr>
        <w:rPr>
          <w:szCs w:val="24"/>
        </w:rPr>
      </w:pPr>
      <w:r>
        <w:t>The Important Identified Risks are:</w:t>
      </w:r>
    </w:p>
    <w:p w:rsidR="008564D1" w:rsidRDefault="008564D1" w:rsidP="005367B8">
      <w:pPr>
        <w:pStyle w:val="ListBullet"/>
        <w:rPr>
          <w:lang w:val="en-NZ"/>
        </w:rPr>
      </w:pPr>
      <w:proofErr w:type="spellStart"/>
      <w:r>
        <w:rPr>
          <w:lang w:val="en-NZ"/>
        </w:rPr>
        <w:t>Anaphylactoid</w:t>
      </w:r>
      <w:proofErr w:type="spellEnd"/>
      <w:r>
        <w:rPr>
          <w:lang w:val="en-NZ"/>
        </w:rPr>
        <w:t xml:space="preserve"> reactions</w:t>
      </w:r>
    </w:p>
    <w:p w:rsidR="008564D1" w:rsidRDefault="008564D1" w:rsidP="005367B8">
      <w:pPr>
        <w:pStyle w:val="ListBullet"/>
        <w:rPr>
          <w:lang w:val="en-NZ"/>
        </w:rPr>
      </w:pPr>
      <w:r>
        <w:rPr>
          <w:lang w:val="en-NZ"/>
        </w:rPr>
        <w:t>Seizures</w:t>
      </w:r>
    </w:p>
    <w:p w:rsidR="008564D1" w:rsidRDefault="008564D1" w:rsidP="005367B8">
      <w:pPr>
        <w:pStyle w:val="ListBullet"/>
      </w:pPr>
      <w:proofErr w:type="spellStart"/>
      <w:r>
        <w:rPr>
          <w:lang w:val="en-NZ"/>
        </w:rPr>
        <w:t>Nephrogenic</w:t>
      </w:r>
      <w:proofErr w:type="spellEnd"/>
      <w:r>
        <w:rPr>
          <w:lang w:val="en-NZ"/>
        </w:rPr>
        <w:t xml:space="preserve"> systemic fibrosis (NSF) (in patients with acute or chronic severe renal impairment [GFR &lt;30 ml/min], or in the </w:t>
      </w:r>
      <w:proofErr w:type="spellStart"/>
      <w:r>
        <w:rPr>
          <w:lang w:val="en-NZ"/>
        </w:rPr>
        <w:t>peri</w:t>
      </w:r>
      <w:proofErr w:type="spellEnd"/>
      <w:r>
        <w:rPr>
          <w:lang w:val="en-NZ"/>
        </w:rPr>
        <w:t>-operative liver transplantation period)</w:t>
      </w:r>
    </w:p>
    <w:p w:rsidR="008564D1" w:rsidRDefault="008564D1" w:rsidP="005367B8">
      <w:r>
        <w:t>The Important Potential Risk is:</w:t>
      </w:r>
    </w:p>
    <w:p w:rsidR="008564D1" w:rsidRDefault="008564D1" w:rsidP="005367B8">
      <w:pPr>
        <w:pStyle w:val="ListBullet"/>
      </w:pPr>
      <w:r>
        <w:t>Acute renal failure</w:t>
      </w:r>
    </w:p>
    <w:p w:rsidR="008564D1" w:rsidRDefault="008564D1" w:rsidP="005367B8">
      <w:r>
        <w:t>Important Missing Information is</w:t>
      </w:r>
      <w:r w:rsidRPr="005367B8">
        <w:t>:</w:t>
      </w:r>
    </w:p>
    <w:p w:rsidR="008564D1" w:rsidRDefault="008564D1" w:rsidP="005367B8">
      <w:pPr>
        <w:pStyle w:val="ListBullet"/>
        <w:rPr>
          <w:lang w:val="en-NZ"/>
        </w:rPr>
      </w:pPr>
      <w:r>
        <w:rPr>
          <w:lang w:val="en-NZ"/>
        </w:rPr>
        <w:t xml:space="preserve">Data on the use of </w:t>
      </w:r>
      <w:proofErr w:type="spellStart"/>
      <w:r>
        <w:rPr>
          <w:lang w:val="en-NZ"/>
        </w:rPr>
        <w:t>Gadovist</w:t>
      </w:r>
      <w:proofErr w:type="spellEnd"/>
      <w:r w:rsidR="00C04FBC">
        <w:rPr>
          <w:lang w:val="en-NZ"/>
        </w:rPr>
        <w:t xml:space="preserve"> 1.0</w:t>
      </w:r>
      <w:r>
        <w:rPr>
          <w:lang w:val="en-NZ"/>
        </w:rPr>
        <w:t xml:space="preserve"> in pregnant women and effects on foetus</w:t>
      </w:r>
    </w:p>
    <w:p w:rsidR="008564D1" w:rsidRDefault="008564D1" w:rsidP="005367B8">
      <w:pPr>
        <w:pStyle w:val="ListBullet"/>
        <w:rPr>
          <w:lang w:val="en-NZ"/>
        </w:rPr>
      </w:pPr>
      <w:r>
        <w:rPr>
          <w:lang w:val="en-NZ"/>
        </w:rPr>
        <w:t xml:space="preserve">Effects when </w:t>
      </w:r>
      <w:proofErr w:type="spellStart"/>
      <w:r>
        <w:rPr>
          <w:lang w:val="en-NZ"/>
        </w:rPr>
        <w:t>Gadovist</w:t>
      </w:r>
      <w:proofErr w:type="spellEnd"/>
      <w:r w:rsidR="00C04FBC">
        <w:rPr>
          <w:lang w:val="en-NZ"/>
        </w:rPr>
        <w:t xml:space="preserve"> 1.0</w:t>
      </w:r>
      <w:r>
        <w:rPr>
          <w:lang w:val="en-NZ"/>
        </w:rPr>
        <w:t xml:space="preserve"> is administered to lactating women</w:t>
      </w:r>
    </w:p>
    <w:p w:rsidR="008564D1" w:rsidRDefault="008564D1" w:rsidP="005367B8">
      <w:pPr>
        <w:pStyle w:val="ListBullet"/>
        <w:rPr>
          <w:lang w:val="en-NZ"/>
        </w:rPr>
      </w:pPr>
      <w:r>
        <w:rPr>
          <w:lang w:val="en-NZ"/>
        </w:rPr>
        <w:t>Possible long-term consequences of Gadolinium accumulation in bone or tissue</w:t>
      </w:r>
    </w:p>
    <w:p w:rsidR="008564D1" w:rsidRDefault="008564D1" w:rsidP="005367B8">
      <w:pPr>
        <w:pStyle w:val="ListBullet"/>
      </w:pPr>
      <w:r>
        <w:rPr>
          <w:lang w:val="en-NZ"/>
        </w:rPr>
        <w:t xml:space="preserve">Data on the risk for the development of NSF in association with the administration of </w:t>
      </w:r>
      <w:proofErr w:type="spellStart"/>
      <w:r>
        <w:rPr>
          <w:lang w:val="en-NZ"/>
        </w:rPr>
        <w:t>Gadovist</w:t>
      </w:r>
      <w:proofErr w:type="spellEnd"/>
      <w:r w:rsidR="00C04FBC">
        <w:rPr>
          <w:lang w:val="en-NZ"/>
        </w:rPr>
        <w:t xml:space="preserve"> 1.0</w:t>
      </w:r>
      <w:r>
        <w:rPr>
          <w:lang w:val="en-NZ"/>
        </w:rPr>
        <w:t xml:space="preserve"> injection in patients with moderate to severe renal impairment.</w:t>
      </w:r>
    </w:p>
    <w:p w:rsidR="008564D1" w:rsidRDefault="008564D1" w:rsidP="005B637C">
      <w:pPr>
        <w:pStyle w:val="Heading3"/>
        <w:rPr>
          <w:sz w:val="24"/>
        </w:rPr>
      </w:pPr>
      <w:bookmarkStart w:id="218" w:name="_Toc272414680"/>
      <w:bookmarkStart w:id="219" w:name="_Ref272333005"/>
      <w:bookmarkStart w:id="220" w:name="_Toc448083082"/>
      <w:bookmarkStart w:id="221" w:name="_Toc290846318"/>
      <w:bookmarkStart w:id="222" w:name="_Toc474335030"/>
      <w:r>
        <w:t>Safety issues with the potential for major regulatory imp</w:t>
      </w:r>
      <w:bookmarkEnd w:id="218"/>
      <w:bookmarkEnd w:id="219"/>
      <w:r>
        <w:t>act</w:t>
      </w:r>
      <w:bookmarkEnd w:id="220"/>
      <w:bookmarkEnd w:id="221"/>
      <w:bookmarkEnd w:id="222"/>
    </w:p>
    <w:p w:rsidR="008564D1" w:rsidRDefault="008564D1" w:rsidP="005B637C">
      <w:pPr>
        <w:pStyle w:val="Heading4"/>
      </w:pPr>
      <w:bookmarkStart w:id="223" w:name="_Toc448083083"/>
      <w:bookmarkStart w:id="224" w:name="_Toc290846319"/>
      <w:bookmarkStart w:id="225" w:name="_Toc272414681"/>
      <w:r>
        <w:t>Liver toxicity</w:t>
      </w:r>
      <w:bookmarkEnd w:id="223"/>
      <w:bookmarkEnd w:id="224"/>
      <w:bookmarkEnd w:id="225"/>
    </w:p>
    <w:p w:rsidR="008564D1" w:rsidRDefault="008564D1" w:rsidP="005367B8">
      <w:pPr>
        <w:rPr>
          <w:szCs w:val="24"/>
        </w:rPr>
      </w:pPr>
      <w:r>
        <w:t xml:space="preserve">Liver toxicity does not appear to be a safety issue with </w:t>
      </w:r>
      <w:proofErr w:type="spellStart"/>
      <w:r>
        <w:t>gadobutrol</w:t>
      </w:r>
      <w:proofErr w:type="spellEnd"/>
      <w:r>
        <w:t xml:space="preserve"> in the proposed usage.</w:t>
      </w:r>
    </w:p>
    <w:p w:rsidR="008564D1" w:rsidRDefault="008564D1" w:rsidP="005B637C">
      <w:pPr>
        <w:pStyle w:val="Heading4"/>
        <w:rPr>
          <w:sz w:val="24"/>
        </w:rPr>
      </w:pPr>
      <w:bookmarkStart w:id="226" w:name="_Toc448083084"/>
      <w:bookmarkStart w:id="227" w:name="_Toc290846320"/>
      <w:bookmarkStart w:id="228" w:name="_Toc272414682"/>
      <w:r>
        <w:t>Haematological toxicity</w:t>
      </w:r>
      <w:bookmarkEnd w:id="226"/>
      <w:bookmarkEnd w:id="227"/>
      <w:bookmarkEnd w:id="228"/>
    </w:p>
    <w:p w:rsidR="008564D1" w:rsidRDefault="008564D1" w:rsidP="005367B8">
      <w:pPr>
        <w:rPr>
          <w:szCs w:val="24"/>
        </w:rPr>
      </w:pPr>
      <w:r>
        <w:t xml:space="preserve">Haematological toxicity does not appear to be a safety issue with </w:t>
      </w:r>
      <w:proofErr w:type="spellStart"/>
      <w:r>
        <w:t>gadobutrol</w:t>
      </w:r>
      <w:proofErr w:type="spellEnd"/>
      <w:r>
        <w:t xml:space="preserve"> in the proposed usage.</w:t>
      </w:r>
    </w:p>
    <w:p w:rsidR="008564D1" w:rsidRDefault="008564D1" w:rsidP="005B637C">
      <w:pPr>
        <w:pStyle w:val="Heading4"/>
        <w:rPr>
          <w:sz w:val="24"/>
        </w:rPr>
      </w:pPr>
      <w:bookmarkStart w:id="229" w:name="_Toc448083085"/>
      <w:bookmarkStart w:id="230" w:name="_Toc290846321"/>
      <w:bookmarkStart w:id="231" w:name="_Toc272414683"/>
      <w:r>
        <w:t>Serious skin reactions</w:t>
      </w:r>
      <w:bookmarkEnd w:id="229"/>
      <w:bookmarkEnd w:id="230"/>
      <w:bookmarkEnd w:id="231"/>
    </w:p>
    <w:p w:rsidR="008564D1" w:rsidRDefault="008564D1" w:rsidP="005367B8">
      <w:pPr>
        <w:rPr>
          <w:szCs w:val="24"/>
        </w:rPr>
      </w:pPr>
      <w:r>
        <w:t xml:space="preserve">Serious skin reactions do not appear to be a safety issue with </w:t>
      </w:r>
      <w:proofErr w:type="spellStart"/>
      <w:r>
        <w:t>gadobutrol</w:t>
      </w:r>
      <w:proofErr w:type="spellEnd"/>
      <w:r>
        <w:t xml:space="preserve"> in the proposed usage.</w:t>
      </w:r>
    </w:p>
    <w:p w:rsidR="008564D1" w:rsidRDefault="008564D1" w:rsidP="005B637C">
      <w:pPr>
        <w:pStyle w:val="Heading4"/>
        <w:rPr>
          <w:sz w:val="24"/>
        </w:rPr>
      </w:pPr>
      <w:bookmarkStart w:id="232" w:name="_Toc448083086"/>
      <w:bookmarkStart w:id="233" w:name="_Toc290846322"/>
      <w:bookmarkStart w:id="234" w:name="_Toc272414684"/>
      <w:r>
        <w:t>Cardiovascular safety</w:t>
      </w:r>
      <w:bookmarkEnd w:id="232"/>
      <w:bookmarkEnd w:id="233"/>
      <w:bookmarkEnd w:id="234"/>
    </w:p>
    <w:p w:rsidR="008564D1" w:rsidRDefault="008564D1" w:rsidP="005367B8">
      <w:pPr>
        <w:rPr>
          <w:szCs w:val="24"/>
        </w:rPr>
      </w:pPr>
      <w:r>
        <w:t xml:space="preserve">Cardiovascular safety does not appear to be a safety issue with </w:t>
      </w:r>
      <w:proofErr w:type="spellStart"/>
      <w:r>
        <w:t>gadobutrol</w:t>
      </w:r>
      <w:proofErr w:type="spellEnd"/>
      <w:r>
        <w:t xml:space="preserve"> in the proposed usage.</w:t>
      </w:r>
    </w:p>
    <w:p w:rsidR="008564D1" w:rsidRDefault="008564D1" w:rsidP="005B637C">
      <w:pPr>
        <w:pStyle w:val="Heading4"/>
        <w:rPr>
          <w:sz w:val="24"/>
        </w:rPr>
      </w:pPr>
      <w:bookmarkStart w:id="235" w:name="_Toc448083087"/>
      <w:bookmarkStart w:id="236" w:name="_Toc290846323"/>
      <w:bookmarkStart w:id="237" w:name="_Toc272414685"/>
      <w:bookmarkStart w:id="238" w:name="_Toc241374323"/>
      <w:r>
        <w:t>Unwanted immunological events</w:t>
      </w:r>
      <w:bookmarkEnd w:id="235"/>
      <w:bookmarkEnd w:id="236"/>
      <w:bookmarkEnd w:id="237"/>
      <w:bookmarkEnd w:id="238"/>
    </w:p>
    <w:p w:rsidR="008564D1" w:rsidRDefault="008564D1" w:rsidP="005367B8">
      <w:pPr>
        <w:rPr>
          <w:szCs w:val="24"/>
        </w:rPr>
      </w:pPr>
      <w:r>
        <w:t xml:space="preserve">Anaphylaxis has been reported in association with </w:t>
      </w:r>
      <w:proofErr w:type="spellStart"/>
      <w:r>
        <w:t>gadobutrol</w:t>
      </w:r>
      <w:proofErr w:type="spellEnd"/>
      <w:r>
        <w:t>, including one death as a result.</w:t>
      </w:r>
    </w:p>
    <w:p w:rsidR="008564D1" w:rsidRDefault="008564D1" w:rsidP="005B637C">
      <w:pPr>
        <w:pStyle w:val="Heading3"/>
        <w:rPr>
          <w:sz w:val="24"/>
        </w:rPr>
      </w:pPr>
      <w:bookmarkStart w:id="239" w:name="_Toc448083088"/>
      <w:bookmarkStart w:id="240" w:name="_Toc290846329"/>
      <w:bookmarkStart w:id="241" w:name="_Toc272414691"/>
      <w:bookmarkStart w:id="242" w:name="_Toc241374328"/>
      <w:bookmarkStart w:id="243" w:name="_Toc474335031"/>
      <w:r>
        <w:t>Evaluator’s overall conclusions on clinical safety</w:t>
      </w:r>
      <w:bookmarkEnd w:id="239"/>
      <w:bookmarkEnd w:id="240"/>
      <w:bookmarkEnd w:id="241"/>
      <w:bookmarkEnd w:id="242"/>
      <w:bookmarkEnd w:id="243"/>
    </w:p>
    <w:p w:rsidR="00F72DA2" w:rsidRDefault="008564D1" w:rsidP="005367B8">
      <w:proofErr w:type="spellStart"/>
      <w:r>
        <w:t>Gadobutrol</w:t>
      </w:r>
      <w:proofErr w:type="spellEnd"/>
      <w:r>
        <w:t xml:space="preserve"> has an acceptable safety profile in the general population and in children aged 2 years and older.</w:t>
      </w:r>
      <w:r w:rsidR="002D73B1">
        <w:t xml:space="preserve"> </w:t>
      </w:r>
      <w:r>
        <w:t>There are few adverse drug reactions.</w:t>
      </w:r>
      <w:r w:rsidR="002D73B1">
        <w:t xml:space="preserve"> </w:t>
      </w:r>
      <w:r>
        <w:t>There is one recorded death as a result of anaphylaxis</w:t>
      </w:r>
      <w:r w:rsidR="00F72DA2">
        <w:t>.</w:t>
      </w:r>
    </w:p>
    <w:p w:rsidR="008564D1" w:rsidRDefault="008564D1" w:rsidP="005367B8">
      <w:r>
        <w:t>There are limited safety data in the population of children aged &lt;2 years.</w:t>
      </w:r>
      <w:r w:rsidR="002D73B1">
        <w:t xml:space="preserve"> </w:t>
      </w:r>
      <w:r>
        <w:t xml:space="preserve">There were 48 subjects in this age group exposed to </w:t>
      </w:r>
      <w:proofErr w:type="spellStart"/>
      <w:r>
        <w:t>gadobutrol</w:t>
      </w:r>
      <w:proofErr w:type="spellEnd"/>
      <w:r>
        <w:t xml:space="preserve"> in the development program.</w:t>
      </w:r>
      <w:r w:rsidR="002D73B1">
        <w:t xml:space="preserve"> </w:t>
      </w:r>
      <w:r>
        <w:t xml:space="preserve">There were no SAEs attributable to </w:t>
      </w:r>
      <w:proofErr w:type="spellStart"/>
      <w:r>
        <w:t>gadobutrol</w:t>
      </w:r>
      <w:proofErr w:type="spellEnd"/>
      <w:r>
        <w:t xml:space="preserve"> and only one TEAE attributed to </w:t>
      </w:r>
      <w:proofErr w:type="spellStart"/>
      <w:r>
        <w:t>gadobutrol</w:t>
      </w:r>
      <w:proofErr w:type="spellEnd"/>
      <w:r>
        <w:t xml:space="preserve"> (vomiting).</w:t>
      </w:r>
      <w:r w:rsidR="002D73B1">
        <w:t xml:space="preserve"> </w:t>
      </w:r>
      <w:r>
        <w:t xml:space="preserve">The pharmacokinetic data indicate </w:t>
      </w:r>
      <w:r w:rsidR="00DC3496">
        <w:t>similar</w:t>
      </w:r>
      <w:r>
        <w:t xml:space="preserve"> or lesser exposure to </w:t>
      </w:r>
      <w:proofErr w:type="spellStart"/>
      <w:r>
        <w:t>gadobutrol</w:t>
      </w:r>
      <w:proofErr w:type="spellEnd"/>
      <w:r>
        <w:t xml:space="preserve"> in children aged &gt;</w:t>
      </w:r>
      <w:r w:rsidR="009F7336">
        <w:t xml:space="preserve"> </w:t>
      </w:r>
      <w:r>
        <w:t>3 days compared to adolescents and adults.</w:t>
      </w:r>
    </w:p>
    <w:p w:rsidR="008564D1" w:rsidRDefault="008564D1" w:rsidP="005367B8">
      <w:r>
        <w:t>However, the available data indicate two potential, serious safety issues in children aged &lt;</w:t>
      </w:r>
      <w:r w:rsidR="009F7336">
        <w:t xml:space="preserve"> </w:t>
      </w:r>
      <w:r>
        <w:t>2 years:</w:t>
      </w:r>
    </w:p>
    <w:p w:rsidR="008564D1" w:rsidRDefault="008564D1" w:rsidP="005367B8">
      <w:pPr>
        <w:pStyle w:val="ListBullet"/>
      </w:pPr>
      <w:r>
        <w:t>Neonates ≤</w:t>
      </w:r>
      <w:r w:rsidR="009F7336">
        <w:t xml:space="preserve"> </w:t>
      </w:r>
      <w:r>
        <w:t xml:space="preserve">3 days age are predicted to have double the exposure to </w:t>
      </w:r>
      <w:proofErr w:type="spellStart"/>
      <w:r>
        <w:t>gadobutrol</w:t>
      </w:r>
      <w:proofErr w:type="spellEnd"/>
    </w:p>
    <w:p w:rsidR="008564D1" w:rsidRDefault="008564D1" w:rsidP="005367B8">
      <w:pPr>
        <w:pStyle w:val="ListBullet"/>
      </w:pPr>
      <w:r>
        <w:t xml:space="preserve">Tissue, especially brain, accumulation of </w:t>
      </w:r>
      <w:proofErr w:type="spellStart"/>
      <w:r>
        <w:t>gadobutrol</w:t>
      </w:r>
      <w:proofErr w:type="spellEnd"/>
      <w:r>
        <w:t xml:space="preserve"> may represent a risk to the developing child, and particularly to neonates, who have a less effective blood brain barrier</w:t>
      </w:r>
    </w:p>
    <w:p w:rsidR="00C22678" w:rsidRDefault="00C22678" w:rsidP="009F7336">
      <w:pPr>
        <w:pStyle w:val="Heading2"/>
      </w:pPr>
      <w:bookmarkStart w:id="244" w:name="_Toc474335032"/>
      <w:r>
        <w:t>First round benefit-risk assessment</w:t>
      </w:r>
      <w:bookmarkEnd w:id="244"/>
    </w:p>
    <w:p w:rsidR="008564D1" w:rsidRDefault="008564D1" w:rsidP="009F7336">
      <w:pPr>
        <w:pStyle w:val="Heading3"/>
        <w:rPr>
          <w:sz w:val="24"/>
        </w:rPr>
      </w:pPr>
      <w:bookmarkStart w:id="245" w:name="_Toc448083090"/>
      <w:bookmarkStart w:id="246" w:name="_Toc290846331"/>
      <w:bookmarkStart w:id="247" w:name="_Toc272414693"/>
      <w:bookmarkStart w:id="248" w:name="_Ref272160836"/>
      <w:bookmarkStart w:id="249" w:name="_Toc241374331"/>
      <w:bookmarkStart w:id="250" w:name="_Toc236802592"/>
      <w:bookmarkStart w:id="251" w:name="_Toc474335033"/>
      <w:r>
        <w:t>First round assessment of benefits</w:t>
      </w:r>
      <w:bookmarkEnd w:id="245"/>
      <w:bookmarkEnd w:id="246"/>
      <w:bookmarkEnd w:id="247"/>
      <w:bookmarkEnd w:id="248"/>
      <w:bookmarkEnd w:id="249"/>
      <w:bookmarkEnd w:id="250"/>
      <w:bookmarkEnd w:id="251"/>
    </w:p>
    <w:p w:rsidR="008564D1" w:rsidRDefault="008564D1" w:rsidP="005367B8">
      <w:pPr>
        <w:rPr>
          <w:szCs w:val="24"/>
        </w:rPr>
      </w:pPr>
      <w:proofErr w:type="spellStart"/>
      <w:r>
        <w:t>Gadobutrol</w:t>
      </w:r>
      <w:proofErr w:type="spellEnd"/>
      <w:r>
        <w:t xml:space="preserve"> improves the delineation of borders and blood vessels in MRI studies.</w:t>
      </w:r>
      <w:r w:rsidR="002D73B1">
        <w:t xml:space="preserve"> </w:t>
      </w:r>
      <w:r>
        <w:t>Radiologists have increased confidence in their interpretation of the studies.</w:t>
      </w:r>
      <w:r w:rsidR="002D73B1">
        <w:t xml:space="preserve"> </w:t>
      </w:r>
      <w:r>
        <w:t>In the &lt;</w:t>
      </w:r>
      <w:r w:rsidR="009F7336">
        <w:t xml:space="preserve"> </w:t>
      </w:r>
      <w:r>
        <w:t xml:space="preserve">2 years age group, use of </w:t>
      </w:r>
      <w:proofErr w:type="spellStart"/>
      <w:r>
        <w:t>gadobutrol</w:t>
      </w:r>
      <w:proofErr w:type="spellEnd"/>
      <w:r>
        <w:t xml:space="preserve"> improves the technical adequacy of the MRI study in approximately 2.3% of patients, and results in a new diagnosis approximately 2.3% patients.</w:t>
      </w:r>
      <w:r w:rsidR="002D73B1">
        <w:t xml:space="preserve"> </w:t>
      </w:r>
      <w:r>
        <w:t xml:space="preserve">In the opinion of the </w:t>
      </w:r>
      <w:r w:rsidR="009F7336">
        <w:t>clinical e</w:t>
      </w:r>
      <w:r>
        <w:t>valuator, radiologists may feel obliged to use enhancement in order to improve their confidence in their interpretation of the MRI.</w:t>
      </w:r>
      <w:r w:rsidR="002D73B1">
        <w:t xml:space="preserve"> </w:t>
      </w:r>
      <w:r>
        <w:t xml:space="preserve">However, only a small minority </w:t>
      </w:r>
      <w:r w:rsidR="00DC3496">
        <w:t>of</w:t>
      </w:r>
      <w:r>
        <w:t xml:space="preserve"> patients (2.3%) will benefit.</w:t>
      </w:r>
    </w:p>
    <w:p w:rsidR="008564D1" w:rsidRDefault="008564D1" w:rsidP="009F7336">
      <w:pPr>
        <w:pStyle w:val="Heading3"/>
        <w:rPr>
          <w:sz w:val="24"/>
        </w:rPr>
      </w:pPr>
      <w:bookmarkStart w:id="252" w:name="_Toc448083091"/>
      <w:bookmarkStart w:id="253" w:name="_Toc290846332"/>
      <w:bookmarkStart w:id="254" w:name="_Toc272414694"/>
      <w:bookmarkStart w:id="255" w:name="_Ref272160964"/>
      <w:bookmarkStart w:id="256" w:name="_Toc241374334"/>
      <w:bookmarkStart w:id="257" w:name="_Toc236802596"/>
      <w:bookmarkStart w:id="258" w:name="_Toc474335034"/>
      <w:r>
        <w:t>First round assessment of risks</w:t>
      </w:r>
      <w:bookmarkEnd w:id="252"/>
      <w:bookmarkEnd w:id="253"/>
      <w:bookmarkEnd w:id="254"/>
      <w:bookmarkEnd w:id="255"/>
      <w:bookmarkEnd w:id="256"/>
      <w:bookmarkEnd w:id="257"/>
      <w:bookmarkEnd w:id="258"/>
    </w:p>
    <w:p w:rsidR="008564D1" w:rsidRDefault="008564D1" w:rsidP="009F7336">
      <w:pPr>
        <w:rPr>
          <w:szCs w:val="24"/>
        </w:rPr>
      </w:pPr>
      <w:r>
        <w:t xml:space="preserve">The risks of </w:t>
      </w:r>
      <w:proofErr w:type="spellStart"/>
      <w:r>
        <w:t>gadobutrol</w:t>
      </w:r>
      <w:proofErr w:type="spellEnd"/>
      <w:r>
        <w:t xml:space="preserve"> in the proposed usage are:</w:t>
      </w:r>
    </w:p>
    <w:p w:rsidR="008564D1" w:rsidRDefault="00DC3496" w:rsidP="005367B8">
      <w:pPr>
        <w:pStyle w:val="ListBullet"/>
      </w:pPr>
      <w:r>
        <w:t>Anaphylaxis</w:t>
      </w:r>
    </w:p>
    <w:p w:rsidR="008564D1" w:rsidRDefault="008564D1" w:rsidP="005367B8">
      <w:pPr>
        <w:pStyle w:val="ListBullet"/>
      </w:pPr>
      <w:r>
        <w:t>Vomiting</w:t>
      </w:r>
    </w:p>
    <w:p w:rsidR="008564D1" w:rsidRDefault="008564D1" w:rsidP="005367B8">
      <w:pPr>
        <w:pStyle w:val="ListBullet"/>
      </w:pPr>
      <w:r>
        <w:t>Seizures</w:t>
      </w:r>
    </w:p>
    <w:p w:rsidR="008564D1" w:rsidRDefault="008564D1" w:rsidP="005367B8">
      <w:pPr>
        <w:pStyle w:val="ListBullet"/>
      </w:pPr>
      <w:proofErr w:type="spellStart"/>
      <w:r>
        <w:t>Nephrogenic</w:t>
      </w:r>
      <w:proofErr w:type="spellEnd"/>
      <w:r>
        <w:t xml:space="preserve"> Systemic Fibrosis</w:t>
      </w:r>
    </w:p>
    <w:p w:rsidR="008564D1" w:rsidRDefault="008564D1" w:rsidP="005367B8">
      <w:r>
        <w:t xml:space="preserve">There were no new cases of </w:t>
      </w:r>
      <w:proofErr w:type="spellStart"/>
      <w:r>
        <w:t>Nephrogenic</w:t>
      </w:r>
      <w:proofErr w:type="spellEnd"/>
      <w:r>
        <w:t xml:space="preserve"> Systemic Fibrosis described in the submitted data.</w:t>
      </w:r>
    </w:p>
    <w:p w:rsidR="008564D1" w:rsidRDefault="008564D1" w:rsidP="005367B8">
      <w:r>
        <w:t>In addition, the available data indicate two potential, serious safety issues in children aged &lt;</w:t>
      </w:r>
      <w:r w:rsidR="009F7336">
        <w:t xml:space="preserve"> </w:t>
      </w:r>
      <w:r>
        <w:t>2 years:</w:t>
      </w:r>
    </w:p>
    <w:p w:rsidR="008564D1" w:rsidRDefault="008564D1" w:rsidP="005367B8">
      <w:pPr>
        <w:pStyle w:val="ListBullet"/>
      </w:pPr>
      <w:r>
        <w:t>Neonates ≤</w:t>
      </w:r>
      <w:r w:rsidR="009F7336">
        <w:t xml:space="preserve"> </w:t>
      </w:r>
      <w:r>
        <w:t xml:space="preserve">3 days age are predicted to have double the exposure to </w:t>
      </w:r>
      <w:proofErr w:type="spellStart"/>
      <w:r>
        <w:t>gadobutrol</w:t>
      </w:r>
      <w:proofErr w:type="spellEnd"/>
      <w:r>
        <w:t xml:space="preserve"> and therefore may be at increased risk of </w:t>
      </w:r>
      <w:proofErr w:type="spellStart"/>
      <w:r>
        <w:t>Nephrogenic</w:t>
      </w:r>
      <w:proofErr w:type="spellEnd"/>
      <w:r>
        <w:t xml:space="preserve"> Systemic Fibrosis</w:t>
      </w:r>
    </w:p>
    <w:p w:rsidR="008564D1" w:rsidRDefault="008564D1" w:rsidP="005367B8">
      <w:pPr>
        <w:pStyle w:val="ListBullet"/>
      </w:pPr>
      <w:r>
        <w:t xml:space="preserve">Tissue, especially brain, accumulation of </w:t>
      </w:r>
      <w:proofErr w:type="spellStart"/>
      <w:r>
        <w:t>gadobutrol</w:t>
      </w:r>
      <w:proofErr w:type="spellEnd"/>
      <w:r>
        <w:t xml:space="preserve"> may represent a risk to the developing child, and particularly to neonates, who have a less effective blood brain barrier</w:t>
      </w:r>
      <w:r w:rsidR="009F7336">
        <w:t>.</w:t>
      </w:r>
    </w:p>
    <w:p w:rsidR="008564D1" w:rsidRDefault="008564D1" w:rsidP="009F7336">
      <w:pPr>
        <w:pStyle w:val="Heading3"/>
        <w:rPr>
          <w:sz w:val="24"/>
        </w:rPr>
      </w:pPr>
      <w:bookmarkStart w:id="259" w:name="_Toc448083092"/>
      <w:bookmarkStart w:id="260" w:name="_Toc290846333"/>
      <w:bookmarkStart w:id="261" w:name="_Toc272414695"/>
      <w:bookmarkStart w:id="262" w:name="_Toc241374335"/>
      <w:bookmarkStart w:id="263" w:name="_Toc236802597"/>
      <w:bookmarkStart w:id="264" w:name="_Toc474335035"/>
      <w:r>
        <w:t>First round assessment of benefit-risk balance</w:t>
      </w:r>
      <w:bookmarkEnd w:id="259"/>
      <w:bookmarkEnd w:id="260"/>
      <w:bookmarkEnd w:id="261"/>
      <w:bookmarkEnd w:id="262"/>
      <w:bookmarkEnd w:id="263"/>
      <w:bookmarkEnd w:id="264"/>
    </w:p>
    <w:p w:rsidR="008564D1" w:rsidRDefault="008564D1" w:rsidP="005367B8">
      <w:pPr>
        <w:rPr>
          <w:szCs w:val="24"/>
        </w:rPr>
      </w:pPr>
      <w:r>
        <w:t xml:space="preserve">The benefit-risk balance of </w:t>
      </w:r>
      <w:proofErr w:type="spellStart"/>
      <w:r>
        <w:t>gadobutrol</w:t>
      </w:r>
      <w:proofErr w:type="spellEnd"/>
      <w:r>
        <w:t>, given the proposed usage, is favourable for children aged 2 months and older.</w:t>
      </w:r>
    </w:p>
    <w:p w:rsidR="008564D1" w:rsidRDefault="008564D1" w:rsidP="005367B8">
      <w:r>
        <w:t xml:space="preserve">The benefit-risk balance of </w:t>
      </w:r>
      <w:proofErr w:type="spellStart"/>
      <w:r>
        <w:t>gadobutrol</w:t>
      </w:r>
      <w:proofErr w:type="spellEnd"/>
      <w:r>
        <w:t xml:space="preserve"> in neonates aged 3 days and younger, given the proposed usage, is unfavourable.</w:t>
      </w:r>
      <w:r w:rsidR="002D73B1">
        <w:t xml:space="preserve"> </w:t>
      </w:r>
      <w:r>
        <w:t xml:space="preserve">Compared to older children and adults, neonates aged 3 days and younger have approximately double the systemic exposure to </w:t>
      </w:r>
      <w:proofErr w:type="spellStart"/>
      <w:r>
        <w:t>gadobutrol</w:t>
      </w:r>
      <w:proofErr w:type="spellEnd"/>
      <w:r>
        <w:t xml:space="preserve"> and are at greater risk of adverse events.</w:t>
      </w:r>
    </w:p>
    <w:p w:rsidR="008564D1" w:rsidRDefault="008564D1" w:rsidP="005367B8">
      <w:r>
        <w:t xml:space="preserve">The benefit-risk balance of </w:t>
      </w:r>
      <w:proofErr w:type="spellStart"/>
      <w:r>
        <w:t>gadobutrol</w:t>
      </w:r>
      <w:proofErr w:type="spellEnd"/>
      <w:r>
        <w:t xml:space="preserve"> in neonates aged between 3 days and 2 months, given the proposed usage, is unfavourable.</w:t>
      </w:r>
      <w:r w:rsidR="002D73B1">
        <w:t xml:space="preserve"> </w:t>
      </w:r>
      <w:r>
        <w:t xml:space="preserve">There is potential for accumulation of </w:t>
      </w:r>
      <w:proofErr w:type="spellStart"/>
      <w:r>
        <w:t>gadobutrol</w:t>
      </w:r>
      <w:proofErr w:type="spellEnd"/>
      <w:r>
        <w:t xml:space="preserve"> in the brain and neonates and young infants may be at greater risk because of an immature blood brain barrier.</w:t>
      </w:r>
      <w:r w:rsidR="002D73B1">
        <w:t xml:space="preserve"> </w:t>
      </w:r>
      <w:r>
        <w:t xml:space="preserve">In the opinion of the </w:t>
      </w:r>
      <w:r w:rsidR="009F7336">
        <w:t>clinical e</w:t>
      </w:r>
      <w:r>
        <w:t xml:space="preserve">valuator, there is </w:t>
      </w:r>
      <w:r>
        <w:rPr>
          <w:color w:val="000000"/>
          <w:shd w:val="clear" w:color="auto" w:fill="FFFFFF"/>
        </w:rPr>
        <w:t>potential of increased risk of toxicity, especially neurotoxicity, on general physiological grounds in this age group.</w:t>
      </w:r>
      <w:r w:rsidR="002D73B1">
        <w:rPr>
          <w:color w:val="000000"/>
          <w:shd w:val="clear" w:color="auto" w:fill="FFFFFF"/>
        </w:rPr>
        <w:t xml:space="preserve"> </w:t>
      </w:r>
      <w:r>
        <w:t>There are insufficient safety data in this age group to determine this risk.</w:t>
      </w:r>
    </w:p>
    <w:p w:rsidR="00C22678" w:rsidRDefault="00C22678" w:rsidP="009F7336">
      <w:pPr>
        <w:pStyle w:val="Heading2"/>
      </w:pPr>
      <w:bookmarkStart w:id="265" w:name="_Toc474335036"/>
      <w:r>
        <w:t xml:space="preserve">First round </w:t>
      </w:r>
      <w:r w:rsidRPr="009F7336">
        <w:t>recommendation</w:t>
      </w:r>
      <w:r>
        <w:t xml:space="preserve"> regarding authorisation</w:t>
      </w:r>
      <w:bookmarkEnd w:id="265"/>
    </w:p>
    <w:p w:rsidR="008564D1" w:rsidRDefault="008564D1" w:rsidP="005367B8">
      <w:r>
        <w:t>The application for the proposed new indication should be rejected.</w:t>
      </w:r>
    </w:p>
    <w:p w:rsidR="008564D1" w:rsidRDefault="008564D1" w:rsidP="005367B8">
      <w:r>
        <w:t>The following alternative new indication could be considered for approval:</w:t>
      </w:r>
    </w:p>
    <w:p w:rsidR="008564D1" w:rsidRPr="005367B8" w:rsidRDefault="005367B8" w:rsidP="005367B8">
      <w:pPr>
        <w:ind w:left="360"/>
        <w:rPr>
          <w:i/>
        </w:rPr>
      </w:pPr>
      <w:proofErr w:type="spellStart"/>
      <w:r w:rsidRPr="005367B8">
        <w:rPr>
          <w:i/>
          <w:lang w:val="en-NZ"/>
        </w:rPr>
        <w:t>Gadovist</w:t>
      </w:r>
      <w:proofErr w:type="spellEnd"/>
      <w:r w:rsidRPr="005367B8">
        <w:rPr>
          <w:i/>
          <w:lang w:val="en-NZ"/>
        </w:rPr>
        <w:t xml:space="preserve"> </w:t>
      </w:r>
      <w:r w:rsidR="008564D1" w:rsidRPr="005367B8">
        <w:rPr>
          <w:i/>
          <w:lang w:val="en-NZ"/>
        </w:rPr>
        <w:t>1.0 is indicated in adults and children aged 2 months and older for:</w:t>
      </w:r>
    </w:p>
    <w:p w:rsidR="008564D1" w:rsidRPr="005367B8" w:rsidRDefault="008564D1" w:rsidP="005367B8">
      <w:pPr>
        <w:pStyle w:val="ListBullet"/>
        <w:ind w:left="720"/>
        <w:rPr>
          <w:i/>
        </w:rPr>
      </w:pPr>
      <w:r w:rsidRPr="005367B8">
        <w:rPr>
          <w:i/>
          <w:lang w:val="en-NZ"/>
        </w:rPr>
        <w:t>Contrast enhancement in cranial and spinal magnetic resonance imaging (MRI)</w:t>
      </w:r>
    </w:p>
    <w:p w:rsidR="008564D1" w:rsidRPr="005367B8" w:rsidRDefault="008564D1" w:rsidP="005367B8">
      <w:pPr>
        <w:pStyle w:val="ListBullet"/>
        <w:ind w:left="720"/>
        <w:rPr>
          <w:i/>
          <w:lang w:val="en-NZ"/>
        </w:rPr>
      </w:pPr>
      <w:r w:rsidRPr="005367B8">
        <w:rPr>
          <w:i/>
          <w:lang w:val="en-NZ"/>
        </w:rPr>
        <w:t>Contrast enhancement in whole body MRI including head and neck region, thoracic space, breast, abdomen (pancreas, liver and spleen), pelvis (prostate, bladder and uterus), retroperitoneal space (kidney), extremities and musculoskeletal system</w:t>
      </w:r>
    </w:p>
    <w:p w:rsidR="008564D1" w:rsidRPr="005367B8" w:rsidRDefault="008564D1" w:rsidP="005367B8">
      <w:pPr>
        <w:pStyle w:val="ListBullet"/>
        <w:ind w:left="720"/>
        <w:rPr>
          <w:i/>
          <w:lang w:val="en-NZ"/>
        </w:rPr>
      </w:pPr>
      <w:r w:rsidRPr="005367B8">
        <w:rPr>
          <w:i/>
          <w:lang w:val="en-NZ"/>
        </w:rPr>
        <w:t>Use in first–pass MRI studies of cerebral perfusion</w:t>
      </w:r>
    </w:p>
    <w:p w:rsidR="008564D1" w:rsidRPr="005367B8" w:rsidRDefault="008564D1" w:rsidP="005367B8">
      <w:pPr>
        <w:pStyle w:val="ListBullet"/>
        <w:ind w:left="720"/>
        <w:rPr>
          <w:i/>
          <w:lang w:val="en-NZ"/>
        </w:rPr>
      </w:pPr>
      <w:r w:rsidRPr="005367B8">
        <w:rPr>
          <w:i/>
          <w:lang w:val="en-NZ"/>
        </w:rPr>
        <w:t>Contrast enhancement in magnetic resonance angiography (CE MRA)</w:t>
      </w:r>
    </w:p>
    <w:p w:rsidR="008564D1" w:rsidRPr="005367B8" w:rsidRDefault="008564D1" w:rsidP="005367B8">
      <w:pPr>
        <w:pStyle w:val="ListBullet"/>
        <w:ind w:left="720"/>
        <w:rPr>
          <w:i/>
        </w:rPr>
      </w:pPr>
      <w:r w:rsidRPr="005367B8">
        <w:rPr>
          <w:i/>
          <w:lang w:val="en-NZ"/>
        </w:rPr>
        <w:t>Contrast enhancement in cardiac MRI including assessment of rest and pharmacological stress perfusion and delayed enhancement.</w:t>
      </w:r>
    </w:p>
    <w:p w:rsidR="00C22678" w:rsidRDefault="00C22678" w:rsidP="00C22678">
      <w:pPr>
        <w:pStyle w:val="Heading2"/>
      </w:pPr>
      <w:bookmarkStart w:id="266" w:name="_Toc474335037"/>
      <w:r>
        <w:t>Clinical questions</w:t>
      </w:r>
      <w:bookmarkEnd w:id="266"/>
    </w:p>
    <w:p w:rsidR="008564D1" w:rsidRDefault="008564D1" w:rsidP="009F7336">
      <w:pPr>
        <w:pStyle w:val="Heading3"/>
      </w:pPr>
      <w:bookmarkStart w:id="267" w:name="_Toc448083101"/>
      <w:bookmarkStart w:id="268" w:name="_Toc290846342"/>
      <w:bookmarkStart w:id="269" w:name="_Toc272414702"/>
      <w:bookmarkStart w:id="270" w:name="_Toc474335038"/>
      <w:r>
        <w:t>Pharmacokinetics</w:t>
      </w:r>
      <w:bookmarkEnd w:id="267"/>
      <w:bookmarkEnd w:id="268"/>
      <w:bookmarkEnd w:id="269"/>
      <w:bookmarkEnd w:id="270"/>
    </w:p>
    <w:p w:rsidR="008564D1" w:rsidRDefault="008564D1" w:rsidP="005367B8">
      <w:pPr>
        <w:rPr>
          <w:szCs w:val="24"/>
        </w:rPr>
      </w:pPr>
      <w:r>
        <w:t xml:space="preserve">Does </w:t>
      </w:r>
      <w:r w:rsidR="002D73B1">
        <w:t>the sponsor</w:t>
      </w:r>
      <w:r>
        <w:t xml:space="preserve"> have any pharmacokinetic data for the ≤</w:t>
      </w:r>
      <w:r w:rsidR="005367B8">
        <w:t xml:space="preserve"> </w:t>
      </w:r>
      <w:r>
        <w:t>3 day age group?</w:t>
      </w:r>
    </w:p>
    <w:p w:rsidR="008564D1" w:rsidRDefault="008564D1" w:rsidP="009F7336">
      <w:pPr>
        <w:pStyle w:val="Heading3"/>
        <w:rPr>
          <w:sz w:val="24"/>
        </w:rPr>
      </w:pPr>
      <w:bookmarkStart w:id="271" w:name="_Toc448083102"/>
      <w:bookmarkStart w:id="272" w:name="_Toc290846343"/>
      <w:bookmarkStart w:id="273" w:name="_Toc272414703"/>
      <w:bookmarkStart w:id="274" w:name="_Toc474335039"/>
      <w:r>
        <w:t>Pharmacodynamics</w:t>
      </w:r>
      <w:bookmarkEnd w:id="271"/>
      <w:bookmarkEnd w:id="272"/>
      <w:bookmarkEnd w:id="273"/>
      <w:bookmarkEnd w:id="274"/>
    </w:p>
    <w:p w:rsidR="008564D1" w:rsidRDefault="008564D1" w:rsidP="00BA2BB7">
      <w:pPr>
        <w:rPr>
          <w:szCs w:val="24"/>
        </w:rPr>
      </w:pPr>
      <w:r>
        <w:t xml:space="preserve">The </w:t>
      </w:r>
      <w:r w:rsidR="009F7336">
        <w:t>e</w:t>
      </w:r>
      <w:r>
        <w:t>valuator has no questions with regard to pharmacodynamics.</w:t>
      </w:r>
    </w:p>
    <w:p w:rsidR="008564D1" w:rsidRDefault="008564D1" w:rsidP="009F7336">
      <w:pPr>
        <w:pStyle w:val="Heading3"/>
        <w:rPr>
          <w:sz w:val="24"/>
        </w:rPr>
      </w:pPr>
      <w:bookmarkStart w:id="275" w:name="_Toc448083103"/>
      <w:bookmarkStart w:id="276" w:name="_Toc290846344"/>
      <w:bookmarkStart w:id="277" w:name="_Toc272414704"/>
      <w:bookmarkStart w:id="278" w:name="_Toc474335040"/>
      <w:r>
        <w:t>Efficacy</w:t>
      </w:r>
      <w:bookmarkEnd w:id="275"/>
      <w:bookmarkEnd w:id="276"/>
      <w:bookmarkEnd w:id="277"/>
      <w:bookmarkEnd w:id="278"/>
    </w:p>
    <w:p w:rsidR="008564D1" w:rsidRDefault="008564D1" w:rsidP="005367B8">
      <w:pPr>
        <w:rPr>
          <w:szCs w:val="24"/>
        </w:rPr>
      </w:pPr>
      <w:r>
        <w:t xml:space="preserve">The </w:t>
      </w:r>
      <w:r w:rsidR="009F7336">
        <w:t>e</w:t>
      </w:r>
      <w:r>
        <w:t>valuator has no questions with regard to efficacy.</w:t>
      </w:r>
    </w:p>
    <w:p w:rsidR="008564D1" w:rsidRDefault="008564D1" w:rsidP="009F7336">
      <w:pPr>
        <w:pStyle w:val="Heading3"/>
        <w:rPr>
          <w:sz w:val="24"/>
        </w:rPr>
      </w:pPr>
      <w:bookmarkStart w:id="279" w:name="_Toc448083104"/>
      <w:bookmarkStart w:id="280" w:name="_Toc290846345"/>
      <w:bookmarkStart w:id="281" w:name="_Toc272414705"/>
      <w:bookmarkStart w:id="282" w:name="_Toc474335041"/>
      <w:r w:rsidRPr="009F7336">
        <w:t>Safety</w:t>
      </w:r>
      <w:bookmarkEnd w:id="279"/>
      <w:bookmarkEnd w:id="280"/>
      <w:bookmarkEnd w:id="281"/>
      <w:bookmarkEnd w:id="282"/>
    </w:p>
    <w:p w:rsidR="008564D1" w:rsidRDefault="008564D1" w:rsidP="005367B8">
      <w:pPr>
        <w:rPr>
          <w:szCs w:val="24"/>
        </w:rPr>
      </w:pPr>
      <w:r>
        <w:t xml:space="preserve">Does </w:t>
      </w:r>
      <w:r w:rsidR="002D73B1">
        <w:t>the sponsor</w:t>
      </w:r>
      <w:r>
        <w:t xml:space="preserve"> have any additional data with regard to CNS accumulation of gadolinium?</w:t>
      </w:r>
    </w:p>
    <w:p w:rsidR="008564D1" w:rsidRDefault="008564D1" w:rsidP="005367B8">
      <w:r>
        <w:t xml:space="preserve">Does </w:t>
      </w:r>
      <w:r w:rsidR="002D73B1">
        <w:t>the sponsor</w:t>
      </w:r>
      <w:r>
        <w:t xml:space="preserve"> have any additional data with regard to whether CNS accumulation of gadolinium may lead to neurotoxicity?</w:t>
      </w:r>
    </w:p>
    <w:p w:rsidR="00C618F7" w:rsidRDefault="00C618F7" w:rsidP="009F7336">
      <w:pPr>
        <w:pStyle w:val="Heading2"/>
      </w:pPr>
      <w:bookmarkStart w:id="283" w:name="_Toc474335042"/>
      <w:r>
        <w:t xml:space="preserve">Second round </w:t>
      </w:r>
      <w:r w:rsidRPr="009F7336">
        <w:t>evaluation</w:t>
      </w:r>
      <w:r>
        <w:t xml:space="preserve"> of clinical data submitted in response to questions</w:t>
      </w:r>
      <w:bookmarkEnd w:id="283"/>
    </w:p>
    <w:p w:rsidR="00942B16" w:rsidRDefault="002D73B1" w:rsidP="005367B8">
      <w:r>
        <w:t>The sponsor</w:t>
      </w:r>
      <w:r w:rsidR="00942B16">
        <w:t xml:space="preserve"> has responded to Clinical Questions with the following information:</w:t>
      </w:r>
    </w:p>
    <w:p w:rsidR="00942B16" w:rsidRPr="002D73B1" w:rsidRDefault="00942B16" w:rsidP="002D73B1">
      <w:pPr>
        <w:rPr>
          <w:b/>
          <w:i/>
        </w:rPr>
      </w:pPr>
      <w:r w:rsidRPr="002D73B1">
        <w:rPr>
          <w:b/>
          <w:i/>
          <w:lang w:val="en-NZ"/>
        </w:rPr>
        <w:t xml:space="preserve">Question 1: Does </w:t>
      </w:r>
      <w:r w:rsidR="002D73B1">
        <w:rPr>
          <w:b/>
          <w:i/>
          <w:lang w:val="en-NZ"/>
        </w:rPr>
        <w:t>the sponsor</w:t>
      </w:r>
      <w:r w:rsidRPr="002D73B1">
        <w:rPr>
          <w:b/>
          <w:i/>
          <w:lang w:val="en-NZ"/>
        </w:rPr>
        <w:t xml:space="preserve"> have any pharmacokinetic data for the </w:t>
      </w:r>
      <w:r w:rsidRPr="002D73B1">
        <w:rPr>
          <w:rFonts w:eastAsia="Arial-BoldMT"/>
          <w:b/>
          <w:i/>
          <w:lang w:val="en-NZ"/>
        </w:rPr>
        <w:t>≤</w:t>
      </w:r>
      <w:r w:rsidRPr="002D73B1">
        <w:rPr>
          <w:b/>
          <w:i/>
          <w:lang w:val="en-NZ"/>
        </w:rPr>
        <w:t>3 day age group?</w:t>
      </w:r>
    </w:p>
    <w:p w:rsidR="00F72DA2" w:rsidRDefault="00942B16" w:rsidP="005367B8">
      <w:r w:rsidRPr="009F7336">
        <w:rPr>
          <w:i/>
        </w:rPr>
        <w:t>Sponsor’s response</w:t>
      </w:r>
      <w:r>
        <w:t xml:space="preserve">: </w:t>
      </w:r>
      <w:r w:rsidR="002D73B1">
        <w:t>The sponsor</w:t>
      </w:r>
      <w:r>
        <w:t xml:space="preserve"> does not have any pharmacokinetic data for the ≤</w:t>
      </w:r>
      <w:r w:rsidR="009F7336">
        <w:t xml:space="preserve"> </w:t>
      </w:r>
      <w:r>
        <w:t>3 day age group.</w:t>
      </w:r>
      <w:r w:rsidR="002D73B1">
        <w:t xml:space="preserve"> </w:t>
      </w:r>
      <w:r>
        <w:t>The youngest subjects for whom there are data were two subjects aged 6 days</w:t>
      </w:r>
      <w:r w:rsidR="00F72DA2">
        <w:t>.</w:t>
      </w:r>
    </w:p>
    <w:p w:rsidR="00942B16" w:rsidRPr="009F7336" w:rsidRDefault="00942B16" w:rsidP="005367B8">
      <w:r w:rsidRPr="009F7336">
        <w:rPr>
          <w:i/>
        </w:rPr>
        <w:t>Evaluator’s comment:</w:t>
      </w:r>
      <w:r>
        <w:t xml:space="preserve"> Neonates aged ≤</w:t>
      </w:r>
      <w:r w:rsidR="009F7336">
        <w:t xml:space="preserve"> </w:t>
      </w:r>
      <w:r>
        <w:t>3 days have greatly decreased renal function compared to older neonates.</w:t>
      </w:r>
      <w:r w:rsidR="002D73B1">
        <w:t xml:space="preserve"> </w:t>
      </w:r>
      <w:r>
        <w:t xml:space="preserve">Hence, there is greater systemic exposure to </w:t>
      </w:r>
      <w:proofErr w:type="spellStart"/>
      <w:r>
        <w:t>renally</w:t>
      </w:r>
      <w:proofErr w:type="spellEnd"/>
      <w:r>
        <w:t xml:space="preserve"> cleared drugs in this subpopulation.</w:t>
      </w:r>
      <w:r w:rsidR="002D73B1">
        <w:t xml:space="preserve"> </w:t>
      </w:r>
      <w:r>
        <w:t xml:space="preserve">This was demonstrated by </w:t>
      </w:r>
      <w:r w:rsidR="002D73B1">
        <w:t>the sponsor</w:t>
      </w:r>
      <w:r w:rsidR="009B263A">
        <w:t>’s PBPK model (see Study A37273</w:t>
      </w:r>
      <w:r>
        <w:t>).</w:t>
      </w:r>
      <w:r w:rsidR="002D73B1">
        <w:t xml:space="preserve"> </w:t>
      </w:r>
      <w:r>
        <w:t xml:space="preserve">The </w:t>
      </w:r>
      <w:r w:rsidRPr="009F7336">
        <w:t xml:space="preserve">difference in renal function between </w:t>
      </w:r>
      <w:proofErr w:type="gramStart"/>
      <w:r w:rsidRPr="009F7336">
        <w:t>neonates</w:t>
      </w:r>
      <w:proofErr w:type="gramEnd"/>
      <w:r w:rsidRPr="009F7336">
        <w:t xml:space="preserve"> ≤</w:t>
      </w:r>
      <w:r w:rsidR="009F7336" w:rsidRPr="009F7336">
        <w:t xml:space="preserve"> </w:t>
      </w:r>
      <w:r w:rsidRPr="009F7336">
        <w:t>3 days of age and older neonates is well described in the published literature (</w:t>
      </w:r>
      <w:hyperlink r:id="rId32" w:anchor="Wahl_2013" w:history="1">
        <w:r w:rsidRPr="009F7336">
          <w:t>Wahl et al 2003</w:t>
        </w:r>
      </w:hyperlink>
      <w:r w:rsidRPr="009F7336">
        <w:t>).</w:t>
      </w:r>
      <w:r w:rsidR="002D73B1" w:rsidRPr="009F7336">
        <w:t xml:space="preserve"> </w:t>
      </w:r>
      <w:r w:rsidRPr="009F7336">
        <w:t>Figure 8 of Wahl et al 2003 demonstrates this point.</w:t>
      </w:r>
      <w:r w:rsidR="002D73B1" w:rsidRPr="009F7336">
        <w:t xml:space="preserve"> </w:t>
      </w:r>
      <w:r w:rsidRPr="009F7336">
        <w:t xml:space="preserve">The change in renal function in the first week after birth is well recognised by neonatologists and is reflected in dosing guidelines for </w:t>
      </w:r>
      <w:proofErr w:type="spellStart"/>
      <w:r w:rsidRPr="009F7336">
        <w:t>renally</w:t>
      </w:r>
      <w:proofErr w:type="spellEnd"/>
      <w:r w:rsidRPr="009F7336">
        <w:t xml:space="preserve"> cleared drugs, such as penicillin.</w:t>
      </w:r>
    </w:p>
    <w:p w:rsidR="00942B16" w:rsidRPr="009F7336" w:rsidRDefault="002D73B1" w:rsidP="005367B8">
      <w:r>
        <w:t>The sponsor</w:t>
      </w:r>
      <w:r w:rsidR="00942B16">
        <w:t xml:space="preserve"> refers to Bird et al 2003 to justify extrapolating renal function data to </w:t>
      </w:r>
      <w:proofErr w:type="gramStart"/>
      <w:r w:rsidR="00942B16">
        <w:t>neonates</w:t>
      </w:r>
      <w:proofErr w:type="gramEnd"/>
      <w:r w:rsidR="00942B16">
        <w:t xml:space="preserve"> ≤</w:t>
      </w:r>
      <w:r w:rsidR="009F7336">
        <w:t xml:space="preserve"> </w:t>
      </w:r>
      <w:r w:rsidR="00942B16">
        <w:t>3 days.</w:t>
      </w:r>
      <w:r>
        <w:t xml:space="preserve"> </w:t>
      </w:r>
      <w:r w:rsidR="00942B16">
        <w:t xml:space="preserve">However the methods section of this paper states: </w:t>
      </w:r>
      <w:r>
        <w:t>‘</w:t>
      </w:r>
      <w:r w:rsidR="00942B16" w:rsidRPr="009F7336">
        <w:rPr>
          <w:i/>
          <w:shd w:val="clear" w:color="auto" w:fill="FFFFFF"/>
        </w:rPr>
        <w:t>Data are based on 577 consecutive GFR measurements in 517 patients (aged 1–87 y) routinely referred for measurement of GFR as part of their clinical management</w:t>
      </w:r>
      <w:r w:rsidRPr="009F7336">
        <w:rPr>
          <w:i/>
          <w:shd w:val="clear" w:color="auto" w:fill="FFFFFF"/>
        </w:rPr>
        <w:t>’</w:t>
      </w:r>
      <w:r w:rsidR="00942B16">
        <w:rPr>
          <w:color w:val="403838"/>
          <w:shd w:val="clear" w:color="auto" w:fill="FFFFFF"/>
        </w:rPr>
        <w:t>.</w:t>
      </w:r>
      <w:r>
        <w:rPr>
          <w:color w:val="403838"/>
          <w:shd w:val="clear" w:color="auto" w:fill="FFFFFF"/>
        </w:rPr>
        <w:t xml:space="preserve"> </w:t>
      </w:r>
      <w:r w:rsidR="00942B16" w:rsidRPr="009F7336">
        <w:rPr>
          <w:shd w:val="clear" w:color="auto" w:fill="FFFFFF"/>
        </w:rPr>
        <w:t xml:space="preserve">Hence, the </w:t>
      </w:r>
      <w:r w:rsidR="009F7336" w:rsidRPr="009F7336">
        <w:rPr>
          <w:shd w:val="clear" w:color="auto" w:fill="FFFFFF"/>
        </w:rPr>
        <w:t>clinical e</w:t>
      </w:r>
      <w:r w:rsidR="00942B16" w:rsidRPr="009F7336">
        <w:rPr>
          <w:shd w:val="clear" w:color="auto" w:fill="FFFFFF"/>
        </w:rPr>
        <w:t>valuator rejects this data because it does not relate to the relevant age group (</w:t>
      </w:r>
      <w:r w:rsidR="009F7336" w:rsidRPr="009F7336">
        <w:rPr>
          <w:shd w:val="clear" w:color="auto" w:fill="FFFFFF"/>
        </w:rPr>
        <w:t>that is,</w:t>
      </w:r>
      <w:r w:rsidR="00942B16" w:rsidRPr="009F7336">
        <w:rPr>
          <w:shd w:val="clear" w:color="auto" w:fill="FFFFFF"/>
        </w:rPr>
        <w:t xml:space="preserve"> there were no data from the ≤3 </w:t>
      </w:r>
      <w:proofErr w:type="gramStart"/>
      <w:r w:rsidR="00942B16" w:rsidRPr="009F7336">
        <w:rPr>
          <w:shd w:val="clear" w:color="auto" w:fill="FFFFFF"/>
        </w:rPr>
        <w:t>days</w:t>
      </w:r>
      <w:proofErr w:type="gramEnd"/>
      <w:r w:rsidR="00942B16" w:rsidRPr="009F7336">
        <w:rPr>
          <w:shd w:val="clear" w:color="auto" w:fill="FFFFFF"/>
        </w:rPr>
        <w:t xml:space="preserve"> age group).</w:t>
      </w:r>
    </w:p>
    <w:p w:rsidR="00942B16" w:rsidRDefault="002D73B1" w:rsidP="005367B8">
      <w:pPr>
        <w:rPr>
          <w:lang w:val="en-NZ"/>
        </w:rPr>
      </w:pPr>
      <w:r>
        <w:t>The sponsor</w:t>
      </w:r>
      <w:r w:rsidR="00942B16">
        <w:t xml:space="preserve"> also states: </w:t>
      </w:r>
      <w:r>
        <w:t>‘</w:t>
      </w:r>
      <w:r w:rsidR="00942B16" w:rsidRPr="009F7336">
        <w:rPr>
          <w:i/>
          <w:lang w:val="en-NZ"/>
        </w:rPr>
        <w:t xml:space="preserve">From a clinical perspective, it is important to recognise that </w:t>
      </w:r>
      <w:proofErr w:type="spellStart"/>
      <w:r w:rsidR="00942B16" w:rsidRPr="009F7336">
        <w:rPr>
          <w:i/>
          <w:lang w:val="en-NZ"/>
        </w:rPr>
        <w:t>newborn</w:t>
      </w:r>
      <w:proofErr w:type="spellEnd"/>
      <w:r w:rsidR="00942B16" w:rsidRPr="009F7336">
        <w:rPr>
          <w:i/>
          <w:lang w:val="en-NZ"/>
        </w:rPr>
        <w:t xml:space="preserve"> infants may require contrast-enhanced MRI very early after birth, even though the initial clinical approach to the imaging evaluation of conditions in infants continues to be Ultrasound (US)</w:t>
      </w:r>
      <w:r>
        <w:rPr>
          <w:lang w:val="en-NZ"/>
        </w:rPr>
        <w:t>’</w:t>
      </w:r>
      <w:r w:rsidR="00942B16">
        <w:rPr>
          <w:lang w:val="en-NZ"/>
        </w:rPr>
        <w:t>.</w:t>
      </w:r>
      <w:r>
        <w:rPr>
          <w:lang w:val="en-NZ"/>
        </w:rPr>
        <w:t xml:space="preserve"> </w:t>
      </w:r>
      <w:r w:rsidR="00942B16">
        <w:rPr>
          <w:lang w:val="en-NZ"/>
        </w:rPr>
        <w:t>However, the neonates that most frequently undergo MRI in the first week after birth are those that have been exposed to birth asphyxia.</w:t>
      </w:r>
      <w:r>
        <w:rPr>
          <w:lang w:val="en-NZ"/>
        </w:rPr>
        <w:t xml:space="preserve"> </w:t>
      </w:r>
      <w:r w:rsidR="00942B16">
        <w:rPr>
          <w:lang w:val="en-NZ"/>
        </w:rPr>
        <w:t>This population commonly have additional renal impairment because of acute renal failure resulting from birth asphyxia.</w:t>
      </w:r>
      <w:r>
        <w:rPr>
          <w:lang w:val="en-NZ"/>
        </w:rPr>
        <w:t xml:space="preserve"> </w:t>
      </w:r>
      <w:r w:rsidR="00942B16">
        <w:rPr>
          <w:lang w:val="en-NZ"/>
        </w:rPr>
        <w:t>In addition, this population may also have disruption of the blood-brain barrier as a consequence of anoxic brain injury.</w:t>
      </w:r>
      <w:r>
        <w:rPr>
          <w:lang w:val="en-NZ"/>
        </w:rPr>
        <w:t xml:space="preserve"> </w:t>
      </w:r>
      <w:r w:rsidR="00942B16">
        <w:rPr>
          <w:lang w:val="en-NZ"/>
        </w:rPr>
        <w:t xml:space="preserve">These two clinical factors would be expected to result in even greater exposure to </w:t>
      </w:r>
      <w:proofErr w:type="spellStart"/>
      <w:r w:rsidR="00942B16">
        <w:rPr>
          <w:lang w:val="en-NZ"/>
        </w:rPr>
        <w:t>gadobutrol</w:t>
      </w:r>
      <w:proofErr w:type="spellEnd"/>
      <w:r w:rsidR="00942B16">
        <w:rPr>
          <w:lang w:val="en-NZ"/>
        </w:rPr>
        <w:t xml:space="preserve"> and greater risk of CNS deposition.</w:t>
      </w:r>
    </w:p>
    <w:p w:rsidR="00942B16" w:rsidRPr="002D73B1" w:rsidRDefault="00942B16" w:rsidP="002D73B1">
      <w:pPr>
        <w:rPr>
          <w:b/>
          <w:i/>
          <w:lang w:val="en-NZ"/>
        </w:rPr>
      </w:pPr>
      <w:r w:rsidRPr="002D73B1">
        <w:rPr>
          <w:b/>
          <w:i/>
          <w:lang w:val="en-NZ"/>
        </w:rPr>
        <w:t xml:space="preserve">Question 2: Does </w:t>
      </w:r>
      <w:r w:rsidR="002D73B1">
        <w:rPr>
          <w:b/>
          <w:i/>
          <w:lang w:val="en-NZ"/>
        </w:rPr>
        <w:t>the sponsor</w:t>
      </w:r>
      <w:r w:rsidRPr="002D73B1">
        <w:rPr>
          <w:b/>
          <w:i/>
          <w:lang w:val="en-NZ"/>
        </w:rPr>
        <w:t xml:space="preserve"> have any additional data with regard to the CNS accumulation of gadolinium?</w:t>
      </w:r>
    </w:p>
    <w:p w:rsidR="00942B16" w:rsidRDefault="00942B16" w:rsidP="002D73B1">
      <w:r w:rsidRPr="00564635">
        <w:rPr>
          <w:i/>
        </w:rPr>
        <w:t>Sponsor’s response</w:t>
      </w:r>
      <w:r>
        <w:t xml:space="preserve">: </w:t>
      </w:r>
      <w:r w:rsidR="002D73B1">
        <w:t>The sponsor</w:t>
      </w:r>
      <w:r>
        <w:t xml:space="preserve"> is aware that CNS accumulation of gadolinium has been reported and is a pharmacovigilance issue.</w:t>
      </w:r>
      <w:r w:rsidR="002D73B1">
        <w:t xml:space="preserve"> The sponsor</w:t>
      </w:r>
      <w:r>
        <w:t xml:space="preserve"> is conducting ongoing studies in animal models and is also reviewing the published literature.</w:t>
      </w:r>
      <w:r w:rsidR="002D73B1">
        <w:t xml:space="preserve"> The sponsor</w:t>
      </w:r>
      <w:r>
        <w:t xml:space="preserve"> has provided a discussion of the reports in the literature that relate specifically to </w:t>
      </w:r>
      <w:proofErr w:type="spellStart"/>
      <w:r>
        <w:t>gadobutrol</w:t>
      </w:r>
      <w:proofErr w:type="spellEnd"/>
      <w:r>
        <w:t>.</w:t>
      </w:r>
      <w:r w:rsidR="002D73B1">
        <w:t xml:space="preserve"> </w:t>
      </w:r>
      <w:r>
        <w:t xml:space="preserve">Although one study indicates some CNS accumulation of gadolinium following </w:t>
      </w:r>
      <w:proofErr w:type="spellStart"/>
      <w:r>
        <w:t>gadobutrol</w:t>
      </w:r>
      <w:proofErr w:type="spellEnd"/>
      <w:r>
        <w:t xml:space="preserve"> (</w:t>
      </w:r>
      <w:proofErr w:type="spellStart"/>
      <w:r>
        <w:t>Stojanov</w:t>
      </w:r>
      <w:proofErr w:type="spellEnd"/>
      <w:r>
        <w:t xml:space="preserve"> et al 2015), others do not (</w:t>
      </w:r>
      <w:proofErr w:type="spellStart"/>
      <w:r>
        <w:t>Radbruch</w:t>
      </w:r>
      <w:proofErr w:type="spellEnd"/>
      <w:r>
        <w:t xml:space="preserve"> et al 2015 and Cao et al 2016).</w:t>
      </w:r>
    </w:p>
    <w:p w:rsidR="00942B16" w:rsidRDefault="00942B16" w:rsidP="002D73B1">
      <w:r w:rsidRPr="00564635">
        <w:rPr>
          <w:i/>
        </w:rPr>
        <w:t>Evaluator’s comment</w:t>
      </w:r>
      <w:r>
        <w:t xml:space="preserve">: The available data do not indicate any particular problems associated with CNS deposition of gadolinium following administration of </w:t>
      </w:r>
      <w:proofErr w:type="spellStart"/>
      <w:r>
        <w:t>gadobutrol</w:t>
      </w:r>
      <w:proofErr w:type="spellEnd"/>
      <w:r>
        <w:t>.</w:t>
      </w:r>
      <w:r w:rsidR="002D73B1">
        <w:t xml:space="preserve"> </w:t>
      </w:r>
      <w:r>
        <w:t xml:space="preserve">However, in the opinion of the </w:t>
      </w:r>
      <w:r w:rsidR="00564635">
        <w:t>clinical e</w:t>
      </w:r>
      <w:r>
        <w:t>valuator this is clearly an emerging pharmacovigilance issue and the Safety Specification in the draft Risk Management should be updated to reflect this important potential risk.</w:t>
      </w:r>
    </w:p>
    <w:p w:rsidR="00942B16" w:rsidRPr="002D73B1" w:rsidRDefault="00942B16" w:rsidP="002D73B1">
      <w:pPr>
        <w:rPr>
          <w:b/>
          <w:i/>
        </w:rPr>
      </w:pPr>
      <w:r w:rsidRPr="002D73B1">
        <w:rPr>
          <w:b/>
          <w:i/>
          <w:lang w:val="en-NZ"/>
        </w:rPr>
        <w:t xml:space="preserve">Question 3: Does </w:t>
      </w:r>
      <w:r w:rsidR="002D73B1">
        <w:rPr>
          <w:b/>
          <w:i/>
          <w:lang w:val="en-NZ"/>
        </w:rPr>
        <w:t>the sponsor</w:t>
      </w:r>
      <w:r w:rsidRPr="002D73B1">
        <w:rPr>
          <w:b/>
          <w:i/>
          <w:lang w:val="en-NZ"/>
        </w:rPr>
        <w:t xml:space="preserve"> have any additional data with regard to whether CNS accumulation of gadolinium may lead to neurotoxicity?</w:t>
      </w:r>
    </w:p>
    <w:p w:rsidR="00942B16" w:rsidRDefault="00942B16" w:rsidP="002D73B1">
      <w:r w:rsidRPr="00564635">
        <w:rPr>
          <w:i/>
        </w:rPr>
        <w:t>Sponsor’s response</w:t>
      </w:r>
      <w:r>
        <w:t xml:space="preserve">: </w:t>
      </w:r>
      <w:r w:rsidR="002D73B1">
        <w:t>The sponsor</w:t>
      </w:r>
      <w:r>
        <w:t xml:space="preserve"> does not have any data indicating that CNS gadolinium deposition leads to neurotoxicity.</w:t>
      </w:r>
      <w:r w:rsidR="002D73B1">
        <w:t xml:space="preserve"> </w:t>
      </w:r>
      <w:r>
        <w:t>There have been no histopathological changes in either rat models or in autopsy studies.</w:t>
      </w:r>
    </w:p>
    <w:p w:rsidR="00F72DA2" w:rsidRDefault="00942B16" w:rsidP="002D73B1">
      <w:r w:rsidRPr="00564635">
        <w:rPr>
          <w:i/>
        </w:rPr>
        <w:t>Evaluator’s comments</w:t>
      </w:r>
      <w:r>
        <w:t>: Of the studies performed in rats only one was performed in neonatal/juvenile rats.</w:t>
      </w:r>
      <w:r w:rsidR="002D73B1">
        <w:t xml:space="preserve"> </w:t>
      </w:r>
      <w:r>
        <w:t>This study examined histopathology and tissue concentrations of gadolinium.</w:t>
      </w:r>
      <w:r w:rsidR="002D73B1">
        <w:t xml:space="preserve"> </w:t>
      </w:r>
      <w:r>
        <w:t>Hence, the data examining the potential effects of gadolinium on the developing brain are limited.</w:t>
      </w:r>
      <w:r w:rsidR="002D73B1">
        <w:t xml:space="preserve"> </w:t>
      </w:r>
      <w:r>
        <w:t>There are no behavioural studies or studies of the effects on learning.</w:t>
      </w:r>
      <w:r w:rsidR="002D73B1">
        <w:t xml:space="preserve"> </w:t>
      </w:r>
      <w:r>
        <w:t>These effects can be subtle, and would not necessarily be reflected in histopathological changes</w:t>
      </w:r>
      <w:r w:rsidR="00F72DA2">
        <w:t>.</w:t>
      </w:r>
    </w:p>
    <w:p w:rsidR="00942B16" w:rsidRDefault="00942B16" w:rsidP="00564635">
      <w:pPr>
        <w:pStyle w:val="Heading3"/>
        <w:rPr>
          <w:lang w:val="en-NZ"/>
        </w:rPr>
      </w:pPr>
      <w:bookmarkStart w:id="284" w:name="_Toc474335043"/>
      <w:r>
        <w:rPr>
          <w:lang w:val="en-NZ"/>
        </w:rPr>
        <w:t xml:space="preserve">Clinical </w:t>
      </w:r>
      <w:r w:rsidR="00F72DA2">
        <w:rPr>
          <w:lang w:val="en-NZ"/>
        </w:rPr>
        <w:t>a</w:t>
      </w:r>
      <w:r>
        <w:rPr>
          <w:lang w:val="en-NZ"/>
        </w:rPr>
        <w:t>spects of the draft PI</w:t>
      </w:r>
      <w:bookmarkEnd w:id="284"/>
    </w:p>
    <w:p w:rsidR="00942B16" w:rsidRPr="002D73B1" w:rsidRDefault="00942B16" w:rsidP="004F326A">
      <w:pPr>
        <w:rPr>
          <w:b/>
          <w:i/>
          <w:lang w:val="en-NZ"/>
        </w:rPr>
      </w:pPr>
      <w:r w:rsidRPr="002D73B1">
        <w:rPr>
          <w:b/>
          <w:i/>
          <w:lang w:val="en-NZ"/>
        </w:rPr>
        <w:t>Question 1</w:t>
      </w:r>
      <w:r w:rsidR="002D73B1" w:rsidRPr="002D73B1">
        <w:rPr>
          <w:b/>
          <w:i/>
          <w:lang w:val="en-NZ"/>
        </w:rPr>
        <w:t xml:space="preserve">: </w:t>
      </w:r>
      <w:r w:rsidRPr="002D73B1">
        <w:rPr>
          <w:b/>
          <w:i/>
          <w:lang w:val="en-NZ"/>
        </w:rPr>
        <w:t>The application for the proposed new indication should be rejected. The following alternative new indication could be considered for approval:</w:t>
      </w:r>
    </w:p>
    <w:p w:rsidR="00942B16" w:rsidRPr="002D73B1" w:rsidRDefault="002D73B1" w:rsidP="002D73B1">
      <w:pPr>
        <w:ind w:left="720"/>
        <w:rPr>
          <w:b/>
          <w:i/>
          <w:iCs/>
          <w:lang w:val="en-NZ"/>
        </w:rPr>
      </w:pPr>
      <w:proofErr w:type="spellStart"/>
      <w:r w:rsidRPr="002D73B1">
        <w:rPr>
          <w:b/>
          <w:i/>
          <w:iCs/>
          <w:lang w:val="en-NZ"/>
        </w:rPr>
        <w:t>Gadovist</w:t>
      </w:r>
      <w:proofErr w:type="spellEnd"/>
      <w:r w:rsidRPr="002D73B1">
        <w:rPr>
          <w:b/>
          <w:i/>
          <w:iCs/>
          <w:lang w:val="en-NZ"/>
        </w:rPr>
        <w:t xml:space="preserve"> </w:t>
      </w:r>
      <w:r w:rsidR="00942B16" w:rsidRPr="002D73B1">
        <w:rPr>
          <w:b/>
          <w:i/>
          <w:iCs/>
          <w:lang w:val="en-NZ"/>
        </w:rPr>
        <w:t>1.0 is indicated in adults and children aged 2 months and older for:</w:t>
      </w:r>
    </w:p>
    <w:p w:rsidR="00942B16" w:rsidRPr="002D73B1" w:rsidRDefault="00942B16" w:rsidP="002D73B1">
      <w:pPr>
        <w:pStyle w:val="ListBullet2"/>
        <w:rPr>
          <w:b/>
          <w:i/>
          <w:lang w:val="en-NZ"/>
        </w:rPr>
      </w:pPr>
      <w:r w:rsidRPr="002D73B1">
        <w:rPr>
          <w:b/>
          <w:i/>
          <w:lang w:val="en-NZ"/>
        </w:rPr>
        <w:t>Contrast enhancement in cranial and spinal magnetic resonance imaging (MRI)</w:t>
      </w:r>
    </w:p>
    <w:p w:rsidR="00942B16" w:rsidRPr="002D73B1" w:rsidRDefault="00942B16" w:rsidP="002D73B1">
      <w:pPr>
        <w:pStyle w:val="ListBullet2"/>
        <w:rPr>
          <w:b/>
          <w:i/>
          <w:lang w:val="en-NZ"/>
        </w:rPr>
      </w:pPr>
      <w:r w:rsidRPr="002D73B1">
        <w:rPr>
          <w:b/>
          <w:i/>
          <w:lang w:val="en-NZ"/>
        </w:rPr>
        <w:t>Contrast enhancement in whole body MRI including head and neck region, thoracic space, breast, abdomen (pancreas, liver and spleen), pelvis (prostate, bladder and uterus), retroperitoneal space (kidney), extremities and musculoskeletal system</w:t>
      </w:r>
    </w:p>
    <w:p w:rsidR="00942B16" w:rsidRPr="002D73B1" w:rsidRDefault="00942B16" w:rsidP="002D73B1">
      <w:pPr>
        <w:pStyle w:val="ListBullet2"/>
        <w:rPr>
          <w:b/>
          <w:i/>
          <w:lang w:val="en-NZ"/>
        </w:rPr>
      </w:pPr>
      <w:r w:rsidRPr="002D73B1">
        <w:rPr>
          <w:b/>
          <w:i/>
          <w:lang w:val="en-NZ"/>
        </w:rPr>
        <w:t>Use in first–pass MRI studies of cerebral perfusion</w:t>
      </w:r>
    </w:p>
    <w:p w:rsidR="00942B16" w:rsidRPr="002D73B1" w:rsidRDefault="00942B16" w:rsidP="002D73B1">
      <w:pPr>
        <w:pStyle w:val="ListBullet2"/>
        <w:rPr>
          <w:b/>
          <w:i/>
          <w:lang w:val="en-NZ"/>
        </w:rPr>
      </w:pPr>
      <w:r w:rsidRPr="002D73B1">
        <w:rPr>
          <w:b/>
          <w:i/>
          <w:lang w:val="en-NZ"/>
        </w:rPr>
        <w:t>Contrast enhancement in magnetic resonance angiography (CE MRA)</w:t>
      </w:r>
    </w:p>
    <w:p w:rsidR="00942B16" w:rsidRPr="002D73B1" w:rsidRDefault="00942B16" w:rsidP="002D73B1">
      <w:pPr>
        <w:pStyle w:val="ListBullet2"/>
        <w:rPr>
          <w:b/>
          <w:i/>
          <w:kern w:val="16"/>
        </w:rPr>
      </w:pPr>
      <w:r w:rsidRPr="002D73B1">
        <w:rPr>
          <w:b/>
          <w:i/>
          <w:lang w:val="en-NZ"/>
        </w:rPr>
        <w:t>Contrast enhancement in cardiac MRI including assessment of rest and pharmacological stress perfusion and delayed enhancement.</w:t>
      </w:r>
    </w:p>
    <w:p w:rsidR="00942B16" w:rsidRDefault="00942B16" w:rsidP="002D73B1">
      <w:r w:rsidRPr="00564635">
        <w:rPr>
          <w:i/>
        </w:rPr>
        <w:t>Sponsor’s response</w:t>
      </w:r>
      <w:r>
        <w:t xml:space="preserve">: </w:t>
      </w:r>
      <w:r w:rsidR="002D73B1">
        <w:t>The sponsor</w:t>
      </w:r>
      <w:r>
        <w:t xml:space="preserve"> does not agree to the proposed alternative indication.</w:t>
      </w:r>
      <w:r w:rsidR="002D73B1">
        <w:t xml:space="preserve"> </w:t>
      </w:r>
      <w:r>
        <w:t xml:space="preserve">The view of </w:t>
      </w:r>
      <w:r w:rsidR="002D73B1">
        <w:t>the sponsor</w:t>
      </w:r>
      <w:r>
        <w:t xml:space="preserve"> is that the submitted data support the original indication that was applied for.</w:t>
      </w:r>
    </w:p>
    <w:p w:rsidR="00942B16" w:rsidRDefault="002D73B1" w:rsidP="002D73B1">
      <w:r>
        <w:t>The sponsor</w:t>
      </w:r>
      <w:r w:rsidR="00942B16">
        <w:t xml:space="preserve"> has not provided any new data to support this view but does provide the following arguments:</w:t>
      </w:r>
    </w:p>
    <w:p w:rsidR="00942B16" w:rsidRDefault="00942B16" w:rsidP="002D73B1">
      <w:r>
        <w:rPr>
          <w:lang w:val="en-NZ"/>
        </w:rPr>
        <w:t xml:space="preserve">Healthy term </w:t>
      </w:r>
      <w:proofErr w:type="spellStart"/>
      <w:r>
        <w:rPr>
          <w:lang w:val="en-NZ"/>
        </w:rPr>
        <w:t>newborn</w:t>
      </w:r>
      <w:proofErr w:type="spellEnd"/>
      <w:r>
        <w:rPr>
          <w:lang w:val="en-NZ"/>
        </w:rPr>
        <w:t xml:space="preserve"> infants have an adequately functional blood brain barrier (BBB) at birth and passive </w:t>
      </w:r>
      <w:proofErr w:type="spellStart"/>
      <w:r>
        <w:rPr>
          <w:lang w:val="en-NZ"/>
        </w:rPr>
        <w:t>impermeability</w:t>
      </w:r>
      <w:proofErr w:type="spellEnd"/>
      <w:r>
        <w:rPr>
          <w:lang w:val="en-NZ"/>
        </w:rPr>
        <w:t xml:space="preserve"> for small hydrophilic molecules is complete at this stage.</w:t>
      </w:r>
      <w:r w:rsidR="002D73B1">
        <w:rPr>
          <w:lang w:val="en-NZ"/>
        </w:rPr>
        <w:t xml:space="preserve"> </w:t>
      </w:r>
      <w:r>
        <w:rPr>
          <w:lang w:val="en-NZ"/>
        </w:rPr>
        <w:t xml:space="preserve">Safety reports of </w:t>
      </w:r>
      <w:proofErr w:type="spellStart"/>
      <w:r>
        <w:rPr>
          <w:lang w:val="en-NZ"/>
        </w:rPr>
        <w:t>Gadovist</w:t>
      </w:r>
      <w:proofErr w:type="spellEnd"/>
      <w:r>
        <w:rPr>
          <w:lang w:val="en-NZ"/>
        </w:rPr>
        <w:t xml:space="preserve"> 1.0 and other GBCAs are similar in young paediatric subjects and adults.</w:t>
      </w:r>
      <w:r w:rsidR="002D73B1">
        <w:rPr>
          <w:lang w:val="en-NZ"/>
        </w:rPr>
        <w:t xml:space="preserve"> </w:t>
      </w:r>
      <w:r>
        <w:rPr>
          <w:lang w:val="en-NZ"/>
        </w:rPr>
        <w:t xml:space="preserve">Based on this, the benefit-risk balance of </w:t>
      </w:r>
      <w:proofErr w:type="spellStart"/>
      <w:r>
        <w:rPr>
          <w:lang w:val="en-NZ"/>
        </w:rPr>
        <w:t>gadobutrol</w:t>
      </w:r>
      <w:proofErr w:type="spellEnd"/>
      <w:r>
        <w:rPr>
          <w:lang w:val="en-NZ"/>
        </w:rPr>
        <w:t xml:space="preserve"> in neonates under 2 months is favourable and supports the use of macrocyclic </w:t>
      </w:r>
      <w:proofErr w:type="spellStart"/>
      <w:r>
        <w:rPr>
          <w:lang w:val="en-NZ"/>
        </w:rPr>
        <w:t>Gadovist</w:t>
      </w:r>
      <w:proofErr w:type="spellEnd"/>
      <w:r>
        <w:rPr>
          <w:lang w:val="en-NZ"/>
        </w:rPr>
        <w:t xml:space="preserve"> 1.0 in this patient group for the approved indications.</w:t>
      </w:r>
    </w:p>
    <w:p w:rsidR="00942B16" w:rsidRDefault="00942B16" w:rsidP="002D73B1">
      <w:r>
        <w:rPr>
          <w:lang w:val="en-NZ"/>
        </w:rPr>
        <w:t>The nine evaluated subjects &lt; 2 months of age are representative of the population evaluated in clinical practice and have been agreed in the PIP to sufficiently provide PK and safety data for this population.</w:t>
      </w:r>
      <w:r w:rsidR="002D73B1">
        <w:rPr>
          <w:lang w:val="en-NZ"/>
        </w:rPr>
        <w:t xml:space="preserve"> </w:t>
      </w:r>
      <w:r>
        <w:rPr>
          <w:lang w:val="en-NZ"/>
        </w:rPr>
        <w:t>The robustness of the data provided in ages &lt; 2 months has been confirmed by the PK evaluation and bioequivalence to adults and older paediatric subjects was demonstrated.</w:t>
      </w:r>
      <w:r w:rsidR="002D73B1">
        <w:rPr>
          <w:lang w:val="en-NZ"/>
        </w:rPr>
        <w:t xml:space="preserve"> </w:t>
      </w:r>
      <w:r>
        <w:rPr>
          <w:lang w:val="en-NZ"/>
        </w:rPr>
        <w:t xml:space="preserve">The comparison of available PK data within all age groups provides data driven evidence supporting that the benefit-risk profile of </w:t>
      </w:r>
      <w:proofErr w:type="spellStart"/>
      <w:r>
        <w:rPr>
          <w:lang w:val="en-NZ"/>
        </w:rPr>
        <w:t>gadobutrol</w:t>
      </w:r>
      <w:proofErr w:type="spellEnd"/>
      <w:r>
        <w:rPr>
          <w:lang w:val="en-NZ"/>
        </w:rPr>
        <w:t xml:space="preserve"> at a dose of 0.1 </w:t>
      </w:r>
      <w:proofErr w:type="spellStart"/>
      <w:r>
        <w:rPr>
          <w:lang w:val="en-NZ"/>
        </w:rPr>
        <w:t>mmol</w:t>
      </w:r>
      <w:proofErr w:type="spellEnd"/>
      <w:r>
        <w:rPr>
          <w:lang w:val="en-NZ"/>
        </w:rPr>
        <w:t>/kg body weight (BW) in a paediatric population 0 to &lt; 2 months of age (including term neonates), is similar to that of the older paediatric population and adults.</w:t>
      </w:r>
      <w:r w:rsidR="002D73B1">
        <w:rPr>
          <w:lang w:val="en-NZ"/>
        </w:rPr>
        <w:t xml:space="preserve"> </w:t>
      </w:r>
      <w:r>
        <w:rPr>
          <w:lang w:val="en-NZ"/>
        </w:rPr>
        <w:t>The data does not provide any evidence or signal for any particular safety concern and supports the inclusion of children 0 – &lt; 2 months of age in the indication.</w:t>
      </w:r>
    </w:p>
    <w:p w:rsidR="00942B16" w:rsidRDefault="00942B16" w:rsidP="00564635">
      <w:r w:rsidRPr="00564635">
        <w:rPr>
          <w:i/>
        </w:rPr>
        <w:t>Evaluator’s comments</w:t>
      </w:r>
      <w:r>
        <w:t xml:space="preserve">: </w:t>
      </w:r>
      <w:r w:rsidR="002D73B1">
        <w:t>The sponsor</w:t>
      </w:r>
      <w:r>
        <w:t>’s response is not satisfactory.</w:t>
      </w:r>
      <w:r w:rsidR="002D73B1">
        <w:t xml:space="preserve"> </w:t>
      </w:r>
      <w:r>
        <w:t xml:space="preserve">The population of healthy term newborn infants is not representative of the population likely to be administered </w:t>
      </w:r>
      <w:proofErr w:type="spellStart"/>
      <w:r>
        <w:t>gadubutrol</w:t>
      </w:r>
      <w:proofErr w:type="spellEnd"/>
      <w:r>
        <w:t>.</w:t>
      </w:r>
      <w:r w:rsidR="002D73B1">
        <w:t xml:space="preserve"> </w:t>
      </w:r>
      <w:r>
        <w:t xml:space="preserve">Neonates and infants &lt;2 months old would only be having </w:t>
      </w:r>
      <w:proofErr w:type="spellStart"/>
      <w:r>
        <w:t>gadobutrol</w:t>
      </w:r>
      <w:proofErr w:type="spellEnd"/>
      <w:r>
        <w:t xml:space="preserve"> if they had a medical condition.</w:t>
      </w:r>
      <w:r w:rsidR="002D73B1">
        <w:t xml:space="preserve"> </w:t>
      </w:r>
      <w:r>
        <w:t>There are a number of medical conditions in this age group that impair the function of the blood brain barrier.</w:t>
      </w:r>
      <w:r w:rsidR="002D73B1">
        <w:t xml:space="preserve"> </w:t>
      </w:r>
      <w:r>
        <w:t xml:space="preserve">These include haemolysis, </w:t>
      </w:r>
      <w:proofErr w:type="spellStart"/>
      <w:r>
        <w:t>hyperbilirubinaemia</w:t>
      </w:r>
      <w:proofErr w:type="spellEnd"/>
      <w:r>
        <w:t xml:space="preserve">, meningitis, </w:t>
      </w:r>
      <w:proofErr w:type="gramStart"/>
      <w:r>
        <w:t>encephalitis</w:t>
      </w:r>
      <w:proofErr w:type="gramEnd"/>
      <w:r>
        <w:t xml:space="preserve"> and birth asphyxia.</w:t>
      </w:r>
    </w:p>
    <w:p w:rsidR="00942B16" w:rsidRPr="00564635" w:rsidRDefault="00942B16" w:rsidP="00564635">
      <w:r w:rsidRPr="00564635">
        <w:t xml:space="preserve">With regard the blood brain </w:t>
      </w:r>
      <w:proofErr w:type="gramStart"/>
      <w:r w:rsidRPr="00564635">
        <w:t>barrier,</w:t>
      </w:r>
      <w:proofErr w:type="gramEnd"/>
      <w:r w:rsidRPr="00564635">
        <w:t xml:space="preserve"> although the tight junctions are formed at an early stage, more recent evidence indicates that, in the brain, the movement of small hydrophilic molecules is </w:t>
      </w:r>
      <w:proofErr w:type="spellStart"/>
      <w:r w:rsidRPr="00564635">
        <w:t>transcellular</w:t>
      </w:r>
      <w:proofErr w:type="spellEnd"/>
      <w:r w:rsidRPr="00564635">
        <w:t xml:space="preserve"> (</w:t>
      </w:r>
      <w:proofErr w:type="spellStart"/>
      <w:r w:rsidR="00F72DA2">
        <w:fldChar w:fldCharType="begin"/>
      </w:r>
      <w:r w:rsidR="00F72DA2">
        <w:instrText xml:space="preserve"> HYPERLINK "file:///I:\\apps\\OMA\\AusPARs\\Working%20documents\\PM-2015-01572-1-2\\Word%20documents\\M5%20Clinical%20evaluation%20report%20-%20round%202.DOCX" \l "Liddelow" </w:instrText>
      </w:r>
      <w:r w:rsidR="00F72DA2">
        <w:fldChar w:fldCharType="separate"/>
      </w:r>
      <w:r w:rsidRPr="00564635">
        <w:rPr>
          <w:rStyle w:val="Hyperlink"/>
          <w:color w:val="auto"/>
          <w:u w:val="none"/>
        </w:rPr>
        <w:t>Liddelow</w:t>
      </w:r>
      <w:proofErr w:type="spellEnd"/>
      <w:r w:rsidRPr="00564635">
        <w:rPr>
          <w:rStyle w:val="Hyperlink"/>
          <w:color w:val="auto"/>
          <w:u w:val="none"/>
        </w:rPr>
        <w:t xml:space="preserve"> et al 2013</w:t>
      </w:r>
      <w:r w:rsidR="00F72DA2">
        <w:rPr>
          <w:rStyle w:val="Hyperlink"/>
          <w:color w:val="auto"/>
          <w:u w:val="none"/>
        </w:rPr>
        <w:fldChar w:fldCharType="end"/>
      </w:r>
      <w:r w:rsidRPr="00564635">
        <w:t>).</w:t>
      </w:r>
      <w:r w:rsidR="002D73B1" w:rsidRPr="00564635">
        <w:t xml:space="preserve"> </w:t>
      </w:r>
      <w:r w:rsidRPr="00564635">
        <w:t>Transport mechanisms are also involved in the two way transport of compounds across the BBB, and these transport mechanisms may be immature.</w:t>
      </w:r>
      <w:r w:rsidR="002D73B1" w:rsidRPr="00564635">
        <w:t xml:space="preserve"> </w:t>
      </w:r>
      <w:r w:rsidRPr="00564635">
        <w:t>Limited understanding of these mechanisms limits the predictability in neonates of the transfer for any individual molecule (</w:t>
      </w:r>
      <w:hyperlink r:id="rId33" w:anchor="Saunders_1999" w:history="1">
        <w:r w:rsidRPr="00564635">
          <w:rPr>
            <w:rStyle w:val="Hyperlink"/>
            <w:color w:val="auto"/>
            <w:u w:val="none"/>
          </w:rPr>
          <w:t>Saunders et al 1999</w:t>
        </w:r>
      </w:hyperlink>
      <w:r w:rsidRPr="00564635">
        <w:t>).</w:t>
      </w:r>
      <w:r w:rsidR="002D73B1" w:rsidRPr="00564635">
        <w:t xml:space="preserve"> </w:t>
      </w:r>
      <w:r w:rsidRPr="00564635">
        <w:t xml:space="preserve">The BBB is also disrupted by comorbidities that commonly occur in sick neonates: birth asphyxia, meningitis, encephalitis, haemolysis and </w:t>
      </w:r>
      <w:proofErr w:type="spellStart"/>
      <w:r w:rsidRPr="00564635">
        <w:t>hyperbilirubinaemia</w:t>
      </w:r>
      <w:proofErr w:type="spellEnd"/>
      <w:r w:rsidRPr="00564635">
        <w:t>.</w:t>
      </w:r>
    </w:p>
    <w:p w:rsidR="00942B16" w:rsidRPr="00564635" w:rsidRDefault="00942B16" w:rsidP="00564635">
      <w:r w:rsidRPr="00564635">
        <w:t>The PK data in the &lt;</w:t>
      </w:r>
      <w:r w:rsidR="00564635">
        <w:t xml:space="preserve"> </w:t>
      </w:r>
      <w:r w:rsidRPr="00564635">
        <w:t>2 months age group is based on 9 subjects, none of whom were &lt;</w:t>
      </w:r>
      <w:r w:rsidR="00564635">
        <w:t xml:space="preserve"> </w:t>
      </w:r>
      <w:r w:rsidRPr="00564635">
        <w:t>6 days of age.</w:t>
      </w:r>
      <w:r w:rsidR="002D73B1" w:rsidRPr="00564635">
        <w:t xml:space="preserve"> </w:t>
      </w:r>
      <w:r w:rsidRPr="00564635">
        <w:t>As discussed above, there are significant differences in renal function between neonates ≤</w:t>
      </w:r>
      <w:r w:rsidR="00564635">
        <w:t xml:space="preserve"> </w:t>
      </w:r>
      <w:r w:rsidRPr="00564635">
        <w:t>3 days age and those &gt;</w:t>
      </w:r>
      <w:r w:rsidR="00564635">
        <w:t xml:space="preserve"> </w:t>
      </w:r>
      <w:r w:rsidRPr="00564635">
        <w:t xml:space="preserve">3 days age, which can be expected to impair </w:t>
      </w:r>
      <w:proofErr w:type="spellStart"/>
      <w:r w:rsidRPr="00564635">
        <w:t>gadobutrol</w:t>
      </w:r>
      <w:proofErr w:type="spellEnd"/>
      <w:r w:rsidRPr="00564635">
        <w:t xml:space="preserve"> clearance.</w:t>
      </w:r>
      <w:r w:rsidR="002D73B1" w:rsidRPr="00564635">
        <w:t xml:space="preserve"> </w:t>
      </w:r>
      <w:r w:rsidRPr="00564635">
        <w:t xml:space="preserve">As discussed above, patients in this age group who might benefit from MRI can be expected to have significant comorbidities, which may also affect distribution and clearance of </w:t>
      </w:r>
      <w:proofErr w:type="spellStart"/>
      <w:r w:rsidRPr="00564635">
        <w:t>gadobutrol</w:t>
      </w:r>
      <w:proofErr w:type="spellEnd"/>
      <w:r w:rsidRPr="00564635">
        <w:t>.</w:t>
      </w:r>
    </w:p>
    <w:p w:rsidR="00942B16" w:rsidRPr="00564635" w:rsidRDefault="00942B16" w:rsidP="00564635">
      <w:r w:rsidRPr="00564635">
        <w:t>There are emerging safety concerns with regard to CNS deposition of gadolinium.</w:t>
      </w:r>
      <w:r w:rsidR="002D73B1" w:rsidRPr="00564635">
        <w:t xml:space="preserve"> </w:t>
      </w:r>
      <w:r w:rsidRPr="00564635">
        <w:t xml:space="preserve">In the opinion of the </w:t>
      </w:r>
      <w:r w:rsidR="00564635">
        <w:t>clinical e</w:t>
      </w:r>
      <w:r w:rsidRPr="00564635">
        <w:t>valuator, there are insufficient data, particularly with regard to neurological development, to provide evidence of safety.</w:t>
      </w:r>
    </w:p>
    <w:p w:rsidR="00942B16" w:rsidRPr="00564635" w:rsidRDefault="00942B16" w:rsidP="00564635">
      <w:r w:rsidRPr="00564635">
        <w:t xml:space="preserve">As discussed in </w:t>
      </w:r>
      <w:r w:rsidR="004F7B3F">
        <w:t>above</w:t>
      </w:r>
      <w:r w:rsidRPr="00564635">
        <w:t>, in the &lt;</w:t>
      </w:r>
      <w:r w:rsidR="004F7B3F">
        <w:t xml:space="preserve"> </w:t>
      </w:r>
      <w:r w:rsidRPr="00564635">
        <w:t xml:space="preserve">2 years age group, use of </w:t>
      </w:r>
      <w:proofErr w:type="spellStart"/>
      <w:r w:rsidRPr="00564635">
        <w:t>gadobutrol</w:t>
      </w:r>
      <w:proofErr w:type="spellEnd"/>
      <w:r w:rsidRPr="00564635">
        <w:t xml:space="preserve"> improves the technical adequacy of the MRI study in approximately 2.3% of patients, and results in a new diagnosis approximately 2.3% patients.</w:t>
      </w:r>
      <w:r w:rsidR="002D73B1" w:rsidRPr="00564635">
        <w:t xml:space="preserve"> </w:t>
      </w:r>
      <w:r w:rsidRPr="00564635">
        <w:t>Hence only a small minority of patients will benefit.</w:t>
      </w:r>
    </w:p>
    <w:p w:rsidR="00942B16" w:rsidRPr="002D73B1" w:rsidRDefault="00942B16" w:rsidP="002D73B1">
      <w:pPr>
        <w:rPr>
          <w:b/>
          <w:i/>
          <w:lang w:val="en-NZ"/>
        </w:rPr>
      </w:pPr>
      <w:r w:rsidRPr="002D73B1">
        <w:rPr>
          <w:b/>
          <w:i/>
          <w:lang w:val="en-NZ"/>
        </w:rPr>
        <w:t>Question 2</w:t>
      </w:r>
      <w:r w:rsidR="002D73B1" w:rsidRPr="002D73B1">
        <w:rPr>
          <w:b/>
          <w:i/>
          <w:lang w:val="en-NZ"/>
        </w:rPr>
        <w:t xml:space="preserve">: </w:t>
      </w:r>
      <w:r w:rsidRPr="002D73B1">
        <w:rPr>
          <w:b/>
          <w:i/>
          <w:lang w:val="en-NZ"/>
        </w:rPr>
        <w:t>The clinical aspects of the draft Product Information are not entirely satisfactory and should be revised, having regard to the comments below:</w:t>
      </w:r>
    </w:p>
    <w:p w:rsidR="00942B16" w:rsidRPr="002D73B1" w:rsidRDefault="00942B16" w:rsidP="002D73B1">
      <w:pPr>
        <w:rPr>
          <w:b/>
          <w:i/>
          <w:lang w:val="en-NZ"/>
        </w:rPr>
      </w:pPr>
      <w:r w:rsidRPr="002D73B1">
        <w:rPr>
          <w:b/>
          <w:i/>
          <w:lang w:val="en-NZ"/>
        </w:rPr>
        <w:t xml:space="preserve">The draft Product Information states: </w:t>
      </w:r>
      <w:r w:rsidR="002D73B1">
        <w:rPr>
          <w:b/>
          <w:i/>
          <w:lang w:val="en-NZ"/>
        </w:rPr>
        <w:t>‘</w:t>
      </w:r>
      <w:r w:rsidRPr="002D73B1">
        <w:rPr>
          <w:b/>
          <w:i/>
          <w:lang w:val="en-NZ"/>
        </w:rPr>
        <w:t xml:space="preserve">The PK profile of </w:t>
      </w:r>
      <w:proofErr w:type="spellStart"/>
      <w:r w:rsidRPr="002D73B1">
        <w:rPr>
          <w:b/>
          <w:i/>
          <w:lang w:val="en-NZ"/>
        </w:rPr>
        <w:t>gadobutrol</w:t>
      </w:r>
      <w:proofErr w:type="spellEnd"/>
      <w:r w:rsidRPr="002D73B1">
        <w:rPr>
          <w:b/>
          <w:i/>
          <w:lang w:val="en-NZ"/>
        </w:rPr>
        <w:t xml:space="preserve"> in children of all ages is similar to that in adults, resulting in similar values for area under the curve (AUC), body weight normalised plasma clearance (CL) and volume of distribution (V), as well as elimination half-life and excretion rate.</w:t>
      </w:r>
      <w:r w:rsidR="002D73B1">
        <w:rPr>
          <w:b/>
          <w:i/>
          <w:lang w:val="en-NZ"/>
        </w:rPr>
        <w:t>’</w:t>
      </w:r>
    </w:p>
    <w:p w:rsidR="00942B16" w:rsidRPr="002D73B1" w:rsidRDefault="00942B16" w:rsidP="002D73B1">
      <w:pPr>
        <w:rPr>
          <w:b/>
          <w:i/>
          <w:kern w:val="16"/>
        </w:rPr>
      </w:pPr>
      <w:r w:rsidRPr="002D73B1">
        <w:rPr>
          <w:b/>
          <w:i/>
          <w:lang w:val="en-NZ"/>
        </w:rPr>
        <w:t xml:space="preserve">This was </w:t>
      </w:r>
      <w:r w:rsidRPr="002D73B1">
        <w:rPr>
          <w:rFonts w:eastAsia="Arial-BoldMT"/>
          <w:b/>
          <w:i/>
          <w:lang w:val="en-NZ"/>
        </w:rPr>
        <w:t>not the case for neonates aged ≤</w:t>
      </w:r>
      <w:r w:rsidR="00AB4D1C">
        <w:rPr>
          <w:rFonts w:eastAsia="Arial-BoldMT"/>
          <w:b/>
          <w:i/>
          <w:lang w:val="en-NZ"/>
        </w:rPr>
        <w:t xml:space="preserve"> </w:t>
      </w:r>
      <w:r w:rsidRPr="002D73B1">
        <w:rPr>
          <w:rFonts w:eastAsia="Arial-BoldMT"/>
          <w:b/>
          <w:i/>
          <w:lang w:val="en-NZ"/>
        </w:rPr>
        <w:t xml:space="preserve">3 days where AUC was approximately </w:t>
      </w:r>
      <w:r w:rsidRPr="002D73B1">
        <w:rPr>
          <w:b/>
          <w:i/>
          <w:lang w:val="en-NZ"/>
        </w:rPr>
        <w:t>double that for the adult age group. The Product Information should be amended to include this information.</w:t>
      </w:r>
    </w:p>
    <w:p w:rsidR="00942B16" w:rsidRDefault="00942B16" w:rsidP="002D73B1">
      <w:r w:rsidRPr="00363A39">
        <w:rPr>
          <w:i/>
        </w:rPr>
        <w:t>Sponsor’s response</w:t>
      </w:r>
      <w:r>
        <w:t xml:space="preserve">: </w:t>
      </w:r>
      <w:r w:rsidR="002D73B1">
        <w:t>The sponsor</w:t>
      </w:r>
      <w:r>
        <w:t xml:space="preserve"> does not agree to recommended changes to the product information document.</w:t>
      </w:r>
      <w:r w:rsidR="002D73B1">
        <w:t xml:space="preserve"> The sponsor</w:t>
      </w:r>
      <w:r>
        <w:t xml:space="preserve"> states </w:t>
      </w:r>
      <w:r w:rsidR="002D73B1">
        <w:t>‘</w:t>
      </w:r>
      <w:r w:rsidRPr="00363A39">
        <w:rPr>
          <w:i/>
          <w:lang w:val="en-NZ"/>
        </w:rPr>
        <w:t>Bayer maintains the position to include study data (based on population PK analysis) in the Product Information and not predictions from the physiologically based PK model (PBP</w:t>
      </w:r>
      <w:r>
        <w:rPr>
          <w:lang w:val="en-NZ"/>
        </w:rPr>
        <w:t>K).</w:t>
      </w:r>
      <w:r w:rsidR="002D73B1">
        <w:t>’ The sponsor</w:t>
      </w:r>
      <w:r>
        <w:t xml:space="preserve"> refers to the population pharmacokinetic models to support the pharmacokinetic sections of the Product Information document.</w:t>
      </w:r>
    </w:p>
    <w:p w:rsidR="00942B16" w:rsidRDefault="00942B16" w:rsidP="002D73B1">
      <w:r w:rsidRPr="00363A39">
        <w:rPr>
          <w:i/>
        </w:rPr>
        <w:t>Evaluator’s response:</w:t>
      </w:r>
      <w:r>
        <w:t xml:space="preserve"> </w:t>
      </w:r>
      <w:r w:rsidR="002D73B1">
        <w:t>The sponsor</w:t>
      </w:r>
      <w:r>
        <w:t>’s response is not satisfactory.</w:t>
      </w:r>
      <w:r w:rsidR="002D73B1">
        <w:t xml:space="preserve"> </w:t>
      </w:r>
      <w:r>
        <w:t xml:space="preserve">The Oxford English Dictionary defines data as </w:t>
      </w:r>
      <w:r w:rsidR="002D73B1">
        <w:t>‘</w:t>
      </w:r>
      <w:r w:rsidRPr="00DC3496">
        <w:rPr>
          <w:i/>
        </w:rPr>
        <w:t xml:space="preserve">facts and statistics used for reference and </w:t>
      </w:r>
      <w:proofErr w:type="gramStart"/>
      <w:r w:rsidRPr="00DC3496">
        <w:rPr>
          <w:i/>
        </w:rPr>
        <w:t>analysis</w:t>
      </w:r>
      <w:r w:rsidR="002D73B1" w:rsidRPr="00DC3496">
        <w:rPr>
          <w:i/>
        </w:rPr>
        <w:t>’</w:t>
      </w:r>
      <w:proofErr w:type="gramEnd"/>
      <w:r>
        <w:t>.</w:t>
      </w:r>
      <w:r w:rsidR="002D73B1">
        <w:t xml:space="preserve"> </w:t>
      </w:r>
      <w:r>
        <w:t xml:space="preserve">Hence, the physiologically based model cannot be dismissed merely because it did not include </w:t>
      </w:r>
      <w:r w:rsidR="002D73B1">
        <w:t>‘</w:t>
      </w:r>
      <w:r>
        <w:t>study data</w:t>
      </w:r>
      <w:r w:rsidR="002D73B1">
        <w:t>’</w:t>
      </w:r>
      <w:r>
        <w:t>.</w:t>
      </w:r>
      <w:r w:rsidR="002D73B1">
        <w:t xml:space="preserve"> </w:t>
      </w:r>
      <w:r>
        <w:t xml:space="preserve">In the opinion of the </w:t>
      </w:r>
      <w:r w:rsidR="00363A39">
        <w:t>clinical e</w:t>
      </w:r>
      <w:r>
        <w:t>valuator, the physiologically based model predicted increased AUC in the ≤</w:t>
      </w:r>
      <w:r w:rsidR="00363A39">
        <w:t xml:space="preserve"> </w:t>
      </w:r>
      <w:r>
        <w:t>3 days age group because it used appropriate data for renal function in that age group (</w:t>
      </w:r>
      <w:r w:rsidR="00BE4592">
        <w:t>that is,</w:t>
      </w:r>
      <w:r>
        <w:t xml:space="preserve"> the facts used in the analysis were the measured renal function in different age groups, including neonates ≤</w:t>
      </w:r>
      <w:r w:rsidR="00363A39">
        <w:t xml:space="preserve"> </w:t>
      </w:r>
      <w:r>
        <w:t>3 days age).</w:t>
      </w:r>
      <w:r w:rsidR="002D73B1">
        <w:t xml:space="preserve"> </w:t>
      </w:r>
      <w:r>
        <w:t>The population pharmacokinetic study cannot be extrapolated to that age group because there were no study subjects aged ≤</w:t>
      </w:r>
      <w:r w:rsidR="00363A39">
        <w:t xml:space="preserve"> </w:t>
      </w:r>
      <w:r>
        <w:t>3 days, and therefore no data relating to neonates ≤</w:t>
      </w:r>
      <w:r w:rsidR="00363A39">
        <w:t xml:space="preserve"> </w:t>
      </w:r>
      <w:r>
        <w:t>3 days age (</w:t>
      </w:r>
      <w:r w:rsidR="00BE4592">
        <w:t>that is,</w:t>
      </w:r>
      <w:r>
        <w:t xml:space="preserve"> there were no facts used in the analysis relating to neonates ≤</w:t>
      </w:r>
      <w:r w:rsidR="00363A39">
        <w:t xml:space="preserve"> </w:t>
      </w:r>
      <w:r>
        <w:t>3 days age).</w:t>
      </w:r>
      <w:r w:rsidR="002D73B1">
        <w:t xml:space="preserve"> </w:t>
      </w:r>
      <w:r>
        <w:t>The pharmacokinetic parameters derived from population pharmacokinetic models are actually post</w:t>
      </w:r>
      <w:r w:rsidR="00DC3496">
        <w:t xml:space="preserve"> </w:t>
      </w:r>
      <w:r>
        <w:t>hoc estimates rather than observations (</w:t>
      </w:r>
      <w:r w:rsidR="00BE4592">
        <w:t>that is,</w:t>
      </w:r>
      <w:r>
        <w:t xml:space="preserve"> they are model derived) just as the pharmacokinetic parameters from physiologically based models are also model derived.</w:t>
      </w:r>
      <w:r w:rsidR="002D73B1">
        <w:t xml:space="preserve"> </w:t>
      </w:r>
      <w:r>
        <w:t xml:space="preserve">The differences in renal function between the age groups are well described in the published literature, and are </w:t>
      </w:r>
      <w:r w:rsidRPr="002D73B1">
        <w:t xml:space="preserve">summarised </w:t>
      </w:r>
      <w:r w:rsidRPr="00363A39">
        <w:t xml:space="preserve">in </w:t>
      </w:r>
      <w:hyperlink r:id="rId34" w:anchor="Wahl_2013" w:history="1">
        <w:r w:rsidRPr="00363A39">
          <w:t>Wahl et al 2003</w:t>
        </w:r>
      </w:hyperlink>
      <w:r w:rsidRPr="002D73B1">
        <w:t>.</w:t>
      </w:r>
      <w:r w:rsidR="002D73B1">
        <w:t xml:space="preserve"> </w:t>
      </w:r>
      <w:r w:rsidRPr="002D73B1">
        <w:t xml:space="preserve">The </w:t>
      </w:r>
      <w:r>
        <w:t xml:space="preserve">data from Study A37273 are the only data available regarding the pharmacokinetics of </w:t>
      </w:r>
      <w:proofErr w:type="spellStart"/>
      <w:r>
        <w:t>gadobutrol</w:t>
      </w:r>
      <w:proofErr w:type="spellEnd"/>
      <w:r>
        <w:t xml:space="preserve"> in the ≤</w:t>
      </w:r>
      <w:r w:rsidR="00363A39">
        <w:t xml:space="preserve"> </w:t>
      </w:r>
      <w:r>
        <w:t xml:space="preserve">3 day age group and, in the opinion of the </w:t>
      </w:r>
      <w:r w:rsidR="00363A39">
        <w:t>clinical e</w:t>
      </w:r>
      <w:r>
        <w:t>valuator, should be included in the Product Information.</w:t>
      </w:r>
    </w:p>
    <w:p w:rsidR="00942B16" w:rsidRPr="002D73B1" w:rsidRDefault="00942B16" w:rsidP="002D73B1">
      <w:pPr>
        <w:rPr>
          <w:b/>
          <w:i/>
          <w:kern w:val="16"/>
        </w:rPr>
      </w:pPr>
      <w:r w:rsidRPr="002D73B1">
        <w:rPr>
          <w:b/>
          <w:i/>
          <w:lang w:val="en-NZ"/>
        </w:rPr>
        <w:t>Question 3</w:t>
      </w:r>
      <w:r w:rsidR="002D73B1" w:rsidRPr="002D73B1">
        <w:rPr>
          <w:b/>
          <w:i/>
          <w:lang w:val="en-NZ"/>
        </w:rPr>
        <w:t xml:space="preserve">: </w:t>
      </w:r>
      <w:r w:rsidRPr="002D73B1">
        <w:rPr>
          <w:b/>
          <w:i/>
          <w:lang w:val="en-NZ"/>
        </w:rPr>
        <w:t>CNS accumulation of gadolinium is not mentioned in the safety section.</w:t>
      </w:r>
      <w:r w:rsidR="002D73B1">
        <w:rPr>
          <w:b/>
          <w:i/>
          <w:lang w:val="en-NZ"/>
        </w:rPr>
        <w:t xml:space="preserve"> </w:t>
      </w:r>
      <w:r w:rsidRPr="002D73B1">
        <w:rPr>
          <w:b/>
          <w:i/>
          <w:lang w:val="en-NZ"/>
        </w:rPr>
        <w:t>Patients and healthcare professionals would be interested in this potential risk.</w:t>
      </w:r>
    </w:p>
    <w:p w:rsidR="00942B16" w:rsidRDefault="00942B16" w:rsidP="002D73B1">
      <w:r w:rsidRPr="00363A39">
        <w:rPr>
          <w:i/>
        </w:rPr>
        <w:t>Sponsor’s response</w:t>
      </w:r>
      <w:r>
        <w:t xml:space="preserve">: </w:t>
      </w:r>
      <w:r w:rsidR="002D73B1">
        <w:t>The sponsor</w:t>
      </w:r>
      <w:r>
        <w:t xml:space="preserve"> declines to mention CNS accumulation in the safety section of the Product Information because the FDA has not required any labelling changes and because no safety issues have been identified.</w:t>
      </w:r>
    </w:p>
    <w:p w:rsidR="00942B16" w:rsidRDefault="00942B16" w:rsidP="002D73B1">
      <w:r w:rsidRPr="00363A39">
        <w:rPr>
          <w:i/>
        </w:rPr>
        <w:t>Evaluators comment</w:t>
      </w:r>
      <w:r>
        <w:t xml:space="preserve">: </w:t>
      </w:r>
      <w:r w:rsidR="002D73B1">
        <w:t>The sponsor</w:t>
      </w:r>
      <w:r>
        <w:t>’s response is not satisfactory.</w:t>
      </w:r>
      <w:r w:rsidR="002D73B1">
        <w:t xml:space="preserve"> </w:t>
      </w:r>
      <w:r>
        <w:t xml:space="preserve">In the opinion of the </w:t>
      </w:r>
      <w:r w:rsidR="00363A39">
        <w:t>clinical e</w:t>
      </w:r>
      <w:r>
        <w:t>valuator, CNS accumulation of gadolinium is an Important Potential Risk.</w:t>
      </w:r>
      <w:r w:rsidR="002D73B1">
        <w:t xml:space="preserve"> </w:t>
      </w:r>
      <w:r>
        <w:t xml:space="preserve">In the opinion of the </w:t>
      </w:r>
      <w:r w:rsidR="00363A39">
        <w:t>clinical e</w:t>
      </w:r>
      <w:r>
        <w:t>valuator, patients and healthcare professionals would have an expectation that they be informed of such Important Potential Risks.</w:t>
      </w:r>
    </w:p>
    <w:p w:rsidR="00C618F7" w:rsidRDefault="00C618F7" w:rsidP="00942B16">
      <w:pPr>
        <w:pStyle w:val="Heading2"/>
      </w:pPr>
      <w:bookmarkStart w:id="285" w:name="_Toc474335044"/>
      <w:r>
        <w:t>Second round benefit-risk assessment</w:t>
      </w:r>
      <w:bookmarkEnd w:id="285"/>
    </w:p>
    <w:p w:rsidR="00942B16" w:rsidRDefault="00942B16" w:rsidP="00363A39">
      <w:pPr>
        <w:pStyle w:val="Heading3"/>
        <w:rPr>
          <w:sz w:val="24"/>
        </w:rPr>
      </w:pPr>
      <w:bookmarkStart w:id="286" w:name="_Toc290663810"/>
      <w:bookmarkStart w:id="287" w:name="_Toc290663966"/>
      <w:bookmarkStart w:id="288" w:name="_Toc290664559"/>
      <w:bookmarkStart w:id="289" w:name="_Toc290664868"/>
      <w:bookmarkStart w:id="290" w:name="_Toc290665024"/>
      <w:bookmarkStart w:id="291" w:name="_Toc290665752"/>
      <w:bookmarkStart w:id="292" w:name="_Toc290665925"/>
      <w:bookmarkStart w:id="293" w:name="_Toc290669473"/>
      <w:bookmarkStart w:id="294" w:name="_Toc290669646"/>
      <w:bookmarkStart w:id="295" w:name="_Toc290715963"/>
      <w:bookmarkStart w:id="296" w:name="_Toc290716136"/>
      <w:bookmarkStart w:id="297" w:name="_Toc290731463"/>
      <w:bookmarkStart w:id="298" w:name="_Toc290731636"/>
      <w:bookmarkStart w:id="299" w:name="_Toc290731957"/>
      <w:bookmarkStart w:id="300" w:name="_Toc290732278"/>
      <w:bookmarkStart w:id="301" w:name="_Toc290663811"/>
      <w:bookmarkStart w:id="302" w:name="_Toc290663967"/>
      <w:bookmarkStart w:id="303" w:name="_Toc290664560"/>
      <w:bookmarkStart w:id="304" w:name="_Toc290664869"/>
      <w:bookmarkStart w:id="305" w:name="_Toc290665025"/>
      <w:bookmarkStart w:id="306" w:name="_Toc290665753"/>
      <w:bookmarkStart w:id="307" w:name="_Toc290665926"/>
      <w:bookmarkStart w:id="308" w:name="_Toc290669474"/>
      <w:bookmarkStart w:id="309" w:name="_Toc290669647"/>
      <w:bookmarkStart w:id="310" w:name="_Toc290715964"/>
      <w:bookmarkStart w:id="311" w:name="_Toc290716137"/>
      <w:bookmarkStart w:id="312" w:name="_Toc290731464"/>
      <w:bookmarkStart w:id="313" w:name="_Toc290731637"/>
      <w:bookmarkStart w:id="314" w:name="_Toc290731958"/>
      <w:bookmarkStart w:id="315" w:name="_Toc290732279"/>
      <w:bookmarkStart w:id="316" w:name="_Toc272414709"/>
      <w:bookmarkStart w:id="317" w:name="_Toc290846349"/>
      <w:bookmarkStart w:id="318" w:name="_Toc290888886"/>
      <w:bookmarkStart w:id="319" w:name="_Toc448083108"/>
      <w:bookmarkStart w:id="320" w:name="_Toc47433504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t>Second round assessment of benefits</w:t>
      </w:r>
      <w:bookmarkEnd w:id="316"/>
      <w:bookmarkEnd w:id="317"/>
      <w:bookmarkEnd w:id="318"/>
      <w:bookmarkEnd w:id="319"/>
      <w:bookmarkEnd w:id="320"/>
    </w:p>
    <w:p w:rsidR="00942B16" w:rsidRDefault="00942B16" w:rsidP="002D73B1">
      <w:pPr>
        <w:rPr>
          <w:szCs w:val="24"/>
        </w:rPr>
      </w:pPr>
      <w:r>
        <w:t xml:space="preserve">After consideration of the responses to clinical questions, the benefits of </w:t>
      </w:r>
      <w:proofErr w:type="spellStart"/>
      <w:r>
        <w:t>gadobutrol</w:t>
      </w:r>
      <w:proofErr w:type="spellEnd"/>
      <w:r>
        <w:t xml:space="preserve"> in the proposed usage are unchanged from those identified in </w:t>
      </w:r>
      <w:r w:rsidR="00363A39">
        <w:t>the first round evaluation</w:t>
      </w:r>
      <w:r>
        <w:t>.</w:t>
      </w:r>
    </w:p>
    <w:p w:rsidR="00942B16" w:rsidRDefault="00942B16" w:rsidP="00363A39">
      <w:pPr>
        <w:pStyle w:val="Heading3"/>
        <w:rPr>
          <w:sz w:val="24"/>
        </w:rPr>
      </w:pPr>
      <w:bookmarkStart w:id="321" w:name="_Toc448083109"/>
      <w:bookmarkStart w:id="322" w:name="_Toc290888887"/>
      <w:bookmarkStart w:id="323" w:name="_Toc290846350"/>
      <w:bookmarkStart w:id="324" w:name="_Toc272414710"/>
      <w:bookmarkStart w:id="325" w:name="_Toc474335046"/>
      <w:r>
        <w:t>Second round assessment of risks</w:t>
      </w:r>
      <w:bookmarkEnd w:id="321"/>
      <w:bookmarkEnd w:id="322"/>
      <w:bookmarkEnd w:id="323"/>
      <w:bookmarkEnd w:id="324"/>
      <w:bookmarkEnd w:id="325"/>
    </w:p>
    <w:p w:rsidR="00942B16" w:rsidRDefault="00942B16" w:rsidP="002D73B1">
      <w:pPr>
        <w:rPr>
          <w:szCs w:val="24"/>
        </w:rPr>
      </w:pPr>
      <w:r>
        <w:t xml:space="preserve">After consideration of the responses to clinical questions, the risks of </w:t>
      </w:r>
      <w:proofErr w:type="spellStart"/>
      <w:r>
        <w:t>gadobutrol</w:t>
      </w:r>
      <w:proofErr w:type="spellEnd"/>
      <w:r>
        <w:t xml:space="preserve"> in the proposed usage are unchanged from those identified </w:t>
      </w:r>
      <w:r w:rsidR="00363A39">
        <w:t>in the first round evalu</w:t>
      </w:r>
      <w:r w:rsidR="00DC3496">
        <w:t>ation</w:t>
      </w:r>
      <w:r>
        <w:t>.</w:t>
      </w:r>
    </w:p>
    <w:p w:rsidR="00942B16" w:rsidRDefault="00942B16" w:rsidP="00363A39">
      <w:pPr>
        <w:pStyle w:val="Heading3"/>
        <w:rPr>
          <w:sz w:val="24"/>
        </w:rPr>
      </w:pPr>
      <w:bookmarkStart w:id="326" w:name="_Toc448083110"/>
      <w:bookmarkStart w:id="327" w:name="_Toc290888888"/>
      <w:bookmarkStart w:id="328" w:name="_Toc290846351"/>
      <w:bookmarkStart w:id="329" w:name="_Toc272414711"/>
      <w:bookmarkStart w:id="330" w:name="_Toc474335047"/>
      <w:r>
        <w:t>Second round assessment of benefit-risk balance</w:t>
      </w:r>
      <w:bookmarkEnd w:id="326"/>
      <w:bookmarkEnd w:id="327"/>
      <w:bookmarkEnd w:id="328"/>
      <w:bookmarkEnd w:id="329"/>
      <w:bookmarkEnd w:id="330"/>
    </w:p>
    <w:p w:rsidR="00942B16" w:rsidRDefault="00942B16" w:rsidP="002D73B1">
      <w:pPr>
        <w:rPr>
          <w:szCs w:val="24"/>
        </w:rPr>
      </w:pPr>
      <w:r>
        <w:t xml:space="preserve">The benefit-risk balance of </w:t>
      </w:r>
      <w:proofErr w:type="spellStart"/>
      <w:r>
        <w:t>gadobutrol</w:t>
      </w:r>
      <w:proofErr w:type="spellEnd"/>
      <w:r>
        <w:t>, given the proposed usage, is favourable for children aged 2 months and older.</w:t>
      </w:r>
    </w:p>
    <w:p w:rsidR="00942B16" w:rsidRDefault="00942B16" w:rsidP="002D73B1">
      <w:r>
        <w:t xml:space="preserve">The benefit-risk balance of </w:t>
      </w:r>
      <w:proofErr w:type="spellStart"/>
      <w:r>
        <w:t>gadobutrol</w:t>
      </w:r>
      <w:proofErr w:type="spellEnd"/>
      <w:r>
        <w:t xml:space="preserve"> in neonates aged 3 days and younger, given the proposed usage, is unfavourable.</w:t>
      </w:r>
      <w:r w:rsidR="002D73B1">
        <w:t xml:space="preserve"> </w:t>
      </w:r>
      <w:r>
        <w:t xml:space="preserve">Compared to older children and adults, the best evidence available indicates that neonates aged 3 days and younger would have approximately double the systemic exposure to </w:t>
      </w:r>
      <w:proofErr w:type="spellStart"/>
      <w:r>
        <w:t>gadobutrol</w:t>
      </w:r>
      <w:proofErr w:type="spellEnd"/>
      <w:r>
        <w:t xml:space="preserve"> and are therefore at greater risk of adverse events.</w:t>
      </w:r>
    </w:p>
    <w:p w:rsidR="00942B16" w:rsidRDefault="00942B16" w:rsidP="002D73B1">
      <w:r>
        <w:t xml:space="preserve">The benefit-risk balance of </w:t>
      </w:r>
      <w:proofErr w:type="spellStart"/>
      <w:r>
        <w:t>gadobutrol</w:t>
      </w:r>
      <w:proofErr w:type="spellEnd"/>
      <w:r>
        <w:t xml:space="preserve"> in neonates aged between 3 days and 2 months, given the proposed usage, is unfavourable.</w:t>
      </w:r>
      <w:r w:rsidR="002D73B1">
        <w:t xml:space="preserve"> </w:t>
      </w:r>
      <w:r>
        <w:t xml:space="preserve">There is potential for accumulation of </w:t>
      </w:r>
      <w:proofErr w:type="spellStart"/>
      <w:r>
        <w:t>gadobutrol</w:t>
      </w:r>
      <w:proofErr w:type="spellEnd"/>
      <w:r>
        <w:t xml:space="preserve"> in the brain and neonates and young infants may be at greater risk because of comorbidities that disrupt the blood brain barrier (such as asphyxia, meningitis, encephalitis, haemolysis and </w:t>
      </w:r>
      <w:proofErr w:type="spellStart"/>
      <w:r>
        <w:t>hyperbilirubinaemia</w:t>
      </w:r>
      <w:proofErr w:type="spellEnd"/>
      <w:r>
        <w:t>).</w:t>
      </w:r>
      <w:r w:rsidR="002D73B1">
        <w:t xml:space="preserve"> </w:t>
      </w:r>
      <w:r>
        <w:t xml:space="preserve">In the opinion of the </w:t>
      </w:r>
      <w:r w:rsidR="00363A39">
        <w:t>clinical e</w:t>
      </w:r>
      <w:r>
        <w:t xml:space="preserve">valuator, there is </w:t>
      </w:r>
      <w:r>
        <w:rPr>
          <w:color w:val="000000"/>
          <w:shd w:val="clear" w:color="auto" w:fill="FFFFFF"/>
        </w:rPr>
        <w:t>potential of increased risk of toxicity, especially neurotoxicity, on general physiological grounds in this age group.</w:t>
      </w:r>
      <w:r w:rsidR="002D73B1">
        <w:rPr>
          <w:color w:val="000000"/>
          <w:shd w:val="clear" w:color="auto" w:fill="FFFFFF"/>
        </w:rPr>
        <w:t xml:space="preserve"> </w:t>
      </w:r>
      <w:r>
        <w:t>There are insufficient safety data, particularly with regard to the potential effects of retained gadolinium on neurodevelopment, in this age group to determine this risk.</w:t>
      </w:r>
    </w:p>
    <w:p w:rsidR="00C618F7" w:rsidRDefault="00C618F7" w:rsidP="00363A39">
      <w:pPr>
        <w:pStyle w:val="Heading2"/>
      </w:pPr>
      <w:bookmarkStart w:id="331" w:name="_Toc474335048"/>
      <w:r>
        <w:t xml:space="preserve">Second round </w:t>
      </w:r>
      <w:r w:rsidRPr="00363A39">
        <w:t>recommendation</w:t>
      </w:r>
      <w:r>
        <w:t xml:space="preserve"> regarding authorisation</w:t>
      </w:r>
      <w:bookmarkEnd w:id="331"/>
    </w:p>
    <w:p w:rsidR="00942B16" w:rsidRDefault="00942B16" w:rsidP="00363A39">
      <w:r>
        <w:t>The application for the proposed new indication should be rejected.</w:t>
      </w:r>
    </w:p>
    <w:p w:rsidR="00942B16" w:rsidRDefault="00942B16" w:rsidP="00363A39">
      <w:r>
        <w:t>The following alternative new indication could be considered for approval:</w:t>
      </w:r>
    </w:p>
    <w:p w:rsidR="00942B16" w:rsidRPr="002D73B1" w:rsidRDefault="002D73B1" w:rsidP="00363A39">
      <w:pPr>
        <w:ind w:left="360"/>
        <w:rPr>
          <w:i/>
        </w:rPr>
      </w:pPr>
      <w:proofErr w:type="spellStart"/>
      <w:r w:rsidRPr="002D73B1">
        <w:rPr>
          <w:i/>
          <w:lang w:val="en-NZ"/>
        </w:rPr>
        <w:t>Gadovist</w:t>
      </w:r>
      <w:proofErr w:type="spellEnd"/>
      <w:r w:rsidRPr="002D73B1">
        <w:rPr>
          <w:i/>
          <w:lang w:val="en-NZ"/>
        </w:rPr>
        <w:t xml:space="preserve"> </w:t>
      </w:r>
      <w:r w:rsidR="00942B16" w:rsidRPr="002D73B1">
        <w:rPr>
          <w:i/>
          <w:lang w:val="en-NZ"/>
        </w:rPr>
        <w:t>1.0 is indicated in adults and children aged 2 months and older for:</w:t>
      </w:r>
    </w:p>
    <w:p w:rsidR="00942B16" w:rsidRPr="002D73B1" w:rsidRDefault="00942B16" w:rsidP="00363A39">
      <w:pPr>
        <w:pStyle w:val="ListBullet"/>
        <w:ind w:left="720"/>
        <w:rPr>
          <w:i/>
        </w:rPr>
      </w:pPr>
      <w:r w:rsidRPr="002D73B1">
        <w:rPr>
          <w:i/>
          <w:lang w:val="en-NZ"/>
        </w:rPr>
        <w:t>Contrast enhancement in cranial and spinal magnetic resonance imaging (MRI)</w:t>
      </w:r>
    </w:p>
    <w:p w:rsidR="00942B16" w:rsidRPr="002D73B1" w:rsidRDefault="00942B16" w:rsidP="00363A39">
      <w:pPr>
        <w:pStyle w:val="ListBullet"/>
        <w:ind w:left="720"/>
        <w:rPr>
          <w:i/>
          <w:lang w:val="en-NZ"/>
        </w:rPr>
      </w:pPr>
      <w:r w:rsidRPr="002D73B1">
        <w:rPr>
          <w:i/>
          <w:lang w:val="en-NZ"/>
        </w:rPr>
        <w:t>Contrast enhancement in whole body MRI including head and neck region, thoracic space, breast, abdomen (pancreas, liver and spleen), pelvis (prostate, bladder and uterus), retroperitoneal space (kidney), extremities and musculoskeletal system</w:t>
      </w:r>
    </w:p>
    <w:p w:rsidR="00942B16" w:rsidRPr="002D73B1" w:rsidRDefault="00942B16" w:rsidP="00363A39">
      <w:pPr>
        <w:pStyle w:val="ListBullet"/>
        <w:ind w:left="720"/>
        <w:rPr>
          <w:i/>
          <w:lang w:val="en-NZ"/>
        </w:rPr>
      </w:pPr>
      <w:r w:rsidRPr="002D73B1">
        <w:rPr>
          <w:i/>
          <w:lang w:val="en-NZ"/>
        </w:rPr>
        <w:t>Use in first–pass MRI studies of cerebral perfusion</w:t>
      </w:r>
    </w:p>
    <w:p w:rsidR="00942B16" w:rsidRPr="002D73B1" w:rsidRDefault="00942B16" w:rsidP="00363A39">
      <w:pPr>
        <w:pStyle w:val="ListBullet"/>
        <w:ind w:left="720"/>
        <w:rPr>
          <w:i/>
          <w:lang w:val="en-NZ"/>
        </w:rPr>
      </w:pPr>
      <w:r w:rsidRPr="002D73B1">
        <w:rPr>
          <w:i/>
          <w:lang w:val="en-NZ"/>
        </w:rPr>
        <w:t>Contrast enhancement in magnetic resonance angiography (CE MRA)</w:t>
      </w:r>
    </w:p>
    <w:p w:rsidR="00942B16" w:rsidRPr="002D73B1" w:rsidRDefault="00942B16" w:rsidP="00363A39">
      <w:pPr>
        <w:pStyle w:val="ListBullet"/>
        <w:ind w:left="720"/>
        <w:rPr>
          <w:i/>
        </w:rPr>
      </w:pPr>
      <w:r w:rsidRPr="002D73B1">
        <w:rPr>
          <w:i/>
          <w:lang w:val="en-NZ"/>
        </w:rPr>
        <w:t>Contrast enhancement in cardiac MRI including assessment of rest and pharmacological stress perfusion and delayed enhancement.</w:t>
      </w:r>
    </w:p>
    <w:p w:rsidR="00C618F7" w:rsidRDefault="00C618F7" w:rsidP="00363A39">
      <w:pPr>
        <w:pStyle w:val="Heading2"/>
      </w:pPr>
      <w:bookmarkStart w:id="332" w:name="_Toc474335049"/>
      <w:r w:rsidRPr="00363A39">
        <w:t>References</w:t>
      </w:r>
      <w:bookmarkEnd w:id="332"/>
    </w:p>
    <w:bookmarkStart w:id="333" w:name="Bird_2013"/>
    <w:bookmarkEnd w:id="1"/>
    <w:bookmarkEnd w:id="0"/>
    <w:bookmarkEnd w:id="3"/>
    <w:p w:rsidR="00942B16" w:rsidRPr="00363A39" w:rsidRDefault="00942B16" w:rsidP="00363A39">
      <w:pPr>
        <w:ind w:left="720" w:hanging="720"/>
      </w:pPr>
      <w:r w:rsidRPr="00363A39">
        <w:fldChar w:fldCharType="begin"/>
      </w:r>
      <w:r w:rsidRPr="00DF53F2">
        <w:rPr>
          <w:lang w:val="de-DE"/>
        </w:rPr>
        <w:instrText xml:space="preserve"> HYPERLINK "file:///I:\\apps\\OMA\\AusPARs\\Working%20documents\\PM-2015-01572-1-2\\Word%20documents\\M5%20Clinical%20evaluation%20report%20-%20round%202.DOCX" \l "_SECOND_ROUND_EVALUATION" </w:instrText>
      </w:r>
      <w:r w:rsidRPr="00363A39">
        <w:fldChar w:fldCharType="separate"/>
      </w:r>
      <w:r w:rsidRPr="00DF53F2">
        <w:rPr>
          <w:rStyle w:val="Hyperlink"/>
          <w:color w:val="auto"/>
          <w:u w:val="none"/>
          <w:lang w:val="de-DE"/>
        </w:rPr>
        <w:t>Bird NJ</w:t>
      </w:r>
      <w:r w:rsidRPr="00363A39">
        <w:fldChar w:fldCharType="end"/>
      </w:r>
      <w:bookmarkEnd w:id="333"/>
      <w:r w:rsidRPr="00DF53F2">
        <w:rPr>
          <w:lang w:val="de-DE"/>
        </w:rPr>
        <w:t xml:space="preserve">, Henderson BL, Lui D, Ballinger JR, Peters AM. </w:t>
      </w:r>
      <w:proofErr w:type="gramStart"/>
      <w:r w:rsidRPr="00363A39">
        <w:t>Indexing glomerular filtration rate to suit children.</w:t>
      </w:r>
      <w:proofErr w:type="gramEnd"/>
      <w:r w:rsidRPr="00363A39">
        <w:t xml:space="preserve"> J </w:t>
      </w:r>
      <w:proofErr w:type="spellStart"/>
      <w:r w:rsidRPr="00363A39">
        <w:t>Nucl</w:t>
      </w:r>
      <w:proofErr w:type="spellEnd"/>
      <w:r w:rsidRPr="00363A39">
        <w:t xml:space="preserve"> Med 2003 Jul</w:t>
      </w:r>
      <w:proofErr w:type="gramStart"/>
      <w:r w:rsidRPr="00363A39">
        <w:t>;44</w:t>
      </w:r>
      <w:proofErr w:type="gramEnd"/>
      <w:r w:rsidRPr="00363A39">
        <w:t>(7):1037-1043.</w:t>
      </w:r>
    </w:p>
    <w:bookmarkStart w:id="334" w:name="Hayton_2002"/>
    <w:p w:rsidR="00942B16" w:rsidRPr="00363A39" w:rsidRDefault="00942B16" w:rsidP="00363A39">
      <w:pPr>
        <w:ind w:left="720" w:hanging="720"/>
      </w:pPr>
      <w:r w:rsidRPr="00363A39">
        <w:fldChar w:fldCharType="begin"/>
      </w:r>
      <w:r w:rsidRPr="00363A39">
        <w:instrText xml:space="preserve"> HYPERLINK "file:///I:\\apps\\OMA\\AusPARs\\Working%20documents\\PM-2015-01572-1-2\\Word%20documents\\M5%20Clinical%20evaluation%20report%20-%20round%202.DOCX" \l "_Evaluator’s_Comments" </w:instrText>
      </w:r>
      <w:r w:rsidRPr="00363A39">
        <w:fldChar w:fldCharType="separate"/>
      </w:r>
      <w:r w:rsidRPr="00363A39">
        <w:rPr>
          <w:rStyle w:val="Hyperlink"/>
          <w:color w:val="auto"/>
          <w:u w:val="none"/>
        </w:rPr>
        <w:t>Hayton WL</w:t>
      </w:r>
      <w:bookmarkEnd w:id="334"/>
      <w:r w:rsidRPr="00363A39">
        <w:fldChar w:fldCharType="end"/>
      </w:r>
      <w:r w:rsidRPr="00363A39">
        <w:t>.</w:t>
      </w:r>
      <w:r w:rsidR="002D73B1" w:rsidRPr="00363A39">
        <w:t xml:space="preserve"> </w:t>
      </w:r>
      <w:r w:rsidRPr="00363A39">
        <w:t xml:space="preserve">Maturation and growth of renal function: dosing </w:t>
      </w:r>
      <w:proofErr w:type="spellStart"/>
      <w:r w:rsidRPr="00363A39">
        <w:t>renally</w:t>
      </w:r>
      <w:proofErr w:type="spellEnd"/>
      <w:r w:rsidRPr="00363A39">
        <w:t xml:space="preserve"> cleared drugs in children.</w:t>
      </w:r>
      <w:r w:rsidR="002D73B1" w:rsidRPr="00363A39">
        <w:t xml:space="preserve"> </w:t>
      </w:r>
      <w:r w:rsidRPr="00363A39">
        <w:t>AAPS, 2 (1) article 3, 2002</w:t>
      </w:r>
    </w:p>
    <w:bookmarkStart w:id="335" w:name="Liddelow"/>
    <w:p w:rsidR="00942B16" w:rsidRPr="00363A39" w:rsidRDefault="00942B16" w:rsidP="00363A39">
      <w:pPr>
        <w:ind w:left="720" w:hanging="720"/>
      </w:pPr>
      <w:r w:rsidRPr="00363A39">
        <w:fldChar w:fldCharType="begin"/>
      </w:r>
      <w:r w:rsidRPr="00363A39">
        <w:instrText xml:space="preserve"> HYPERLINK "file:///I:\\apps\\OMA\\AusPARs\\Working%20documents\\PM-2015-01572-1-2\\Word%20documents\\M5%20Clinical%20evaluation%20report%20-%20round%202.DOCX" \l "_SECOND_ROUND_EVALUATION" </w:instrText>
      </w:r>
      <w:r w:rsidRPr="00363A39">
        <w:fldChar w:fldCharType="separate"/>
      </w:r>
      <w:proofErr w:type="spellStart"/>
      <w:r w:rsidRPr="00363A39">
        <w:rPr>
          <w:rStyle w:val="Hyperlink"/>
          <w:color w:val="auto"/>
          <w:u w:val="none"/>
        </w:rPr>
        <w:t>Liddelow</w:t>
      </w:r>
      <w:proofErr w:type="spellEnd"/>
      <w:r w:rsidRPr="00363A39">
        <w:rPr>
          <w:rStyle w:val="Hyperlink"/>
          <w:color w:val="auto"/>
          <w:u w:val="none"/>
        </w:rPr>
        <w:t xml:space="preserve"> SA</w:t>
      </w:r>
      <w:bookmarkEnd w:id="335"/>
      <w:r w:rsidRPr="00363A39">
        <w:fldChar w:fldCharType="end"/>
      </w:r>
      <w:r w:rsidRPr="00363A39">
        <w:t xml:space="preserve">, </w:t>
      </w:r>
      <w:proofErr w:type="spellStart"/>
      <w:r w:rsidRPr="00363A39">
        <w:t>Dziegielewska</w:t>
      </w:r>
      <w:proofErr w:type="spellEnd"/>
      <w:r w:rsidRPr="00363A39">
        <w:t xml:space="preserve"> KM, </w:t>
      </w:r>
      <w:proofErr w:type="spellStart"/>
      <w:r w:rsidRPr="00363A39">
        <w:t>Ek</w:t>
      </w:r>
      <w:proofErr w:type="spellEnd"/>
      <w:r w:rsidRPr="00363A39">
        <w:t xml:space="preserve"> CJ, </w:t>
      </w:r>
      <w:proofErr w:type="spellStart"/>
      <w:r w:rsidRPr="00363A39">
        <w:t>Habgood</w:t>
      </w:r>
      <w:proofErr w:type="spellEnd"/>
      <w:r w:rsidRPr="00363A39">
        <w:t xml:space="preserve"> MD, Bauer H, Bauer H-C, Lindsay H, Wakefield MJ, </w:t>
      </w:r>
      <w:proofErr w:type="spellStart"/>
      <w:r w:rsidRPr="00363A39">
        <w:t>Strazielle</w:t>
      </w:r>
      <w:proofErr w:type="spellEnd"/>
      <w:r w:rsidRPr="00363A39">
        <w:t xml:space="preserve"> N, </w:t>
      </w:r>
      <w:proofErr w:type="spellStart"/>
      <w:r w:rsidRPr="00363A39">
        <w:t>Kratzer</w:t>
      </w:r>
      <w:proofErr w:type="spellEnd"/>
      <w:r w:rsidRPr="00363A39">
        <w:t xml:space="preserve"> I, </w:t>
      </w:r>
      <w:proofErr w:type="spellStart"/>
      <w:r w:rsidRPr="00363A39">
        <w:t>Møllgard</w:t>
      </w:r>
      <w:proofErr w:type="spellEnd"/>
      <w:r w:rsidRPr="00363A39">
        <w:t xml:space="preserve"> K, </w:t>
      </w:r>
      <w:proofErr w:type="spellStart"/>
      <w:r w:rsidRPr="00363A39">
        <w:t>Ghersi-Egea</w:t>
      </w:r>
      <w:proofErr w:type="spellEnd"/>
      <w:r w:rsidRPr="00363A39">
        <w:t xml:space="preserve"> J-F, Saunders NR.</w:t>
      </w:r>
      <w:r w:rsidR="002D73B1" w:rsidRPr="00363A39">
        <w:t xml:space="preserve"> </w:t>
      </w:r>
      <w:r w:rsidRPr="00363A39">
        <w:t xml:space="preserve">Mechanisms That Determine the Internal Environment of the Developing Brain: A </w:t>
      </w:r>
      <w:proofErr w:type="spellStart"/>
      <w:r w:rsidRPr="00363A39">
        <w:t>Transcriptomic</w:t>
      </w:r>
      <w:proofErr w:type="spellEnd"/>
      <w:r w:rsidRPr="00363A39">
        <w:t>, Functional and Ultrastructural Approach.</w:t>
      </w:r>
      <w:r w:rsidR="002D73B1" w:rsidRPr="00363A39">
        <w:t xml:space="preserve"> </w:t>
      </w:r>
      <w:proofErr w:type="gramStart"/>
      <w:r w:rsidRPr="00363A39">
        <w:t>PLoSONE8(</w:t>
      </w:r>
      <w:proofErr w:type="gramEnd"/>
      <w:r w:rsidRPr="00363A39">
        <w:t>7): e65629. doi:10.1371/journal.pone.0065629</w:t>
      </w:r>
    </w:p>
    <w:bookmarkStart w:id="336" w:name="Ramalho_2015"/>
    <w:p w:rsidR="00942B16" w:rsidRPr="00363A39" w:rsidRDefault="00942B16" w:rsidP="00363A39">
      <w:pPr>
        <w:ind w:left="720" w:hanging="720"/>
      </w:pPr>
      <w:r w:rsidRPr="00363A39">
        <w:fldChar w:fldCharType="begin"/>
      </w:r>
      <w:r w:rsidRPr="00363A39">
        <w:instrText xml:space="preserve"> HYPERLINK "file:///I:\\apps\\OMA\\AusPARs\\Working%20documents\\PM-2015-01572-1-2\\Word%20documents\\M5%20Clinical%20evaluation%20report%20-%20round%202.DOCX" \l "_First_round_comments" </w:instrText>
      </w:r>
      <w:r w:rsidRPr="00363A39">
        <w:fldChar w:fldCharType="separate"/>
      </w:r>
      <w:proofErr w:type="spellStart"/>
      <w:r w:rsidRPr="00363A39">
        <w:rPr>
          <w:rStyle w:val="Hyperlink"/>
          <w:color w:val="auto"/>
          <w:u w:val="none"/>
        </w:rPr>
        <w:t>Ramalho</w:t>
      </w:r>
      <w:proofErr w:type="spellEnd"/>
      <w:r w:rsidRPr="00363A39">
        <w:rPr>
          <w:rStyle w:val="Hyperlink"/>
          <w:color w:val="auto"/>
          <w:u w:val="none"/>
        </w:rPr>
        <w:t xml:space="preserve"> J</w:t>
      </w:r>
      <w:bookmarkEnd w:id="336"/>
      <w:r w:rsidRPr="00363A39">
        <w:fldChar w:fldCharType="end"/>
      </w:r>
      <w:r w:rsidRPr="00363A39">
        <w:t xml:space="preserve">, Castillo M, Al </w:t>
      </w:r>
      <w:proofErr w:type="spellStart"/>
      <w:r w:rsidRPr="00363A39">
        <w:t>ObaidyM</w:t>
      </w:r>
      <w:proofErr w:type="spellEnd"/>
      <w:r w:rsidRPr="00363A39">
        <w:t xml:space="preserve">, </w:t>
      </w:r>
      <w:proofErr w:type="spellStart"/>
      <w:r w:rsidRPr="00363A39">
        <w:t>Nunes</w:t>
      </w:r>
      <w:proofErr w:type="spellEnd"/>
      <w:r w:rsidRPr="00363A39">
        <w:t xml:space="preserve"> RH, </w:t>
      </w:r>
      <w:proofErr w:type="spellStart"/>
      <w:r w:rsidRPr="00363A39">
        <w:t>Ramalho</w:t>
      </w:r>
      <w:proofErr w:type="spellEnd"/>
      <w:r w:rsidRPr="00363A39">
        <w:t xml:space="preserve"> M, Dale BM, </w:t>
      </w:r>
      <w:proofErr w:type="spellStart"/>
      <w:r w:rsidRPr="00363A39">
        <w:t>Semelka</w:t>
      </w:r>
      <w:proofErr w:type="spellEnd"/>
      <w:r w:rsidRPr="00363A39">
        <w:t xml:space="preserve"> RC.</w:t>
      </w:r>
      <w:r w:rsidR="002D73B1" w:rsidRPr="00363A39">
        <w:t xml:space="preserve"> </w:t>
      </w:r>
      <w:r w:rsidRPr="00363A39">
        <w:t xml:space="preserve">Hugh signal intensity in </w:t>
      </w:r>
      <w:proofErr w:type="spellStart"/>
      <w:r w:rsidRPr="00363A39">
        <w:t>globus</w:t>
      </w:r>
      <w:proofErr w:type="spellEnd"/>
      <w:r w:rsidRPr="00363A39">
        <w:t xml:space="preserve"> </w:t>
      </w:r>
      <w:proofErr w:type="spellStart"/>
      <w:r w:rsidRPr="00363A39">
        <w:t>pallidus</w:t>
      </w:r>
      <w:proofErr w:type="spellEnd"/>
      <w:r w:rsidRPr="00363A39">
        <w:t xml:space="preserve"> and dentate nucleus on unenhanced T1-weighted PR images: evaluation of two linear gadolinium-based contrast agents.</w:t>
      </w:r>
      <w:r w:rsidR="002D73B1" w:rsidRPr="00363A39">
        <w:t xml:space="preserve"> </w:t>
      </w:r>
      <w:r w:rsidRPr="00363A39">
        <w:t>Radiology, 278 (3) September 2015</w:t>
      </w:r>
    </w:p>
    <w:bookmarkStart w:id="337" w:name="Roberts_inpress"/>
    <w:p w:rsidR="00942B16" w:rsidRPr="00363A39" w:rsidRDefault="00942B16" w:rsidP="00363A39">
      <w:pPr>
        <w:ind w:left="720" w:hanging="720"/>
      </w:pPr>
      <w:r w:rsidRPr="00363A39">
        <w:fldChar w:fldCharType="begin"/>
      </w:r>
      <w:r w:rsidRPr="00363A39">
        <w:instrText xml:space="preserve"> HYPERLINK "file:///I:\\apps\\OMA\\AusPARs\\Working%20documents\\PM-2015-01572-1-2\\Word%20documents\\M5%20Clinical%20evaluation%20report%20-%20round%202.DOCX" \l "_First_round_comments" </w:instrText>
      </w:r>
      <w:r w:rsidRPr="00363A39">
        <w:fldChar w:fldCharType="separate"/>
      </w:r>
      <w:r w:rsidRPr="00363A39">
        <w:rPr>
          <w:rStyle w:val="Hyperlink"/>
          <w:color w:val="auto"/>
          <w:u w:val="none"/>
        </w:rPr>
        <w:t>Roberts DR</w:t>
      </w:r>
      <w:bookmarkEnd w:id="337"/>
      <w:r w:rsidRPr="00363A39">
        <w:fldChar w:fldCharType="end"/>
      </w:r>
      <w:r w:rsidRPr="00363A39">
        <w:t>, Holden KR.</w:t>
      </w:r>
      <w:r w:rsidR="002D73B1" w:rsidRPr="00363A39">
        <w:t xml:space="preserve"> </w:t>
      </w:r>
      <w:r w:rsidRPr="00363A39">
        <w:t xml:space="preserve">Progressive increase of T1 signal intensity in the dentate nucleus and </w:t>
      </w:r>
      <w:proofErr w:type="spellStart"/>
      <w:r w:rsidRPr="00363A39">
        <w:t>globus</w:t>
      </w:r>
      <w:proofErr w:type="spellEnd"/>
      <w:r w:rsidRPr="00363A39">
        <w:t xml:space="preserve"> </w:t>
      </w:r>
      <w:proofErr w:type="spellStart"/>
      <w:r w:rsidRPr="00363A39">
        <w:t>pallidus</w:t>
      </w:r>
      <w:proofErr w:type="spellEnd"/>
      <w:r w:rsidRPr="00363A39">
        <w:t xml:space="preserve"> on unenhanced T1-weighted MR images in the </w:t>
      </w:r>
      <w:proofErr w:type="spellStart"/>
      <w:r w:rsidRPr="00363A39">
        <w:t>pediatric</w:t>
      </w:r>
      <w:proofErr w:type="spellEnd"/>
      <w:r w:rsidRPr="00363A39">
        <w:t xml:space="preserve"> brain exposed to multiple doses of gadolinium contrast.</w:t>
      </w:r>
      <w:r w:rsidR="002D73B1" w:rsidRPr="00363A39">
        <w:t xml:space="preserve"> </w:t>
      </w:r>
      <w:r w:rsidRPr="00363A39">
        <w:t>Brain &amp; Development (in Press)</w:t>
      </w:r>
    </w:p>
    <w:bookmarkStart w:id="338" w:name="Saunders_1999"/>
    <w:p w:rsidR="00942B16" w:rsidRPr="00363A39" w:rsidRDefault="00942B16" w:rsidP="00363A39">
      <w:pPr>
        <w:ind w:left="720" w:hanging="720"/>
      </w:pPr>
      <w:r w:rsidRPr="00363A39">
        <w:fldChar w:fldCharType="begin"/>
      </w:r>
      <w:r w:rsidRPr="00DF53F2">
        <w:rPr>
          <w:lang w:val="de-DE"/>
        </w:rPr>
        <w:instrText xml:space="preserve"> HYPERLINK "file:///I:\\apps\\OMA\\AusPARs\\Working%20documents\\PM-2015-01572-1-2\\Word%20documents\\M5%20Clinical%20evaluation%20report%20-%20round%202.DOCX" \l "_SECOND_ROUND_EVALUATION" </w:instrText>
      </w:r>
      <w:r w:rsidRPr="00363A39">
        <w:fldChar w:fldCharType="separate"/>
      </w:r>
      <w:r w:rsidRPr="00DF53F2">
        <w:rPr>
          <w:rStyle w:val="Hyperlink"/>
          <w:color w:val="auto"/>
          <w:u w:val="none"/>
          <w:lang w:val="de-DE"/>
        </w:rPr>
        <w:t>Saunders NR</w:t>
      </w:r>
      <w:bookmarkEnd w:id="338"/>
      <w:r w:rsidRPr="00363A39">
        <w:fldChar w:fldCharType="end"/>
      </w:r>
      <w:r w:rsidRPr="00DF53F2">
        <w:rPr>
          <w:lang w:val="de-DE"/>
        </w:rPr>
        <w:t>, Habgood MD, Dziegielewska KM.</w:t>
      </w:r>
      <w:r w:rsidR="002D73B1" w:rsidRPr="00DF53F2">
        <w:rPr>
          <w:lang w:val="de-DE"/>
        </w:rPr>
        <w:t xml:space="preserve"> </w:t>
      </w:r>
      <w:proofErr w:type="gramStart"/>
      <w:r w:rsidRPr="00363A39">
        <w:t>Barrier Mechanisms in the Brain, II.</w:t>
      </w:r>
      <w:proofErr w:type="gramEnd"/>
      <w:r w:rsidRPr="00363A39">
        <w:t xml:space="preserve"> </w:t>
      </w:r>
      <w:proofErr w:type="gramStart"/>
      <w:r w:rsidRPr="00363A39">
        <w:t>Immature Brain.</w:t>
      </w:r>
      <w:proofErr w:type="gramEnd"/>
      <w:r w:rsidR="002D73B1" w:rsidRPr="00363A39">
        <w:t xml:space="preserve"> </w:t>
      </w:r>
      <w:proofErr w:type="gramStart"/>
      <w:r w:rsidRPr="00363A39">
        <w:t>Clinical and Experimental Pharmacology and Physiology.</w:t>
      </w:r>
      <w:proofErr w:type="gramEnd"/>
      <w:r w:rsidRPr="00363A39">
        <w:t xml:space="preserve"> 1999; 26: 85-91</w:t>
      </w:r>
    </w:p>
    <w:bookmarkStart w:id="339" w:name="Wahl_2013"/>
    <w:p w:rsidR="008D770F" w:rsidRPr="00363A39" w:rsidRDefault="00942B16" w:rsidP="00363A39">
      <w:pPr>
        <w:ind w:left="720" w:hanging="720"/>
      </w:pPr>
      <w:r w:rsidRPr="00363A39">
        <w:fldChar w:fldCharType="begin"/>
      </w:r>
      <w:r w:rsidRPr="00363A39">
        <w:instrText xml:space="preserve"> HYPERLINK "file:///I:\\apps\\OMA\\AusPARs\\Working%20documents\\PM-2015-01572-1-2\\Word%20documents\\M5%20Clinical%20evaluation%20report%20-%20round%202.DOCX" \l "_SECOND_ROUND_EVALUATION" </w:instrText>
      </w:r>
      <w:r w:rsidRPr="00363A39">
        <w:fldChar w:fldCharType="separate"/>
      </w:r>
      <w:r w:rsidRPr="00363A39">
        <w:rPr>
          <w:rStyle w:val="Hyperlink"/>
          <w:color w:val="auto"/>
          <w:u w:val="none"/>
        </w:rPr>
        <w:t>Wahl EF</w:t>
      </w:r>
      <w:r w:rsidRPr="00363A39">
        <w:fldChar w:fldCharType="end"/>
      </w:r>
      <w:bookmarkEnd w:id="339"/>
      <w:r w:rsidRPr="00363A39">
        <w:t xml:space="preserve">, </w:t>
      </w:r>
      <w:proofErr w:type="spellStart"/>
      <w:r w:rsidRPr="00363A39">
        <w:t>Lahdes-Vasama</w:t>
      </w:r>
      <w:proofErr w:type="spellEnd"/>
      <w:r w:rsidRPr="00363A39">
        <w:t xml:space="preserve"> TT, Churchill BM.</w:t>
      </w:r>
      <w:r w:rsidR="002D73B1" w:rsidRPr="00363A39">
        <w:t xml:space="preserve"> </w:t>
      </w:r>
      <w:r w:rsidRPr="00363A39">
        <w:t>Estimation of glomerular filtration rate and bladder capacity: the effect of maturation, ageing, gender and size.</w:t>
      </w:r>
      <w:r w:rsidR="002D73B1" w:rsidRPr="00363A39">
        <w:t xml:space="preserve"> </w:t>
      </w:r>
      <w:hyperlink r:id="rId35" w:tooltip="BJU international." w:history="1">
        <w:r w:rsidRPr="00363A39">
          <w:rPr>
            <w:rStyle w:val="Hyperlink"/>
            <w:color w:val="auto"/>
            <w:u w:val="none"/>
          </w:rPr>
          <w:t>BJU Int.</w:t>
        </w:r>
      </w:hyperlink>
      <w:r w:rsidRPr="00363A39">
        <w:t xml:space="preserve"> 2003 Feb</w:t>
      </w:r>
      <w:proofErr w:type="gramStart"/>
      <w:r w:rsidRPr="00363A39">
        <w:t>;91</w:t>
      </w:r>
      <w:proofErr w:type="gramEnd"/>
      <w:r w:rsidRPr="00363A39">
        <w:t>(3):255-62.</w:t>
      </w:r>
    </w:p>
    <w:p w:rsidR="003D1E62" w:rsidRPr="001D043B" w:rsidRDefault="008E7846" w:rsidP="002666AC">
      <w:pPr>
        <w:sectPr w:rsidR="003D1E62" w:rsidRPr="001D043B" w:rsidSect="008D770F">
          <w:headerReference w:type="even" r:id="rId36"/>
          <w:headerReference w:type="default" r:id="rId37"/>
          <w:headerReference w:type="first" r:id="rId38"/>
          <w:footerReference w:type="first" r:id="rId39"/>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564D1">
        <w:trPr>
          <w:trHeight w:hRule="exact" w:val="564"/>
        </w:trPr>
        <w:tc>
          <w:tcPr>
            <w:tcW w:w="9175" w:type="dxa"/>
          </w:tcPr>
          <w:p w:rsidR="00B3567E" w:rsidRPr="00487162" w:rsidRDefault="00B3567E" w:rsidP="008564D1">
            <w:pPr>
              <w:pStyle w:val="TGASignoff"/>
            </w:pPr>
            <w:r w:rsidRPr="00487162">
              <w:t>Therapeutic Goods Administration</w:t>
            </w:r>
          </w:p>
        </w:tc>
      </w:tr>
      <w:tr w:rsidR="00B3567E" w:rsidRPr="00487162" w:rsidTr="008564D1">
        <w:trPr>
          <w:trHeight w:val="1221"/>
        </w:trPr>
        <w:tc>
          <w:tcPr>
            <w:tcW w:w="9175" w:type="dxa"/>
            <w:tcMar>
              <w:top w:w="28" w:type="dxa"/>
            </w:tcMar>
          </w:tcPr>
          <w:p w:rsidR="00B3567E" w:rsidRPr="00487162" w:rsidRDefault="00B3567E" w:rsidP="008564D1">
            <w:pPr>
              <w:pStyle w:val="Address"/>
            </w:pPr>
            <w:r w:rsidRPr="00487162">
              <w:t>PO Box 100 Woden ACT 2606 Australia</w:t>
            </w:r>
          </w:p>
          <w:p w:rsidR="00B3567E" w:rsidRPr="00487162" w:rsidRDefault="00B3567E" w:rsidP="008564D1">
            <w:pPr>
              <w:pStyle w:val="Address"/>
            </w:pPr>
            <w:r w:rsidRPr="00487162">
              <w:t xml:space="preserve">Email: </w:t>
            </w:r>
            <w:hyperlink r:id="rId40" w:history="1">
              <w:r w:rsidRPr="008D770F">
                <w:rPr>
                  <w:rStyle w:val="Hyperlink"/>
                </w:rPr>
                <w:t>info@tga.gov.au</w:t>
              </w:r>
            </w:hyperlink>
            <w:r w:rsidR="002D73B1">
              <w:t xml:space="preserve"> </w:t>
            </w:r>
            <w:r w:rsidRPr="00487162">
              <w:t>Phone: 1800 020 653</w:t>
            </w:r>
            <w:r w:rsidR="002D73B1">
              <w:t xml:space="preserve"> </w:t>
            </w:r>
            <w:r w:rsidRPr="00487162">
              <w:t>Fax: 02 6232 8605</w:t>
            </w:r>
          </w:p>
          <w:p w:rsidR="00B3567E" w:rsidRPr="008D770F" w:rsidRDefault="00F72DA2" w:rsidP="008564D1">
            <w:pPr>
              <w:pStyle w:val="Address"/>
              <w:spacing w:line="260" w:lineRule="atLeast"/>
              <w:rPr>
                <w:b/>
                <w:color w:val="0000FF"/>
                <w:u w:val="single"/>
              </w:rPr>
            </w:pPr>
            <w:hyperlink r:id="rId4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2"/>
      <w:headerReference w:type="default" r:id="rId43"/>
      <w:footerReference w:type="default" r:id="rId44"/>
      <w:headerReference w:type="first" r:id="rId45"/>
      <w:footerReference w:type="first" r:id="rId4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496" w:rsidRDefault="00DC3496" w:rsidP="00C40A36">
      <w:pPr>
        <w:spacing w:after="0"/>
      </w:pPr>
      <w:r>
        <w:separator/>
      </w:r>
    </w:p>
  </w:endnote>
  <w:endnote w:type="continuationSeparator" w:id="0">
    <w:p w:rsidR="00DC3496" w:rsidRDefault="00DC349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DC3496" w:rsidRPr="00487162" w:rsidTr="00C5782C">
      <w:trPr>
        <w:trHeight w:val="269"/>
      </w:trPr>
      <w:tc>
        <w:tcPr>
          <w:tcW w:w="7655" w:type="dxa"/>
          <w:tcMar>
            <w:top w:w="142" w:type="dxa"/>
            <w:bottom w:w="0" w:type="dxa"/>
          </w:tcMar>
        </w:tcPr>
        <w:p w:rsidR="00DC3496" w:rsidRPr="00487162" w:rsidRDefault="00DC3496" w:rsidP="00C5782C">
          <w:pPr>
            <w:pStyle w:val="Footer"/>
          </w:pPr>
          <w:r>
            <w:t>Submission</w:t>
          </w:r>
          <w:r w:rsidRPr="00487162">
            <w:t xml:space="preserve"> PM-20</w:t>
          </w:r>
          <w:r>
            <w:t>15</w:t>
          </w:r>
          <w:r w:rsidRPr="00487162">
            <w:t>-</w:t>
          </w:r>
          <w:r>
            <w:t>01572-1</w:t>
          </w:r>
          <w:r w:rsidRPr="00487162">
            <w:t>-</w:t>
          </w:r>
          <w:r>
            <w:t xml:space="preserve">2 Extract from the Clinical Evaluation Report for </w:t>
          </w:r>
          <w:proofErr w:type="spellStart"/>
          <w:r>
            <w:t>Gadovist</w:t>
          </w:r>
          <w:proofErr w:type="spellEnd"/>
          <w:r>
            <w:t xml:space="preserve"> 1.0</w:t>
          </w:r>
        </w:p>
      </w:tc>
      <w:tc>
        <w:tcPr>
          <w:tcW w:w="1206" w:type="dxa"/>
          <w:tcMar>
            <w:top w:w="142" w:type="dxa"/>
            <w:bottom w:w="0" w:type="dxa"/>
          </w:tcMar>
        </w:tcPr>
        <w:p w:rsidR="00DC3496" w:rsidRPr="00981D66" w:rsidRDefault="00DC3496"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F72DA2">
            <w:rPr>
              <w:noProof/>
            </w:rPr>
            <w:t>2</w:t>
          </w:r>
          <w:r w:rsidRPr="00981D66">
            <w:fldChar w:fldCharType="end"/>
          </w:r>
          <w:r w:rsidRPr="00981D66">
            <w:t xml:space="preserve"> of </w:t>
          </w:r>
          <w:r w:rsidR="00F72DA2">
            <w:fldChar w:fldCharType="begin"/>
          </w:r>
          <w:r w:rsidR="00F72DA2">
            <w:instrText xml:space="preserve"> NUMPAGES  \* Arabic  \* MERGEFORMAT </w:instrText>
          </w:r>
          <w:r w:rsidR="00F72DA2">
            <w:fldChar w:fldCharType="separate"/>
          </w:r>
          <w:r w:rsidR="00F72DA2">
            <w:rPr>
              <w:noProof/>
            </w:rPr>
            <w:t>34</w:t>
          </w:r>
          <w:r w:rsidR="00F72DA2">
            <w:rPr>
              <w:noProof/>
            </w:rPr>
            <w:fldChar w:fldCharType="end"/>
          </w:r>
        </w:p>
      </w:tc>
    </w:tr>
  </w:tbl>
  <w:p w:rsidR="00DC3496" w:rsidRDefault="00DC349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C3496" w:rsidRPr="00487162" w:rsidTr="00E45619">
      <w:trPr>
        <w:trHeight w:val="269"/>
      </w:trPr>
      <w:tc>
        <w:tcPr>
          <w:tcW w:w="4519" w:type="dxa"/>
          <w:tcBorders>
            <w:top w:val="single" w:sz="4" w:space="0" w:color="auto"/>
          </w:tcBorders>
          <w:tcMar>
            <w:top w:w="142" w:type="dxa"/>
            <w:bottom w:w="0" w:type="dxa"/>
          </w:tcMar>
        </w:tcPr>
        <w:p w:rsidR="00DC3496" w:rsidRPr="00487162" w:rsidRDefault="00DC3496" w:rsidP="00FE1DEE">
          <w:pPr>
            <w:pStyle w:val="Footer"/>
          </w:pPr>
          <w:r w:rsidRPr="00487162">
            <w:t>Document title, Part #, Section # - Section title</w:t>
          </w:r>
        </w:p>
        <w:p w:rsidR="00DC3496" w:rsidRPr="00487162" w:rsidRDefault="00DC3496" w:rsidP="00FE1DEE">
          <w:pPr>
            <w:pStyle w:val="Footer"/>
          </w:pPr>
          <w:r w:rsidRPr="00487162">
            <w:t>V1.0 October 2010</w:t>
          </w:r>
        </w:p>
      </w:tc>
      <w:tc>
        <w:tcPr>
          <w:tcW w:w="4342" w:type="dxa"/>
          <w:tcBorders>
            <w:top w:val="single" w:sz="4" w:space="0" w:color="auto"/>
          </w:tcBorders>
          <w:tcMar>
            <w:top w:w="142" w:type="dxa"/>
            <w:bottom w:w="0" w:type="dxa"/>
          </w:tcMar>
        </w:tcPr>
        <w:p w:rsidR="00DC3496" w:rsidRPr="00487162" w:rsidRDefault="00DC349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72DA2">
            <w:fldChar w:fldCharType="begin"/>
          </w:r>
          <w:r w:rsidR="00F72DA2">
            <w:instrText xml:space="preserve"> NUMPAGES  </w:instrText>
          </w:r>
          <w:r w:rsidR="00F72DA2">
            <w:fldChar w:fldCharType="separate"/>
          </w:r>
          <w:r w:rsidR="007C0214">
            <w:rPr>
              <w:noProof/>
            </w:rPr>
            <w:t>1</w:t>
          </w:r>
          <w:r w:rsidR="00F72DA2">
            <w:rPr>
              <w:noProof/>
            </w:rPr>
            <w:fldChar w:fldCharType="end"/>
          </w:r>
        </w:p>
      </w:tc>
    </w:tr>
  </w:tbl>
  <w:p w:rsidR="00DC3496" w:rsidRDefault="00DC34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96" w:rsidRDefault="00DC349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C3496" w:rsidTr="0010601F">
      <w:trPr>
        <w:trHeight w:val="108"/>
      </w:trPr>
      <w:tc>
        <w:tcPr>
          <w:tcW w:w="8875" w:type="dxa"/>
          <w:gridSpan w:val="2"/>
          <w:tcBorders>
            <w:bottom w:val="single" w:sz="4" w:space="0" w:color="auto"/>
          </w:tcBorders>
          <w:tcMar>
            <w:right w:w="284" w:type="dxa"/>
          </w:tcMar>
        </w:tcPr>
        <w:p w:rsidR="00DC3496" w:rsidRDefault="00DC3496" w:rsidP="006E08B3">
          <w:pPr>
            <w:pStyle w:val="Heading3"/>
          </w:pPr>
          <w:r>
            <w:t>Copyright</w:t>
          </w:r>
        </w:p>
        <w:p w:rsidR="00DC3496" w:rsidRDefault="00DC3496" w:rsidP="006E08B3">
          <w:r>
            <w:rPr>
              <w:rFonts w:cs="Arial"/>
            </w:rPr>
            <w:t>©</w:t>
          </w:r>
          <w:r>
            <w:t xml:space="preserve"> Commonwealth of Australia [add year]</w:t>
          </w:r>
        </w:p>
        <w:p w:rsidR="00DC3496" w:rsidRDefault="00DC3496" w:rsidP="006E08B3"/>
        <w:p w:rsidR="00DC3496" w:rsidRDefault="00DC349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C3496" w:rsidRDefault="00DC3496" w:rsidP="006E08B3"/>
        <w:p w:rsidR="00DC3496" w:rsidRDefault="00DC3496" w:rsidP="006E08B3">
          <w:pPr>
            <w:pStyle w:val="Heading3"/>
          </w:pPr>
          <w:r>
            <w:t>Confidentiality</w:t>
          </w:r>
        </w:p>
        <w:p w:rsidR="00DC3496" w:rsidRDefault="00DC349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C3496" w:rsidRDefault="00DC3496" w:rsidP="006E08B3"/>
        <w:p w:rsidR="00DC3496" w:rsidRDefault="00DC3496" w:rsidP="006E08B3">
          <w:r>
            <w:t>For submission made by individuals, all personal details, other than your name, will be removed from your submission before it is published on the TGA’s Internet site.</w:t>
          </w:r>
        </w:p>
        <w:p w:rsidR="00DC3496" w:rsidRDefault="00DC3496" w:rsidP="006E08B3"/>
        <w:p w:rsidR="00DC3496" w:rsidRDefault="00DC349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C3496" w:rsidTr="0010601F">
      <w:trPr>
        <w:trHeight w:val="417"/>
      </w:trPr>
      <w:tc>
        <w:tcPr>
          <w:tcW w:w="4519" w:type="dxa"/>
          <w:tcBorders>
            <w:top w:val="single" w:sz="4" w:space="0" w:color="auto"/>
          </w:tcBorders>
          <w:tcMar>
            <w:top w:w="142" w:type="dxa"/>
            <w:bottom w:w="0" w:type="dxa"/>
          </w:tcMar>
        </w:tcPr>
        <w:p w:rsidR="00DC3496" w:rsidRDefault="00DC3496" w:rsidP="006E08B3">
          <w:r>
            <w:t>Document title, Part #, Section # - Section title</w:t>
          </w:r>
        </w:p>
        <w:p w:rsidR="00DC3496" w:rsidRDefault="00DC3496" w:rsidP="006E08B3">
          <w:r>
            <w:t>V1.0 October 2010</w:t>
          </w:r>
        </w:p>
      </w:tc>
      <w:tc>
        <w:tcPr>
          <w:tcW w:w="4356" w:type="dxa"/>
          <w:tcBorders>
            <w:top w:val="single" w:sz="4" w:space="0" w:color="auto"/>
          </w:tcBorders>
          <w:tcMar>
            <w:top w:w="142" w:type="dxa"/>
            <w:bottom w:w="0" w:type="dxa"/>
          </w:tcMar>
        </w:tcPr>
        <w:p w:rsidR="00DC3496" w:rsidRDefault="00DC349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72DA2">
            <w:fldChar w:fldCharType="begin"/>
          </w:r>
          <w:r w:rsidR="00F72DA2">
            <w:instrText xml:space="preserve"> NUMPAGES  \* Arabic </w:instrText>
          </w:r>
          <w:r w:rsidR="00F72DA2">
            <w:fldChar w:fldCharType="separate"/>
          </w:r>
          <w:r w:rsidR="007C0214">
            <w:rPr>
              <w:noProof/>
            </w:rPr>
            <w:t>1</w:t>
          </w:r>
          <w:r w:rsidR="00F72DA2">
            <w:rPr>
              <w:noProof/>
            </w:rPr>
            <w:fldChar w:fldCharType="end"/>
          </w:r>
          <w:r>
            <w:t xml:space="preserve">  </w:t>
          </w:r>
        </w:p>
      </w:tc>
    </w:tr>
  </w:tbl>
  <w:p w:rsidR="00DC3496" w:rsidRDefault="00DC34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496" w:rsidRDefault="00DC3496" w:rsidP="00C40A36">
      <w:pPr>
        <w:spacing w:after="0"/>
      </w:pPr>
      <w:r>
        <w:separator/>
      </w:r>
    </w:p>
  </w:footnote>
  <w:footnote w:type="continuationSeparator" w:id="0">
    <w:p w:rsidR="00DC3496" w:rsidRDefault="00DC3496"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96" w:rsidRDefault="00DC349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96" w:rsidRDefault="00DC3496">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C3496" w:rsidRDefault="00DC3496"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96" w:rsidRDefault="00DC34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96" w:rsidRDefault="00DC349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96" w:rsidRDefault="00DC349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96" w:rsidRDefault="00DC34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96" w:rsidRDefault="00DC349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96" w:rsidRDefault="00DC3496" w:rsidP="006E08B3">
    <w:r>
      <w:t>Therapeutic Goods Administration</w:t>
    </w:r>
  </w:p>
  <w:p w:rsidR="00DC3496" w:rsidRDefault="00DC349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CD5BBE"/>
    <w:multiLevelType w:val="hybridMultilevel"/>
    <w:tmpl w:val="AEA474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nsid w:val="01CF0CF3"/>
    <w:multiLevelType w:val="hybridMultilevel"/>
    <w:tmpl w:val="1E806C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nsid w:val="06871624"/>
    <w:multiLevelType w:val="hybridMultilevel"/>
    <w:tmpl w:val="437C71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568"/>
        </w:tabs>
        <w:ind w:left="568" w:hanging="284"/>
      </w:pPr>
      <w:rPr>
        <w:rFonts w:ascii="Times New Roman" w:hAnsi="Times New Roman" w:cs="Times New Roman" w:hint="default"/>
      </w:rPr>
    </w:lvl>
    <w:lvl w:ilvl="1" w:tplc="0C090003">
      <w:start w:val="1"/>
      <w:numFmt w:val="bullet"/>
      <w:lvlText w:val="o"/>
      <w:lvlJc w:val="left"/>
      <w:pPr>
        <w:tabs>
          <w:tab w:val="num" w:pos="2008"/>
        </w:tabs>
        <w:ind w:left="2008" w:hanging="360"/>
      </w:pPr>
      <w:rPr>
        <w:rFonts w:ascii="Courier New" w:hAnsi="Courier New" w:cs="Courier New" w:hint="default"/>
      </w:rPr>
    </w:lvl>
    <w:lvl w:ilvl="2" w:tplc="0C090005">
      <w:start w:val="1"/>
      <w:numFmt w:val="bullet"/>
      <w:lvlText w:val=""/>
      <w:lvlJc w:val="left"/>
      <w:pPr>
        <w:tabs>
          <w:tab w:val="num" w:pos="2728"/>
        </w:tabs>
        <w:ind w:left="2728" w:hanging="360"/>
      </w:pPr>
      <w:rPr>
        <w:rFonts w:ascii="Wingdings" w:hAnsi="Wingdings" w:hint="default"/>
      </w:rPr>
    </w:lvl>
    <w:lvl w:ilvl="3" w:tplc="0C090001">
      <w:start w:val="1"/>
      <w:numFmt w:val="bullet"/>
      <w:lvlText w:val=""/>
      <w:lvlJc w:val="left"/>
      <w:pPr>
        <w:tabs>
          <w:tab w:val="num" w:pos="3448"/>
        </w:tabs>
        <w:ind w:left="3448" w:hanging="360"/>
      </w:pPr>
      <w:rPr>
        <w:rFonts w:ascii="Symbol" w:hAnsi="Symbol" w:hint="default"/>
      </w:rPr>
    </w:lvl>
    <w:lvl w:ilvl="4" w:tplc="0C090003">
      <w:start w:val="1"/>
      <w:numFmt w:val="bullet"/>
      <w:lvlText w:val="o"/>
      <w:lvlJc w:val="left"/>
      <w:pPr>
        <w:tabs>
          <w:tab w:val="num" w:pos="4168"/>
        </w:tabs>
        <w:ind w:left="4168" w:hanging="360"/>
      </w:pPr>
      <w:rPr>
        <w:rFonts w:ascii="Courier New" w:hAnsi="Courier New" w:cs="Courier New" w:hint="default"/>
      </w:rPr>
    </w:lvl>
    <w:lvl w:ilvl="5" w:tplc="0C090005">
      <w:start w:val="1"/>
      <w:numFmt w:val="bullet"/>
      <w:lvlText w:val=""/>
      <w:lvlJc w:val="left"/>
      <w:pPr>
        <w:tabs>
          <w:tab w:val="num" w:pos="4888"/>
        </w:tabs>
        <w:ind w:left="4888" w:hanging="360"/>
      </w:pPr>
      <w:rPr>
        <w:rFonts w:ascii="Wingdings" w:hAnsi="Wingdings" w:hint="default"/>
      </w:rPr>
    </w:lvl>
    <w:lvl w:ilvl="6" w:tplc="0C090001">
      <w:start w:val="1"/>
      <w:numFmt w:val="bullet"/>
      <w:lvlText w:val=""/>
      <w:lvlJc w:val="left"/>
      <w:pPr>
        <w:tabs>
          <w:tab w:val="num" w:pos="5608"/>
        </w:tabs>
        <w:ind w:left="5608" w:hanging="360"/>
      </w:pPr>
      <w:rPr>
        <w:rFonts w:ascii="Symbol" w:hAnsi="Symbol" w:hint="default"/>
      </w:rPr>
    </w:lvl>
    <w:lvl w:ilvl="7" w:tplc="0C090003">
      <w:start w:val="1"/>
      <w:numFmt w:val="bullet"/>
      <w:lvlText w:val="o"/>
      <w:lvlJc w:val="left"/>
      <w:pPr>
        <w:tabs>
          <w:tab w:val="num" w:pos="6328"/>
        </w:tabs>
        <w:ind w:left="6328" w:hanging="360"/>
      </w:pPr>
      <w:rPr>
        <w:rFonts w:ascii="Courier New" w:hAnsi="Courier New" w:cs="Courier New" w:hint="default"/>
      </w:rPr>
    </w:lvl>
    <w:lvl w:ilvl="8" w:tplc="0C090005">
      <w:start w:val="1"/>
      <w:numFmt w:val="bullet"/>
      <w:lvlText w:val=""/>
      <w:lvlJc w:val="left"/>
      <w:pPr>
        <w:tabs>
          <w:tab w:val="num" w:pos="7048"/>
        </w:tabs>
        <w:ind w:left="7048" w:hanging="360"/>
      </w:pPr>
      <w:rPr>
        <w:rFonts w:ascii="Wingdings" w:hAnsi="Wingdings" w:hint="default"/>
      </w:rPr>
    </w:lvl>
  </w:abstractNum>
  <w:abstractNum w:abstractNumId="10">
    <w:nsid w:val="337414CE"/>
    <w:multiLevelType w:val="hybridMultilevel"/>
    <w:tmpl w:val="C5E2EB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nsid w:val="39227B16"/>
    <w:multiLevelType w:val="hybridMultilevel"/>
    <w:tmpl w:val="9EFE13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543224C"/>
    <w:multiLevelType w:val="hybridMultilevel"/>
    <w:tmpl w:val="E2F092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nsid w:val="59816397"/>
    <w:multiLevelType w:val="hybridMultilevel"/>
    <w:tmpl w:val="AB660B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706222AD"/>
    <w:multiLevelType w:val="hybridMultilevel"/>
    <w:tmpl w:val="80F005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lvlOverride w:ilvl="0">
      <w:lvl w:ilvl="0">
        <w:start w:val="1"/>
        <w:numFmt w:val="decimal"/>
        <w:pStyle w:val="Numberbullet0"/>
        <w:lvlText w:val="%1."/>
        <w:lvlJc w:val="left"/>
        <w:pPr>
          <w:ind w:left="1145" w:hanging="425"/>
        </w:pPr>
        <w:rPr>
          <w:rFonts w:ascii="Cambria" w:hAnsi="Cambria" w:hint="default"/>
        </w:rPr>
      </w:lvl>
    </w:lvlOverride>
    <w:lvlOverride w:ilvl="1">
      <w:lvl w:ilvl="1">
        <w:start w:val="1"/>
        <w:numFmt w:val="lowerLetter"/>
        <w:pStyle w:val="Numberbullet2"/>
        <w:lvlText w:val="%2."/>
        <w:lvlJc w:val="left"/>
        <w:pPr>
          <w:ind w:left="1571" w:hanging="426"/>
        </w:pPr>
        <w:rPr>
          <w:rFonts w:hint="default"/>
        </w:rPr>
      </w:lvl>
    </w:lvlOverride>
    <w:lvlOverride w:ilvl="2">
      <w:lvl w:ilvl="2">
        <w:start w:val="1"/>
        <w:numFmt w:val="lowerRoman"/>
        <w:pStyle w:val="Numberbullet3"/>
        <w:lvlText w:val="%3."/>
        <w:lvlJc w:val="left"/>
        <w:pPr>
          <w:ind w:left="1996" w:hanging="425"/>
        </w:pPr>
        <w:rPr>
          <w:rFonts w:hint="default"/>
        </w:rPr>
      </w:lvl>
    </w:lvlOverride>
    <w:lvlOverride w:ilvl="3">
      <w:lvl w:ilvl="3">
        <w:start w:val="1"/>
        <w:numFmt w:val="none"/>
        <w:lvlText w:val=""/>
        <w:lvlJc w:val="left"/>
        <w:pPr>
          <w:ind w:left="1996" w:hanging="425"/>
        </w:pPr>
        <w:rPr>
          <w:rFonts w:hint="default"/>
        </w:rPr>
      </w:lvl>
    </w:lvlOverride>
    <w:lvlOverride w:ilvl="4">
      <w:lvl w:ilvl="4">
        <w:start w:val="1"/>
        <w:numFmt w:val="none"/>
        <w:lvlText w:val=""/>
        <w:lvlJc w:val="left"/>
        <w:pPr>
          <w:ind w:left="1996" w:hanging="425"/>
        </w:pPr>
        <w:rPr>
          <w:rFonts w:hint="default"/>
        </w:rPr>
      </w:lvl>
    </w:lvlOverride>
    <w:lvlOverride w:ilvl="5">
      <w:lvl w:ilvl="5">
        <w:start w:val="1"/>
        <w:numFmt w:val="none"/>
        <w:lvlText w:val=""/>
        <w:lvlJc w:val="left"/>
        <w:pPr>
          <w:ind w:left="1996" w:hanging="425"/>
        </w:pPr>
        <w:rPr>
          <w:rFonts w:hint="default"/>
        </w:rPr>
      </w:lvl>
    </w:lvlOverride>
    <w:lvlOverride w:ilvl="6">
      <w:lvl w:ilvl="6">
        <w:start w:val="1"/>
        <w:numFmt w:val="none"/>
        <w:lvlText w:val="%7"/>
        <w:lvlJc w:val="left"/>
        <w:pPr>
          <w:ind w:left="1996" w:hanging="425"/>
        </w:pPr>
        <w:rPr>
          <w:rFonts w:hint="default"/>
        </w:rPr>
      </w:lvl>
    </w:lvlOverride>
    <w:lvlOverride w:ilvl="7">
      <w:lvl w:ilvl="7">
        <w:start w:val="1"/>
        <w:numFmt w:val="none"/>
        <w:lvlText w:val=""/>
        <w:lvlJc w:val="left"/>
        <w:pPr>
          <w:ind w:left="1996" w:hanging="425"/>
        </w:pPr>
        <w:rPr>
          <w:rFonts w:hint="default"/>
        </w:rPr>
      </w:lvl>
    </w:lvlOverride>
    <w:lvlOverride w:ilvl="8">
      <w:lvl w:ilvl="8">
        <w:start w:val="1"/>
        <w:numFmt w:val="none"/>
        <w:lvlText w:val=""/>
        <w:lvlJc w:val="left"/>
        <w:pPr>
          <w:ind w:left="1996" w:hanging="425"/>
        </w:pPr>
        <w:rPr>
          <w:rFonts w:hint="default"/>
        </w:rPr>
      </w:lvl>
    </w:lvlOverride>
  </w:num>
  <w:num w:numId="25">
    <w:abstractNumId w:val="13"/>
  </w:num>
  <w:num w:numId="26">
    <w:abstractNumId w:val="14"/>
  </w:num>
  <w:num w:numId="27">
    <w:abstractNumId w:val="17"/>
  </w:num>
  <w:num w:numId="28">
    <w:abstractNumId w:val="18"/>
  </w:num>
  <w:num w:numId="29">
    <w:abstractNumId w:val="19"/>
  </w:num>
  <w:num w:numId="30">
    <w:abstractNumId w:val="19"/>
  </w:num>
  <w:num w:numId="31">
    <w:abstractNumId w:val="19"/>
  </w:num>
  <w:num w:numId="3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9"/>
  </w:num>
  <w:num w:numId="34">
    <w:abstractNumId w:val="12"/>
  </w:num>
  <w:num w:numId="35">
    <w:abstractNumId w:val="10"/>
  </w:num>
  <w:num w:numId="36">
    <w:abstractNumId w:val="15"/>
  </w:num>
  <w:num w:numId="37">
    <w:abstractNumId w:val="20"/>
  </w:num>
  <w:num w:numId="38">
    <w:abstractNumId w:val="4"/>
  </w:num>
  <w:num w:numId="39">
    <w:abstractNumId w:val="5"/>
  </w:num>
  <w:num w:numId="40">
    <w:abstractNumId w:val="6"/>
  </w:num>
  <w:num w:numId="41">
    <w:abstractNumId w:val="16"/>
  </w:num>
  <w:num w:numId="42">
    <w:abstractNumId w:val="11"/>
  </w:num>
  <w:num w:numId="4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4D1"/>
    <w:rsid w:val="00002031"/>
    <w:rsid w:val="00004734"/>
    <w:rsid w:val="00006B22"/>
    <w:rsid w:val="0001276A"/>
    <w:rsid w:val="000246AE"/>
    <w:rsid w:val="00025C67"/>
    <w:rsid w:val="00040ACB"/>
    <w:rsid w:val="0005559E"/>
    <w:rsid w:val="00077775"/>
    <w:rsid w:val="00090471"/>
    <w:rsid w:val="00097B5E"/>
    <w:rsid w:val="000A3AED"/>
    <w:rsid w:val="000A63AF"/>
    <w:rsid w:val="000B3532"/>
    <w:rsid w:val="000B3A75"/>
    <w:rsid w:val="000C690F"/>
    <w:rsid w:val="000D1295"/>
    <w:rsid w:val="000D391B"/>
    <w:rsid w:val="000D3D6D"/>
    <w:rsid w:val="000D4FC7"/>
    <w:rsid w:val="000F02F9"/>
    <w:rsid w:val="000F3492"/>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56740"/>
    <w:rsid w:val="0016229D"/>
    <w:rsid w:val="00165389"/>
    <w:rsid w:val="0017078F"/>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D73B1"/>
    <w:rsid w:val="002E4C9A"/>
    <w:rsid w:val="002F11F8"/>
    <w:rsid w:val="002F3F56"/>
    <w:rsid w:val="002F44B5"/>
    <w:rsid w:val="00311AC0"/>
    <w:rsid w:val="0032583B"/>
    <w:rsid w:val="00327883"/>
    <w:rsid w:val="00335504"/>
    <w:rsid w:val="003521E8"/>
    <w:rsid w:val="00363A39"/>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595"/>
    <w:rsid w:val="00463658"/>
    <w:rsid w:val="004722CC"/>
    <w:rsid w:val="004855BD"/>
    <w:rsid w:val="004936E4"/>
    <w:rsid w:val="00494E60"/>
    <w:rsid w:val="00497487"/>
    <w:rsid w:val="004A0685"/>
    <w:rsid w:val="004A7E13"/>
    <w:rsid w:val="004B7B76"/>
    <w:rsid w:val="004C2DCA"/>
    <w:rsid w:val="004F0F38"/>
    <w:rsid w:val="004F326A"/>
    <w:rsid w:val="004F4AF5"/>
    <w:rsid w:val="004F7B3F"/>
    <w:rsid w:val="00501921"/>
    <w:rsid w:val="00530354"/>
    <w:rsid w:val="0053625B"/>
    <w:rsid w:val="005367B8"/>
    <w:rsid w:val="005434C6"/>
    <w:rsid w:val="00543B39"/>
    <w:rsid w:val="00550096"/>
    <w:rsid w:val="00557FF9"/>
    <w:rsid w:val="00564635"/>
    <w:rsid w:val="00576378"/>
    <w:rsid w:val="00577945"/>
    <w:rsid w:val="00577E38"/>
    <w:rsid w:val="00585322"/>
    <w:rsid w:val="005857C6"/>
    <w:rsid w:val="00586F98"/>
    <w:rsid w:val="00592F6E"/>
    <w:rsid w:val="00593AD1"/>
    <w:rsid w:val="005A68B6"/>
    <w:rsid w:val="005B637C"/>
    <w:rsid w:val="005C5570"/>
    <w:rsid w:val="005C79A4"/>
    <w:rsid w:val="005D5442"/>
    <w:rsid w:val="00603F32"/>
    <w:rsid w:val="006170F0"/>
    <w:rsid w:val="00620406"/>
    <w:rsid w:val="00632398"/>
    <w:rsid w:val="006334DD"/>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0214"/>
    <w:rsid w:val="007C1216"/>
    <w:rsid w:val="007C1AF7"/>
    <w:rsid w:val="007D2075"/>
    <w:rsid w:val="007E6E27"/>
    <w:rsid w:val="007F3E00"/>
    <w:rsid w:val="00805D27"/>
    <w:rsid w:val="00821776"/>
    <w:rsid w:val="008321F5"/>
    <w:rsid w:val="00832369"/>
    <w:rsid w:val="00834660"/>
    <w:rsid w:val="00836BC2"/>
    <w:rsid w:val="008414A0"/>
    <w:rsid w:val="0085641B"/>
    <w:rsid w:val="008564D1"/>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2B16"/>
    <w:rsid w:val="009438E8"/>
    <w:rsid w:val="0094614A"/>
    <w:rsid w:val="00946EA5"/>
    <w:rsid w:val="0095160F"/>
    <w:rsid w:val="00963C08"/>
    <w:rsid w:val="00981D66"/>
    <w:rsid w:val="0098585A"/>
    <w:rsid w:val="0098669D"/>
    <w:rsid w:val="00994C95"/>
    <w:rsid w:val="009A4CED"/>
    <w:rsid w:val="009A690D"/>
    <w:rsid w:val="009B1D12"/>
    <w:rsid w:val="009B263A"/>
    <w:rsid w:val="009B416B"/>
    <w:rsid w:val="009C4BD5"/>
    <w:rsid w:val="009D7B77"/>
    <w:rsid w:val="009E0BB0"/>
    <w:rsid w:val="009E3FBB"/>
    <w:rsid w:val="009F7336"/>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B4D1C"/>
    <w:rsid w:val="00AC2B40"/>
    <w:rsid w:val="00AC2BB2"/>
    <w:rsid w:val="00AC2C3C"/>
    <w:rsid w:val="00AC512D"/>
    <w:rsid w:val="00AE01C2"/>
    <w:rsid w:val="00AE65EB"/>
    <w:rsid w:val="00AE67A7"/>
    <w:rsid w:val="00AF1D94"/>
    <w:rsid w:val="00AF60C5"/>
    <w:rsid w:val="00B009C6"/>
    <w:rsid w:val="00B01548"/>
    <w:rsid w:val="00B02208"/>
    <w:rsid w:val="00B06B8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A2BB7"/>
    <w:rsid w:val="00BC622A"/>
    <w:rsid w:val="00BD45E3"/>
    <w:rsid w:val="00BE0A78"/>
    <w:rsid w:val="00BE32A6"/>
    <w:rsid w:val="00BE4592"/>
    <w:rsid w:val="00BE6252"/>
    <w:rsid w:val="00BE79F0"/>
    <w:rsid w:val="00BF046D"/>
    <w:rsid w:val="00BF1190"/>
    <w:rsid w:val="00BF5D04"/>
    <w:rsid w:val="00C04FBC"/>
    <w:rsid w:val="00C1164D"/>
    <w:rsid w:val="00C137CE"/>
    <w:rsid w:val="00C16861"/>
    <w:rsid w:val="00C22678"/>
    <w:rsid w:val="00C404A6"/>
    <w:rsid w:val="00C40A36"/>
    <w:rsid w:val="00C44419"/>
    <w:rsid w:val="00C45E7B"/>
    <w:rsid w:val="00C4625F"/>
    <w:rsid w:val="00C471B1"/>
    <w:rsid w:val="00C5782C"/>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1568"/>
    <w:rsid w:val="00D83AE1"/>
    <w:rsid w:val="00D855D4"/>
    <w:rsid w:val="00D87961"/>
    <w:rsid w:val="00D93466"/>
    <w:rsid w:val="00DA1124"/>
    <w:rsid w:val="00DB75B7"/>
    <w:rsid w:val="00DC156B"/>
    <w:rsid w:val="00DC3496"/>
    <w:rsid w:val="00DC6E02"/>
    <w:rsid w:val="00DE02AE"/>
    <w:rsid w:val="00DF1D7F"/>
    <w:rsid w:val="00DF4BE4"/>
    <w:rsid w:val="00DF53F2"/>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DE8"/>
    <w:rsid w:val="00F033EC"/>
    <w:rsid w:val="00F03B42"/>
    <w:rsid w:val="00F04F68"/>
    <w:rsid w:val="00F12670"/>
    <w:rsid w:val="00F14B27"/>
    <w:rsid w:val="00F3148D"/>
    <w:rsid w:val="00F325C5"/>
    <w:rsid w:val="00F32FE0"/>
    <w:rsid w:val="00F35298"/>
    <w:rsid w:val="00F43EE0"/>
    <w:rsid w:val="00F47333"/>
    <w:rsid w:val="00F47E37"/>
    <w:rsid w:val="00F53C07"/>
    <w:rsid w:val="00F54B65"/>
    <w:rsid w:val="00F640B6"/>
    <w:rsid w:val="00F72DA2"/>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564D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64D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8564D1"/>
    <w:pPr>
      <w:numPr>
        <w:numId w:val="33"/>
      </w:numPr>
      <w:spacing w:after="0" w:line="240" w:lineRule="auto"/>
    </w:pPr>
    <w:rPr>
      <w:rFonts w:eastAsia="Times New Roman"/>
      <w:kern w:val="24"/>
      <w:szCs w:val="24"/>
      <w:lang w:eastAsia="en-AU"/>
    </w:rPr>
  </w:style>
  <w:style w:type="paragraph" w:customStyle="1" w:styleId="Bullet2">
    <w:name w:val="Bullet 2"/>
    <w:basedOn w:val="Bullet1"/>
    <w:rsid w:val="008564D1"/>
    <w:pPr>
      <w:numPr>
        <w:numId w:val="34"/>
      </w:numPr>
    </w:pPr>
  </w:style>
  <w:style w:type="paragraph" w:styleId="ListParagraph">
    <w:name w:val="List Paragraph"/>
    <w:basedOn w:val="Normal"/>
    <w:uiPriority w:val="34"/>
    <w:qFormat/>
    <w:rsid w:val="008564D1"/>
    <w:pPr>
      <w:spacing w:before="0" w:after="0" w:line="240" w:lineRule="auto"/>
      <w:ind w:left="720"/>
    </w:pPr>
    <w:rPr>
      <w:rFonts w:ascii="Times New Roman" w:eastAsia="Times New Roman" w:hAnsi="Times New Roman"/>
      <w:sz w:val="20"/>
      <w:szCs w:val="20"/>
    </w:rPr>
  </w:style>
  <w:style w:type="character" w:customStyle="1" w:styleId="Heading8Char">
    <w:name w:val="Heading 8 Char"/>
    <w:basedOn w:val="DefaultParagraphFont"/>
    <w:link w:val="Heading8"/>
    <w:uiPriority w:val="9"/>
    <w:semiHidden/>
    <w:rsid w:val="008564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64D1"/>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564D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64D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8564D1"/>
    <w:pPr>
      <w:numPr>
        <w:numId w:val="33"/>
      </w:numPr>
      <w:spacing w:after="0" w:line="240" w:lineRule="auto"/>
    </w:pPr>
    <w:rPr>
      <w:rFonts w:eastAsia="Times New Roman"/>
      <w:kern w:val="24"/>
      <w:szCs w:val="24"/>
      <w:lang w:eastAsia="en-AU"/>
    </w:rPr>
  </w:style>
  <w:style w:type="paragraph" w:customStyle="1" w:styleId="Bullet2">
    <w:name w:val="Bullet 2"/>
    <w:basedOn w:val="Bullet1"/>
    <w:rsid w:val="008564D1"/>
    <w:pPr>
      <w:numPr>
        <w:numId w:val="34"/>
      </w:numPr>
    </w:pPr>
  </w:style>
  <w:style w:type="paragraph" w:styleId="ListParagraph">
    <w:name w:val="List Paragraph"/>
    <w:basedOn w:val="Normal"/>
    <w:uiPriority w:val="34"/>
    <w:qFormat/>
    <w:rsid w:val="008564D1"/>
    <w:pPr>
      <w:spacing w:before="0" w:after="0" w:line="240" w:lineRule="auto"/>
      <w:ind w:left="720"/>
    </w:pPr>
    <w:rPr>
      <w:rFonts w:ascii="Times New Roman" w:eastAsia="Times New Roman" w:hAnsi="Times New Roman"/>
      <w:sz w:val="20"/>
      <w:szCs w:val="20"/>
    </w:rPr>
  </w:style>
  <w:style w:type="character" w:customStyle="1" w:styleId="Heading8Char">
    <w:name w:val="Heading 8 Char"/>
    <w:basedOn w:val="DefaultParagraphFont"/>
    <w:link w:val="Heading8"/>
    <w:uiPriority w:val="9"/>
    <w:semiHidden/>
    <w:rsid w:val="008564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64D1"/>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4788">
      <w:bodyDiv w:val="1"/>
      <w:marLeft w:val="0"/>
      <w:marRight w:val="0"/>
      <w:marTop w:val="0"/>
      <w:marBottom w:val="0"/>
      <w:divBdr>
        <w:top w:val="none" w:sz="0" w:space="0" w:color="auto"/>
        <w:left w:val="none" w:sz="0" w:space="0" w:color="auto"/>
        <w:bottom w:val="none" w:sz="0" w:space="0" w:color="auto"/>
        <w:right w:val="none" w:sz="0" w:space="0" w:color="auto"/>
      </w:divBdr>
    </w:div>
    <w:div w:id="93599452">
      <w:bodyDiv w:val="1"/>
      <w:marLeft w:val="0"/>
      <w:marRight w:val="0"/>
      <w:marTop w:val="0"/>
      <w:marBottom w:val="0"/>
      <w:divBdr>
        <w:top w:val="none" w:sz="0" w:space="0" w:color="auto"/>
        <w:left w:val="none" w:sz="0" w:space="0" w:color="auto"/>
        <w:bottom w:val="none" w:sz="0" w:space="0" w:color="auto"/>
        <w:right w:val="none" w:sz="0" w:space="0" w:color="auto"/>
      </w:divBdr>
    </w:div>
    <w:div w:id="261643865">
      <w:bodyDiv w:val="1"/>
      <w:marLeft w:val="0"/>
      <w:marRight w:val="0"/>
      <w:marTop w:val="0"/>
      <w:marBottom w:val="0"/>
      <w:divBdr>
        <w:top w:val="none" w:sz="0" w:space="0" w:color="auto"/>
        <w:left w:val="none" w:sz="0" w:space="0" w:color="auto"/>
        <w:bottom w:val="none" w:sz="0" w:space="0" w:color="auto"/>
        <w:right w:val="none" w:sz="0" w:space="0" w:color="auto"/>
      </w:divBdr>
    </w:div>
    <w:div w:id="296028219">
      <w:bodyDiv w:val="1"/>
      <w:marLeft w:val="0"/>
      <w:marRight w:val="0"/>
      <w:marTop w:val="0"/>
      <w:marBottom w:val="0"/>
      <w:divBdr>
        <w:top w:val="none" w:sz="0" w:space="0" w:color="auto"/>
        <w:left w:val="none" w:sz="0" w:space="0" w:color="auto"/>
        <w:bottom w:val="none" w:sz="0" w:space="0" w:color="auto"/>
        <w:right w:val="none" w:sz="0" w:space="0" w:color="auto"/>
      </w:divBdr>
    </w:div>
    <w:div w:id="454182966">
      <w:bodyDiv w:val="1"/>
      <w:marLeft w:val="0"/>
      <w:marRight w:val="0"/>
      <w:marTop w:val="0"/>
      <w:marBottom w:val="0"/>
      <w:divBdr>
        <w:top w:val="none" w:sz="0" w:space="0" w:color="auto"/>
        <w:left w:val="none" w:sz="0" w:space="0" w:color="auto"/>
        <w:bottom w:val="none" w:sz="0" w:space="0" w:color="auto"/>
        <w:right w:val="none" w:sz="0" w:space="0" w:color="auto"/>
      </w:divBdr>
    </w:div>
    <w:div w:id="479617969">
      <w:bodyDiv w:val="1"/>
      <w:marLeft w:val="0"/>
      <w:marRight w:val="0"/>
      <w:marTop w:val="0"/>
      <w:marBottom w:val="0"/>
      <w:divBdr>
        <w:top w:val="none" w:sz="0" w:space="0" w:color="auto"/>
        <w:left w:val="none" w:sz="0" w:space="0" w:color="auto"/>
        <w:bottom w:val="none" w:sz="0" w:space="0" w:color="auto"/>
        <w:right w:val="none" w:sz="0" w:space="0" w:color="auto"/>
      </w:divBdr>
    </w:div>
    <w:div w:id="646785711">
      <w:bodyDiv w:val="1"/>
      <w:marLeft w:val="0"/>
      <w:marRight w:val="0"/>
      <w:marTop w:val="0"/>
      <w:marBottom w:val="0"/>
      <w:divBdr>
        <w:top w:val="none" w:sz="0" w:space="0" w:color="auto"/>
        <w:left w:val="none" w:sz="0" w:space="0" w:color="auto"/>
        <w:bottom w:val="none" w:sz="0" w:space="0" w:color="auto"/>
        <w:right w:val="none" w:sz="0" w:space="0" w:color="auto"/>
      </w:divBdr>
    </w:div>
    <w:div w:id="761879814">
      <w:bodyDiv w:val="1"/>
      <w:marLeft w:val="0"/>
      <w:marRight w:val="0"/>
      <w:marTop w:val="0"/>
      <w:marBottom w:val="0"/>
      <w:divBdr>
        <w:top w:val="none" w:sz="0" w:space="0" w:color="auto"/>
        <w:left w:val="none" w:sz="0" w:space="0" w:color="auto"/>
        <w:bottom w:val="none" w:sz="0" w:space="0" w:color="auto"/>
        <w:right w:val="none" w:sz="0" w:space="0" w:color="auto"/>
      </w:divBdr>
    </w:div>
    <w:div w:id="771705064">
      <w:bodyDiv w:val="1"/>
      <w:marLeft w:val="0"/>
      <w:marRight w:val="0"/>
      <w:marTop w:val="0"/>
      <w:marBottom w:val="0"/>
      <w:divBdr>
        <w:top w:val="none" w:sz="0" w:space="0" w:color="auto"/>
        <w:left w:val="none" w:sz="0" w:space="0" w:color="auto"/>
        <w:bottom w:val="none" w:sz="0" w:space="0" w:color="auto"/>
        <w:right w:val="none" w:sz="0" w:space="0" w:color="auto"/>
      </w:divBdr>
    </w:div>
    <w:div w:id="812677561">
      <w:bodyDiv w:val="1"/>
      <w:marLeft w:val="0"/>
      <w:marRight w:val="0"/>
      <w:marTop w:val="0"/>
      <w:marBottom w:val="0"/>
      <w:divBdr>
        <w:top w:val="none" w:sz="0" w:space="0" w:color="auto"/>
        <w:left w:val="none" w:sz="0" w:space="0" w:color="auto"/>
        <w:bottom w:val="none" w:sz="0" w:space="0" w:color="auto"/>
        <w:right w:val="none" w:sz="0" w:space="0" w:color="auto"/>
      </w:divBdr>
    </w:div>
    <w:div w:id="1244802089">
      <w:bodyDiv w:val="1"/>
      <w:marLeft w:val="0"/>
      <w:marRight w:val="0"/>
      <w:marTop w:val="0"/>
      <w:marBottom w:val="0"/>
      <w:divBdr>
        <w:top w:val="none" w:sz="0" w:space="0" w:color="auto"/>
        <w:left w:val="none" w:sz="0" w:space="0" w:color="auto"/>
        <w:bottom w:val="none" w:sz="0" w:space="0" w:color="auto"/>
        <w:right w:val="none" w:sz="0" w:space="0" w:color="auto"/>
      </w:divBdr>
    </w:div>
    <w:div w:id="1512984356">
      <w:bodyDiv w:val="1"/>
      <w:marLeft w:val="0"/>
      <w:marRight w:val="0"/>
      <w:marTop w:val="0"/>
      <w:marBottom w:val="0"/>
      <w:divBdr>
        <w:top w:val="none" w:sz="0" w:space="0" w:color="auto"/>
        <w:left w:val="none" w:sz="0" w:space="0" w:color="auto"/>
        <w:bottom w:val="none" w:sz="0" w:space="0" w:color="auto"/>
        <w:right w:val="none" w:sz="0" w:space="0" w:color="auto"/>
      </w:divBdr>
    </w:div>
    <w:div w:id="1611278117">
      <w:bodyDiv w:val="1"/>
      <w:marLeft w:val="0"/>
      <w:marRight w:val="0"/>
      <w:marTop w:val="0"/>
      <w:marBottom w:val="0"/>
      <w:divBdr>
        <w:top w:val="none" w:sz="0" w:space="0" w:color="auto"/>
        <w:left w:val="none" w:sz="0" w:space="0" w:color="auto"/>
        <w:bottom w:val="none" w:sz="0" w:space="0" w:color="auto"/>
        <w:right w:val="none" w:sz="0" w:space="0" w:color="auto"/>
      </w:divBdr>
    </w:div>
    <w:div w:id="1766075707">
      <w:bodyDiv w:val="1"/>
      <w:marLeft w:val="0"/>
      <w:marRight w:val="0"/>
      <w:marTop w:val="0"/>
      <w:marBottom w:val="0"/>
      <w:divBdr>
        <w:top w:val="none" w:sz="0" w:space="0" w:color="auto"/>
        <w:left w:val="none" w:sz="0" w:space="0" w:color="auto"/>
        <w:bottom w:val="none" w:sz="0" w:space="0" w:color="auto"/>
        <w:right w:val="none" w:sz="0" w:space="0" w:color="auto"/>
      </w:divBdr>
    </w:div>
    <w:div w:id="1922641562">
      <w:bodyDiv w:val="1"/>
      <w:marLeft w:val="0"/>
      <w:marRight w:val="0"/>
      <w:marTop w:val="0"/>
      <w:marBottom w:val="0"/>
      <w:divBdr>
        <w:top w:val="none" w:sz="0" w:space="0" w:color="auto"/>
        <w:left w:val="none" w:sz="0" w:space="0" w:color="auto"/>
        <w:bottom w:val="none" w:sz="0" w:space="0" w:color="auto"/>
        <w:right w:val="none" w:sz="0" w:space="0" w:color="auto"/>
      </w:divBdr>
    </w:div>
    <w:div w:id="1948929473">
      <w:bodyDiv w:val="1"/>
      <w:marLeft w:val="0"/>
      <w:marRight w:val="0"/>
      <w:marTop w:val="0"/>
      <w:marBottom w:val="0"/>
      <w:divBdr>
        <w:top w:val="none" w:sz="0" w:space="0" w:color="auto"/>
        <w:left w:val="none" w:sz="0" w:space="0" w:color="auto"/>
        <w:bottom w:val="none" w:sz="0" w:space="0" w:color="auto"/>
        <w:right w:val="none" w:sz="0" w:space="0" w:color="auto"/>
      </w:divBdr>
    </w:div>
    <w:div w:id="200392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microsoft.com/office/2007/relationships/hdphoto" Target="media/hdphoto1.wd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file:///I:\apps\OMA\AusPARs\Working%20documents\PM-2015-01572-1-2\Word%20documents\M5%20Clinical%20evaluation%20report%20-%20round%202.DOCX" TargetMode="External"/><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hyperlink" Target="file:///I:\apps\OMA\AusPARs\Working%20documents\PM-2015-01572-1-2\Word%20documents\M5%20Clinical%20evaluation%20report%20-%20round%202.DOCX" TargetMode="External"/><Relationship Id="rId38" Type="http://schemas.openxmlformats.org/officeDocument/2006/relationships/header" Target="header5.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4.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openxmlformats.org/officeDocument/2006/relationships/hyperlink" Target="file:///I:\apps\OMA\AusPARs\Working%20documents\PM-2015-01572-1-2\Word%20documents\M5%20Clinical%20evaluation%20report%20-%20round%202.DOCX" TargetMode="External"/><Relationship Id="rId37" Type="http://schemas.openxmlformats.org/officeDocument/2006/relationships/header" Target="header4.xml"/><Relationship Id="rId40" Type="http://schemas.openxmlformats.org/officeDocument/2006/relationships/hyperlink" Target="mailto:info@tga.gov.au" TargetMode="Externa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file:///I:\apps\OMA\AusPARs\Working%20documents\PM-2015-01572-1-2\Word%20documents\M5%20Clinical%20evaluation%20report%20-%20round%202.DOCX" TargetMode="External"/><Relationship Id="rId28" Type="http://schemas.microsoft.com/office/2007/relationships/hdphoto" Target="media/hdphoto2.wdp"/><Relationship Id="rId36" Type="http://schemas.openxmlformats.org/officeDocument/2006/relationships/header" Target="header3.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hyperlink" Target="file:///I:\apps\OMA\AusPARs\Working%20documents\PM-2015-01572-1-2\Word%20documents\M5%20Clinical%20evaluation%20report%20-%20round%202.DOCX"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3.wdp"/><Relationship Id="rId35" Type="http://schemas.openxmlformats.org/officeDocument/2006/relationships/hyperlink" Target="http://www.ncbi.nlm.nih.gov/pubmed/?term=Wahl+2003+BJU" TargetMode="External"/><Relationship Id="rId43" Type="http://schemas.openxmlformats.org/officeDocument/2006/relationships/header" Target="header7.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71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125B2-9E67-4210-8F7E-63AE33CE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7</TotalTime>
  <Pages>34</Pages>
  <Words>9542</Words>
  <Characters>51724</Characters>
  <Application>Microsoft Office Word</Application>
  <DocSecurity>0</DocSecurity>
  <Lines>1261</Lines>
  <Paragraphs>589</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
  <LinksUpToDate>false</LinksUpToDate>
  <CharactersWithSpaces>60677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Gadobutrol</dc:title>
  <dc:subject>prescription medicines</dc:subject>
  <dc:creator>Therapeutic Goods Administration</dc:creator>
  <cp:keywords>AusPARs</cp:keywords>
  <cp:lastModifiedBy>LACK, Janet</cp:lastModifiedBy>
  <cp:revision>3</cp:revision>
  <cp:lastPrinted>2015-09-22T23:53:00Z</cp:lastPrinted>
  <dcterms:created xsi:type="dcterms:W3CDTF">2017-01-30T23:39:00Z</dcterms:created>
  <dcterms:modified xsi:type="dcterms:W3CDTF">2017-02-08T05:34:00Z</dcterms:modified>
</cp:coreProperties>
</file>