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A0661B" w:rsidP="00FD4719">
            <w:pPr>
              <w:rPr>
                <w:rFonts w:ascii="Arial" w:hAnsi="Arial" w:cs="Arial"/>
                <w:b/>
                <w:color w:val="002C47"/>
                <w:sz w:val="36"/>
                <w:szCs w:val="36"/>
              </w:rPr>
            </w:pPr>
            <w:r>
              <w:rPr>
                <w:rFonts w:ascii="Arial" w:hAnsi="Arial" w:cs="Arial"/>
                <w:b/>
                <w:color w:val="002C47"/>
                <w:sz w:val="36"/>
                <w:szCs w:val="36"/>
              </w:rPr>
              <w:t>Ju</w:t>
            </w:r>
            <w:r w:rsidR="00FD4719">
              <w:rPr>
                <w:rFonts w:ascii="Arial" w:hAnsi="Arial" w:cs="Arial"/>
                <w:b/>
                <w:color w:val="002C47"/>
                <w:sz w:val="36"/>
                <w:szCs w:val="36"/>
              </w:rPr>
              <w:t>ly</w:t>
            </w:r>
            <w:r>
              <w:rPr>
                <w:rFonts w:ascii="Arial" w:hAnsi="Arial" w:cs="Arial"/>
                <w:b/>
                <w:color w:val="002C47"/>
                <w:sz w:val="36"/>
                <w:szCs w:val="36"/>
              </w:rPr>
              <w:t xml:space="preserve"> 2016</w:t>
            </w:r>
          </w:p>
        </w:tc>
      </w:tr>
    </w:tbl>
    <w:tbl>
      <w:tblPr>
        <w:tblpPr w:leftFromText="180" w:rightFromText="180" w:vertAnchor="page" w:tblpY="3316"/>
        <w:tblW w:w="9365" w:type="dxa"/>
        <w:tblLayout w:type="fixed"/>
        <w:tblLook w:val="04A0" w:firstRow="1" w:lastRow="0" w:firstColumn="1" w:lastColumn="0" w:noHBand="0" w:noVBand="1"/>
      </w:tblPr>
      <w:tblGrid>
        <w:gridCol w:w="9365"/>
      </w:tblGrid>
      <w:tr w:rsidR="0032583B" w:rsidRPr="00A964D1" w:rsidTr="00A0661B">
        <w:trPr>
          <w:trHeight w:val="981"/>
        </w:trPr>
        <w:tc>
          <w:tcPr>
            <w:tcW w:w="9365" w:type="dxa"/>
          </w:tcPr>
          <w:p w:rsidR="0032583B" w:rsidRPr="00A964D1" w:rsidRDefault="0032583B" w:rsidP="00A0661B">
            <w:pPr>
              <w:pStyle w:val="Title"/>
              <w:rPr>
                <w:color w:val="FFFFFF" w:themeColor="background1"/>
              </w:rPr>
            </w:pPr>
            <w:r w:rsidRPr="00A964D1">
              <w:rPr>
                <w:color w:val="FFFFFF" w:themeColor="background1"/>
              </w:rPr>
              <w:t>Australian Public Assessment Report for</w:t>
            </w:r>
            <w:r w:rsidR="00A0661B">
              <w:t xml:space="preserve"> </w:t>
            </w:r>
            <w:proofErr w:type="spellStart"/>
            <w:r w:rsidR="00A0661B" w:rsidRPr="00A0661B">
              <w:rPr>
                <w:color w:val="FFFFFF" w:themeColor="background1"/>
              </w:rPr>
              <w:t>Gliclazide</w:t>
            </w:r>
            <w:proofErr w:type="spellEnd"/>
          </w:p>
        </w:tc>
      </w:tr>
      <w:tr w:rsidR="0032583B" w:rsidRPr="00B64760" w:rsidTr="00A0661B">
        <w:trPr>
          <w:trHeight w:val="4126"/>
        </w:trPr>
        <w:tc>
          <w:tcPr>
            <w:tcW w:w="9365" w:type="dxa"/>
          </w:tcPr>
          <w:p w:rsidR="00DE6BB6" w:rsidRDefault="0032583B" w:rsidP="00DE6BB6">
            <w:pPr>
              <w:pStyle w:val="Subtitle"/>
              <w:framePr w:hSpace="0" w:wrap="auto" w:vAnchor="margin" w:yAlign="inline"/>
            </w:pPr>
            <w:r w:rsidRPr="00DE6BB6">
              <w:t xml:space="preserve">Proprietary Product Name: </w:t>
            </w:r>
            <w:proofErr w:type="spellStart"/>
            <w:r w:rsidR="00A0661B" w:rsidRPr="00DE6BB6">
              <w:t>Gliclazide</w:t>
            </w:r>
            <w:proofErr w:type="spellEnd"/>
            <w:r w:rsidR="00A0661B" w:rsidRPr="00DE6BB6">
              <w:t xml:space="preserve"> </w:t>
            </w:r>
            <w:proofErr w:type="spellStart"/>
            <w:r w:rsidR="00A0661B" w:rsidRPr="00DE6BB6">
              <w:t>Gppl</w:t>
            </w:r>
            <w:proofErr w:type="spellEnd"/>
            <w:r w:rsidR="00A0661B" w:rsidRPr="00DE6BB6">
              <w:t xml:space="preserve"> MR 30; </w:t>
            </w:r>
            <w:proofErr w:type="spellStart"/>
            <w:r w:rsidR="00A0661B" w:rsidRPr="00DE6BB6">
              <w:t>Gliclazide</w:t>
            </w:r>
            <w:proofErr w:type="spellEnd"/>
            <w:r w:rsidR="00A0661B" w:rsidRPr="00DE6BB6">
              <w:t xml:space="preserve"> </w:t>
            </w:r>
            <w:proofErr w:type="spellStart"/>
            <w:r w:rsidR="00A0661B" w:rsidRPr="00DE6BB6">
              <w:t>Gxp</w:t>
            </w:r>
            <w:proofErr w:type="spellEnd"/>
            <w:r w:rsidR="00A0661B" w:rsidRPr="00DE6BB6">
              <w:t xml:space="preserve"> MR 60; </w:t>
            </w:r>
            <w:proofErr w:type="spellStart"/>
            <w:r w:rsidR="00A0661B" w:rsidRPr="00DE6BB6">
              <w:t>Gliclazide</w:t>
            </w:r>
            <w:proofErr w:type="spellEnd"/>
            <w:r w:rsidR="00A0661B" w:rsidRPr="00DE6BB6">
              <w:t xml:space="preserve"> </w:t>
            </w:r>
            <w:proofErr w:type="spellStart"/>
            <w:r w:rsidR="00A0661B" w:rsidRPr="00DE6BB6">
              <w:t>Genpar</w:t>
            </w:r>
            <w:proofErr w:type="spellEnd"/>
            <w:r w:rsidR="00A0661B" w:rsidRPr="00DE6BB6">
              <w:t xml:space="preserve"> MR 60</w:t>
            </w:r>
          </w:p>
          <w:p w:rsidR="004552E6" w:rsidRPr="00A0661B" w:rsidRDefault="004552E6" w:rsidP="005A3AE1">
            <w:pPr>
              <w:pStyle w:val="Subtitle"/>
              <w:framePr w:hSpace="0" w:wrap="auto" w:vAnchor="margin" w:yAlign="inline"/>
              <w:rPr>
                <w:rFonts w:asciiTheme="majorHAnsi" w:hAnsiTheme="majorHAnsi" w:cstheme="majorHAnsi"/>
                <w:szCs w:val="40"/>
              </w:rPr>
            </w:pPr>
            <w:r w:rsidRPr="004552E6">
              <w:t>Sponsor: Generic Partners Pty Ltd</w:t>
            </w:r>
          </w:p>
        </w:tc>
      </w:tr>
      <w:tr w:rsidR="0032583B" w:rsidRPr="00B64760" w:rsidTr="00A0661B">
        <w:trPr>
          <w:trHeight w:val="549"/>
        </w:trPr>
        <w:tc>
          <w:tcPr>
            <w:tcW w:w="9365" w:type="dxa"/>
          </w:tcPr>
          <w:p w:rsidR="0032583B" w:rsidRPr="00A0661B" w:rsidRDefault="0032583B" w:rsidP="00DE6BB6">
            <w:pPr>
              <w:pStyle w:val="Subtitle"/>
              <w:framePr w:hSpace="0" w:wrap="auto" w:vAnchor="margin" w:yAlign="inline"/>
            </w:pPr>
          </w:p>
        </w:tc>
      </w:tr>
    </w:tbl>
    <w:p w:rsidR="008E7846" w:rsidRPr="0085156D" w:rsidRDefault="008E7846" w:rsidP="0085156D">
      <w:r w:rsidRPr="0085156D">
        <w:br w:type="page"/>
      </w:r>
    </w:p>
    <w:p w:rsidR="008E7846" w:rsidRPr="001F6CBA" w:rsidRDefault="008E7846" w:rsidP="008E7846">
      <w:pPr>
        <w:pStyle w:val="NonTOCHeading2"/>
      </w:pPr>
      <w:r w:rsidRPr="001F6CBA">
        <w:lastRenderedPageBreak/>
        <w:t>About the Therapeutic Goods Administration (TGA)</w:t>
      </w:r>
    </w:p>
    <w:p w:rsidR="008E7846" w:rsidRDefault="008E7846" w:rsidP="003D39CA">
      <w:pPr>
        <w:pStyle w:val="ListBullet"/>
        <w:numPr>
          <w:ilvl w:val="0"/>
          <w:numId w:val="1"/>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0137" w:rsidP="003D39CA">
      <w:pPr>
        <w:pStyle w:val="ListBullet"/>
        <w:numPr>
          <w:ilvl w:val="0"/>
          <w:numId w:val="1"/>
        </w:numPr>
        <w:ind w:left="357" w:hanging="357"/>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ensure therapeutic goods supplied in Australia meet acceptable standards of quality, safety and efficacy (performance) when necessary.</w:t>
      </w:r>
    </w:p>
    <w:p w:rsidR="008E7846" w:rsidRDefault="008E7846" w:rsidP="003D39CA">
      <w:pPr>
        <w:pStyle w:val="ListBullet"/>
        <w:numPr>
          <w:ilvl w:val="0"/>
          <w:numId w:val="1"/>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3D39CA">
      <w:pPr>
        <w:pStyle w:val="ListBullet"/>
        <w:numPr>
          <w:ilvl w:val="0"/>
          <w:numId w:val="1"/>
        </w:numPr>
        <w:ind w:left="357" w:hanging="357"/>
      </w:pPr>
      <w:r>
        <w:t>The TGA relies on the public, healthcare professionals and industry to report problems with medicines or medical devices. TGA investigates reports received by it to determine any necessary regulatory action.</w:t>
      </w:r>
    </w:p>
    <w:p w:rsidR="00441C3F" w:rsidRDefault="008E7846" w:rsidP="003D39CA">
      <w:pPr>
        <w:pStyle w:val="ListBullet"/>
        <w:numPr>
          <w:ilvl w:val="0"/>
          <w:numId w:val="1"/>
        </w:numPr>
        <w:ind w:left="357" w:hanging="357"/>
      </w:pPr>
      <w:r>
        <w:t xml:space="preserve">To report a problem with a medicine or medical device, please see the information on </w:t>
      </w:r>
      <w:r w:rsidR="00441C3F">
        <w:t>the TGA website &lt;</w:t>
      </w:r>
      <w:hyperlink r:id="rId9" w:history="1">
        <w:r w:rsidR="00441C3F">
          <w:rPr>
            <w:rStyle w:val="Hyperlink"/>
          </w:rPr>
          <w:t>https://www.tga.gov.au</w:t>
        </w:r>
      </w:hyperlink>
      <w:r w:rsidR="00441C3F">
        <w:t>&gt;.</w:t>
      </w:r>
    </w:p>
    <w:p w:rsidR="008E7846" w:rsidRDefault="008E7846" w:rsidP="00875A6B">
      <w:pPr>
        <w:pStyle w:val="NonTOCHeading2"/>
      </w:pPr>
      <w:r>
        <w:t xml:space="preserve">About </w:t>
      </w:r>
      <w:proofErr w:type="spellStart"/>
      <w:r>
        <w:t>AusPARs</w:t>
      </w:r>
      <w:proofErr w:type="spellEnd"/>
    </w:p>
    <w:p w:rsidR="008E7846" w:rsidRDefault="008E7846" w:rsidP="003D39CA">
      <w:pPr>
        <w:pStyle w:val="ListBullet"/>
        <w:numPr>
          <w:ilvl w:val="0"/>
          <w:numId w:val="1"/>
        </w:numPr>
        <w:ind w:left="357" w:hanging="357"/>
      </w:pPr>
      <w:r>
        <w:t>An Australian Public Assessment Re</w:t>
      </w:r>
      <w:r w:rsidR="00133A1B">
        <w:t>port</w:t>
      </w:r>
      <w:r>
        <w:t xml:space="preserve"> (AusPAR) provides information about the evaluation of a prescription medicine and the considerations that led the TGA to approve or not approve a pr</w:t>
      </w:r>
      <w:r w:rsidR="00441C3F">
        <w:t>escription medicine submission.</w:t>
      </w:r>
    </w:p>
    <w:p w:rsidR="008E7846" w:rsidRDefault="008E7846" w:rsidP="003D39CA">
      <w:pPr>
        <w:pStyle w:val="ListBullet"/>
        <w:numPr>
          <w:ilvl w:val="0"/>
          <w:numId w:val="1"/>
        </w:numPr>
        <w:ind w:left="357" w:hanging="357"/>
      </w:pPr>
      <w:proofErr w:type="spellStart"/>
      <w:r>
        <w:t>AusPARs</w:t>
      </w:r>
      <w:proofErr w:type="spellEnd"/>
      <w:r>
        <w:t xml:space="preserve"> are prepared and published by the TGA.</w:t>
      </w:r>
    </w:p>
    <w:p w:rsidR="008E7846" w:rsidRDefault="008E7846" w:rsidP="003D39CA">
      <w:pPr>
        <w:pStyle w:val="ListBullet"/>
        <w:numPr>
          <w:ilvl w:val="0"/>
          <w:numId w:val="1"/>
        </w:numPr>
        <w:ind w:left="357" w:hanging="357"/>
      </w:pPr>
      <w:r>
        <w:t>An AusPAR is prepared for submissions that relate to new chemical entities, generic medicines, major variations and extensions of indications.</w:t>
      </w:r>
    </w:p>
    <w:p w:rsidR="008E7846" w:rsidRDefault="008E7846" w:rsidP="003D39CA">
      <w:pPr>
        <w:pStyle w:val="ListBullet"/>
        <w:numPr>
          <w:ilvl w:val="0"/>
          <w:numId w:val="1"/>
        </w:numPr>
        <w:ind w:left="357" w:hanging="357"/>
      </w:pPr>
      <w:r>
        <w:t>An AusPAR is a static document</w:t>
      </w:r>
      <w:r w:rsidR="00133A1B">
        <w:t>;</w:t>
      </w:r>
      <w:r>
        <w:t xml:space="preserve"> it provide</w:t>
      </w:r>
      <w:r w:rsidR="00133A1B">
        <w:t>s</w:t>
      </w:r>
      <w:r>
        <w:t xml:space="preserve"> information that relates to a submission at a particular point in time.</w:t>
      </w:r>
    </w:p>
    <w:p w:rsidR="00B452CE" w:rsidRDefault="008E7846" w:rsidP="003D39CA">
      <w:pPr>
        <w:pStyle w:val="ListBullet"/>
        <w:numPr>
          <w:ilvl w:val="0"/>
          <w:numId w:val="1"/>
        </w:numPr>
        <w:ind w:left="357" w:hanging="357"/>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EF59DC">
        <w:rPr>
          <w:rFonts w:cs="Arial"/>
          <w:lang w:val="en-GB"/>
        </w:rPr>
        <w:t>6</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0"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w:t>
          </w:r>
          <w:bookmarkStart w:id="2" w:name="_GoBack"/>
          <w:bookmarkEnd w:id="2"/>
          <w:r w:rsidRPr="0010788A">
            <w:t>ents</w:t>
          </w:r>
        </w:p>
        <w:p w:rsidR="005A3AE1" w:rsidRDefault="00DB612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456784888" w:history="1">
            <w:r w:rsidR="005A3AE1" w:rsidRPr="00BE7F9A">
              <w:rPr>
                <w:rStyle w:val="Hyperlink"/>
                <w:noProof/>
              </w:rPr>
              <w:t>Common abbreviations</w:t>
            </w:r>
            <w:r w:rsidR="005A3AE1">
              <w:rPr>
                <w:noProof/>
                <w:webHidden/>
              </w:rPr>
              <w:tab/>
            </w:r>
            <w:r w:rsidR="005A3AE1">
              <w:rPr>
                <w:noProof/>
                <w:webHidden/>
              </w:rPr>
              <w:fldChar w:fldCharType="begin"/>
            </w:r>
            <w:r w:rsidR="005A3AE1">
              <w:rPr>
                <w:noProof/>
                <w:webHidden/>
              </w:rPr>
              <w:instrText xml:space="preserve"> PAGEREF _Toc456784888 \h </w:instrText>
            </w:r>
            <w:r w:rsidR="005A3AE1">
              <w:rPr>
                <w:noProof/>
                <w:webHidden/>
              </w:rPr>
            </w:r>
            <w:r w:rsidR="005A3AE1">
              <w:rPr>
                <w:noProof/>
                <w:webHidden/>
              </w:rPr>
              <w:fldChar w:fldCharType="separate"/>
            </w:r>
            <w:r w:rsidR="005A3AE1">
              <w:rPr>
                <w:noProof/>
                <w:webHidden/>
              </w:rPr>
              <w:t>4</w:t>
            </w:r>
            <w:r w:rsidR="005A3AE1">
              <w:rPr>
                <w:noProof/>
                <w:webHidden/>
              </w:rPr>
              <w:fldChar w:fldCharType="end"/>
            </w:r>
          </w:hyperlink>
        </w:p>
        <w:p w:rsidR="005A3AE1" w:rsidRDefault="005A3AE1">
          <w:pPr>
            <w:pStyle w:val="TOC2"/>
            <w:rPr>
              <w:rFonts w:asciiTheme="minorHAnsi" w:eastAsiaTheme="minorEastAsia" w:hAnsiTheme="minorHAnsi" w:cstheme="minorBidi"/>
              <w:b w:val="0"/>
              <w:noProof/>
              <w:sz w:val="22"/>
              <w:lang w:eastAsia="en-AU"/>
            </w:rPr>
          </w:pPr>
          <w:hyperlink w:anchor="_Toc456784889" w:history="1">
            <w:r w:rsidRPr="00BE7F9A">
              <w:rPr>
                <w:rStyle w:val="Hyperlink"/>
                <w:noProof/>
              </w:rPr>
              <w:t>I. Introduction to product submission</w:t>
            </w:r>
            <w:r>
              <w:rPr>
                <w:noProof/>
                <w:webHidden/>
              </w:rPr>
              <w:tab/>
            </w:r>
            <w:r>
              <w:rPr>
                <w:noProof/>
                <w:webHidden/>
              </w:rPr>
              <w:fldChar w:fldCharType="begin"/>
            </w:r>
            <w:r>
              <w:rPr>
                <w:noProof/>
                <w:webHidden/>
              </w:rPr>
              <w:instrText xml:space="preserve"> PAGEREF _Toc456784889 \h </w:instrText>
            </w:r>
            <w:r>
              <w:rPr>
                <w:noProof/>
                <w:webHidden/>
              </w:rPr>
            </w:r>
            <w:r>
              <w:rPr>
                <w:noProof/>
                <w:webHidden/>
              </w:rPr>
              <w:fldChar w:fldCharType="separate"/>
            </w:r>
            <w:r>
              <w:rPr>
                <w:noProof/>
                <w:webHidden/>
              </w:rPr>
              <w:t>5</w:t>
            </w:r>
            <w:r>
              <w:rPr>
                <w:noProof/>
                <w:webHidden/>
              </w:rPr>
              <w:fldChar w:fldCharType="end"/>
            </w:r>
          </w:hyperlink>
        </w:p>
        <w:p w:rsidR="005A3AE1" w:rsidRDefault="005A3AE1">
          <w:pPr>
            <w:pStyle w:val="TOC3"/>
            <w:rPr>
              <w:rFonts w:asciiTheme="minorHAnsi" w:eastAsiaTheme="minorEastAsia" w:hAnsiTheme="minorHAnsi" w:cstheme="minorBidi"/>
              <w:noProof/>
              <w:lang w:eastAsia="en-AU"/>
            </w:rPr>
          </w:pPr>
          <w:hyperlink w:anchor="_Toc456784890" w:history="1">
            <w:r w:rsidRPr="00BE7F9A">
              <w:rPr>
                <w:rStyle w:val="Hyperlink"/>
                <w:noProof/>
                <w:lang w:eastAsia="en-AU"/>
              </w:rPr>
              <w:t>Submission details</w:t>
            </w:r>
            <w:r>
              <w:rPr>
                <w:noProof/>
                <w:webHidden/>
              </w:rPr>
              <w:tab/>
            </w:r>
            <w:r>
              <w:rPr>
                <w:noProof/>
                <w:webHidden/>
              </w:rPr>
              <w:fldChar w:fldCharType="begin"/>
            </w:r>
            <w:r>
              <w:rPr>
                <w:noProof/>
                <w:webHidden/>
              </w:rPr>
              <w:instrText xml:space="preserve"> PAGEREF _Toc456784890 \h </w:instrText>
            </w:r>
            <w:r>
              <w:rPr>
                <w:noProof/>
                <w:webHidden/>
              </w:rPr>
            </w:r>
            <w:r>
              <w:rPr>
                <w:noProof/>
                <w:webHidden/>
              </w:rPr>
              <w:fldChar w:fldCharType="separate"/>
            </w:r>
            <w:r>
              <w:rPr>
                <w:noProof/>
                <w:webHidden/>
              </w:rPr>
              <w:t>5</w:t>
            </w:r>
            <w:r>
              <w:rPr>
                <w:noProof/>
                <w:webHidden/>
              </w:rPr>
              <w:fldChar w:fldCharType="end"/>
            </w:r>
          </w:hyperlink>
        </w:p>
        <w:p w:rsidR="005A3AE1" w:rsidRDefault="005A3AE1">
          <w:pPr>
            <w:pStyle w:val="TOC3"/>
            <w:rPr>
              <w:rFonts w:asciiTheme="minorHAnsi" w:eastAsiaTheme="minorEastAsia" w:hAnsiTheme="minorHAnsi" w:cstheme="minorBidi"/>
              <w:noProof/>
              <w:lang w:eastAsia="en-AU"/>
            </w:rPr>
          </w:pPr>
          <w:hyperlink w:anchor="_Toc456784891" w:history="1">
            <w:r w:rsidRPr="00BE7F9A">
              <w:rPr>
                <w:rStyle w:val="Hyperlink"/>
                <w:noProof/>
              </w:rPr>
              <w:t>Product background</w:t>
            </w:r>
            <w:r>
              <w:rPr>
                <w:noProof/>
                <w:webHidden/>
              </w:rPr>
              <w:tab/>
            </w:r>
            <w:r>
              <w:rPr>
                <w:noProof/>
                <w:webHidden/>
              </w:rPr>
              <w:fldChar w:fldCharType="begin"/>
            </w:r>
            <w:r>
              <w:rPr>
                <w:noProof/>
                <w:webHidden/>
              </w:rPr>
              <w:instrText xml:space="preserve"> PAGEREF _Toc456784891 \h </w:instrText>
            </w:r>
            <w:r>
              <w:rPr>
                <w:noProof/>
                <w:webHidden/>
              </w:rPr>
            </w:r>
            <w:r>
              <w:rPr>
                <w:noProof/>
                <w:webHidden/>
              </w:rPr>
              <w:fldChar w:fldCharType="separate"/>
            </w:r>
            <w:r>
              <w:rPr>
                <w:noProof/>
                <w:webHidden/>
              </w:rPr>
              <w:t>5</w:t>
            </w:r>
            <w:r>
              <w:rPr>
                <w:noProof/>
                <w:webHidden/>
              </w:rPr>
              <w:fldChar w:fldCharType="end"/>
            </w:r>
          </w:hyperlink>
        </w:p>
        <w:p w:rsidR="005A3AE1" w:rsidRDefault="005A3AE1">
          <w:pPr>
            <w:pStyle w:val="TOC3"/>
            <w:rPr>
              <w:rFonts w:asciiTheme="minorHAnsi" w:eastAsiaTheme="minorEastAsia" w:hAnsiTheme="minorHAnsi" w:cstheme="minorBidi"/>
              <w:noProof/>
              <w:lang w:eastAsia="en-AU"/>
            </w:rPr>
          </w:pPr>
          <w:hyperlink w:anchor="_Toc456784892" w:history="1">
            <w:r w:rsidRPr="00BE7F9A">
              <w:rPr>
                <w:rStyle w:val="Hyperlink"/>
                <w:noProof/>
              </w:rPr>
              <w:t>Regulatory status</w:t>
            </w:r>
            <w:r>
              <w:rPr>
                <w:noProof/>
                <w:webHidden/>
              </w:rPr>
              <w:tab/>
            </w:r>
            <w:r>
              <w:rPr>
                <w:noProof/>
                <w:webHidden/>
              </w:rPr>
              <w:fldChar w:fldCharType="begin"/>
            </w:r>
            <w:r>
              <w:rPr>
                <w:noProof/>
                <w:webHidden/>
              </w:rPr>
              <w:instrText xml:space="preserve"> PAGEREF _Toc456784892 \h </w:instrText>
            </w:r>
            <w:r>
              <w:rPr>
                <w:noProof/>
                <w:webHidden/>
              </w:rPr>
            </w:r>
            <w:r>
              <w:rPr>
                <w:noProof/>
                <w:webHidden/>
              </w:rPr>
              <w:fldChar w:fldCharType="separate"/>
            </w:r>
            <w:r>
              <w:rPr>
                <w:noProof/>
                <w:webHidden/>
              </w:rPr>
              <w:t>7</w:t>
            </w:r>
            <w:r>
              <w:rPr>
                <w:noProof/>
                <w:webHidden/>
              </w:rPr>
              <w:fldChar w:fldCharType="end"/>
            </w:r>
          </w:hyperlink>
        </w:p>
        <w:p w:rsidR="005A3AE1" w:rsidRDefault="005A3AE1">
          <w:pPr>
            <w:pStyle w:val="TOC2"/>
            <w:rPr>
              <w:rFonts w:asciiTheme="minorHAnsi" w:eastAsiaTheme="minorEastAsia" w:hAnsiTheme="minorHAnsi" w:cstheme="minorBidi"/>
              <w:b w:val="0"/>
              <w:noProof/>
              <w:sz w:val="22"/>
              <w:lang w:eastAsia="en-AU"/>
            </w:rPr>
          </w:pPr>
          <w:hyperlink w:anchor="_Toc456784893" w:history="1">
            <w:r w:rsidRPr="00BE7F9A">
              <w:rPr>
                <w:rStyle w:val="Hyperlink"/>
                <w:noProof/>
              </w:rPr>
              <w:t>II. Quality findings</w:t>
            </w:r>
            <w:r>
              <w:rPr>
                <w:noProof/>
                <w:webHidden/>
              </w:rPr>
              <w:tab/>
            </w:r>
            <w:r>
              <w:rPr>
                <w:noProof/>
                <w:webHidden/>
              </w:rPr>
              <w:fldChar w:fldCharType="begin"/>
            </w:r>
            <w:r>
              <w:rPr>
                <w:noProof/>
                <w:webHidden/>
              </w:rPr>
              <w:instrText xml:space="preserve"> PAGEREF _Toc456784893 \h </w:instrText>
            </w:r>
            <w:r>
              <w:rPr>
                <w:noProof/>
                <w:webHidden/>
              </w:rPr>
            </w:r>
            <w:r>
              <w:rPr>
                <w:noProof/>
                <w:webHidden/>
              </w:rPr>
              <w:fldChar w:fldCharType="separate"/>
            </w:r>
            <w:r>
              <w:rPr>
                <w:noProof/>
                <w:webHidden/>
              </w:rPr>
              <w:t>8</w:t>
            </w:r>
            <w:r>
              <w:rPr>
                <w:noProof/>
                <w:webHidden/>
              </w:rPr>
              <w:fldChar w:fldCharType="end"/>
            </w:r>
          </w:hyperlink>
        </w:p>
        <w:p w:rsidR="005A3AE1" w:rsidRDefault="005A3AE1">
          <w:pPr>
            <w:pStyle w:val="TOC3"/>
            <w:rPr>
              <w:rFonts w:asciiTheme="minorHAnsi" w:eastAsiaTheme="minorEastAsia" w:hAnsiTheme="minorHAnsi" w:cstheme="minorBidi"/>
              <w:noProof/>
              <w:lang w:eastAsia="en-AU"/>
            </w:rPr>
          </w:pPr>
          <w:hyperlink w:anchor="_Toc456784894" w:history="1">
            <w:r w:rsidRPr="00BE7F9A">
              <w:rPr>
                <w:rStyle w:val="Hyperlink"/>
                <w:noProof/>
              </w:rPr>
              <w:t>Introduction</w:t>
            </w:r>
            <w:r>
              <w:rPr>
                <w:noProof/>
                <w:webHidden/>
              </w:rPr>
              <w:tab/>
            </w:r>
            <w:r>
              <w:rPr>
                <w:noProof/>
                <w:webHidden/>
              </w:rPr>
              <w:fldChar w:fldCharType="begin"/>
            </w:r>
            <w:r>
              <w:rPr>
                <w:noProof/>
                <w:webHidden/>
              </w:rPr>
              <w:instrText xml:space="preserve"> PAGEREF _Toc456784894 \h </w:instrText>
            </w:r>
            <w:r>
              <w:rPr>
                <w:noProof/>
                <w:webHidden/>
              </w:rPr>
            </w:r>
            <w:r>
              <w:rPr>
                <w:noProof/>
                <w:webHidden/>
              </w:rPr>
              <w:fldChar w:fldCharType="separate"/>
            </w:r>
            <w:r>
              <w:rPr>
                <w:noProof/>
                <w:webHidden/>
              </w:rPr>
              <w:t>8</w:t>
            </w:r>
            <w:r>
              <w:rPr>
                <w:noProof/>
                <w:webHidden/>
              </w:rPr>
              <w:fldChar w:fldCharType="end"/>
            </w:r>
          </w:hyperlink>
        </w:p>
        <w:p w:rsidR="005A3AE1" w:rsidRDefault="005A3AE1">
          <w:pPr>
            <w:pStyle w:val="TOC3"/>
            <w:rPr>
              <w:rFonts w:asciiTheme="minorHAnsi" w:eastAsiaTheme="minorEastAsia" w:hAnsiTheme="minorHAnsi" w:cstheme="minorBidi"/>
              <w:noProof/>
              <w:lang w:eastAsia="en-AU"/>
            </w:rPr>
          </w:pPr>
          <w:hyperlink w:anchor="_Toc456784895" w:history="1">
            <w:r w:rsidRPr="00BE7F9A">
              <w:rPr>
                <w:rStyle w:val="Hyperlink"/>
                <w:noProof/>
              </w:rPr>
              <w:t>Drug substance (active ingredient)</w:t>
            </w:r>
            <w:r>
              <w:rPr>
                <w:noProof/>
                <w:webHidden/>
              </w:rPr>
              <w:tab/>
            </w:r>
            <w:r>
              <w:rPr>
                <w:noProof/>
                <w:webHidden/>
              </w:rPr>
              <w:fldChar w:fldCharType="begin"/>
            </w:r>
            <w:r>
              <w:rPr>
                <w:noProof/>
                <w:webHidden/>
              </w:rPr>
              <w:instrText xml:space="preserve"> PAGEREF _Toc456784895 \h </w:instrText>
            </w:r>
            <w:r>
              <w:rPr>
                <w:noProof/>
                <w:webHidden/>
              </w:rPr>
            </w:r>
            <w:r>
              <w:rPr>
                <w:noProof/>
                <w:webHidden/>
              </w:rPr>
              <w:fldChar w:fldCharType="separate"/>
            </w:r>
            <w:r>
              <w:rPr>
                <w:noProof/>
                <w:webHidden/>
              </w:rPr>
              <w:t>9</w:t>
            </w:r>
            <w:r>
              <w:rPr>
                <w:noProof/>
                <w:webHidden/>
              </w:rPr>
              <w:fldChar w:fldCharType="end"/>
            </w:r>
          </w:hyperlink>
        </w:p>
        <w:p w:rsidR="005A3AE1" w:rsidRDefault="005A3AE1">
          <w:pPr>
            <w:pStyle w:val="TOC3"/>
            <w:rPr>
              <w:rFonts w:asciiTheme="minorHAnsi" w:eastAsiaTheme="minorEastAsia" w:hAnsiTheme="minorHAnsi" w:cstheme="minorBidi"/>
              <w:noProof/>
              <w:lang w:eastAsia="en-AU"/>
            </w:rPr>
          </w:pPr>
          <w:hyperlink w:anchor="_Toc456784896" w:history="1">
            <w:r w:rsidRPr="00BE7F9A">
              <w:rPr>
                <w:rStyle w:val="Hyperlink"/>
                <w:noProof/>
              </w:rPr>
              <w:t>Drug product</w:t>
            </w:r>
            <w:r>
              <w:rPr>
                <w:noProof/>
                <w:webHidden/>
              </w:rPr>
              <w:tab/>
            </w:r>
            <w:r>
              <w:rPr>
                <w:noProof/>
                <w:webHidden/>
              </w:rPr>
              <w:fldChar w:fldCharType="begin"/>
            </w:r>
            <w:r>
              <w:rPr>
                <w:noProof/>
                <w:webHidden/>
              </w:rPr>
              <w:instrText xml:space="preserve"> PAGEREF _Toc456784896 \h </w:instrText>
            </w:r>
            <w:r>
              <w:rPr>
                <w:noProof/>
                <w:webHidden/>
              </w:rPr>
            </w:r>
            <w:r>
              <w:rPr>
                <w:noProof/>
                <w:webHidden/>
              </w:rPr>
              <w:fldChar w:fldCharType="separate"/>
            </w:r>
            <w:r>
              <w:rPr>
                <w:noProof/>
                <w:webHidden/>
              </w:rPr>
              <w:t>10</w:t>
            </w:r>
            <w:r>
              <w:rPr>
                <w:noProof/>
                <w:webHidden/>
              </w:rPr>
              <w:fldChar w:fldCharType="end"/>
            </w:r>
          </w:hyperlink>
        </w:p>
        <w:p w:rsidR="005A3AE1" w:rsidRDefault="005A3AE1">
          <w:pPr>
            <w:pStyle w:val="TOC3"/>
            <w:rPr>
              <w:rFonts w:asciiTheme="minorHAnsi" w:eastAsiaTheme="minorEastAsia" w:hAnsiTheme="minorHAnsi" w:cstheme="minorBidi"/>
              <w:noProof/>
              <w:lang w:eastAsia="en-AU"/>
            </w:rPr>
          </w:pPr>
          <w:hyperlink w:anchor="_Toc456784897" w:history="1">
            <w:r w:rsidRPr="00BE7F9A">
              <w:rPr>
                <w:rStyle w:val="Hyperlink"/>
                <w:noProof/>
              </w:rPr>
              <w:t>Biopharmaceutics</w:t>
            </w:r>
            <w:r>
              <w:rPr>
                <w:noProof/>
                <w:webHidden/>
              </w:rPr>
              <w:tab/>
            </w:r>
            <w:r>
              <w:rPr>
                <w:noProof/>
                <w:webHidden/>
              </w:rPr>
              <w:fldChar w:fldCharType="begin"/>
            </w:r>
            <w:r>
              <w:rPr>
                <w:noProof/>
                <w:webHidden/>
              </w:rPr>
              <w:instrText xml:space="preserve"> PAGEREF _Toc456784897 \h </w:instrText>
            </w:r>
            <w:r>
              <w:rPr>
                <w:noProof/>
                <w:webHidden/>
              </w:rPr>
            </w:r>
            <w:r>
              <w:rPr>
                <w:noProof/>
                <w:webHidden/>
              </w:rPr>
              <w:fldChar w:fldCharType="separate"/>
            </w:r>
            <w:r>
              <w:rPr>
                <w:noProof/>
                <w:webHidden/>
              </w:rPr>
              <w:t>11</w:t>
            </w:r>
            <w:r>
              <w:rPr>
                <w:noProof/>
                <w:webHidden/>
              </w:rPr>
              <w:fldChar w:fldCharType="end"/>
            </w:r>
          </w:hyperlink>
        </w:p>
        <w:p w:rsidR="005A3AE1" w:rsidRDefault="005A3AE1">
          <w:pPr>
            <w:pStyle w:val="TOC3"/>
            <w:rPr>
              <w:rFonts w:asciiTheme="minorHAnsi" w:eastAsiaTheme="minorEastAsia" w:hAnsiTheme="minorHAnsi" w:cstheme="minorBidi"/>
              <w:noProof/>
              <w:lang w:eastAsia="en-AU"/>
            </w:rPr>
          </w:pPr>
          <w:hyperlink w:anchor="_Toc456784898" w:history="1">
            <w:r w:rsidRPr="00BE7F9A">
              <w:rPr>
                <w:rStyle w:val="Hyperlink"/>
                <w:noProof/>
              </w:rPr>
              <w:t>Advisory committee considerations</w:t>
            </w:r>
            <w:r>
              <w:rPr>
                <w:noProof/>
                <w:webHidden/>
              </w:rPr>
              <w:tab/>
            </w:r>
            <w:r>
              <w:rPr>
                <w:noProof/>
                <w:webHidden/>
              </w:rPr>
              <w:fldChar w:fldCharType="begin"/>
            </w:r>
            <w:r>
              <w:rPr>
                <w:noProof/>
                <w:webHidden/>
              </w:rPr>
              <w:instrText xml:space="preserve"> PAGEREF _Toc456784898 \h </w:instrText>
            </w:r>
            <w:r>
              <w:rPr>
                <w:noProof/>
                <w:webHidden/>
              </w:rPr>
            </w:r>
            <w:r>
              <w:rPr>
                <w:noProof/>
                <w:webHidden/>
              </w:rPr>
              <w:fldChar w:fldCharType="separate"/>
            </w:r>
            <w:r>
              <w:rPr>
                <w:noProof/>
                <w:webHidden/>
              </w:rPr>
              <w:t>12</w:t>
            </w:r>
            <w:r>
              <w:rPr>
                <w:noProof/>
                <w:webHidden/>
              </w:rPr>
              <w:fldChar w:fldCharType="end"/>
            </w:r>
          </w:hyperlink>
        </w:p>
        <w:p w:rsidR="005A3AE1" w:rsidRDefault="005A3AE1">
          <w:pPr>
            <w:pStyle w:val="TOC3"/>
            <w:rPr>
              <w:rFonts w:asciiTheme="minorHAnsi" w:eastAsiaTheme="minorEastAsia" w:hAnsiTheme="minorHAnsi" w:cstheme="minorBidi"/>
              <w:noProof/>
              <w:lang w:eastAsia="en-AU"/>
            </w:rPr>
          </w:pPr>
          <w:hyperlink w:anchor="_Toc456784899" w:history="1">
            <w:r w:rsidRPr="00BE7F9A">
              <w:rPr>
                <w:rStyle w:val="Hyperlink"/>
                <w:noProof/>
              </w:rPr>
              <w:t>Quality summary and conclusions</w:t>
            </w:r>
            <w:r>
              <w:rPr>
                <w:noProof/>
                <w:webHidden/>
              </w:rPr>
              <w:tab/>
            </w:r>
            <w:r>
              <w:rPr>
                <w:noProof/>
                <w:webHidden/>
              </w:rPr>
              <w:fldChar w:fldCharType="begin"/>
            </w:r>
            <w:r>
              <w:rPr>
                <w:noProof/>
                <w:webHidden/>
              </w:rPr>
              <w:instrText xml:space="preserve"> PAGEREF _Toc456784899 \h </w:instrText>
            </w:r>
            <w:r>
              <w:rPr>
                <w:noProof/>
                <w:webHidden/>
              </w:rPr>
            </w:r>
            <w:r>
              <w:rPr>
                <w:noProof/>
                <w:webHidden/>
              </w:rPr>
              <w:fldChar w:fldCharType="separate"/>
            </w:r>
            <w:r>
              <w:rPr>
                <w:noProof/>
                <w:webHidden/>
              </w:rPr>
              <w:t>12</w:t>
            </w:r>
            <w:r>
              <w:rPr>
                <w:noProof/>
                <w:webHidden/>
              </w:rPr>
              <w:fldChar w:fldCharType="end"/>
            </w:r>
          </w:hyperlink>
        </w:p>
        <w:p w:rsidR="005A3AE1" w:rsidRDefault="005A3AE1">
          <w:pPr>
            <w:pStyle w:val="TOC2"/>
            <w:rPr>
              <w:rFonts w:asciiTheme="minorHAnsi" w:eastAsiaTheme="minorEastAsia" w:hAnsiTheme="minorHAnsi" w:cstheme="minorBidi"/>
              <w:b w:val="0"/>
              <w:noProof/>
              <w:sz w:val="22"/>
              <w:lang w:eastAsia="en-AU"/>
            </w:rPr>
          </w:pPr>
          <w:hyperlink w:anchor="_Toc456784900" w:history="1">
            <w:r w:rsidRPr="00BE7F9A">
              <w:rPr>
                <w:rStyle w:val="Hyperlink"/>
                <w:noProof/>
              </w:rPr>
              <w:t>III. Nonclinical findings</w:t>
            </w:r>
            <w:r>
              <w:rPr>
                <w:noProof/>
                <w:webHidden/>
              </w:rPr>
              <w:tab/>
            </w:r>
            <w:r>
              <w:rPr>
                <w:noProof/>
                <w:webHidden/>
              </w:rPr>
              <w:fldChar w:fldCharType="begin"/>
            </w:r>
            <w:r>
              <w:rPr>
                <w:noProof/>
                <w:webHidden/>
              </w:rPr>
              <w:instrText xml:space="preserve"> PAGEREF _Toc456784900 \h </w:instrText>
            </w:r>
            <w:r>
              <w:rPr>
                <w:noProof/>
                <w:webHidden/>
              </w:rPr>
            </w:r>
            <w:r>
              <w:rPr>
                <w:noProof/>
                <w:webHidden/>
              </w:rPr>
              <w:fldChar w:fldCharType="separate"/>
            </w:r>
            <w:r>
              <w:rPr>
                <w:noProof/>
                <w:webHidden/>
              </w:rPr>
              <w:t>13</w:t>
            </w:r>
            <w:r>
              <w:rPr>
                <w:noProof/>
                <w:webHidden/>
              </w:rPr>
              <w:fldChar w:fldCharType="end"/>
            </w:r>
          </w:hyperlink>
        </w:p>
        <w:p w:rsidR="005A3AE1" w:rsidRDefault="005A3AE1">
          <w:pPr>
            <w:pStyle w:val="TOC2"/>
            <w:rPr>
              <w:rFonts w:asciiTheme="minorHAnsi" w:eastAsiaTheme="minorEastAsia" w:hAnsiTheme="minorHAnsi" w:cstheme="minorBidi"/>
              <w:b w:val="0"/>
              <w:noProof/>
              <w:sz w:val="22"/>
              <w:lang w:eastAsia="en-AU"/>
            </w:rPr>
          </w:pPr>
          <w:hyperlink w:anchor="_Toc456784901" w:history="1">
            <w:r w:rsidRPr="00BE7F9A">
              <w:rPr>
                <w:rStyle w:val="Hyperlink"/>
                <w:noProof/>
              </w:rPr>
              <w:t>IV. Clinical findings</w:t>
            </w:r>
            <w:r>
              <w:rPr>
                <w:noProof/>
                <w:webHidden/>
              </w:rPr>
              <w:tab/>
            </w:r>
            <w:r>
              <w:rPr>
                <w:noProof/>
                <w:webHidden/>
              </w:rPr>
              <w:fldChar w:fldCharType="begin"/>
            </w:r>
            <w:r>
              <w:rPr>
                <w:noProof/>
                <w:webHidden/>
              </w:rPr>
              <w:instrText xml:space="preserve"> PAGEREF _Toc456784901 \h </w:instrText>
            </w:r>
            <w:r>
              <w:rPr>
                <w:noProof/>
                <w:webHidden/>
              </w:rPr>
            </w:r>
            <w:r>
              <w:rPr>
                <w:noProof/>
                <w:webHidden/>
              </w:rPr>
              <w:fldChar w:fldCharType="separate"/>
            </w:r>
            <w:r>
              <w:rPr>
                <w:noProof/>
                <w:webHidden/>
              </w:rPr>
              <w:t>13</w:t>
            </w:r>
            <w:r>
              <w:rPr>
                <w:noProof/>
                <w:webHidden/>
              </w:rPr>
              <w:fldChar w:fldCharType="end"/>
            </w:r>
          </w:hyperlink>
        </w:p>
        <w:p w:rsidR="005A3AE1" w:rsidRDefault="005A3AE1">
          <w:pPr>
            <w:pStyle w:val="TOC2"/>
            <w:rPr>
              <w:rFonts w:asciiTheme="minorHAnsi" w:eastAsiaTheme="minorEastAsia" w:hAnsiTheme="minorHAnsi" w:cstheme="minorBidi"/>
              <w:b w:val="0"/>
              <w:noProof/>
              <w:sz w:val="22"/>
              <w:lang w:eastAsia="en-AU"/>
            </w:rPr>
          </w:pPr>
          <w:hyperlink w:anchor="_Toc456784902" w:history="1">
            <w:r w:rsidRPr="00BE7F9A">
              <w:rPr>
                <w:rStyle w:val="Hyperlink"/>
                <w:noProof/>
              </w:rPr>
              <w:t>V. Pharmacovigilance findings</w:t>
            </w:r>
            <w:r>
              <w:rPr>
                <w:noProof/>
                <w:webHidden/>
              </w:rPr>
              <w:tab/>
            </w:r>
            <w:r>
              <w:rPr>
                <w:noProof/>
                <w:webHidden/>
              </w:rPr>
              <w:fldChar w:fldCharType="begin"/>
            </w:r>
            <w:r>
              <w:rPr>
                <w:noProof/>
                <w:webHidden/>
              </w:rPr>
              <w:instrText xml:space="preserve"> PAGEREF _Toc456784902 \h </w:instrText>
            </w:r>
            <w:r>
              <w:rPr>
                <w:noProof/>
                <w:webHidden/>
              </w:rPr>
            </w:r>
            <w:r>
              <w:rPr>
                <w:noProof/>
                <w:webHidden/>
              </w:rPr>
              <w:fldChar w:fldCharType="separate"/>
            </w:r>
            <w:r>
              <w:rPr>
                <w:noProof/>
                <w:webHidden/>
              </w:rPr>
              <w:t>13</w:t>
            </w:r>
            <w:r>
              <w:rPr>
                <w:noProof/>
                <w:webHidden/>
              </w:rPr>
              <w:fldChar w:fldCharType="end"/>
            </w:r>
          </w:hyperlink>
        </w:p>
        <w:p w:rsidR="005A3AE1" w:rsidRDefault="005A3AE1">
          <w:pPr>
            <w:pStyle w:val="TOC2"/>
            <w:rPr>
              <w:rFonts w:asciiTheme="minorHAnsi" w:eastAsiaTheme="minorEastAsia" w:hAnsiTheme="minorHAnsi" w:cstheme="minorBidi"/>
              <w:b w:val="0"/>
              <w:noProof/>
              <w:sz w:val="22"/>
              <w:lang w:eastAsia="en-AU"/>
            </w:rPr>
          </w:pPr>
          <w:hyperlink w:anchor="_Toc456784903" w:history="1">
            <w:r w:rsidRPr="00BE7F9A">
              <w:rPr>
                <w:rStyle w:val="Hyperlink"/>
                <w:noProof/>
              </w:rPr>
              <w:t>VI. Overall conclusion and risk/benefit assessment</w:t>
            </w:r>
            <w:r>
              <w:rPr>
                <w:noProof/>
                <w:webHidden/>
              </w:rPr>
              <w:tab/>
            </w:r>
            <w:r>
              <w:rPr>
                <w:noProof/>
                <w:webHidden/>
              </w:rPr>
              <w:fldChar w:fldCharType="begin"/>
            </w:r>
            <w:r>
              <w:rPr>
                <w:noProof/>
                <w:webHidden/>
              </w:rPr>
              <w:instrText xml:space="preserve"> PAGEREF _Toc456784903 \h </w:instrText>
            </w:r>
            <w:r>
              <w:rPr>
                <w:noProof/>
                <w:webHidden/>
              </w:rPr>
            </w:r>
            <w:r>
              <w:rPr>
                <w:noProof/>
                <w:webHidden/>
              </w:rPr>
              <w:fldChar w:fldCharType="separate"/>
            </w:r>
            <w:r>
              <w:rPr>
                <w:noProof/>
                <w:webHidden/>
              </w:rPr>
              <w:t>13</w:t>
            </w:r>
            <w:r>
              <w:rPr>
                <w:noProof/>
                <w:webHidden/>
              </w:rPr>
              <w:fldChar w:fldCharType="end"/>
            </w:r>
          </w:hyperlink>
        </w:p>
        <w:p w:rsidR="005A3AE1" w:rsidRDefault="005A3AE1">
          <w:pPr>
            <w:pStyle w:val="TOC3"/>
            <w:rPr>
              <w:rFonts w:asciiTheme="minorHAnsi" w:eastAsiaTheme="minorEastAsia" w:hAnsiTheme="minorHAnsi" w:cstheme="minorBidi"/>
              <w:noProof/>
              <w:lang w:eastAsia="en-AU"/>
            </w:rPr>
          </w:pPr>
          <w:hyperlink w:anchor="_Toc456784904" w:history="1">
            <w:r w:rsidRPr="00BE7F9A">
              <w:rPr>
                <w:rStyle w:val="Hyperlink"/>
                <w:noProof/>
              </w:rPr>
              <w:t>Introduction</w:t>
            </w:r>
            <w:r>
              <w:rPr>
                <w:noProof/>
                <w:webHidden/>
              </w:rPr>
              <w:tab/>
            </w:r>
            <w:r>
              <w:rPr>
                <w:noProof/>
                <w:webHidden/>
              </w:rPr>
              <w:fldChar w:fldCharType="begin"/>
            </w:r>
            <w:r>
              <w:rPr>
                <w:noProof/>
                <w:webHidden/>
              </w:rPr>
              <w:instrText xml:space="preserve"> PAGEREF _Toc456784904 \h </w:instrText>
            </w:r>
            <w:r>
              <w:rPr>
                <w:noProof/>
                <w:webHidden/>
              </w:rPr>
            </w:r>
            <w:r>
              <w:rPr>
                <w:noProof/>
                <w:webHidden/>
              </w:rPr>
              <w:fldChar w:fldCharType="separate"/>
            </w:r>
            <w:r>
              <w:rPr>
                <w:noProof/>
                <w:webHidden/>
              </w:rPr>
              <w:t>13</w:t>
            </w:r>
            <w:r>
              <w:rPr>
                <w:noProof/>
                <w:webHidden/>
              </w:rPr>
              <w:fldChar w:fldCharType="end"/>
            </w:r>
          </w:hyperlink>
        </w:p>
        <w:p w:rsidR="005A3AE1" w:rsidRDefault="005A3AE1">
          <w:pPr>
            <w:pStyle w:val="TOC3"/>
            <w:rPr>
              <w:rFonts w:asciiTheme="minorHAnsi" w:eastAsiaTheme="minorEastAsia" w:hAnsiTheme="minorHAnsi" w:cstheme="minorBidi"/>
              <w:noProof/>
              <w:lang w:eastAsia="en-AU"/>
            </w:rPr>
          </w:pPr>
          <w:hyperlink w:anchor="_Toc456784905" w:history="1">
            <w:r w:rsidRPr="00BE7F9A">
              <w:rPr>
                <w:rStyle w:val="Hyperlink"/>
                <w:noProof/>
              </w:rPr>
              <w:t>Quality</w:t>
            </w:r>
            <w:r>
              <w:rPr>
                <w:noProof/>
                <w:webHidden/>
              </w:rPr>
              <w:tab/>
            </w:r>
            <w:r>
              <w:rPr>
                <w:noProof/>
                <w:webHidden/>
              </w:rPr>
              <w:fldChar w:fldCharType="begin"/>
            </w:r>
            <w:r>
              <w:rPr>
                <w:noProof/>
                <w:webHidden/>
              </w:rPr>
              <w:instrText xml:space="preserve"> PAGEREF _Toc456784905 \h </w:instrText>
            </w:r>
            <w:r>
              <w:rPr>
                <w:noProof/>
                <w:webHidden/>
              </w:rPr>
            </w:r>
            <w:r>
              <w:rPr>
                <w:noProof/>
                <w:webHidden/>
              </w:rPr>
              <w:fldChar w:fldCharType="separate"/>
            </w:r>
            <w:r>
              <w:rPr>
                <w:noProof/>
                <w:webHidden/>
              </w:rPr>
              <w:t>18</w:t>
            </w:r>
            <w:r>
              <w:rPr>
                <w:noProof/>
                <w:webHidden/>
              </w:rPr>
              <w:fldChar w:fldCharType="end"/>
            </w:r>
          </w:hyperlink>
        </w:p>
        <w:p w:rsidR="005A3AE1" w:rsidRDefault="005A3AE1">
          <w:pPr>
            <w:pStyle w:val="TOC3"/>
            <w:rPr>
              <w:rFonts w:asciiTheme="minorHAnsi" w:eastAsiaTheme="minorEastAsia" w:hAnsiTheme="minorHAnsi" w:cstheme="minorBidi"/>
              <w:noProof/>
              <w:lang w:eastAsia="en-AU"/>
            </w:rPr>
          </w:pPr>
          <w:hyperlink w:anchor="_Toc456784906" w:history="1">
            <w:r w:rsidRPr="00BE7F9A">
              <w:rPr>
                <w:rStyle w:val="Hyperlink"/>
                <w:noProof/>
              </w:rPr>
              <w:t>Nonclinical</w:t>
            </w:r>
            <w:r>
              <w:rPr>
                <w:noProof/>
                <w:webHidden/>
              </w:rPr>
              <w:tab/>
            </w:r>
            <w:r>
              <w:rPr>
                <w:noProof/>
                <w:webHidden/>
              </w:rPr>
              <w:fldChar w:fldCharType="begin"/>
            </w:r>
            <w:r>
              <w:rPr>
                <w:noProof/>
                <w:webHidden/>
              </w:rPr>
              <w:instrText xml:space="preserve"> PAGEREF _Toc456784906 \h </w:instrText>
            </w:r>
            <w:r>
              <w:rPr>
                <w:noProof/>
                <w:webHidden/>
              </w:rPr>
            </w:r>
            <w:r>
              <w:rPr>
                <w:noProof/>
                <w:webHidden/>
              </w:rPr>
              <w:fldChar w:fldCharType="separate"/>
            </w:r>
            <w:r>
              <w:rPr>
                <w:noProof/>
                <w:webHidden/>
              </w:rPr>
              <w:t>18</w:t>
            </w:r>
            <w:r>
              <w:rPr>
                <w:noProof/>
                <w:webHidden/>
              </w:rPr>
              <w:fldChar w:fldCharType="end"/>
            </w:r>
          </w:hyperlink>
        </w:p>
        <w:p w:rsidR="005A3AE1" w:rsidRDefault="005A3AE1">
          <w:pPr>
            <w:pStyle w:val="TOC3"/>
            <w:rPr>
              <w:rFonts w:asciiTheme="minorHAnsi" w:eastAsiaTheme="minorEastAsia" w:hAnsiTheme="minorHAnsi" w:cstheme="minorBidi"/>
              <w:noProof/>
              <w:lang w:eastAsia="en-AU"/>
            </w:rPr>
          </w:pPr>
          <w:hyperlink w:anchor="_Toc456784907" w:history="1">
            <w:r w:rsidRPr="00BE7F9A">
              <w:rPr>
                <w:rStyle w:val="Hyperlink"/>
                <w:noProof/>
              </w:rPr>
              <w:t>Clinical</w:t>
            </w:r>
            <w:r>
              <w:rPr>
                <w:noProof/>
                <w:webHidden/>
              </w:rPr>
              <w:tab/>
            </w:r>
            <w:r>
              <w:rPr>
                <w:noProof/>
                <w:webHidden/>
              </w:rPr>
              <w:fldChar w:fldCharType="begin"/>
            </w:r>
            <w:r>
              <w:rPr>
                <w:noProof/>
                <w:webHidden/>
              </w:rPr>
              <w:instrText xml:space="preserve"> PAGEREF _Toc456784907 \h </w:instrText>
            </w:r>
            <w:r>
              <w:rPr>
                <w:noProof/>
                <w:webHidden/>
              </w:rPr>
            </w:r>
            <w:r>
              <w:rPr>
                <w:noProof/>
                <w:webHidden/>
              </w:rPr>
              <w:fldChar w:fldCharType="separate"/>
            </w:r>
            <w:r>
              <w:rPr>
                <w:noProof/>
                <w:webHidden/>
              </w:rPr>
              <w:t>18</w:t>
            </w:r>
            <w:r>
              <w:rPr>
                <w:noProof/>
                <w:webHidden/>
              </w:rPr>
              <w:fldChar w:fldCharType="end"/>
            </w:r>
          </w:hyperlink>
        </w:p>
        <w:p w:rsidR="005A3AE1" w:rsidRDefault="005A3AE1">
          <w:pPr>
            <w:pStyle w:val="TOC3"/>
            <w:rPr>
              <w:rFonts w:asciiTheme="minorHAnsi" w:eastAsiaTheme="minorEastAsia" w:hAnsiTheme="minorHAnsi" w:cstheme="minorBidi"/>
              <w:noProof/>
              <w:lang w:eastAsia="en-AU"/>
            </w:rPr>
          </w:pPr>
          <w:hyperlink w:anchor="_Toc456784908" w:history="1">
            <w:r w:rsidRPr="00BE7F9A">
              <w:rPr>
                <w:rStyle w:val="Hyperlink"/>
                <w:noProof/>
                <w:lang w:eastAsia="en-AU"/>
              </w:rPr>
              <w:t>Risk management plan</w:t>
            </w:r>
            <w:r>
              <w:rPr>
                <w:noProof/>
                <w:webHidden/>
              </w:rPr>
              <w:tab/>
            </w:r>
            <w:r>
              <w:rPr>
                <w:noProof/>
                <w:webHidden/>
              </w:rPr>
              <w:fldChar w:fldCharType="begin"/>
            </w:r>
            <w:r>
              <w:rPr>
                <w:noProof/>
                <w:webHidden/>
              </w:rPr>
              <w:instrText xml:space="preserve"> PAGEREF _Toc456784908 \h </w:instrText>
            </w:r>
            <w:r>
              <w:rPr>
                <w:noProof/>
                <w:webHidden/>
              </w:rPr>
            </w:r>
            <w:r>
              <w:rPr>
                <w:noProof/>
                <w:webHidden/>
              </w:rPr>
              <w:fldChar w:fldCharType="separate"/>
            </w:r>
            <w:r>
              <w:rPr>
                <w:noProof/>
                <w:webHidden/>
              </w:rPr>
              <w:t>24</w:t>
            </w:r>
            <w:r>
              <w:rPr>
                <w:noProof/>
                <w:webHidden/>
              </w:rPr>
              <w:fldChar w:fldCharType="end"/>
            </w:r>
          </w:hyperlink>
        </w:p>
        <w:p w:rsidR="005A3AE1" w:rsidRDefault="005A3AE1">
          <w:pPr>
            <w:pStyle w:val="TOC3"/>
            <w:rPr>
              <w:rFonts w:asciiTheme="minorHAnsi" w:eastAsiaTheme="minorEastAsia" w:hAnsiTheme="minorHAnsi" w:cstheme="minorBidi"/>
              <w:noProof/>
              <w:lang w:eastAsia="en-AU"/>
            </w:rPr>
          </w:pPr>
          <w:hyperlink w:anchor="_Toc456784909" w:history="1">
            <w:r w:rsidRPr="00BE7F9A">
              <w:rPr>
                <w:rStyle w:val="Hyperlink"/>
                <w:noProof/>
              </w:rPr>
              <w:t>Risk-benefit analysis</w:t>
            </w:r>
            <w:r>
              <w:rPr>
                <w:noProof/>
                <w:webHidden/>
              </w:rPr>
              <w:tab/>
            </w:r>
            <w:r>
              <w:rPr>
                <w:noProof/>
                <w:webHidden/>
              </w:rPr>
              <w:fldChar w:fldCharType="begin"/>
            </w:r>
            <w:r>
              <w:rPr>
                <w:noProof/>
                <w:webHidden/>
              </w:rPr>
              <w:instrText xml:space="preserve"> PAGEREF _Toc456784909 \h </w:instrText>
            </w:r>
            <w:r>
              <w:rPr>
                <w:noProof/>
                <w:webHidden/>
              </w:rPr>
            </w:r>
            <w:r>
              <w:rPr>
                <w:noProof/>
                <w:webHidden/>
              </w:rPr>
              <w:fldChar w:fldCharType="separate"/>
            </w:r>
            <w:r>
              <w:rPr>
                <w:noProof/>
                <w:webHidden/>
              </w:rPr>
              <w:t>25</w:t>
            </w:r>
            <w:r>
              <w:rPr>
                <w:noProof/>
                <w:webHidden/>
              </w:rPr>
              <w:fldChar w:fldCharType="end"/>
            </w:r>
          </w:hyperlink>
        </w:p>
        <w:p w:rsidR="005A3AE1" w:rsidRDefault="005A3AE1">
          <w:pPr>
            <w:pStyle w:val="TOC3"/>
            <w:rPr>
              <w:rFonts w:asciiTheme="minorHAnsi" w:eastAsiaTheme="minorEastAsia" w:hAnsiTheme="minorHAnsi" w:cstheme="minorBidi"/>
              <w:noProof/>
              <w:lang w:eastAsia="en-AU"/>
            </w:rPr>
          </w:pPr>
          <w:hyperlink w:anchor="_Toc456784910" w:history="1">
            <w:r w:rsidRPr="00BE7F9A">
              <w:rPr>
                <w:rStyle w:val="Hyperlink"/>
                <w:noProof/>
              </w:rPr>
              <w:t>Outcome</w:t>
            </w:r>
            <w:r>
              <w:rPr>
                <w:noProof/>
                <w:webHidden/>
              </w:rPr>
              <w:tab/>
            </w:r>
            <w:r>
              <w:rPr>
                <w:noProof/>
                <w:webHidden/>
              </w:rPr>
              <w:fldChar w:fldCharType="begin"/>
            </w:r>
            <w:r>
              <w:rPr>
                <w:noProof/>
                <w:webHidden/>
              </w:rPr>
              <w:instrText xml:space="preserve"> PAGEREF _Toc456784910 \h </w:instrText>
            </w:r>
            <w:r>
              <w:rPr>
                <w:noProof/>
                <w:webHidden/>
              </w:rPr>
            </w:r>
            <w:r>
              <w:rPr>
                <w:noProof/>
                <w:webHidden/>
              </w:rPr>
              <w:fldChar w:fldCharType="separate"/>
            </w:r>
            <w:r>
              <w:rPr>
                <w:noProof/>
                <w:webHidden/>
              </w:rPr>
              <w:t>34</w:t>
            </w:r>
            <w:r>
              <w:rPr>
                <w:noProof/>
                <w:webHidden/>
              </w:rPr>
              <w:fldChar w:fldCharType="end"/>
            </w:r>
          </w:hyperlink>
        </w:p>
        <w:p w:rsidR="003A7F6C" w:rsidRPr="00B811C6" w:rsidRDefault="00DB6124" w:rsidP="00B811C6">
          <w:pPr>
            <w:pStyle w:val="TOC2"/>
          </w:pPr>
          <w:r>
            <w:fldChar w:fldCharType="end"/>
          </w:r>
        </w:p>
      </w:sdtContent>
    </w:sdt>
    <w:bookmarkStart w:id="3" w:name="_Toc314842482" w:displacedByCustomXml="prev"/>
    <w:p w:rsidR="00FD119B" w:rsidRDefault="00FD119B">
      <w:pPr>
        <w:spacing w:before="0" w:after="200" w:line="0" w:lineRule="auto"/>
      </w:pPr>
      <w:r>
        <w:br w:type="page"/>
      </w:r>
    </w:p>
    <w:p w:rsidR="00FD119B" w:rsidRPr="00FD119B" w:rsidRDefault="00441C3F" w:rsidP="004F0C4A">
      <w:pPr>
        <w:pStyle w:val="Heading2"/>
      </w:pPr>
      <w:bookmarkStart w:id="4" w:name="_Toc351716269"/>
      <w:bookmarkStart w:id="5" w:name="_Toc351718881"/>
      <w:bookmarkStart w:id="6" w:name="_Toc355338616"/>
      <w:bookmarkStart w:id="7" w:name="_Toc356306144"/>
      <w:bookmarkStart w:id="8" w:name="_Toc456784888"/>
      <w:r>
        <w:lastRenderedPageBreak/>
        <w:t>Common</w:t>
      </w:r>
      <w:r w:rsidR="00FD119B" w:rsidRPr="00FD119B">
        <w:t xml:space="preserve"> abbreviations</w:t>
      </w:r>
      <w:bookmarkEnd w:id="4"/>
      <w:bookmarkEnd w:id="5"/>
      <w:bookmarkEnd w:id="6"/>
      <w:bookmarkEnd w:id="7"/>
      <w:bookmarkEnd w:id="8"/>
    </w:p>
    <w:tbl>
      <w:tblPr>
        <w:tblStyle w:val="TableTGAblue"/>
        <w:tblW w:w="0" w:type="auto"/>
        <w:tblLook w:val="04A0" w:firstRow="1" w:lastRow="0" w:firstColumn="1" w:lastColumn="0" w:noHBand="0" w:noVBand="1"/>
      </w:tblPr>
      <w:tblGrid>
        <w:gridCol w:w="1890"/>
        <w:gridCol w:w="6830"/>
      </w:tblGrid>
      <w:tr w:rsidR="00FD119B" w:rsidRPr="00FD119B" w:rsidTr="00DE6BB6">
        <w:trPr>
          <w:cnfStyle w:val="100000000000" w:firstRow="1" w:lastRow="0" w:firstColumn="0" w:lastColumn="0" w:oddVBand="0" w:evenVBand="0" w:oddHBand="0" w:evenHBand="0" w:firstRowFirstColumn="0" w:firstRowLastColumn="0" w:lastRowFirstColumn="0" w:lastRowLastColumn="0"/>
        </w:trPr>
        <w:tc>
          <w:tcPr>
            <w:tcW w:w="1809" w:type="dxa"/>
          </w:tcPr>
          <w:p w:rsidR="00FD119B" w:rsidRPr="00FD119B" w:rsidRDefault="00FD119B" w:rsidP="00DE6BB6">
            <w:pPr>
              <w:rPr>
                <w:lang w:eastAsia="en-US"/>
              </w:rPr>
            </w:pPr>
            <w:r w:rsidRPr="00FD119B">
              <w:rPr>
                <w:lang w:eastAsia="en-US"/>
              </w:rPr>
              <w:t>Abbreviation</w:t>
            </w:r>
          </w:p>
        </w:tc>
        <w:tc>
          <w:tcPr>
            <w:tcW w:w="6911" w:type="dxa"/>
          </w:tcPr>
          <w:p w:rsidR="00FD119B" w:rsidRPr="00FD119B" w:rsidRDefault="00FD119B" w:rsidP="00DE6BB6">
            <w:pPr>
              <w:rPr>
                <w:lang w:eastAsia="en-US"/>
              </w:rPr>
            </w:pPr>
            <w:r w:rsidRPr="00FD119B">
              <w:rPr>
                <w:lang w:eastAsia="en-US"/>
              </w:rPr>
              <w:t>Meaning</w:t>
            </w:r>
          </w:p>
        </w:tc>
      </w:tr>
      <w:tr w:rsidR="00207B99" w:rsidRPr="00FD119B" w:rsidTr="00DE6BB6">
        <w:tc>
          <w:tcPr>
            <w:tcW w:w="1809" w:type="dxa"/>
          </w:tcPr>
          <w:p w:rsidR="00207B99" w:rsidRDefault="00207B99" w:rsidP="00DE6BB6">
            <w:r>
              <w:t>ACPM</w:t>
            </w:r>
          </w:p>
        </w:tc>
        <w:tc>
          <w:tcPr>
            <w:tcW w:w="6911" w:type="dxa"/>
          </w:tcPr>
          <w:p w:rsidR="00207B99" w:rsidRDefault="00207B99" w:rsidP="00DE6BB6">
            <w:r>
              <w:t>Advisory Committee on Prescription Medicines</w:t>
            </w:r>
          </w:p>
        </w:tc>
      </w:tr>
      <w:tr w:rsidR="00FD119B" w:rsidRPr="00FD119B" w:rsidTr="00DE6BB6">
        <w:tc>
          <w:tcPr>
            <w:tcW w:w="1809" w:type="dxa"/>
          </w:tcPr>
          <w:p w:rsidR="00FD119B" w:rsidRPr="00FD119B" w:rsidRDefault="00341F7B" w:rsidP="00DE6BB6">
            <w:pPr>
              <w:rPr>
                <w:color w:val="auto"/>
                <w:lang w:eastAsia="en-US"/>
              </w:rPr>
            </w:pPr>
            <w:r>
              <w:rPr>
                <w:color w:val="auto"/>
                <w:lang w:eastAsia="en-US"/>
              </w:rPr>
              <w:t>AUC</w:t>
            </w:r>
          </w:p>
        </w:tc>
        <w:tc>
          <w:tcPr>
            <w:tcW w:w="6911" w:type="dxa"/>
          </w:tcPr>
          <w:p w:rsidR="00FD119B" w:rsidRPr="00FD119B" w:rsidRDefault="00341F7B" w:rsidP="00DE6BB6">
            <w:pPr>
              <w:rPr>
                <w:color w:val="auto"/>
                <w:lang w:eastAsia="en-US"/>
              </w:rPr>
            </w:pPr>
            <w:r>
              <w:rPr>
                <w:color w:val="auto"/>
                <w:lang w:eastAsia="en-US"/>
              </w:rPr>
              <w:t>Area under the concentration versus time curve</w:t>
            </w:r>
          </w:p>
        </w:tc>
      </w:tr>
      <w:tr w:rsidR="00FD119B" w:rsidRPr="00FD119B" w:rsidTr="00DE6BB6">
        <w:tc>
          <w:tcPr>
            <w:tcW w:w="1809" w:type="dxa"/>
          </w:tcPr>
          <w:p w:rsidR="00FD119B" w:rsidRPr="00FD119B" w:rsidRDefault="00341F7B" w:rsidP="00DE6BB6">
            <w:pPr>
              <w:rPr>
                <w:color w:val="auto"/>
                <w:lang w:eastAsia="en-US"/>
              </w:rPr>
            </w:pPr>
            <w:proofErr w:type="spellStart"/>
            <w:r>
              <w:rPr>
                <w:color w:val="auto"/>
                <w:lang w:eastAsia="en-US"/>
              </w:rPr>
              <w:t>C</w:t>
            </w:r>
            <w:r w:rsidRPr="00341F7B">
              <w:rPr>
                <w:color w:val="auto"/>
                <w:vertAlign w:val="subscript"/>
                <w:lang w:eastAsia="en-US"/>
              </w:rPr>
              <w:t>max</w:t>
            </w:r>
            <w:proofErr w:type="spellEnd"/>
          </w:p>
        </w:tc>
        <w:tc>
          <w:tcPr>
            <w:tcW w:w="6911" w:type="dxa"/>
          </w:tcPr>
          <w:p w:rsidR="00FD119B" w:rsidRPr="00FD119B" w:rsidRDefault="00341F7B" w:rsidP="00DE6BB6">
            <w:pPr>
              <w:rPr>
                <w:color w:val="auto"/>
                <w:lang w:eastAsia="en-US"/>
              </w:rPr>
            </w:pPr>
            <w:r>
              <w:rPr>
                <w:color w:val="auto"/>
                <w:lang w:eastAsia="en-US"/>
              </w:rPr>
              <w:t>Peak plasma concentration</w:t>
            </w:r>
          </w:p>
        </w:tc>
      </w:tr>
      <w:tr w:rsidR="00341F7B" w:rsidRPr="00FD119B" w:rsidTr="00DE6BB6">
        <w:tc>
          <w:tcPr>
            <w:tcW w:w="1809" w:type="dxa"/>
          </w:tcPr>
          <w:p w:rsidR="00341F7B" w:rsidRPr="00FD119B" w:rsidRDefault="00341F7B" w:rsidP="00DE6BB6">
            <w:pPr>
              <w:rPr>
                <w:color w:val="auto"/>
                <w:lang w:eastAsia="en-US"/>
              </w:rPr>
            </w:pPr>
            <w:r>
              <w:rPr>
                <w:color w:val="auto"/>
                <w:lang w:eastAsia="en-US"/>
              </w:rPr>
              <w:t>EU</w:t>
            </w:r>
          </w:p>
        </w:tc>
        <w:tc>
          <w:tcPr>
            <w:tcW w:w="6911" w:type="dxa"/>
          </w:tcPr>
          <w:p w:rsidR="00341F7B" w:rsidRPr="00FD119B" w:rsidRDefault="00341F7B" w:rsidP="00DE6BB6">
            <w:pPr>
              <w:rPr>
                <w:color w:val="auto"/>
                <w:lang w:eastAsia="en-US"/>
              </w:rPr>
            </w:pPr>
            <w:r>
              <w:rPr>
                <w:color w:val="auto"/>
                <w:lang w:eastAsia="en-US"/>
              </w:rPr>
              <w:t>European Union</w:t>
            </w:r>
          </w:p>
        </w:tc>
      </w:tr>
      <w:tr w:rsidR="00341F7B" w:rsidRPr="00FD119B" w:rsidTr="00DE6BB6">
        <w:tc>
          <w:tcPr>
            <w:tcW w:w="1809" w:type="dxa"/>
          </w:tcPr>
          <w:p w:rsidR="00341F7B" w:rsidRDefault="00341F7B" w:rsidP="00DE6BB6">
            <w:r>
              <w:t>ER</w:t>
            </w:r>
          </w:p>
        </w:tc>
        <w:tc>
          <w:tcPr>
            <w:tcW w:w="6911" w:type="dxa"/>
          </w:tcPr>
          <w:p w:rsidR="00341F7B" w:rsidRDefault="00341F7B" w:rsidP="00DE6BB6">
            <w:r>
              <w:t>Extended release</w:t>
            </w:r>
          </w:p>
        </w:tc>
      </w:tr>
      <w:tr w:rsidR="00341F7B" w:rsidRPr="00FD119B" w:rsidTr="00DE6BB6">
        <w:tc>
          <w:tcPr>
            <w:tcW w:w="1809" w:type="dxa"/>
          </w:tcPr>
          <w:p w:rsidR="00341F7B" w:rsidRDefault="00341F7B" w:rsidP="00DE6BB6">
            <w:r>
              <w:t>IM</w:t>
            </w:r>
          </w:p>
        </w:tc>
        <w:tc>
          <w:tcPr>
            <w:tcW w:w="6911" w:type="dxa"/>
          </w:tcPr>
          <w:p w:rsidR="00341F7B" w:rsidRDefault="00341F7B" w:rsidP="00DE6BB6">
            <w:r>
              <w:t>Immediate release</w:t>
            </w:r>
          </w:p>
        </w:tc>
      </w:tr>
      <w:tr w:rsidR="00341F7B" w:rsidRPr="00FD119B" w:rsidTr="00DE6BB6">
        <w:tc>
          <w:tcPr>
            <w:tcW w:w="1809" w:type="dxa"/>
          </w:tcPr>
          <w:p w:rsidR="00341F7B" w:rsidRDefault="00341F7B" w:rsidP="00DE6BB6">
            <w:r>
              <w:t>MR</w:t>
            </w:r>
          </w:p>
        </w:tc>
        <w:tc>
          <w:tcPr>
            <w:tcW w:w="6911" w:type="dxa"/>
          </w:tcPr>
          <w:p w:rsidR="00341F7B" w:rsidRDefault="00341F7B" w:rsidP="00DE6BB6">
            <w:r>
              <w:t>Modified release</w:t>
            </w:r>
          </w:p>
        </w:tc>
      </w:tr>
      <w:tr w:rsidR="00341F7B" w:rsidRPr="00FD119B" w:rsidTr="00DE6BB6">
        <w:tc>
          <w:tcPr>
            <w:tcW w:w="1809" w:type="dxa"/>
          </w:tcPr>
          <w:p w:rsidR="00341F7B" w:rsidRDefault="00341F7B" w:rsidP="00DE6BB6">
            <w:r>
              <w:t>PBS</w:t>
            </w:r>
          </w:p>
        </w:tc>
        <w:tc>
          <w:tcPr>
            <w:tcW w:w="6911" w:type="dxa"/>
          </w:tcPr>
          <w:p w:rsidR="00341F7B" w:rsidRDefault="00341F7B" w:rsidP="00DE6BB6">
            <w:r>
              <w:t>Pharmaceutical Benefit Scheme</w:t>
            </w:r>
          </w:p>
        </w:tc>
      </w:tr>
      <w:tr w:rsidR="00341F7B" w:rsidRPr="00FD119B" w:rsidTr="00DE6BB6">
        <w:tc>
          <w:tcPr>
            <w:tcW w:w="1809" w:type="dxa"/>
          </w:tcPr>
          <w:p w:rsidR="00341F7B" w:rsidRDefault="00341F7B" w:rsidP="00DE6BB6">
            <w:proofErr w:type="spellStart"/>
            <w:r>
              <w:t>T</w:t>
            </w:r>
            <w:r w:rsidRPr="00341F7B">
              <w:rPr>
                <w:vertAlign w:val="subscript"/>
              </w:rPr>
              <w:t>max</w:t>
            </w:r>
            <w:proofErr w:type="spellEnd"/>
          </w:p>
        </w:tc>
        <w:tc>
          <w:tcPr>
            <w:tcW w:w="6911" w:type="dxa"/>
          </w:tcPr>
          <w:p w:rsidR="00341F7B" w:rsidRDefault="00341F7B" w:rsidP="00DE6BB6">
            <w:r>
              <w:t>Time to peak plasma concentration</w:t>
            </w:r>
          </w:p>
        </w:tc>
      </w:tr>
    </w:tbl>
    <w:p w:rsidR="00FD119B" w:rsidRPr="00FD119B" w:rsidRDefault="00FD119B" w:rsidP="00FD119B">
      <w:pPr>
        <w:spacing w:before="0" w:after="200" w:line="0" w:lineRule="auto"/>
        <w:rPr>
          <w:b/>
          <w:i/>
          <w:sz w:val="24"/>
          <w:szCs w:val="24"/>
        </w:rPr>
      </w:pPr>
      <w:r w:rsidRPr="00FD119B">
        <w:rPr>
          <w:b/>
          <w:i/>
          <w:sz w:val="24"/>
          <w:szCs w:val="24"/>
        </w:rPr>
        <w:br w:type="page"/>
      </w:r>
    </w:p>
    <w:p w:rsidR="008E7846" w:rsidRDefault="00F53C07" w:rsidP="008E7846">
      <w:pPr>
        <w:pStyle w:val="Heading2"/>
      </w:pPr>
      <w:bookmarkStart w:id="9" w:name="_Toc456784889"/>
      <w:r>
        <w:lastRenderedPageBreak/>
        <w:t>I.</w:t>
      </w:r>
      <w:r w:rsidR="008E7846">
        <w:t xml:space="preserve"> Introduction to product submission</w:t>
      </w:r>
      <w:bookmarkEnd w:id="0"/>
      <w:bookmarkEnd w:id="3"/>
      <w:bookmarkEnd w:id="9"/>
    </w:p>
    <w:p w:rsidR="008E7846" w:rsidRDefault="008E7846" w:rsidP="008E7846">
      <w:pPr>
        <w:pStyle w:val="Heading3"/>
        <w:rPr>
          <w:lang w:eastAsia="en-AU"/>
        </w:rPr>
      </w:pPr>
      <w:bookmarkStart w:id="10" w:name="_Toc247691502"/>
      <w:bookmarkStart w:id="11" w:name="_Toc314842483"/>
      <w:bookmarkStart w:id="12" w:name="_Toc456784890"/>
      <w:r>
        <w:rPr>
          <w:lang w:eastAsia="en-AU"/>
        </w:rPr>
        <w:t>Submission details</w:t>
      </w:r>
      <w:bookmarkEnd w:id="10"/>
      <w:bookmarkEnd w:id="11"/>
      <w:bookmarkEnd w:id="12"/>
    </w:p>
    <w:tbl>
      <w:tblPr>
        <w:tblW w:w="9214" w:type="dxa"/>
        <w:tblInd w:w="108" w:type="dxa"/>
        <w:tblLook w:val="01E0" w:firstRow="1" w:lastRow="1" w:firstColumn="1" w:lastColumn="1" w:noHBand="0" w:noVBand="0"/>
      </w:tblPr>
      <w:tblGrid>
        <w:gridCol w:w="2907"/>
        <w:gridCol w:w="6307"/>
      </w:tblGrid>
      <w:tr w:rsidR="008E7846" w:rsidRPr="00A0661B" w:rsidTr="00DE6BB6">
        <w:trPr>
          <w:trHeight w:hRule="exact" w:val="454"/>
        </w:trPr>
        <w:tc>
          <w:tcPr>
            <w:tcW w:w="2907" w:type="dxa"/>
          </w:tcPr>
          <w:p w:rsidR="008E7846" w:rsidRPr="00A0661B" w:rsidRDefault="001B5C90" w:rsidP="00A0661B">
            <w:r w:rsidRPr="00A0661B">
              <w:t>Type of s</w:t>
            </w:r>
            <w:r w:rsidR="008E7846" w:rsidRPr="00A0661B">
              <w:t>ubmission</w:t>
            </w:r>
            <w:r w:rsidRPr="00A0661B">
              <w:t>:</w:t>
            </w:r>
          </w:p>
        </w:tc>
        <w:tc>
          <w:tcPr>
            <w:tcW w:w="6307" w:type="dxa"/>
          </w:tcPr>
          <w:p w:rsidR="008E7846" w:rsidRPr="00A0661B" w:rsidRDefault="008E7846" w:rsidP="00A0661B">
            <w:r w:rsidRPr="00A0661B">
              <w:t xml:space="preserve">New </w:t>
            </w:r>
            <w:r w:rsidR="00B43000" w:rsidRPr="00A0661B">
              <w:t>generic medicine</w:t>
            </w:r>
          </w:p>
        </w:tc>
      </w:tr>
      <w:tr w:rsidR="008E7846" w:rsidRPr="00A0661B" w:rsidTr="00DE6BB6">
        <w:trPr>
          <w:trHeight w:hRule="exact" w:val="454"/>
        </w:trPr>
        <w:tc>
          <w:tcPr>
            <w:tcW w:w="2907" w:type="dxa"/>
          </w:tcPr>
          <w:p w:rsidR="008E7846" w:rsidRPr="00A0661B" w:rsidRDefault="008E7846" w:rsidP="00A0661B">
            <w:r w:rsidRPr="00A0661B">
              <w:t>Decision:</w:t>
            </w:r>
          </w:p>
        </w:tc>
        <w:tc>
          <w:tcPr>
            <w:tcW w:w="6307" w:type="dxa"/>
          </w:tcPr>
          <w:p w:rsidR="008E7846" w:rsidRPr="00A0661B" w:rsidRDefault="00B43000" w:rsidP="00A0661B">
            <w:r w:rsidRPr="00A0661B">
              <w:t>W</w:t>
            </w:r>
            <w:r w:rsidR="008E7846" w:rsidRPr="00A0661B">
              <w:t>ithdrawn</w:t>
            </w:r>
          </w:p>
        </w:tc>
      </w:tr>
      <w:tr w:rsidR="008E7846" w:rsidRPr="00A0661B" w:rsidTr="00DE6BB6">
        <w:trPr>
          <w:trHeight w:hRule="exact" w:val="454"/>
        </w:trPr>
        <w:tc>
          <w:tcPr>
            <w:tcW w:w="2907" w:type="dxa"/>
          </w:tcPr>
          <w:p w:rsidR="008E7846" w:rsidRPr="00A0661B" w:rsidRDefault="008E7846" w:rsidP="00A0661B">
            <w:r w:rsidRPr="00A0661B">
              <w:t xml:space="preserve">Date of </w:t>
            </w:r>
            <w:r w:rsidR="001B5C90" w:rsidRPr="00A0661B">
              <w:t>d</w:t>
            </w:r>
            <w:r w:rsidRPr="00A0661B">
              <w:t>ecision:</w:t>
            </w:r>
          </w:p>
        </w:tc>
        <w:tc>
          <w:tcPr>
            <w:tcW w:w="6307" w:type="dxa"/>
          </w:tcPr>
          <w:p w:rsidR="008E7846" w:rsidRPr="00A0661B" w:rsidRDefault="00B43000" w:rsidP="00A0661B">
            <w:r w:rsidRPr="00A0661B">
              <w:t>23 February 2016</w:t>
            </w:r>
          </w:p>
        </w:tc>
      </w:tr>
      <w:tr w:rsidR="00ED2922" w:rsidRPr="00A0661B" w:rsidTr="00DE6BB6">
        <w:trPr>
          <w:trHeight w:hRule="exact" w:val="454"/>
        </w:trPr>
        <w:tc>
          <w:tcPr>
            <w:tcW w:w="2907" w:type="dxa"/>
          </w:tcPr>
          <w:p w:rsidR="00ED2922" w:rsidRPr="00A0661B" w:rsidRDefault="00ED2922" w:rsidP="00A0661B">
            <w:r w:rsidRPr="00A0661B">
              <w:t>Date of entry onto ARTG</w:t>
            </w:r>
            <w:r w:rsidR="004552E6">
              <w:t>:</w:t>
            </w:r>
          </w:p>
        </w:tc>
        <w:tc>
          <w:tcPr>
            <w:tcW w:w="6307" w:type="dxa"/>
          </w:tcPr>
          <w:p w:rsidR="00ED2922" w:rsidRPr="00A0661B" w:rsidRDefault="00B43000" w:rsidP="00A0661B">
            <w:r w:rsidRPr="00A0661B">
              <w:t>Not applicable</w:t>
            </w:r>
          </w:p>
        </w:tc>
      </w:tr>
      <w:tr w:rsidR="008E7846" w:rsidRPr="00A0661B" w:rsidTr="00DE6BB6">
        <w:tc>
          <w:tcPr>
            <w:tcW w:w="2907" w:type="dxa"/>
          </w:tcPr>
          <w:p w:rsidR="008E7846" w:rsidRPr="00A0661B" w:rsidRDefault="001B5C90" w:rsidP="00A0661B">
            <w:r w:rsidRPr="00A0661B">
              <w:t>Active ingredient(s):</w:t>
            </w:r>
          </w:p>
        </w:tc>
        <w:tc>
          <w:tcPr>
            <w:tcW w:w="6307" w:type="dxa"/>
          </w:tcPr>
          <w:p w:rsidR="008E7846" w:rsidRPr="00A0661B" w:rsidRDefault="003A616D" w:rsidP="00A0661B">
            <w:proofErr w:type="spellStart"/>
            <w:r w:rsidRPr="00A0661B">
              <w:t>Gliclazide</w:t>
            </w:r>
            <w:proofErr w:type="spellEnd"/>
          </w:p>
        </w:tc>
      </w:tr>
      <w:tr w:rsidR="008E7846" w:rsidRPr="00A0661B" w:rsidTr="00DE6BB6">
        <w:tc>
          <w:tcPr>
            <w:tcW w:w="2907" w:type="dxa"/>
          </w:tcPr>
          <w:p w:rsidR="008E7846" w:rsidRPr="00A0661B" w:rsidRDefault="008E7846" w:rsidP="00A0661B">
            <w:r w:rsidRPr="00A0661B">
              <w:t>Product</w:t>
            </w:r>
            <w:r w:rsidR="001B5C90" w:rsidRPr="00A0661B">
              <w:t xml:space="preserve"> name(s):</w:t>
            </w:r>
          </w:p>
        </w:tc>
        <w:tc>
          <w:tcPr>
            <w:tcW w:w="6307" w:type="dxa"/>
          </w:tcPr>
          <w:p w:rsidR="003A616D" w:rsidRPr="00A0661B" w:rsidRDefault="003A616D" w:rsidP="00A0661B">
            <w:pPr>
              <w:rPr>
                <w:i/>
              </w:rPr>
            </w:pPr>
            <w:r w:rsidRPr="00A0661B">
              <w:rPr>
                <w:i/>
              </w:rPr>
              <w:t>30 mg tablet</w:t>
            </w:r>
            <w:r w:rsidR="00A0661B">
              <w:rPr>
                <w:i/>
              </w:rPr>
              <w:t>:</w:t>
            </w:r>
          </w:p>
          <w:p w:rsidR="00DE6BB6" w:rsidRDefault="00B43000" w:rsidP="00A0661B">
            <w:proofErr w:type="spellStart"/>
            <w:r w:rsidRPr="00A0661B">
              <w:t>Gliclazide</w:t>
            </w:r>
            <w:proofErr w:type="spellEnd"/>
            <w:r w:rsidRPr="00A0661B">
              <w:t xml:space="preserve"> </w:t>
            </w:r>
            <w:proofErr w:type="spellStart"/>
            <w:r w:rsidRPr="00A0661B">
              <w:t>Gppl</w:t>
            </w:r>
            <w:proofErr w:type="spellEnd"/>
            <w:r w:rsidRPr="00A0661B">
              <w:t xml:space="preserve"> MR 30</w:t>
            </w:r>
          </w:p>
          <w:p w:rsidR="00DE6BB6" w:rsidRDefault="003A616D" w:rsidP="00A0661B">
            <w:pPr>
              <w:rPr>
                <w:i/>
              </w:rPr>
            </w:pPr>
            <w:r w:rsidRPr="00A0661B">
              <w:rPr>
                <w:i/>
              </w:rPr>
              <w:t>6</w:t>
            </w:r>
            <w:r w:rsidR="005E1824">
              <w:rPr>
                <w:i/>
              </w:rPr>
              <w:t>0 mg</w:t>
            </w:r>
            <w:r w:rsidRPr="00A0661B">
              <w:rPr>
                <w:i/>
              </w:rPr>
              <w:t xml:space="preserve"> unscored tablet</w:t>
            </w:r>
            <w:r w:rsidR="007B41D2">
              <w:rPr>
                <w:i/>
              </w:rPr>
              <w:t>:</w:t>
            </w:r>
          </w:p>
          <w:p w:rsidR="003A616D" w:rsidRPr="00A0661B" w:rsidRDefault="00B43000" w:rsidP="004552E6">
            <w:proofErr w:type="spellStart"/>
            <w:r w:rsidRPr="00A0661B">
              <w:t>Gliclazide</w:t>
            </w:r>
            <w:proofErr w:type="spellEnd"/>
            <w:r w:rsidRPr="00A0661B">
              <w:t xml:space="preserve"> </w:t>
            </w:r>
            <w:proofErr w:type="spellStart"/>
            <w:r w:rsidRPr="00A0661B">
              <w:t>Gxp</w:t>
            </w:r>
            <w:proofErr w:type="spellEnd"/>
            <w:r w:rsidRPr="00A0661B">
              <w:t xml:space="preserve"> MR 60; </w:t>
            </w:r>
            <w:proofErr w:type="spellStart"/>
            <w:r w:rsidRPr="00A0661B">
              <w:t>Gliclazide</w:t>
            </w:r>
            <w:proofErr w:type="spellEnd"/>
            <w:r w:rsidRPr="00A0661B">
              <w:t xml:space="preserve"> </w:t>
            </w:r>
            <w:proofErr w:type="spellStart"/>
            <w:r w:rsidRPr="00A0661B">
              <w:t>Genpar</w:t>
            </w:r>
            <w:proofErr w:type="spellEnd"/>
            <w:r w:rsidRPr="00A0661B">
              <w:t xml:space="preserve"> MR 60 </w:t>
            </w:r>
          </w:p>
        </w:tc>
      </w:tr>
      <w:tr w:rsidR="008E7846" w:rsidRPr="00A0661B" w:rsidTr="00DE6BB6">
        <w:tc>
          <w:tcPr>
            <w:tcW w:w="2907" w:type="dxa"/>
          </w:tcPr>
          <w:p w:rsidR="008E7846" w:rsidRPr="00A0661B" w:rsidRDefault="008E7846" w:rsidP="00A0661B">
            <w:r w:rsidRPr="00A0661B">
              <w:t xml:space="preserve">Sponsor’s </w:t>
            </w:r>
            <w:r w:rsidR="001B5C90" w:rsidRPr="00A0661B">
              <w:t>n</w:t>
            </w:r>
            <w:r w:rsidRPr="00A0661B">
              <w:t xml:space="preserve">ame and </w:t>
            </w:r>
            <w:r w:rsidR="001B5C90" w:rsidRPr="00A0661B">
              <w:t>a</w:t>
            </w:r>
            <w:r w:rsidRPr="00A0661B">
              <w:t>ddress:</w:t>
            </w:r>
          </w:p>
        </w:tc>
        <w:tc>
          <w:tcPr>
            <w:tcW w:w="6307" w:type="dxa"/>
          </w:tcPr>
          <w:p w:rsidR="00DE6BB6" w:rsidRDefault="00B43000" w:rsidP="00341F7B">
            <w:r w:rsidRPr="00341F7B">
              <w:t>Generic Partners Pty Ltd</w:t>
            </w:r>
          </w:p>
          <w:p w:rsidR="008E7846" w:rsidRPr="00A0661B" w:rsidRDefault="00B43000" w:rsidP="00341F7B">
            <w:r w:rsidRPr="00341F7B">
              <w:t>313 Burwood Rd Hawthorn VIC 3122</w:t>
            </w:r>
          </w:p>
        </w:tc>
      </w:tr>
      <w:tr w:rsidR="008E7846" w:rsidRPr="00A0661B" w:rsidTr="00DE6BB6">
        <w:tc>
          <w:tcPr>
            <w:tcW w:w="2907" w:type="dxa"/>
          </w:tcPr>
          <w:p w:rsidR="008E7846" w:rsidRPr="00A0661B" w:rsidRDefault="001B5C90" w:rsidP="00A0661B">
            <w:r w:rsidRPr="00A0661B">
              <w:t>Dose form(s):</w:t>
            </w:r>
          </w:p>
        </w:tc>
        <w:tc>
          <w:tcPr>
            <w:tcW w:w="6307" w:type="dxa"/>
          </w:tcPr>
          <w:p w:rsidR="008E7846" w:rsidRPr="00A0661B" w:rsidRDefault="003A616D" w:rsidP="00A0661B">
            <w:r w:rsidRPr="00A0661B">
              <w:t>Modified release tablet</w:t>
            </w:r>
          </w:p>
        </w:tc>
      </w:tr>
      <w:tr w:rsidR="008E7846" w:rsidRPr="00A0661B" w:rsidTr="00DE6BB6">
        <w:tc>
          <w:tcPr>
            <w:tcW w:w="2907" w:type="dxa"/>
          </w:tcPr>
          <w:p w:rsidR="008E7846" w:rsidRPr="00A0661B" w:rsidRDefault="008E7846" w:rsidP="00A0661B">
            <w:r w:rsidRPr="00A0661B">
              <w:t xml:space="preserve">Strength(s): </w:t>
            </w:r>
          </w:p>
        </w:tc>
        <w:tc>
          <w:tcPr>
            <w:tcW w:w="6307" w:type="dxa"/>
          </w:tcPr>
          <w:p w:rsidR="008E7846" w:rsidRPr="00A0661B" w:rsidRDefault="003A616D" w:rsidP="007B41D2">
            <w:r w:rsidRPr="00A0661B">
              <w:t>30 mg</w:t>
            </w:r>
            <w:r w:rsidR="007B41D2">
              <w:t xml:space="preserve"> and</w:t>
            </w:r>
            <w:r w:rsidRPr="00A0661B">
              <w:t xml:space="preserve"> 60 mg</w:t>
            </w:r>
          </w:p>
        </w:tc>
      </w:tr>
      <w:tr w:rsidR="008E7846" w:rsidRPr="00A0661B" w:rsidTr="00DE6BB6">
        <w:tc>
          <w:tcPr>
            <w:tcW w:w="2907" w:type="dxa"/>
          </w:tcPr>
          <w:p w:rsidR="008E7846" w:rsidRPr="00A0661B" w:rsidRDefault="008E7846" w:rsidP="00A0661B">
            <w:r w:rsidRPr="00A0661B">
              <w:t>Container(s):</w:t>
            </w:r>
          </w:p>
        </w:tc>
        <w:tc>
          <w:tcPr>
            <w:tcW w:w="6307" w:type="dxa"/>
          </w:tcPr>
          <w:p w:rsidR="008E7846" w:rsidRPr="00A0661B" w:rsidRDefault="00B43000" w:rsidP="00A0661B">
            <w:r w:rsidRPr="00A0661B">
              <w:t>Blister packs</w:t>
            </w:r>
          </w:p>
        </w:tc>
      </w:tr>
      <w:tr w:rsidR="00636B99" w:rsidRPr="00A0661B" w:rsidTr="00DE6BB6">
        <w:tc>
          <w:tcPr>
            <w:tcW w:w="2907" w:type="dxa"/>
          </w:tcPr>
          <w:p w:rsidR="00636B99" w:rsidRDefault="00636B99" w:rsidP="00A0661B">
            <w:r>
              <w:t>Pack size</w:t>
            </w:r>
            <w:r w:rsidR="000015B2">
              <w:t>(s)</w:t>
            </w:r>
            <w:r>
              <w:t>:</w:t>
            </w:r>
          </w:p>
        </w:tc>
        <w:tc>
          <w:tcPr>
            <w:tcW w:w="6307" w:type="dxa"/>
          </w:tcPr>
          <w:p w:rsidR="00636B99" w:rsidRDefault="00636B99" w:rsidP="00A0661B">
            <w:r>
              <w:t xml:space="preserve">14 or 100 tablets (30 mg) and </w:t>
            </w:r>
            <w:r w:rsidR="00D92B40">
              <w:t xml:space="preserve">14 or 60 tablets </w:t>
            </w:r>
            <w:r>
              <w:t>(60 mg)</w:t>
            </w:r>
          </w:p>
        </w:tc>
      </w:tr>
      <w:tr w:rsidR="008E7846" w:rsidRPr="00A0661B" w:rsidTr="00DE6BB6">
        <w:tc>
          <w:tcPr>
            <w:tcW w:w="2907" w:type="dxa"/>
          </w:tcPr>
          <w:p w:rsidR="008E7846" w:rsidRPr="00A0661B" w:rsidRDefault="008E7846" w:rsidP="00A0661B">
            <w:r w:rsidRPr="00A0661B">
              <w:t xml:space="preserve">Approved </w:t>
            </w:r>
            <w:r w:rsidR="001B5C90" w:rsidRPr="00A0661B">
              <w:t>t</w:t>
            </w:r>
            <w:r w:rsidRPr="00A0661B">
              <w:t>herapeutic use:</w:t>
            </w:r>
          </w:p>
        </w:tc>
        <w:tc>
          <w:tcPr>
            <w:tcW w:w="6307" w:type="dxa"/>
          </w:tcPr>
          <w:p w:rsidR="008E7846" w:rsidRPr="00A0661B" w:rsidRDefault="00B43000" w:rsidP="00A0661B">
            <w:r w:rsidRPr="00A0661B">
              <w:t>Not applicable</w:t>
            </w:r>
          </w:p>
        </w:tc>
      </w:tr>
      <w:tr w:rsidR="008E7846" w:rsidRPr="00A0661B" w:rsidTr="00DE6BB6">
        <w:tc>
          <w:tcPr>
            <w:tcW w:w="2907" w:type="dxa"/>
          </w:tcPr>
          <w:p w:rsidR="008E7846" w:rsidRPr="00A0661B" w:rsidRDefault="008E7846" w:rsidP="00A0661B">
            <w:r w:rsidRPr="00A0661B">
              <w:t>Route(s) of administration:</w:t>
            </w:r>
          </w:p>
        </w:tc>
        <w:tc>
          <w:tcPr>
            <w:tcW w:w="6307" w:type="dxa"/>
          </w:tcPr>
          <w:p w:rsidR="008E7846" w:rsidRPr="00A0661B" w:rsidRDefault="00B43000" w:rsidP="00A0661B">
            <w:r w:rsidRPr="00A0661B">
              <w:t>Oral</w:t>
            </w:r>
            <w:r w:rsidR="00341F7B">
              <w:t xml:space="preserve"> (PO)</w:t>
            </w:r>
          </w:p>
        </w:tc>
      </w:tr>
      <w:tr w:rsidR="008E7846" w:rsidRPr="00A0661B" w:rsidTr="00DE6BB6">
        <w:tc>
          <w:tcPr>
            <w:tcW w:w="2907" w:type="dxa"/>
          </w:tcPr>
          <w:p w:rsidR="008E7846" w:rsidRPr="00A0661B" w:rsidRDefault="008E7846" w:rsidP="00A0661B">
            <w:r w:rsidRPr="00A0661B">
              <w:t>Dosage:</w:t>
            </w:r>
          </w:p>
        </w:tc>
        <w:tc>
          <w:tcPr>
            <w:tcW w:w="6307" w:type="dxa"/>
          </w:tcPr>
          <w:p w:rsidR="008E7846" w:rsidRPr="00A0661B" w:rsidRDefault="003A6AB1" w:rsidP="00A0661B">
            <w:r>
              <w:t>60 mg/day</w:t>
            </w:r>
          </w:p>
        </w:tc>
      </w:tr>
      <w:tr w:rsidR="008E7846" w:rsidRPr="00A0661B" w:rsidTr="00DE6BB6">
        <w:tc>
          <w:tcPr>
            <w:tcW w:w="2907" w:type="dxa"/>
          </w:tcPr>
          <w:p w:rsidR="008E7846" w:rsidRPr="00A0661B" w:rsidRDefault="008E7846" w:rsidP="00A0661B">
            <w:r w:rsidRPr="00A0661B">
              <w:t xml:space="preserve">ARTG </w:t>
            </w:r>
            <w:r w:rsidR="001B5C90" w:rsidRPr="00A0661B">
              <w:t>n</w:t>
            </w:r>
            <w:r w:rsidRPr="00A0661B">
              <w:t>umber (s)</w:t>
            </w:r>
            <w:r w:rsidR="001B5C90" w:rsidRPr="00A0661B">
              <w:t>:</w:t>
            </w:r>
          </w:p>
        </w:tc>
        <w:tc>
          <w:tcPr>
            <w:tcW w:w="6307" w:type="dxa"/>
          </w:tcPr>
          <w:p w:rsidR="008E7846" w:rsidRPr="00A0661B" w:rsidRDefault="00B43000" w:rsidP="00A0661B">
            <w:r w:rsidRPr="00A0661B">
              <w:t>Not applicable</w:t>
            </w:r>
          </w:p>
        </w:tc>
      </w:tr>
    </w:tbl>
    <w:p w:rsidR="008E7846" w:rsidRDefault="008E7846" w:rsidP="008E7846">
      <w:pPr>
        <w:pStyle w:val="Heading3"/>
      </w:pPr>
      <w:bookmarkStart w:id="13" w:name="_Toc247691503"/>
      <w:bookmarkStart w:id="14" w:name="_Toc314842484"/>
      <w:bookmarkStart w:id="15" w:name="_Toc456784891"/>
      <w:r>
        <w:t>Product background</w:t>
      </w:r>
      <w:bookmarkEnd w:id="13"/>
      <w:bookmarkEnd w:id="14"/>
      <w:bookmarkEnd w:id="15"/>
    </w:p>
    <w:p w:rsidR="00DE6BB6" w:rsidRDefault="00940A89" w:rsidP="003A6AB1">
      <w:r w:rsidRPr="00940A89">
        <w:t xml:space="preserve">This AusPAR describes the application by the </w:t>
      </w:r>
      <w:r w:rsidR="008A39E4">
        <w:t xml:space="preserve">Generic Partners Pty Ltd (the </w:t>
      </w:r>
      <w:r w:rsidRPr="00940A89">
        <w:t>sponsor</w:t>
      </w:r>
      <w:r w:rsidR="008A39E4">
        <w:t>)</w:t>
      </w:r>
      <w:r w:rsidRPr="00940A89">
        <w:t xml:space="preserve"> to register </w:t>
      </w:r>
      <w:r w:rsidR="003A6AB1">
        <w:t xml:space="preserve">a new generic </w:t>
      </w:r>
      <w:r w:rsidRPr="00940A89">
        <w:t xml:space="preserve">for </w:t>
      </w:r>
      <w:proofErr w:type="spellStart"/>
      <w:r w:rsidR="003A6AB1">
        <w:t>g</w:t>
      </w:r>
      <w:r w:rsidR="003A6AB1" w:rsidRPr="00A0661B">
        <w:t>liclazide</w:t>
      </w:r>
      <w:proofErr w:type="spellEnd"/>
      <w:r w:rsidR="003A6AB1" w:rsidRPr="00940A89">
        <w:t xml:space="preserve"> </w:t>
      </w:r>
      <w:r w:rsidR="003A6AB1">
        <w:t>with the</w:t>
      </w:r>
      <w:r w:rsidR="003A6AB1" w:rsidRPr="00940A89">
        <w:t xml:space="preserve"> </w:t>
      </w:r>
      <w:r w:rsidRPr="00940A89">
        <w:t>following indication</w:t>
      </w:r>
      <w:r w:rsidR="008A39E4">
        <w:t>:</w:t>
      </w:r>
    </w:p>
    <w:p w:rsidR="003A616D" w:rsidRPr="003A6AB1" w:rsidRDefault="003A616D" w:rsidP="003A6AB1">
      <w:pPr>
        <w:autoSpaceDE w:val="0"/>
        <w:autoSpaceDN w:val="0"/>
        <w:adjustRightInd w:val="0"/>
        <w:spacing w:before="0" w:after="0" w:line="240" w:lineRule="auto"/>
        <w:ind w:left="720"/>
        <w:rPr>
          <w:i/>
        </w:rPr>
      </w:pPr>
      <w:bookmarkStart w:id="16" w:name="_Toc314842485"/>
      <w:bookmarkStart w:id="17" w:name="_Toc247691504"/>
      <w:r w:rsidRPr="003A6AB1">
        <w:rPr>
          <w:i/>
        </w:rPr>
        <w:t>Type II Diabetes in association with dietary measures when dietary measures alone are</w:t>
      </w:r>
      <w:r w:rsidR="00944B2A" w:rsidRPr="003A6AB1">
        <w:rPr>
          <w:i/>
        </w:rPr>
        <w:t xml:space="preserve"> </w:t>
      </w:r>
      <w:r w:rsidRPr="003A6AB1">
        <w:rPr>
          <w:i/>
        </w:rPr>
        <w:t>inadequate to control blood glucose. During controlled clinical trials in patients with type II</w:t>
      </w:r>
      <w:r w:rsidR="00944B2A" w:rsidRPr="003A6AB1">
        <w:rPr>
          <w:i/>
        </w:rPr>
        <w:t xml:space="preserve"> </w:t>
      </w:r>
      <w:r w:rsidRPr="003A6AB1">
        <w:rPr>
          <w:i/>
        </w:rPr>
        <w:t xml:space="preserve">diabetes, a modified release formulation of </w:t>
      </w:r>
      <w:proofErr w:type="spellStart"/>
      <w:r w:rsidRPr="003A6AB1">
        <w:rPr>
          <w:i/>
        </w:rPr>
        <w:t>gliclazide</w:t>
      </w:r>
      <w:proofErr w:type="spellEnd"/>
      <w:r w:rsidRPr="003A6AB1">
        <w:rPr>
          <w:i/>
        </w:rPr>
        <w:t xml:space="preserve"> (30 mg-120 mg), taken as a single daily</w:t>
      </w:r>
      <w:r w:rsidR="00944B2A" w:rsidRPr="003A6AB1">
        <w:rPr>
          <w:i/>
        </w:rPr>
        <w:t xml:space="preserve"> </w:t>
      </w:r>
      <w:r w:rsidRPr="003A6AB1">
        <w:rPr>
          <w:i/>
        </w:rPr>
        <w:t>dose, was shown to be effective long term in controlling blood glucose levels, based on</w:t>
      </w:r>
      <w:r w:rsidR="00B43000" w:rsidRPr="003A6AB1">
        <w:rPr>
          <w:i/>
        </w:rPr>
        <w:t xml:space="preserve"> m</w:t>
      </w:r>
      <w:r w:rsidRPr="003A6AB1">
        <w:rPr>
          <w:i/>
        </w:rPr>
        <w:t>onitoring of HbA1c.</w:t>
      </w:r>
    </w:p>
    <w:p w:rsidR="00DE6BB6" w:rsidRDefault="00341F7B" w:rsidP="00341F7B">
      <w:proofErr w:type="spellStart"/>
      <w:r w:rsidRPr="001B2309">
        <w:t>Gliclazide</w:t>
      </w:r>
      <w:proofErr w:type="spellEnd"/>
      <w:r w:rsidRPr="001B2309">
        <w:t xml:space="preserve"> reduces blood glucose levels by stimulating insulin secretion from the </w:t>
      </w:r>
      <w:r w:rsidR="0076728C">
        <w:t>beta (</w:t>
      </w:r>
      <w:r w:rsidRPr="001B2309">
        <w:t>β</w:t>
      </w:r>
      <w:r w:rsidR="0076728C">
        <w:t>)</w:t>
      </w:r>
      <w:r>
        <w:t xml:space="preserve"> </w:t>
      </w:r>
      <w:r w:rsidRPr="001B2309">
        <w:t xml:space="preserve">cells of the islets of Langerhans.  </w:t>
      </w:r>
      <w:proofErr w:type="spellStart"/>
      <w:r w:rsidRPr="001B2309">
        <w:t>Gliclazide</w:t>
      </w:r>
      <w:proofErr w:type="spellEnd"/>
      <w:r w:rsidRPr="001B2309">
        <w:t xml:space="preserve"> shows high affinity, selectivity and reversible binding to the </w:t>
      </w:r>
      <w:r w:rsidR="0076728C">
        <w:t xml:space="preserve">β </w:t>
      </w:r>
      <w:r w:rsidRPr="0059297C">
        <w:t>cell adenosine triphosphate (ATP) gated</w:t>
      </w:r>
      <w:r>
        <w:t xml:space="preserve"> potassium (</w:t>
      </w:r>
      <w:r w:rsidRPr="001B2309">
        <w:t>K</w:t>
      </w:r>
      <w:r w:rsidRPr="0059297C">
        <w:rPr>
          <w:vertAlign w:val="subscript"/>
        </w:rPr>
        <w:t>ATP</w:t>
      </w:r>
      <w:r>
        <w:t>)</w:t>
      </w:r>
      <w:r w:rsidRPr="001B2309">
        <w:t xml:space="preserve"> channels with a low affinity for cardiac and vascular K</w:t>
      </w:r>
      <w:r w:rsidRPr="0059297C">
        <w:rPr>
          <w:vertAlign w:val="subscript"/>
        </w:rPr>
        <w:t>ATP</w:t>
      </w:r>
      <w:r w:rsidRPr="001B2309">
        <w:t xml:space="preserve"> channels.  Increased postprandial insulin and C-</w:t>
      </w:r>
      <w:r w:rsidRPr="001B2309">
        <w:lastRenderedPageBreak/>
        <w:t xml:space="preserve">peptide secretion persists after two years of treatment. </w:t>
      </w:r>
      <w:proofErr w:type="spellStart"/>
      <w:r w:rsidRPr="001B2309">
        <w:t>Gliclazide</w:t>
      </w:r>
      <w:proofErr w:type="spellEnd"/>
      <w:r w:rsidRPr="001B2309">
        <w:t xml:space="preserve"> also has extra-pancreatic effects and </w:t>
      </w:r>
      <w:proofErr w:type="spellStart"/>
      <w:r w:rsidRPr="001B2309">
        <w:t>haemovascular</w:t>
      </w:r>
      <w:proofErr w:type="spellEnd"/>
      <w:r w:rsidRPr="001B2309">
        <w:t xml:space="preserve"> properties</w:t>
      </w:r>
      <w:r w:rsidR="00DE6BB6">
        <w:t>.</w:t>
      </w:r>
    </w:p>
    <w:p w:rsidR="003A616D" w:rsidRPr="003A6AB1" w:rsidRDefault="007B41D2" w:rsidP="003A6AB1">
      <w:r>
        <w:t xml:space="preserve">The proposed </w:t>
      </w:r>
      <w:proofErr w:type="spellStart"/>
      <w:r>
        <w:t>g</w:t>
      </w:r>
      <w:r w:rsidR="003A616D" w:rsidRPr="003A6AB1">
        <w:t>liclazide</w:t>
      </w:r>
      <w:proofErr w:type="spellEnd"/>
      <w:r w:rsidR="003A616D" w:rsidRPr="003A6AB1">
        <w:t xml:space="preserve"> modified release tablets have been developed as a generic equivalent to </w:t>
      </w:r>
      <w:proofErr w:type="spellStart"/>
      <w:r w:rsidR="003A616D" w:rsidRPr="003A6AB1">
        <w:t>Diamicron</w:t>
      </w:r>
      <w:proofErr w:type="spellEnd"/>
      <w:r w:rsidR="003A616D" w:rsidRPr="003A6AB1">
        <w:t xml:space="preserve"> 60 mg</w:t>
      </w:r>
      <w:r w:rsidR="00944B2A" w:rsidRPr="003A6AB1">
        <w:t xml:space="preserve"> </w:t>
      </w:r>
      <w:r w:rsidR="003A616D" w:rsidRPr="003A6AB1">
        <w:t>MR</w:t>
      </w:r>
      <w:r w:rsidR="003A6AB1">
        <w:rPr>
          <w:rStyle w:val="FootnoteReference"/>
        </w:rPr>
        <w:footnoteReference w:id="1"/>
      </w:r>
      <w:r w:rsidR="003A616D" w:rsidRPr="003A6AB1">
        <w:t xml:space="preserve"> (</w:t>
      </w:r>
      <w:proofErr w:type="spellStart"/>
      <w:r w:rsidR="003A616D" w:rsidRPr="003A6AB1">
        <w:t>Servier</w:t>
      </w:r>
      <w:proofErr w:type="spellEnd"/>
      <w:r w:rsidR="003A616D" w:rsidRPr="003A6AB1">
        <w:t xml:space="preserve">) and </w:t>
      </w:r>
      <w:proofErr w:type="spellStart"/>
      <w:r w:rsidR="003A616D" w:rsidRPr="003A6AB1">
        <w:t>Glyade</w:t>
      </w:r>
      <w:proofErr w:type="spellEnd"/>
      <w:r w:rsidR="003A616D" w:rsidRPr="003A6AB1">
        <w:t xml:space="preserve"> MR 30 mg</w:t>
      </w:r>
      <w:r w:rsidR="00432284">
        <w:rPr>
          <w:rStyle w:val="FootnoteReference"/>
        </w:rPr>
        <w:footnoteReference w:id="2"/>
      </w:r>
      <w:r w:rsidR="003A616D" w:rsidRPr="003A6AB1">
        <w:t xml:space="preserve"> (</w:t>
      </w:r>
      <w:proofErr w:type="spellStart"/>
      <w:r w:rsidR="003A616D" w:rsidRPr="003A6AB1">
        <w:t>Servier</w:t>
      </w:r>
      <w:proofErr w:type="spellEnd"/>
      <w:r w:rsidR="003A616D" w:rsidRPr="003A6AB1">
        <w:t xml:space="preserve">, marketed by </w:t>
      </w:r>
      <w:proofErr w:type="spellStart"/>
      <w:r w:rsidR="003A616D" w:rsidRPr="003A6AB1">
        <w:t>Alphapharm</w:t>
      </w:r>
      <w:proofErr w:type="spellEnd"/>
      <w:r w:rsidR="003A616D" w:rsidRPr="003A6AB1">
        <w:t>). The proposed indications are</w:t>
      </w:r>
      <w:r w:rsidR="00944B2A" w:rsidRPr="003A6AB1">
        <w:t xml:space="preserve"> </w:t>
      </w:r>
      <w:r w:rsidR="003A616D" w:rsidRPr="003A6AB1">
        <w:t xml:space="preserve">the same as those registered for </w:t>
      </w:r>
      <w:proofErr w:type="spellStart"/>
      <w:r w:rsidR="003A616D" w:rsidRPr="003A6AB1">
        <w:t>Diamicron</w:t>
      </w:r>
      <w:proofErr w:type="spellEnd"/>
      <w:r w:rsidR="003A616D" w:rsidRPr="003A6AB1">
        <w:t xml:space="preserve"> 60 mg MR and </w:t>
      </w:r>
      <w:proofErr w:type="spellStart"/>
      <w:r w:rsidR="003A616D" w:rsidRPr="003A6AB1">
        <w:t>Glyade</w:t>
      </w:r>
      <w:proofErr w:type="spellEnd"/>
      <w:r w:rsidR="003A616D" w:rsidRPr="003A6AB1">
        <w:t xml:space="preserve"> MR 30 mg.</w:t>
      </w:r>
    </w:p>
    <w:p w:rsidR="00DE6BB6" w:rsidRDefault="003A616D" w:rsidP="003A6AB1">
      <w:r w:rsidRPr="003A6AB1">
        <w:t>Approvals have been granted in Europe and Canada for the 30 mg and scored 60 mg tablets. The</w:t>
      </w:r>
      <w:r w:rsidR="00944B2A" w:rsidRPr="003A6AB1">
        <w:t xml:space="preserve"> </w:t>
      </w:r>
      <w:r w:rsidRPr="003A6AB1">
        <w:t>application for the unscored 60 mg tablet is Australian specific. Specifications have been set based on</w:t>
      </w:r>
      <w:r w:rsidR="00944B2A" w:rsidRPr="003A6AB1">
        <w:t xml:space="preserve"> </w:t>
      </w:r>
      <w:r w:rsidRPr="003A6AB1">
        <w:t xml:space="preserve">those approved in the </w:t>
      </w:r>
      <w:r w:rsidR="0076728C">
        <w:t>Europ</w:t>
      </w:r>
      <w:r w:rsidR="00D25EDA">
        <w:t>ea</w:t>
      </w:r>
      <w:r w:rsidR="0076728C">
        <w:t>n Union (</w:t>
      </w:r>
      <w:r w:rsidRPr="003A6AB1">
        <w:t>EU</w:t>
      </w:r>
      <w:r w:rsidR="0076728C">
        <w:t>)</w:t>
      </w:r>
      <w:r w:rsidRPr="003A6AB1">
        <w:t xml:space="preserve"> as well as the results from testing of the 30 mg </w:t>
      </w:r>
      <w:r w:rsidR="00432284">
        <w:t>Bioequivalence (</w:t>
      </w:r>
      <w:r w:rsidRPr="003A6AB1">
        <w:t>BE</w:t>
      </w:r>
      <w:r w:rsidR="00432284">
        <w:t>)</w:t>
      </w:r>
      <w:r w:rsidRPr="003A6AB1">
        <w:t xml:space="preserve"> batch at the time of</w:t>
      </w:r>
      <w:r w:rsidR="00944B2A" w:rsidRPr="003A6AB1">
        <w:t xml:space="preserve"> </w:t>
      </w:r>
      <w:r w:rsidRPr="003A6AB1">
        <w:t>commencement of the study</w:t>
      </w:r>
      <w:r w:rsidR="00DE6BB6">
        <w:t>.</w:t>
      </w:r>
    </w:p>
    <w:p w:rsidR="00944B2A" w:rsidRPr="003A6AB1" w:rsidRDefault="003A6AB1" w:rsidP="003A6AB1">
      <w:r w:rsidRPr="003A6AB1">
        <w:t>The proposed d</w:t>
      </w:r>
      <w:r w:rsidR="00944B2A" w:rsidRPr="003A6AB1">
        <w:t>osage</w:t>
      </w:r>
      <w:r w:rsidRPr="003A6AB1">
        <w:t>s</w:t>
      </w:r>
      <w:r w:rsidR="00944B2A" w:rsidRPr="003A6AB1">
        <w:t xml:space="preserve"> are different from those of the reference product </w:t>
      </w:r>
      <w:proofErr w:type="spellStart"/>
      <w:r w:rsidR="00944B2A" w:rsidRPr="003A6AB1">
        <w:t>Diamicron</w:t>
      </w:r>
      <w:proofErr w:type="spellEnd"/>
      <w:r w:rsidR="00944B2A" w:rsidRPr="003A6AB1">
        <w:t xml:space="preserve"> 60 mg MR (sponsor </w:t>
      </w:r>
      <w:proofErr w:type="spellStart"/>
      <w:r w:rsidR="00944B2A" w:rsidRPr="003A6AB1">
        <w:t>Servier</w:t>
      </w:r>
      <w:proofErr w:type="spellEnd"/>
      <w:r w:rsidR="00944B2A" w:rsidRPr="003A6AB1">
        <w:t>) because this proposed generic does not have a score</w:t>
      </w:r>
      <w:r w:rsidR="008A39E4">
        <w:t xml:space="preserve"> </w:t>
      </w:r>
      <w:r w:rsidR="00944B2A" w:rsidRPr="003A6AB1">
        <w:t>line</w:t>
      </w:r>
      <w:r w:rsidR="0076728C">
        <w:t>,</w:t>
      </w:r>
      <w:r w:rsidR="00944B2A" w:rsidRPr="003A6AB1">
        <w:t xml:space="preserve"> whereas the reference product (</w:t>
      </w:r>
      <w:proofErr w:type="spellStart"/>
      <w:r w:rsidR="00944B2A" w:rsidRPr="003A6AB1">
        <w:t>Diamicron</w:t>
      </w:r>
      <w:proofErr w:type="spellEnd"/>
      <w:r w:rsidR="00944B2A" w:rsidRPr="003A6AB1">
        <w:t>) does.</w:t>
      </w:r>
      <w:r>
        <w:t xml:space="preserve"> </w:t>
      </w:r>
      <w:r w:rsidR="000015B2">
        <w:t>The p</w:t>
      </w:r>
      <w:r>
        <w:t xml:space="preserve">roposed </w:t>
      </w:r>
      <w:r w:rsidR="000015B2">
        <w:t xml:space="preserve">dosage </w:t>
      </w:r>
      <w:r>
        <w:t xml:space="preserve">changes are shown below using strikethrough </w:t>
      </w:r>
      <w:r w:rsidR="007B41D2">
        <w:t xml:space="preserve">(deletion) </w:t>
      </w:r>
      <w:r>
        <w:t>and yellow highlight</w:t>
      </w:r>
      <w:r w:rsidR="000015B2">
        <w:t>ing</w:t>
      </w:r>
      <w:r w:rsidR="007B41D2">
        <w:t xml:space="preserve"> (addition)</w:t>
      </w:r>
      <w:r w:rsidR="000015B2">
        <w:t>:</w:t>
      </w:r>
    </w:p>
    <w:p w:rsidR="00944B2A" w:rsidRPr="003A6AB1" w:rsidRDefault="00944B2A" w:rsidP="003A6AB1">
      <w:pPr>
        <w:ind w:left="720"/>
        <w:rPr>
          <w:i/>
        </w:rPr>
      </w:pPr>
      <w:r w:rsidRPr="003A6AB1">
        <w:rPr>
          <w:i/>
        </w:rPr>
        <w:t>For adult use only</w:t>
      </w:r>
    </w:p>
    <w:p w:rsidR="00944B2A" w:rsidRPr="00432284" w:rsidRDefault="00944B2A" w:rsidP="003A6AB1">
      <w:pPr>
        <w:ind w:left="720"/>
        <w:rPr>
          <w:i/>
          <w:strike/>
        </w:rPr>
      </w:pPr>
      <w:r w:rsidRPr="00432284">
        <w:rPr>
          <w:i/>
          <w:strike/>
        </w:rPr>
        <w:t>APO-GLICLAZIDE MR 60 mg modified release tablets have a break bar and may be administered as whole or as half tablets (see Pharmacokinetics).</w:t>
      </w:r>
    </w:p>
    <w:p w:rsidR="00DE6BB6" w:rsidRDefault="00944B2A" w:rsidP="003A6AB1">
      <w:pPr>
        <w:ind w:left="720"/>
        <w:rPr>
          <w:i/>
        </w:rPr>
      </w:pPr>
      <w:r w:rsidRPr="00432284">
        <w:rPr>
          <w:i/>
        </w:rPr>
        <w:t>So that the modified release properties of the product can be maintained, tablets should not be chewed or crushed</w:t>
      </w:r>
      <w:r w:rsidR="00DE6BB6">
        <w:rPr>
          <w:i/>
        </w:rPr>
        <w:t>.</w:t>
      </w:r>
    </w:p>
    <w:p w:rsidR="00944B2A" w:rsidRPr="00432284" w:rsidRDefault="00944B2A" w:rsidP="003A6AB1">
      <w:pPr>
        <w:ind w:left="720"/>
        <w:rPr>
          <w:i/>
        </w:rPr>
      </w:pPr>
      <w:r w:rsidRPr="00432284">
        <w:rPr>
          <w:i/>
          <w:highlight w:val="yellow"/>
        </w:rPr>
        <w:t>The tablet is not scored and should not be broken. If 30 mg doses are required,</w:t>
      </w:r>
      <w:r w:rsidR="00432284" w:rsidRPr="00432284">
        <w:rPr>
          <w:i/>
          <w:highlight w:val="yellow"/>
        </w:rPr>
        <w:t xml:space="preserve"> </w:t>
      </w:r>
      <w:r w:rsidRPr="00432284">
        <w:rPr>
          <w:i/>
          <w:highlight w:val="yellow"/>
        </w:rPr>
        <w:t>other brands are available.</w:t>
      </w:r>
    </w:p>
    <w:p w:rsidR="00944B2A" w:rsidRPr="00432284" w:rsidRDefault="00944B2A" w:rsidP="003A6AB1">
      <w:pPr>
        <w:ind w:left="720"/>
        <w:rPr>
          <w:i/>
        </w:rPr>
      </w:pPr>
      <w:r w:rsidRPr="00432284">
        <w:rPr>
          <w:i/>
          <w:strike/>
        </w:rPr>
        <w:t>Whole or half tablets of the 60 mg strength</w:t>
      </w:r>
      <w:r w:rsidRPr="00432284">
        <w:rPr>
          <w:i/>
        </w:rPr>
        <w:t xml:space="preserve"> </w:t>
      </w:r>
      <w:proofErr w:type="spellStart"/>
      <w:r w:rsidRPr="00432284">
        <w:rPr>
          <w:i/>
          <w:highlight w:val="yellow"/>
        </w:rPr>
        <w:t>Gliclazide</w:t>
      </w:r>
      <w:proofErr w:type="spellEnd"/>
      <w:r w:rsidRPr="00432284">
        <w:rPr>
          <w:i/>
          <w:highlight w:val="yellow"/>
        </w:rPr>
        <w:t xml:space="preserve"> 60 mg modified release tablets</w:t>
      </w:r>
      <w:r w:rsidRPr="00432284">
        <w:rPr>
          <w:i/>
        </w:rPr>
        <w:t xml:space="preserve"> should be taken with food because there is an increased risk of </w:t>
      </w:r>
      <w:proofErr w:type="spellStart"/>
      <w:r w:rsidRPr="00432284">
        <w:rPr>
          <w:i/>
        </w:rPr>
        <w:t>hypoglycemia</w:t>
      </w:r>
      <w:proofErr w:type="spellEnd"/>
      <w:r w:rsidRPr="00432284">
        <w:rPr>
          <w:i/>
        </w:rPr>
        <w:t xml:space="preserve"> if a meal is taken late, if an inadequate amount of food is consumed or if the food is low in carbohydrate. It is recommended that the medication be taken at breakfast time. If a dose is forgotten, the dose taken on the next day should not be increased.</w:t>
      </w:r>
    </w:p>
    <w:p w:rsidR="00DE6BB6" w:rsidRDefault="00944B2A" w:rsidP="003A6AB1">
      <w:pPr>
        <w:ind w:left="720"/>
        <w:rPr>
          <w:i/>
          <w:strike/>
        </w:rPr>
      </w:pPr>
      <w:r w:rsidRPr="00432284">
        <w:rPr>
          <w:i/>
        </w:rPr>
        <w:t xml:space="preserve">A single daily dose provides an effective blood glucose control. </w:t>
      </w:r>
      <w:r w:rsidRPr="00432284">
        <w:rPr>
          <w:i/>
          <w:strike/>
        </w:rPr>
        <w:t>The daily dose may vary from half a 60 mg tablet to two 60 mg tablets per day i.e. 30 mg to 120 mg taken orally</w:t>
      </w:r>
      <w:r w:rsidR="00DE6BB6">
        <w:rPr>
          <w:i/>
          <w:strike/>
        </w:rPr>
        <w:t>.</w:t>
      </w:r>
    </w:p>
    <w:p w:rsidR="00944B2A" w:rsidRPr="003A6AB1" w:rsidRDefault="00944B2A" w:rsidP="003A6AB1">
      <w:pPr>
        <w:ind w:left="720"/>
        <w:rPr>
          <w:i/>
        </w:rPr>
      </w:pPr>
      <w:r w:rsidRPr="00432284">
        <w:rPr>
          <w:i/>
        </w:rPr>
        <w:t>The initial recommended dose is 30 mg</w:t>
      </w:r>
      <w:r w:rsidRPr="00432284">
        <w:rPr>
          <w:i/>
          <w:sz w:val="13"/>
          <w:szCs w:val="13"/>
        </w:rPr>
        <w:t>2</w:t>
      </w:r>
      <w:r w:rsidRPr="00432284">
        <w:rPr>
          <w:i/>
        </w:rPr>
        <w:t xml:space="preserve">, even in elderly patients (≥ 65 years). As with all hypoglycaemic agents, the dose should be titrated according </w:t>
      </w:r>
      <w:r w:rsidRPr="003A6AB1">
        <w:rPr>
          <w:i/>
        </w:rPr>
        <w:t>to the individual patient's response. Titration should be carried out in steps of 30 mg, according to the fasting blood glucose response. Each step should last for at least two weeks. A single daily dose provides an effective blood glucose control. The single daily dose may be between 30 mg and 120 mg. The daily dose should not exceed 120 mg.</w:t>
      </w:r>
    </w:p>
    <w:p w:rsidR="00944B2A" w:rsidRPr="003A6AB1" w:rsidRDefault="00944B2A" w:rsidP="003A6AB1">
      <w:pPr>
        <w:ind w:left="720"/>
        <w:rPr>
          <w:i/>
        </w:rPr>
      </w:pPr>
      <w:r w:rsidRPr="003A6AB1">
        <w:rPr>
          <w:i/>
        </w:rPr>
        <w:t>Previously untreated patients should commence with a 30 mg dose</w:t>
      </w:r>
      <w:r w:rsidRPr="003A6AB1">
        <w:rPr>
          <w:i/>
          <w:color w:val="0000FF"/>
          <w:sz w:val="13"/>
          <w:szCs w:val="13"/>
        </w:rPr>
        <w:t xml:space="preserve"> </w:t>
      </w:r>
      <w:r w:rsidRPr="003A6AB1">
        <w:rPr>
          <w:i/>
        </w:rPr>
        <w:t>and will benefit from dose titration until the appropriate dose is reached.</w:t>
      </w:r>
    </w:p>
    <w:p w:rsidR="00057EF3" w:rsidRDefault="00057EF3" w:rsidP="00057EF3">
      <w:pPr>
        <w:rPr>
          <w:lang w:eastAsia="en-AU"/>
        </w:rPr>
      </w:pPr>
      <w:r>
        <w:rPr>
          <w:lang w:eastAsia="en-AU"/>
        </w:rPr>
        <w:t>The sponsor withdrew the application for the proposed generic 30 mg MR tablet, during th</w:t>
      </w:r>
      <w:r w:rsidR="008A39E4">
        <w:rPr>
          <w:lang w:eastAsia="en-AU"/>
        </w:rPr>
        <w:t>e</w:t>
      </w:r>
      <w:r>
        <w:rPr>
          <w:lang w:eastAsia="en-AU"/>
        </w:rPr>
        <w:t xml:space="preserve"> current evaluation. The </w:t>
      </w:r>
      <w:r w:rsidR="003A6AB1">
        <w:rPr>
          <w:lang w:eastAsia="en-AU"/>
        </w:rPr>
        <w:t>quality</w:t>
      </w:r>
      <w:r>
        <w:rPr>
          <w:lang w:eastAsia="en-AU"/>
        </w:rPr>
        <w:t xml:space="preserve"> evaluator raised some concerns around the dissolution limits for the 30 mg MR tablet. It is unclear whether these could have been resolved.</w:t>
      </w:r>
    </w:p>
    <w:p w:rsidR="008E7846" w:rsidRPr="003F31A2" w:rsidRDefault="00386150" w:rsidP="003A616D">
      <w:pPr>
        <w:pStyle w:val="Heading3"/>
      </w:pPr>
      <w:bookmarkStart w:id="18" w:name="_Toc456784892"/>
      <w:r>
        <w:lastRenderedPageBreak/>
        <w:t>Regulatory s</w:t>
      </w:r>
      <w:r w:rsidR="008E7846">
        <w:t>tatus</w:t>
      </w:r>
      <w:bookmarkEnd w:id="16"/>
      <w:bookmarkEnd w:id="17"/>
      <w:bookmarkEnd w:id="18"/>
    </w:p>
    <w:p w:rsidR="003A6AB1" w:rsidRDefault="003A6AB1" w:rsidP="00940A89">
      <w:bookmarkStart w:id="19" w:name="_Toc247691505"/>
      <w:bookmarkStart w:id="20" w:name="_Toc314842486"/>
      <w:r>
        <w:t>This is an application for a</w:t>
      </w:r>
      <w:r w:rsidR="0076728C">
        <w:t xml:space="preserve"> </w:t>
      </w:r>
      <w:r>
        <w:t xml:space="preserve">new generic. </w:t>
      </w:r>
      <w:r w:rsidR="00940A89" w:rsidRPr="00940A89">
        <w:t xml:space="preserve">The </w:t>
      </w:r>
      <w:r>
        <w:t xml:space="preserve">originator </w:t>
      </w:r>
      <w:r w:rsidR="00940A89" w:rsidRPr="00940A89">
        <w:t>product received initial registration on the Australian Register of Therapeutic Goods (ARTG) on</w:t>
      </w:r>
      <w:r w:rsidR="0076728C">
        <w:t xml:space="preserve"> 11 November 2009 (</w:t>
      </w:r>
      <w:proofErr w:type="spellStart"/>
      <w:r w:rsidR="0076728C">
        <w:t>Diamicron</w:t>
      </w:r>
      <w:proofErr w:type="spellEnd"/>
      <w:r w:rsidR="0076728C">
        <w:t>) and 7 September 2007 (</w:t>
      </w:r>
      <w:proofErr w:type="spellStart"/>
      <w:r w:rsidR="0076728C">
        <w:t>Glyade</w:t>
      </w:r>
      <w:proofErr w:type="spellEnd"/>
      <w:r w:rsidR="0076728C">
        <w:t>).</w:t>
      </w:r>
    </w:p>
    <w:p w:rsidR="00940A89" w:rsidRDefault="00940A89" w:rsidP="00940A89">
      <w:r w:rsidRPr="00636B99">
        <w:t>At the time the TGA considered this application, similar application</w:t>
      </w:r>
      <w:r w:rsidR="00636B99" w:rsidRPr="00636B99">
        <w:t>s</w:t>
      </w:r>
      <w:r w:rsidRPr="00636B99">
        <w:t xml:space="preserve"> had been approved </w:t>
      </w:r>
      <w:r w:rsidR="00636B99" w:rsidRPr="00636B99">
        <w:t xml:space="preserve">in the </w:t>
      </w:r>
      <w:r w:rsidR="0076728C">
        <w:t>EU</w:t>
      </w:r>
      <w:r w:rsidR="00D92B40">
        <w:t xml:space="preserve"> (</w:t>
      </w:r>
      <w:r w:rsidR="00636B99" w:rsidRPr="00636B99">
        <w:t>decentralised procedure) and Canada</w:t>
      </w:r>
      <w:r w:rsidR="00D92B40">
        <w:t xml:space="preserve"> (</w:t>
      </w:r>
      <w:r w:rsidR="0076728C">
        <w:t xml:space="preserve">see </w:t>
      </w:r>
      <w:r w:rsidR="00D92B40">
        <w:t>Table 1)</w:t>
      </w:r>
      <w:r w:rsidR="00636B99" w:rsidRPr="00636B99">
        <w:t>.</w:t>
      </w:r>
    </w:p>
    <w:p w:rsidR="00D10DE7" w:rsidRDefault="008A39E4" w:rsidP="00D10DE7">
      <w:pPr>
        <w:pStyle w:val="TableTitle"/>
      </w:pPr>
      <w:r>
        <w:t xml:space="preserve">Table 1: </w:t>
      </w:r>
      <w:r w:rsidR="00D10DE7">
        <w:t>International regulatory status</w:t>
      </w:r>
    </w:p>
    <w:tbl>
      <w:tblPr>
        <w:tblStyle w:val="TableTGAblue"/>
        <w:tblW w:w="8897" w:type="dxa"/>
        <w:tblLook w:val="04A0" w:firstRow="1" w:lastRow="0" w:firstColumn="1" w:lastColumn="0" w:noHBand="0" w:noVBand="1"/>
      </w:tblPr>
      <w:tblGrid>
        <w:gridCol w:w="1854"/>
        <w:gridCol w:w="1624"/>
        <w:gridCol w:w="3190"/>
        <w:gridCol w:w="2229"/>
      </w:tblGrid>
      <w:tr w:rsidR="00830D0B" w:rsidTr="00DE6BB6">
        <w:trPr>
          <w:cnfStyle w:val="100000000000" w:firstRow="1" w:lastRow="0" w:firstColumn="0" w:lastColumn="0" w:oddVBand="0" w:evenVBand="0" w:oddHBand="0" w:evenHBand="0" w:firstRowFirstColumn="0" w:firstRowLastColumn="0" w:lastRowFirstColumn="0" w:lastRowLastColumn="0"/>
        </w:trPr>
        <w:tc>
          <w:tcPr>
            <w:tcW w:w="1736" w:type="dxa"/>
          </w:tcPr>
          <w:p w:rsidR="00830D0B" w:rsidRPr="007B41D2" w:rsidRDefault="00830D0B" w:rsidP="00DE6BB6">
            <w:pPr>
              <w:rPr>
                <w:b w:val="0"/>
              </w:rPr>
            </w:pPr>
            <w:r w:rsidRPr="007B41D2">
              <w:t>Country</w:t>
            </w:r>
          </w:p>
        </w:tc>
        <w:tc>
          <w:tcPr>
            <w:tcW w:w="1633" w:type="dxa"/>
          </w:tcPr>
          <w:p w:rsidR="00830D0B" w:rsidRPr="007B41D2" w:rsidRDefault="00830D0B" w:rsidP="00DE6BB6">
            <w:pPr>
              <w:rPr>
                <w:b w:val="0"/>
              </w:rPr>
            </w:pPr>
            <w:r w:rsidRPr="007B41D2">
              <w:t>Status</w:t>
            </w:r>
          </w:p>
        </w:tc>
        <w:tc>
          <w:tcPr>
            <w:tcW w:w="3260" w:type="dxa"/>
          </w:tcPr>
          <w:p w:rsidR="00830D0B" w:rsidRPr="007B41D2" w:rsidRDefault="00830D0B" w:rsidP="00DE6BB6">
            <w:pPr>
              <w:rPr>
                <w:b w:val="0"/>
              </w:rPr>
            </w:pPr>
            <w:r w:rsidRPr="007B41D2">
              <w:t>Indications</w:t>
            </w:r>
          </w:p>
        </w:tc>
        <w:tc>
          <w:tcPr>
            <w:tcW w:w="2268" w:type="dxa"/>
          </w:tcPr>
          <w:p w:rsidR="00830D0B" w:rsidRPr="007B41D2" w:rsidRDefault="00830D0B" w:rsidP="00DE6BB6">
            <w:pPr>
              <w:rPr>
                <w:b w:val="0"/>
              </w:rPr>
            </w:pPr>
            <w:r w:rsidRPr="007B41D2">
              <w:t>Comments</w:t>
            </w:r>
          </w:p>
        </w:tc>
      </w:tr>
      <w:tr w:rsidR="00830D0B" w:rsidTr="00DE6BB6">
        <w:tc>
          <w:tcPr>
            <w:tcW w:w="1736" w:type="dxa"/>
          </w:tcPr>
          <w:p w:rsidR="00830D0B" w:rsidRPr="007B41D2" w:rsidRDefault="00830D0B" w:rsidP="00DE6BB6">
            <w:r w:rsidRPr="007B41D2">
              <w:t>EU Decentralised procedure</w:t>
            </w:r>
          </w:p>
        </w:tc>
        <w:tc>
          <w:tcPr>
            <w:tcW w:w="1633" w:type="dxa"/>
          </w:tcPr>
          <w:p w:rsidR="00830D0B" w:rsidRPr="007B41D2" w:rsidRDefault="00830D0B" w:rsidP="00DE6BB6">
            <w:r w:rsidRPr="007B41D2">
              <w:t>Approved 26 June 2014</w:t>
            </w:r>
          </w:p>
        </w:tc>
        <w:tc>
          <w:tcPr>
            <w:tcW w:w="3260" w:type="dxa"/>
          </w:tcPr>
          <w:p w:rsidR="00830D0B" w:rsidRPr="007B41D2" w:rsidRDefault="00830D0B" w:rsidP="00DE6BB6">
            <w:r w:rsidRPr="007B41D2">
              <w:t>[Product name] is indicated in adults for the treatment of non-insulin dependent diabetes (Type 2) when dietary measures, physical exercise and weigh loss alone are not sufficient to control blood glucose.</w:t>
            </w:r>
          </w:p>
        </w:tc>
        <w:tc>
          <w:tcPr>
            <w:tcW w:w="2268" w:type="dxa"/>
          </w:tcPr>
          <w:p w:rsidR="00830D0B" w:rsidRPr="007B41D2" w:rsidRDefault="00830D0B" w:rsidP="00DE6BB6"/>
        </w:tc>
      </w:tr>
      <w:tr w:rsidR="00830D0B" w:rsidTr="00DE6BB6">
        <w:tc>
          <w:tcPr>
            <w:tcW w:w="1736" w:type="dxa"/>
            <w:vMerge w:val="restart"/>
          </w:tcPr>
          <w:p w:rsidR="00830D0B" w:rsidRPr="007B41D2" w:rsidRDefault="00830D0B" w:rsidP="00DE6BB6">
            <w:r w:rsidRPr="007B41D2">
              <w:t>Canada</w:t>
            </w:r>
          </w:p>
        </w:tc>
        <w:tc>
          <w:tcPr>
            <w:tcW w:w="1633" w:type="dxa"/>
          </w:tcPr>
          <w:p w:rsidR="00DE6BB6" w:rsidRDefault="00830D0B" w:rsidP="00DE6BB6">
            <w:r w:rsidRPr="007B41D2">
              <w:t>Patent hold April 2014</w:t>
            </w:r>
          </w:p>
          <w:p w:rsidR="00DE6BB6" w:rsidRDefault="00830D0B" w:rsidP="00DE6BB6">
            <w:r w:rsidRPr="007B41D2">
              <w:t>Approved May 2014</w:t>
            </w:r>
          </w:p>
          <w:p w:rsidR="00830D0B" w:rsidRPr="007B41D2" w:rsidRDefault="00830D0B" w:rsidP="00DE6BB6">
            <w:r w:rsidRPr="007B41D2">
              <w:t>(30 mg)</w:t>
            </w:r>
          </w:p>
        </w:tc>
        <w:tc>
          <w:tcPr>
            <w:tcW w:w="3260" w:type="dxa"/>
            <w:vMerge w:val="restart"/>
          </w:tcPr>
          <w:p w:rsidR="00830D0B" w:rsidRPr="007B41D2" w:rsidRDefault="00830D0B" w:rsidP="00DE6BB6">
            <w:r w:rsidRPr="007B41D2">
              <w:t xml:space="preserve">Control of hyperglycaemia in </w:t>
            </w:r>
            <w:proofErr w:type="spellStart"/>
            <w:r w:rsidRPr="007B41D2">
              <w:t>gliclazide</w:t>
            </w:r>
            <w:proofErr w:type="spellEnd"/>
            <w:r w:rsidR="00636B99" w:rsidRPr="007B41D2">
              <w:t xml:space="preserve"> </w:t>
            </w:r>
            <w:r w:rsidRPr="007B41D2">
              <w:t xml:space="preserve">responsive diabetes mellitus of stable, mild, non-ketosis prone, maturity onset or adult type which cannot be controlled by proper dietary management and exercise, or when insulin therapy is not appropriate. </w:t>
            </w:r>
            <w:r w:rsidRPr="007B41D2">
              <w:rPr>
                <w:i/>
              </w:rPr>
              <w:t>Geriatrics ≥ 65 years of age</w:t>
            </w:r>
            <w:r w:rsidR="00636B99" w:rsidRPr="007B41D2">
              <w:rPr>
                <w:i/>
              </w:rPr>
              <w:t xml:space="preserve">: </w:t>
            </w:r>
            <w:r w:rsidRPr="007B41D2">
              <w:t xml:space="preserve">No significant differences in inefficacy and tolerance were observed between patients over 65 years of age and younger patients; however greater sensitivity </w:t>
            </w:r>
            <w:r w:rsidR="00636B99" w:rsidRPr="007B41D2">
              <w:t>some older individuals cannot be ruled out (see Warnings and Precautions</w:t>
            </w:r>
            <w:r w:rsidR="00A9386E" w:rsidRPr="007B41D2">
              <w:t>-</w:t>
            </w:r>
            <w:r w:rsidR="00636B99" w:rsidRPr="007B41D2">
              <w:t xml:space="preserve"> Special Population, and Dosage and Administration). </w:t>
            </w:r>
            <w:proofErr w:type="spellStart"/>
            <w:r w:rsidR="00636B99" w:rsidRPr="007B41D2">
              <w:rPr>
                <w:i/>
              </w:rPr>
              <w:t>Pediatrics</w:t>
            </w:r>
            <w:proofErr w:type="spellEnd"/>
            <w:r w:rsidR="00636B99" w:rsidRPr="007B41D2">
              <w:rPr>
                <w:i/>
              </w:rPr>
              <w:t xml:space="preserve"> (&lt;</w:t>
            </w:r>
            <w:r w:rsidR="00432284" w:rsidRPr="007B41D2">
              <w:rPr>
                <w:i/>
              </w:rPr>
              <w:t> </w:t>
            </w:r>
            <w:r w:rsidR="00636B99" w:rsidRPr="007B41D2">
              <w:rPr>
                <w:i/>
              </w:rPr>
              <w:t>18 years of age):</w:t>
            </w:r>
            <w:r w:rsidR="00636B99" w:rsidRPr="007B41D2">
              <w:t xml:space="preserve"> </w:t>
            </w:r>
            <w:r w:rsidR="00636B99" w:rsidRPr="007B41D2">
              <w:rPr>
                <w:rFonts w:asciiTheme="minorHAnsi" w:eastAsiaTheme="minorHAnsi" w:hAnsiTheme="minorHAnsi" w:cs="Calibri"/>
              </w:rPr>
              <w:t xml:space="preserve">Safety and effectiveness of </w:t>
            </w:r>
            <w:proofErr w:type="spellStart"/>
            <w:r w:rsidR="00636B99" w:rsidRPr="007B41D2">
              <w:rPr>
                <w:rFonts w:asciiTheme="minorHAnsi" w:eastAsiaTheme="minorHAnsi" w:hAnsiTheme="minorHAnsi" w:cs="Calibri"/>
              </w:rPr>
              <w:t>gliclazide</w:t>
            </w:r>
            <w:proofErr w:type="spellEnd"/>
            <w:r w:rsidR="00636B99" w:rsidRPr="007B41D2">
              <w:rPr>
                <w:rFonts w:asciiTheme="minorHAnsi" w:eastAsiaTheme="minorHAnsi" w:hAnsiTheme="minorHAnsi" w:cs="Calibri"/>
              </w:rPr>
              <w:t xml:space="preserve"> in children have not been established. TRADENAME is</w:t>
            </w:r>
            <w:r w:rsidR="00432284" w:rsidRPr="007B41D2">
              <w:rPr>
                <w:rFonts w:asciiTheme="minorHAnsi" w:eastAsiaTheme="minorHAnsi" w:hAnsiTheme="minorHAnsi" w:cs="Calibri"/>
              </w:rPr>
              <w:t xml:space="preserve"> </w:t>
            </w:r>
            <w:r w:rsidR="00636B99" w:rsidRPr="007B41D2">
              <w:rPr>
                <w:rFonts w:asciiTheme="minorHAnsi" w:eastAsiaTheme="minorHAnsi" w:hAnsiTheme="minorHAnsi" w:cs="Calibri"/>
              </w:rPr>
              <w:t>therefore not recommended for use in children and adolescents.</w:t>
            </w:r>
          </w:p>
        </w:tc>
        <w:tc>
          <w:tcPr>
            <w:tcW w:w="2268" w:type="dxa"/>
          </w:tcPr>
          <w:p w:rsidR="00A9386E" w:rsidRPr="007B41D2" w:rsidRDefault="00830D0B" w:rsidP="00DE6BB6">
            <w:r w:rsidRPr="007B41D2">
              <w:t>30 mg strength approved as split from 60 mg strength. Patent hold is on 60 mg strength.</w:t>
            </w:r>
          </w:p>
        </w:tc>
      </w:tr>
      <w:tr w:rsidR="00830D0B" w:rsidTr="00DE6BB6">
        <w:tc>
          <w:tcPr>
            <w:tcW w:w="1736" w:type="dxa"/>
            <w:vMerge/>
          </w:tcPr>
          <w:p w:rsidR="00830D0B" w:rsidRPr="007B41D2" w:rsidRDefault="00830D0B" w:rsidP="00DE6BB6"/>
        </w:tc>
        <w:tc>
          <w:tcPr>
            <w:tcW w:w="1633" w:type="dxa"/>
          </w:tcPr>
          <w:p w:rsidR="007B41D2" w:rsidRPr="007B41D2" w:rsidRDefault="00830D0B" w:rsidP="00DE6BB6">
            <w:r w:rsidRPr="007B41D2">
              <w:t>Patent hold August 2014</w:t>
            </w:r>
          </w:p>
          <w:p w:rsidR="00830D0B" w:rsidRPr="007B41D2" w:rsidRDefault="00830D0B" w:rsidP="00DE6BB6">
            <w:r w:rsidRPr="007B41D2">
              <w:t xml:space="preserve"> Approved 31 March 2015.</w:t>
            </w:r>
          </w:p>
        </w:tc>
        <w:tc>
          <w:tcPr>
            <w:tcW w:w="3260" w:type="dxa"/>
            <w:vMerge/>
          </w:tcPr>
          <w:p w:rsidR="00830D0B" w:rsidRPr="007B41D2" w:rsidRDefault="00830D0B" w:rsidP="00DE6BB6"/>
        </w:tc>
        <w:tc>
          <w:tcPr>
            <w:tcW w:w="2268" w:type="dxa"/>
          </w:tcPr>
          <w:p w:rsidR="00830D0B" w:rsidRPr="007B41D2" w:rsidRDefault="00830D0B" w:rsidP="00DE6BB6">
            <w:r w:rsidRPr="007B41D2">
              <w:t>Patent hold is on 60 mg strength. Approved 31 March 2015.</w:t>
            </w:r>
          </w:p>
        </w:tc>
      </w:tr>
    </w:tbl>
    <w:p w:rsidR="008E7846" w:rsidRDefault="008E7846" w:rsidP="00DE6BB6">
      <w:pPr>
        <w:pStyle w:val="Heading4"/>
      </w:pPr>
      <w:r>
        <w:lastRenderedPageBreak/>
        <w:t>Product Information</w:t>
      </w:r>
      <w:bookmarkEnd w:id="19"/>
      <w:bookmarkEnd w:id="20"/>
    </w:p>
    <w:p w:rsidR="00940A89" w:rsidRDefault="008A39E4" w:rsidP="00940A89">
      <w:pPr>
        <w:rPr>
          <w:b/>
          <w:bCs/>
        </w:rPr>
      </w:pPr>
      <w:bookmarkStart w:id="21" w:name="_Toc247691506"/>
      <w:bookmarkStart w:id="22" w:name="_Toc314842487"/>
      <w:r>
        <w:t>As this application was withdrawn before a decision had been made by the TGA</w:t>
      </w:r>
      <w:r w:rsidR="00A9386E">
        <w:t xml:space="preserve"> </w:t>
      </w:r>
      <w:r>
        <w:t xml:space="preserve">there </w:t>
      </w:r>
      <w:r w:rsidR="0076728C">
        <w:t>are</w:t>
      </w:r>
      <w:r>
        <w:t xml:space="preserve"> no </w:t>
      </w:r>
      <w:r w:rsidR="00940A89" w:rsidRPr="00940A89">
        <w:t>ap</w:t>
      </w:r>
      <w:r>
        <w:t xml:space="preserve">proved </w:t>
      </w:r>
      <w:r w:rsidR="00A9386E">
        <w:t xml:space="preserve">Product Information (PI) </w:t>
      </w:r>
      <w:r w:rsidR="000015B2">
        <w:t>document</w:t>
      </w:r>
      <w:r w:rsidR="0076728C">
        <w:t>s</w:t>
      </w:r>
      <w:r w:rsidR="000015B2">
        <w:t xml:space="preserve"> </w:t>
      </w:r>
      <w:r w:rsidR="00A9386E">
        <w:t>for the proposed</w:t>
      </w:r>
      <w:r>
        <w:t xml:space="preserve"> product</w:t>
      </w:r>
      <w:r w:rsidR="0076728C">
        <w:t>s</w:t>
      </w:r>
      <w:r w:rsidR="00940A89" w:rsidRPr="00940A89">
        <w:t>.</w:t>
      </w:r>
    </w:p>
    <w:p w:rsidR="008E7846" w:rsidRPr="003602A9" w:rsidRDefault="008E7846" w:rsidP="008E7846">
      <w:pPr>
        <w:pStyle w:val="Heading2"/>
        <w:ind w:left="-11"/>
      </w:pPr>
      <w:bookmarkStart w:id="23" w:name="_Toc456784893"/>
      <w:r>
        <w:t>II. Quality</w:t>
      </w:r>
      <w:bookmarkEnd w:id="1"/>
      <w:r>
        <w:t xml:space="preserve"> findings</w:t>
      </w:r>
      <w:bookmarkEnd w:id="21"/>
      <w:bookmarkEnd w:id="22"/>
      <w:bookmarkEnd w:id="23"/>
    </w:p>
    <w:p w:rsidR="00DE6BB6" w:rsidRDefault="00940A89" w:rsidP="00940A89">
      <w:pPr>
        <w:pStyle w:val="Heading3"/>
      </w:pPr>
      <w:bookmarkStart w:id="24" w:name="_Toc247691507"/>
      <w:bookmarkStart w:id="25" w:name="_Toc314842488"/>
      <w:bookmarkStart w:id="26" w:name="_Toc456784894"/>
      <w:r w:rsidRPr="00940A89">
        <w:t>Introduction</w:t>
      </w:r>
      <w:bookmarkEnd w:id="26"/>
    </w:p>
    <w:p w:rsidR="00A0661B" w:rsidRDefault="00A0661B" w:rsidP="00F3254A">
      <w:r>
        <w:t>Both of the proposed tablet strengths are u</w:t>
      </w:r>
      <w:r w:rsidR="00636B99">
        <w:t xml:space="preserve">nscored. The reference product </w:t>
      </w:r>
      <w:proofErr w:type="spellStart"/>
      <w:r>
        <w:t>Glyade</w:t>
      </w:r>
      <w:proofErr w:type="spellEnd"/>
      <w:r>
        <w:t xml:space="preserve"> MR 30 mg tablet is also unscored. However the reference product </w:t>
      </w:r>
      <w:proofErr w:type="spellStart"/>
      <w:r>
        <w:t>Diamicron</w:t>
      </w:r>
      <w:proofErr w:type="spellEnd"/>
      <w:r>
        <w:t xml:space="preserve"> 60 mg MR 60 mg tablet is scored.</w:t>
      </w:r>
    </w:p>
    <w:p w:rsidR="00DE6BB6" w:rsidRDefault="00A0661B" w:rsidP="00F3254A">
      <w:r>
        <w:t xml:space="preserve">The submission is a resubmission which </w:t>
      </w:r>
      <w:r w:rsidR="00F3254A">
        <w:t>proposed to</w:t>
      </w:r>
      <w:r>
        <w:t xml:space="preserve"> register an unscored 30 mg tablet </w:t>
      </w:r>
      <w:r w:rsidRPr="00F3254A">
        <w:t xml:space="preserve">and a 60 mg scored tablet. </w:t>
      </w:r>
      <w:r w:rsidR="0076728C">
        <w:t>A</w:t>
      </w:r>
      <w:r w:rsidR="00F3254A" w:rsidRPr="00F3254A">
        <w:t xml:space="preserve"> previous s</w:t>
      </w:r>
      <w:r w:rsidRPr="00F3254A">
        <w:t xml:space="preserve">ubmission was rejected (principally) </w:t>
      </w:r>
      <w:r w:rsidR="007B41D2">
        <w:t xml:space="preserve">by the TGA </w:t>
      </w:r>
      <w:r w:rsidRPr="00F3254A">
        <w:t>due to the lack of bioavailability on the 30 mg tablet and the halved 60 mg tablet. The sponsor appealed this initial decision under section 60 of the Therapeutic Goods Act but the decision was not changed</w:t>
      </w:r>
      <w:r w:rsidR="00DE6BB6">
        <w:t>.</w:t>
      </w:r>
    </w:p>
    <w:p w:rsidR="00A0661B" w:rsidRDefault="00A0661B" w:rsidP="00F3254A">
      <w:r w:rsidRPr="00F3254A">
        <w:t xml:space="preserve">A different set of trade names are proposed for the two strengths (see </w:t>
      </w:r>
      <w:r w:rsidR="00D92B40" w:rsidRPr="000015B2">
        <w:rPr>
          <w:i/>
        </w:rPr>
        <w:t>Submission details</w:t>
      </w:r>
      <w:r w:rsidR="00D92B40">
        <w:t xml:space="preserve">, </w:t>
      </w:r>
      <w:r w:rsidR="00D92B40" w:rsidRPr="007B41D2">
        <w:rPr>
          <w:i/>
        </w:rPr>
        <w:t>Tradenames</w:t>
      </w:r>
      <w:r w:rsidR="000015B2">
        <w:t xml:space="preserve"> above</w:t>
      </w:r>
      <w:r w:rsidR="00D92B40">
        <w:t>)</w:t>
      </w:r>
      <w:r w:rsidRPr="00F3254A">
        <w:t xml:space="preserve">. Those for the 30 mg tablet were accepted previously. Those for the 60 mg tablet are new to distinguish them from the previous trade names for the scored 60 mg tablet. </w:t>
      </w:r>
      <w:r w:rsidR="00F3254A" w:rsidRPr="00F3254A">
        <w:t>The c</w:t>
      </w:r>
      <w:r w:rsidRPr="00F3254A">
        <w:t>linical advice is that all these names are acceptable.</w:t>
      </w:r>
    </w:p>
    <w:p w:rsidR="00DE6BB6" w:rsidRDefault="00A0661B" w:rsidP="00636B99">
      <w:r>
        <w:t>The 30 mg tablet described in this submission is the same as the 30 mg tablet described in the previous submission. The 60 mg tablet is the same formulation as described in the previous submission but it is unscored (previously scored)</w:t>
      </w:r>
      <w:r w:rsidR="00DE6BB6">
        <w:t>.</w:t>
      </w:r>
    </w:p>
    <w:p w:rsidR="00DE6BB6" w:rsidRDefault="00A0661B" w:rsidP="00636B99">
      <w:pPr>
        <w:pStyle w:val="ListBullet"/>
      </w:pPr>
      <w:r w:rsidRPr="00636B99">
        <w:t>This lack of a score line on the 60 mg tablet when the reference product contains a score line is of clinical concern and there will be a separate clinical evaluation of this issue</w:t>
      </w:r>
      <w:r w:rsidR="00DE6BB6">
        <w:t>.</w:t>
      </w:r>
    </w:p>
    <w:p w:rsidR="00DE6BB6" w:rsidRDefault="00A0661B" w:rsidP="00636B99">
      <w:r>
        <w:t xml:space="preserve">Both strengths of the tablet are packaged in blister packs (both </w:t>
      </w:r>
      <w:r w:rsidR="00636B99">
        <w:t>polyvinyl chloride-Aluminium (</w:t>
      </w:r>
      <w:r>
        <w:t>PVC-Al</w:t>
      </w:r>
      <w:r w:rsidR="00636B99">
        <w:t>)</w:t>
      </w:r>
      <w:r>
        <w:t xml:space="preserve"> and </w:t>
      </w:r>
      <w:r w:rsidRPr="00636B99">
        <w:t>PVC-</w:t>
      </w:r>
      <w:r w:rsidR="00636B99" w:rsidRPr="00636B99">
        <w:t xml:space="preserve"> </w:t>
      </w:r>
      <w:proofErr w:type="spellStart"/>
      <w:r w:rsidR="00636B99" w:rsidRPr="00636B99">
        <w:t>Polyvinylidene</w:t>
      </w:r>
      <w:proofErr w:type="spellEnd"/>
      <w:r w:rsidR="00636B99" w:rsidRPr="00636B99">
        <w:t xml:space="preserve"> chloride (</w:t>
      </w:r>
      <w:r w:rsidRPr="00636B99">
        <w:t>PVDC</w:t>
      </w:r>
      <w:r w:rsidR="00636B99" w:rsidRPr="00636B99">
        <w:t>)</w:t>
      </w:r>
      <w:r w:rsidRPr="00636B99">
        <w:t>/Al). The</w:t>
      </w:r>
      <w:r>
        <w:t xml:space="preserve"> proposed 30 mg tablet will be supplied in packs of 14 or 100 tablet</w:t>
      </w:r>
      <w:r w:rsidR="00636B99">
        <w:t>s</w:t>
      </w:r>
      <w:r>
        <w:t xml:space="preserve"> </w:t>
      </w:r>
      <w:r w:rsidR="00D92B40">
        <w:t xml:space="preserve">as </w:t>
      </w:r>
      <w:r>
        <w:t xml:space="preserve">compared to the reference product </w:t>
      </w:r>
      <w:r w:rsidR="00D92B40">
        <w:t xml:space="preserve">which </w:t>
      </w:r>
      <w:r>
        <w:t xml:space="preserve">only has a </w:t>
      </w:r>
      <w:r w:rsidRPr="00636B99">
        <w:t>100 tablet</w:t>
      </w:r>
      <w:r>
        <w:t xml:space="preserve"> pack. The 60 mg tablet will be supplied in packs of 14 or 60 tablets, compared to the reference product </w:t>
      </w:r>
      <w:r w:rsidR="00D92B40">
        <w:t xml:space="preserve">which </w:t>
      </w:r>
      <w:r>
        <w:t xml:space="preserve">only has a 60 tablet pack. </w:t>
      </w:r>
      <w:r w:rsidRPr="00D92B40">
        <w:t>It will be clarified that the 14 tablet pack is a sample pack</w:t>
      </w:r>
      <w:r w:rsidR="00DE6BB6">
        <w:t>.</w:t>
      </w:r>
    </w:p>
    <w:p w:rsidR="00DE6BB6" w:rsidRDefault="00A0661B" w:rsidP="00636B99">
      <w:r>
        <w:t>The initial recommended dose is 30 mg per day and titrated according to the individual patient’s response. The maximum daily dose is 120 mg</w:t>
      </w:r>
      <w:r w:rsidR="00DE6BB6">
        <w:t>.</w:t>
      </w:r>
    </w:p>
    <w:p w:rsidR="00A0661B" w:rsidRDefault="00A0661B" w:rsidP="00636B99">
      <w:pPr>
        <w:rPr>
          <w:rFonts w:ascii="Times New Roman" w:hAnsi="Times New Roman"/>
          <w:szCs w:val="20"/>
        </w:rPr>
      </w:pPr>
      <w:r>
        <w:t xml:space="preserve">There is a </w:t>
      </w:r>
      <w:r w:rsidR="00D92B40">
        <w:t>British Pharmacopeia (</w:t>
      </w:r>
      <w:r>
        <w:t>BP</w:t>
      </w:r>
      <w:r w:rsidR="00D92B40">
        <w:t>)</w:t>
      </w:r>
      <w:r>
        <w:t>/</w:t>
      </w:r>
      <w:r w:rsidR="00D92B40">
        <w:t>European Pharmacopeia (</w:t>
      </w:r>
      <w:r>
        <w:t>EP</w:t>
      </w:r>
      <w:r w:rsidR="00D92B40">
        <w:t>)</w:t>
      </w:r>
      <w:r>
        <w:t xml:space="preserve"> monograph for </w:t>
      </w:r>
      <w:proofErr w:type="spellStart"/>
      <w:r>
        <w:t>Gliclazide</w:t>
      </w:r>
      <w:proofErr w:type="spellEnd"/>
      <w:r>
        <w:t xml:space="preserve"> drug substance and a BP monograph for </w:t>
      </w:r>
      <w:proofErr w:type="spellStart"/>
      <w:r>
        <w:t>Gliclazide</w:t>
      </w:r>
      <w:proofErr w:type="spellEnd"/>
      <w:r>
        <w:t xml:space="preserve"> (immediate release) </w:t>
      </w:r>
      <w:r w:rsidR="00D92B40">
        <w:t>t</w:t>
      </w:r>
      <w:r>
        <w:t xml:space="preserve">ablets. However there are no </w:t>
      </w:r>
      <w:r w:rsidR="00D92B40">
        <w:t>United States Pharmacopeia (</w:t>
      </w:r>
      <w:r>
        <w:t>USP</w:t>
      </w:r>
      <w:r w:rsidR="00D92B40">
        <w:t>)</w:t>
      </w:r>
      <w:r>
        <w:t xml:space="preserve"> monographs and no BP monograph for the proposed modified release tablets.</w:t>
      </w:r>
    </w:p>
    <w:p w:rsidR="00A0661B" w:rsidRDefault="00A0661B" w:rsidP="00636B99">
      <w:r>
        <w:t>The sponsor has identified aspects of this submission that differ from aspects of the previous submission as shown below</w:t>
      </w:r>
      <w:r w:rsidR="0076728C">
        <w:t>:</w:t>
      </w:r>
    </w:p>
    <w:p w:rsidR="00D92B40" w:rsidRDefault="00D92B40" w:rsidP="007B41D2">
      <w:r>
        <w:t>Quality changes are consistent with the previous application with the exception of:</w:t>
      </w:r>
    </w:p>
    <w:p w:rsidR="00D92B40" w:rsidRPr="00DE6BB6" w:rsidRDefault="00D92B40" w:rsidP="00DE6BB6">
      <w:pPr>
        <w:pStyle w:val="ListBullet"/>
      </w:pPr>
      <w:r w:rsidRPr="00DE6BB6">
        <w:t>Updated Certificate of suitability (CEP) from the same active pharmaceutical ingredients (API) source (approved in the EU and Canada)</w:t>
      </w:r>
    </w:p>
    <w:p w:rsidR="00D92B40" w:rsidRPr="00DE6BB6" w:rsidRDefault="00D92B40" w:rsidP="00DE6BB6">
      <w:pPr>
        <w:pStyle w:val="ListBullet"/>
      </w:pPr>
      <w:r w:rsidRPr="00DE6BB6">
        <w:t>Inclusion of commercial scale batch data for 30 mg strength tablet</w:t>
      </w:r>
    </w:p>
    <w:p w:rsidR="00D92B40" w:rsidRPr="00DE6BB6" w:rsidRDefault="00D92B40" w:rsidP="00DE6BB6">
      <w:pPr>
        <w:pStyle w:val="ListBullet"/>
      </w:pPr>
      <w:r w:rsidRPr="00DE6BB6">
        <w:t>Inclusion of an unscored 60 mg tablet batch</w:t>
      </w:r>
    </w:p>
    <w:p w:rsidR="00D92B40" w:rsidRDefault="00D92B40" w:rsidP="00DE6BB6">
      <w:pPr>
        <w:pStyle w:val="ListBullet"/>
      </w:pPr>
      <w:r>
        <w:lastRenderedPageBreak/>
        <w:t>Updated stability data</w:t>
      </w:r>
    </w:p>
    <w:p w:rsidR="00D92B40" w:rsidRDefault="00D92B40" w:rsidP="007B41D2">
      <w:pPr>
        <w:pStyle w:val="ListBullet"/>
      </w:pPr>
      <w:r>
        <w:t>Comparative dissolution testing of unscored 60 mg tablet to the previously submitted scored 60 mg tablet</w:t>
      </w:r>
    </w:p>
    <w:p w:rsidR="00DE6BB6" w:rsidRDefault="00D92B40" w:rsidP="007B41D2">
      <w:pPr>
        <w:pStyle w:val="ListBullet"/>
      </w:pPr>
      <w:r>
        <w:t>Updates to specification-dissolution limits for the 30 mg strength have been determined based on the test product batch used for the BE study. Dissolution limits for the unscored 60 mg tablet have been determined based on the limits approved in the EU as the same bioequivalence studies were used</w:t>
      </w:r>
      <w:r w:rsidR="00DE6BB6">
        <w:t>.</w:t>
      </w:r>
    </w:p>
    <w:p w:rsidR="00DE6BB6" w:rsidRDefault="00A0661B" w:rsidP="00470B6D">
      <w:r>
        <w:t>Where relevant, information which was identified as being the same as provided in the previous submission will be referenced in this report</w:t>
      </w:r>
      <w:r w:rsidR="00DE6BB6">
        <w:t>.</w:t>
      </w:r>
    </w:p>
    <w:p w:rsidR="00DE6BB6" w:rsidRDefault="00A0661B" w:rsidP="00D92B40">
      <w:pPr>
        <w:pStyle w:val="Comment"/>
      </w:pPr>
      <w:r>
        <w:rPr>
          <w:b/>
        </w:rPr>
        <w:t>Note</w:t>
      </w:r>
      <w:r>
        <w:t>:</w:t>
      </w:r>
      <w:r>
        <w:tab/>
        <w:t xml:space="preserve">This evaluation report covers the chemical, manufacture, quality control, stability and bioavailability aspects of the product. Where fermentation, sterilisation or microbiological testing </w:t>
      </w:r>
      <w:r w:rsidR="007D2FD4">
        <w:t>is</w:t>
      </w:r>
      <w:r>
        <w:t xml:space="preserve"> involved in its manufacture and quality control the relevant data </w:t>
      </w:r>
      <w:proofErr w:type="gramStart"/>
      <w:r>
        <w:t>have</w:t>
      </w:r>
      <w:proofErr w:type="gramEnd"/>
      <w:r>
        <w:t xml:space="preserve"> been referred to </w:t>
      </w:r>
      <w:r w:rsidR="00D92B40">
        <w:t xml:space="preserve">the TGA’s </w:t>
      </w:r>
      <w:r>
        <w:t>Office of Laboratories and Scientific Services (OLSS) for assessment</w:t>
      </w:r>
      <w:r w:rsidR="00DE6BB6">
        <w:t>.</w:t>
      </w:r>
    </w:p>
    <w:p w:rsidR="008E7846" w:rsidRDefault="008E7846" w:rsidP="00940A89">
      <w:pPr>
        <w:pStyle w:val="Heading3"/>
      </w:pPr>
      <w:bookmarkStart w:id="27" w:name="_Toc456784895"/>
      <w:r w:rsidRPr="008751DC">
        <w:t xml:space="preserve">Drug </w:t>
      </w:r>
      <w:r>
        <w:t>s</w:t>
      </w:r>
      <w:r w:rsidRPr="008751DC">
        <w:t>ubstance</w:t>
      </w:r>
      <w:r>
        <w:t xml:space="preserve"> (active ingredient)</w:t>
      </w:r>
      <w:bookmarkEnd w:id="24"/>
      <w:bookmarkEnd w:id="25"/>
      <w:bookmarkEnd w:id="27"/>
    </w:p>
    <w:p w:rsidR="00A0661B" w:rsidRDefault="00A0661B" w:rsidP="00C43D1A">
      <w:proofErr w:type="spellStart"/>
      <w:r>
        <w:t>Gliclazide</w:t>
      </w:r>
      <w:proofErr w:type="spellEnd"/>
      <w:r>
        <w:t xml:space="preserve"> </w:t>
      </w:r>
      <w:r w:rsidR="00432284">
        <w:t>has the following chemical name 1-(3-</w:t>
      </w:r>
      <w:proofErr w:type="gramStart"/>
      <w:r w:rsidR="00432284">
        <w:t>azabicyclo[</w:t>
      </w:r>
      <w:proofErr w:type="gramEnd"/>
      <w:r w:rsidR="00432284">
        <w:t>3.3.0]oct-3-yl)-3-p-tolylsulphonylurea1-(Hexahydrocyclopenta[</w:t>
      </w:r>
      <w:r w:rsidR="00432284">
        <w:rPr>
          <w:i/>
        </w:rPr>
        <w:t>c</w:t>
      </w:r>
      <w:r w:rsidR="00432284">
        <w:t>]pyrrol-2(1</w:t>
      </w:r>
      <w:r w:rsidR="00432284">
        <w:rPr>
          <w:i/>
        </w:rPr>
        <w:t>H</w:t>
      </w:r>
      <w:r w:rsidR="00432284">
        <w:t>)-yl)-3-[(4-methylphenyl)sulfonyl]urea</w:t>
      </w:r>
      <w:r w:rsidR="00C43D1A">
        <w:t xml:space="preserve"> </w:t>
      </w:r>
      <w:r w:rsidR="00432284">
        <w:t xml:space="preserve">(per </w:t>
      </w:r>
      <w:r w:rsidR="00470B6D">
        <w:t>EP</w:t>
      </w:r>
      <w:r w:rsidR="00432284">
        <w:t xml:space="preserve"> monograph) and the following chemical structure, formula and molecular weight (Figure 1):</w:t>
      </w:r>
    </w:p>
    <w:p w:rsidR="00432284" w:rsidRDefault="00432284" w:rsidP="00DE6BB6">
      <w:pPr>
        <w:pStyle w:val="FigureTitle"/>
      </w:pPr>
      <w:r>
        <w:t>Figure 1: Chemical structure</w:t>
      </w:r>
    </w:p>
    <w:p w:rsidR="00A0661B" w:rsidRDefault="00A0661B" w:rsidP="00DE6BB6">
      <w:pPr>
        <w:rPr>
          <w:rFonts w:ascii="Arial" w:hAnsi="Arial" w:cs="Arial"/>
          <w:b/>
          <w:sz w:val="18"/>
        </w:rPr>
      </w:pPr>
      <w:r>
        <w:rPr>
          <w:noProof/>
          <w:lang w:eastAsia="en-AU"/>
        </w:rPr>
        <w:drawing>
          <wp:inline distT="0" distB="0" distL="0" distR="0">
            <wp:extent cx="2941320" cy="979170"/>
            <wp:effectExtent l="0" t="0" r="0" b="0"/>
            <wp:docPr id="25" name="Picture 25" descr="Figure 1: Chemica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lum bright="-20000" contrast="40000"/>
                      <a:extLst>
                        <a:ext uri="{28A0092B-C50C-407E-A947-70E740481C1C}">
                          <a14:useLocalDpi xmlns:a14="http://schemas.microsoft.com/office/drawing/2010/main" val="0"/>
                        </a:ext>
                      </a:extLst>
                    </a:blip>
                    <a:srcRect/>
                    <a:stretch>
                      <a:fillRect/>
                    </a:stretch>
                  </pic:blipFill>
                  <pic:spPr bwMode="auto">
                    <a:xfrm>
                      <a:off x="0" y="0"/>
                      <a:ext cx="2941320" cy="979170"/>
                    </a:xfrm>
                    <a:prstGeom prst="rect">
                      <a:avLst/>
                    </a:prstGeom>
                    <a:noFill/>
                  </pic:spPr>
                </pic:pic>
              </a:graphicData>
            </a:graphic>
          </wp:inline>
        </w:drawing>
      </w:r>
    </w:p>
    <w:p w:rsidR="00DE6BB6" w:rsidRDefault="00A0661B" w:rsidP="00746A09">
      <w:pPr>
        <w:pStyle w:val="FigureDescription"/>
        <w:rPr>
          <w:vertAlign w:val="subscript"/>
        </w:rPr>
      </w:pPr>
      <w:r w:rsidRPr="00432284">
        <w:t>Molecular Formula:</w:t>
      </w:r>
      <w:r w:rsidR="00432284">
        <w:t xml:space="preserve"> </w:t>
      </w:r>
      <w:r w:rsidRPr="00432284">
        <w:t>C</w:t>
      </w:r>
      <w:r w:rsidRPr="00432284">
        <w:rPr>
          <w:vertAlign w:val="subscript"/>
        </w:rPr>
        <w:t>15</w:t>
      </w:r>
      <w:r w:rsidRPr="00432284">
        <w:t>H</w:t>
      </w:r>
      <w:r w:rsidRPr="00432284">
        <w:rPr>
          <w:vertAlign w:val="subscript"/>
        </w:rPr>
        <w:t>21</w:t>
      </w:r>
      <w:r w:rsidRPr="00432284">
        <w:t>N</w:t>
      </w:r>
      <w:r w:rsidRPr="00432284">
        <w:rPr>
          <w:vertAlign w:val="subscript"/>
        </w:rPr>
        <w:t>3</w:t>
      </w:r>
      <w:r w:rsidRPr="00432284">
        <w:t>O</w:t>
      </w:r>
      <w:r w:rsidRPr="00432284">
        <w:rPr>
          <w:vertAlign w:val="subscript"/>
        </w:rPr>
        <w:t>3</w:t>
      </w:r>
      <w:r w:rsidRPr="00432284">
        <w:t>S</w:t>
      </w:r>
    </w:p>
    <w:p w:rsidR="00432284" w:rsidRDefault="00432284" w:rsidP="00746A09">
      <w:pPr>
        <w:pStyle w:val="FigureDescription"/>
      </w:pPr>
      <w:r w:rsidRPr="00432284">
        <w:t>Chirality:</w:t>
      </w:r>
      <w:r>
        <w:t xml:space="preserve"> </w:t>
      </w:r>
      <w:r w:rsidRPr="00432284">
        <w:t>Achiral</w:t>
      </w:r>
    </w:p>
    <w:p w:rsidR="00DE6BB6" w:rsidRDefault="00432284" w:rsidP="00746A09">
      <w:pPr>
        <w:pStyle w:val="FigureDescription"/>
      </w:pPr>
      <w:r w:rsidRPr="00432284">
        <w:t>M</w:t>
      </w:r>
      <w:r w:rsidR="00A0661B" w:rsidRPr="00432284">
        <w:t>olecular Weight:</w:t>
      </w:r>
      <w:r>
        <w:t xml:space="preserve"> </w:t>
      </w:r>
      <w:r w:rsidR="00A0661B" w:rsidRPr="00432284">
        <w:t>323.4</w:t>
      </w:r>
    </w:p>
    <w:p w:rsidR="00A0661B" w:rsidRDefault="00432284" w:rsidP="00432284">
      <w:r>
        <w:t>The drug substance is p</w:t>
      </w:r>
      <w:r w:rsidR="00A0661B">
        <w:t>ractically insoluble in water</w:t>
      </w:r>
      <w:r>
        <w:t xml:space="preserve"> but f</w:t>
      </w:r>
      <w:r w:rsidR="00A0661B">
        <w:t xml:space="preserve">reely soluble in </w:t>
      </w:r>
      <w:proofErr w:type="spellStart"/>
      <w:r w:rsidR="00A0661B">
        <w:t>dichloro</w:t>
      </w:r>
      <w:proofErr w:type="spellEnd"/>
      <w:r w:rsidR="00A0661B">
        <w:t>-methane, sparingly soluble in acetone and slightly soluble in ethanol 96%.</w:t>
      </w:r>
    </w:p>
    <w:p w:rsidR="00DE6BB6" w:rsidRDefault="00A0661B" w:rsidP="00432284">
      <w:r w:rsidRPr="00191CF8">
        <w:t xml:space="preserve">The </w:t>
      </w:r>
      <w:r w:rsidR="00191CF8" w:rsidRPr="00191CF8">
        <w:t xml:space="preserve">Certificate of Suitability (CEP) </w:t>
      </w:r>
      <w:r w:rsidRPr="00191CF8">
        <w:t>provided with this submission is an update of that provided with the previous submission. It was dated 25 November</w:t>
      </w:r>
      <w:r>
        <w:t xml:space="preserve"> 2013 and has no expiry date. The CEP has an additional test for related solvents</w:t>
      </w:r>
      <w:r w:rsidR="00DE6BB6">
        <w:t>.</w:t>
      </w:r>
    </w:p>
    <w:p w:rsidR="00DE6BB6" w:rsidRDefault="00A0661B" w:rsidP="00432284">
      <w:r>
        <w:t xml:space="preserve">The drug substance specification included the BP monograph parameters, plus additional tests for residual toluene </w:t>
      </w:r>
      <w:r w:rsidR="00432284">
        <w:t>and particle size distribution</w:t>
      </w:r>
      <w:r w:rsidR="00DE6BB6">
        <w:t>.</w:t>
      </w:r>
    </w:p>
    <w:p w:rsidR="00A0661B" w:rsidRDefault="00A0661B" w:rsidP="00432284">
      <w:r>
        <w:t>The specifications applied to the drug substance by the finished product manufacturer are unchanged from the previous submission (as are the test m</w:t>
      </w:r>
      <w:r w:rsidR="00432284">
        <w:t xml:space="preserve">ethods). The specifications have </w:t>
      </w:r>
      <w:r>
        <w:t>an additional test for microbial quality.</w:t>
      </w:r>
    </w:p>
    <w:p w:rsidR="00A0661B" w:rsidRDefault="00A0661B" w:rsidP="00432284">
      <w:r>
        <w:t>Newer batch analysis data have been provided. These show compliance with the specifications.</w:t>
      </w:r>
    </w:p>
    <w:p w:rsidR="008E7846" w:rsidRDefault="008E7846" w:rsidP="008E7846">
      <w:pPr>
        <w:pStyle w:val="Heading3"/>
      </w:pPr>
      <w:bookmarkStart w:id="28" w:name="_Toc247691508"/>
      <w:bookmarkStart w:id="29" w:name="_Toc314842490"/>
      <w:bookmarkStart w:id="30" w:name="_Toc456784896"/>
      <w:r w:rsidRPr="008751DC">
        <w:lastRenderedPageBreak/>
        <w:t xml:space="preserve">Drug </w:t>
      </w:r>
      <w:r>
        <w:t>p</w:t>
      </w:r>
      <w:r w:rsidRPr="008751DC">
        <w:t>roduct</w:t>
      </w:r>
      <w:bookmarkEnd w:id="28"/>
      <w:bookmarkEnd w:id="29"/>
      <w:bookmarkEnd w:id="30"/>
    </w:p>
    <w:p w:rsidR="001B2309" w:rsidRDefault="001B2309" w:rsidP="001B2309">
      <w:r>
        <w:t>The following drug products have been proposed:</w:t>
      </w:r>
    </w:p>
    <w:p w:rsidR="00A0661B" w:rsidRPr="001B2309" w:rsidRDefault="00A0661B" w:rsidP="001B2309">
      <w:pPr>
        <w:pStyle w:val="ListBullet"/>
      </w:pPr>
      <w:r w:rsidRPr="001B2309">
        <w:rPr>
          <w:bCs/>
        </w:rPr>
        <w:t xml:space="preserve">30 mg modified release tablets: </w:t>
      </w:r>
      <w:r w:rsidRPr="001B2309">
        <w:t>White biconvex capsule shaped tablet with ‘GLI 30’ on one side and plain on the other side.</w:t>
      </w:r>
    </w:p>
    <w:p w:rsidR="00A0661B" w:rsidRDefault="00A0661B" w:rsidP="001B2309">
      <w:pPr>
        <w:pStyle w:val="ListBullet"/>
      </w:pPr>
      <w:r w:rsidRPr="001B2309">
        <w:rPr>
          <w:bCs/>
        </w:rPr>
        <w:t xml:space="preserve">60 mg modified tablets (unscored): </w:t>
      </w:r>
      <w:r w:rsidRPr="001B2309">
        <w:t xml:space="preserve">White biconvex oval shaped tablet engraved with 'GLI' </w:t>
      </w:r>
      <w:r w:rsidR="001B2309">
        <w:t>and</w:t>
      </w:r>
      <w:r w:rsidRPr="001B2309">
        <w:t xml:space="preserve"> '60' on both sides of the tablet.</w:t>
      </w:r>
    </w:p>
    <w:p w:rsidR="001B2309" w:rsidRDefault="00FD4719" w:rsidP="001B2309">
      <w:pPr>
        <w:pStyle w:val="ListBullet"/>
        <w:numPr>
          <w:ilvl w:val="0"/>
          <w:numId w:val="0"/>
        </w:numPr>
      </w:pPr>
      <w:r>
        <w:t>T</w:t>
      </w:r>
      <w:r w:rsidR="001B2309">
        <w:t xml:space="preserve">he </w:t>
      </w:r>
      <w:proofErr w:type="spellStart"/>
      <w:r w:rsidR="00D25EDA">
        <w:t>gliclazide</w:t>
      </w:r>
      <w:proofErr w:type="spellEnd"/>
      <w:r w:rsidR="001B2309">
        <w:t xml:space="preserve"> extended release tablets</w:t>
      </w:r>
      <w:r>
        <w:t xml:space="preserve"> contain the following ingredients </w:t>
      </w:r>
      <w:proofErr w:type="spellStart"/>
      <w:r>
        <w:t>gliclazide</w:t>
      </w:r>
      <w:proofErr w:type="spellEnd"/>
      <w:r>
        <w:t xml:space="preserve">, lactose monohydrate, </w:t>
      </w:r>
      <w:proofErr w:type="spellStart"/>
      <w:r>
        <w:t>hypr</w:t>
      </w:r>
      <w:r w:rsidR="00892403">
        <w:t>o</w:t>
      </w:r>
      <w:r>
        <w:t>mellose</w:t>
      </w:r>
      <w:proofErr w:type="spellEnd"/>
      <w:r>
        <w:t xml:space="preserve"> (HPMC K100 LV), </w:t>
      </w:r>
      <w:proofErr w:type="spellStart"/>
      <w:r>
        <w:t>hyp</w:t>
      </w:r>
      <w:r w:rsidR="00892403">
        <w:t>ro</w:t>
      </w:r>
      <w:r>
        <w:t>mellose</w:t>
      </w:r>
      <w:proofErr w:type="spellEnd"/>
      <w:r>
        <w:t xml:space="preserve"> (HPMC K4M CR, magnesium ste</w:t>
      </w:r>
      <w:r w:rsidR="00892403">
        <w:t>a</w:t>
      </w:r>
      <w:r>
        <w:t>rate</w:t>
      </w:r>
      <w:r w:rsidR="001B2309">
        <w:t>.</w:t>
      </w:r>
    </w:p>
    <w:p w:rsidR="00A0661B" w:rsidRDefault="00A0661B" w:rsidP="00470B6D">
      <w:pPr>
        <w:rPr>
          <w:sz w:val="24"/>
        </w:rPr>
      </w:pPr>
      <w:r>
        <w:t>Both strengths of the proposed product are direct scales. They are distinguished by the tablet shaped and engraving symbols. There has been no changed in the composition of either tablet strengths.</w:t>
      </w:r>
    </w:p>
    <w:p w:rsidR="00DE6BB6" w:rsidRDefault="000015B2" w:rsidP="000015B2">
      <w:r>
        <w:t>The excipients are typical for this type of dosage form. These excipients were also used in the Australian innovator’s product</w:t>
      </w:r>
      <w:r w:rsidR="00DE6BB6">
        <w:t>.</w:t>
      </w:r>
    </w:p>
    <w:p w:rsidR="00DE6BB6" w:rsidRDefault="001671F4" w:rsidP="001671F4">
      <w:r>
        <w:t xml:space="preserve">The formulation development section is assumed to remain unchanged compared to the data provided in </w:t>
      </w:r>
      <w:r w:rsidR="00191CF8">
        <w:t>an earlier</w:t>
      </w:r>
      <w:r>
        <w:t xml:space="preserve"> submission</w:t>
      </w:r>
      <w:r w:rsidR="00DE6BB6">
        <w:t>.</w:t>
      </w:r>
    </w:p>
    <w:p w:rsidR="00A0661B" w:rsidRDefault="00A0661B" w:rsidP="00470B6D">
      <w:r>
        <w:t>However, the appearance of the 60 mg tablets has been changed to remove the score line.</w:t>
      </w:r>
    </w:p>
    <w:p w:rsidR="00A0661B" w:rsidRDefault="00A0661B" w:rsidP="00470B6D">
      <w:proofErr w:type="spellStart"/>
      <w:r w:rsidRPr="00D23D66">
        <w:t>Gliclazide</w:t>
      </w:r>
      <w:proofErr w:type="spellEnd"/>
      <w:r>
        <w:t xml:space="preserve"> is not hygroscopic. Solubility generated and permeability data (in PI) suggest that </w:t>
      </w:r>
      <w:proofErr w:type="spellStart"/>
      <w:r w:rsidRPr="00D23D66">
        <w:t>gliclazide</w:t>
      </w:r>
      <w:proofErr w:type="spellEnd"/>
      <w:r>
        <w:rPr>
          <w:i/>
        </w:rPr>
        <w:t xml:space="preserve"> </w:t>
      </w:r>
      <w:r w:rsidRPr="00470B6D">
        <w:t xml:space="preserve">belongs to </w:t>
      </w:r>
      <w:r w:rsidR="00470B6D" w:rsidRPr="00470B6D">
        <w:t>Biopharmaceutics Classification System (</w:t>
      </w:r>
      <w:r w:rsidRPr="00470B6D">
        <w:t>BCS</w:t>
      </w:r>
      <w:r w:rsidR="00470B6D" w:rsidRPr="00470B6D">
        <w:t>)</w:t>
      </w:r>
      <w:r w:rsidR="00470B6D">
        <w:t xml:space="preserve"> C</w:t>
      </w:r>
      <w:r>
        <w:t>lass II drug (high permeability/low solubility). Appropriate particle size control has been applied for the drug substance to be used in the proposed product.</w:t>
      </w:r>
    </w:p>
    <w:p w:rsidR="00A0661B" w:rsidRDefault="00A0661B" w:rsidP="00470B6D">
      <w:r>
        <w:t>Process validation has been performed with three production scale batches of the 30 mg modified release tablets. The results complied with the in-process and release specification limits and are consistent between batches.</w:t>
      </w:r>
    </w:p>
    <w:p w:rsidR="00DE6BB6" w:rsidRDefault="00A0661B" w:rsidP="00470B6D">
      <w:r>
        <w:t>Process validation was also performed for the one additional batch of 60 mg ta</w:t>
      </w:r>
      <w:r w:rsidR="00C43D1A">
        <w:t>blets which was unscored</w:t>
      </w:r>
      <w:r>
        <w:t>. The results complied with the in-process and release specification, apart from the deviation of thickness results. Given that this deviation does not significantly affect the dissolution profile, this issue will not be pursued</w:t>
      </w:r>
      <w:r w:rsidR="00DE6BB6">
        <w:t>.</w:t>
      </w:r>
    </w:p>
    <w:p w:rsidR="00DE6BB6" w:rsidRDefault="00A0661B" w:rsidP="00470B6D">
      <w:r>
        <w:t xml:space="preserve">Process validation batch results for the pilot scale batches (30 mg) and the scored tablet 60 mg </w:t>
      </w:r>
      <w:r w:rsidR="001671F4">
        <w:t>were</w:t>
      </w:r>
      <w:r>
        <w:t xml:space="preserve"> discussed in the previous submission and the results were deemed acceptable</w:t>
      </w:r>
      <w:r w:rsidR="00DE6BB6">
        <w:t>.</w:t>
      </w:r>
    </w:p>
    <w:p w:rsidR="00A0661B" w:rsidRPr="00326B5B" w:rsidRDefault="00A0661B" w:rsidP="00C43D1A">
      <w:pPr>
        <w:pStyle w:val="Heading4"/>
      </w:pPr>
      <w:r w:rsidRPr="00326B5B">
        <w:t xml:space="preserve">Control of </w:t>
      </w:r>
      <w:r w:rsidR="00746A09">
        <w:t>d</w:t>
      </w:r>
      <w:r w:rsidRPr="00326B5B">
        <w:t xml:space="preserve">rug </w:t>
      </w:r>
      <w:r w:rsidR="00746A09">
        <w:t>p</w:t>
      </w:r>
      <w:r w:rsidRPr="00326B5B">
        <w:t>roduct</w:t>
      </w:r>
    </w:p>
    <w:p w:rsidR="00A0661B" w:rsidRPr="00326B5B" w:rsidRDefault="00A0661B" w:rsidP="00C43D1A">
      <w:r w:rsidRPr="00326B5B">
        <w:t xml:space="preserve">There is no BP or USP monograph for </w:t>
      </w:r>
      <w:proofErr w:type="spellStart"/>
      <w:r w:rsidRPr="00326B5B">
        <w:t>gliclazide</w:t>
      </w:r>
      <w:proofErr w:type="spellEnd"/>
      <w:r w:rsidRPr="00326B5B">
        <w:t xml:space="preserve"> modified release tablets. Both strengths of the proposed product are controlled in accordance with in-house </w:t>
      </w:r>
      <w:r w:rsidR="00470B6D" w:rsidRPr="00326B5B">
        <w:t>s</w:t>
      </w:r>
      <w:r w:rsidRPr="00326B5B">
        <w:t>pecifications.</w:t>
      </w:r>
    </w:p>
    <w:p w:rsidR="00A0661B" w:rsidRPr="00326B5B" w:rsidRDefault="00A0661B" w:rsidP="00A0661B">
      <w:pPr>
        <w:jc w:val="both"/>
      </w:pPr>
      <w:r w:rsidRPr="00326B5B">
        <w:t>These differ from those accepted previously in the following ways:</w:t>
      </w:r>
    </w:p>
    <w:p w:rsidR="00A0661B" w:rsidRPr="00326B5B" w:rsidRDefault="00A0661B" w:rsidP="00C43D1A">
      <w:pPr>
        <w:pStyle w:val="ListBullet"/>
      </w:pPr>
      <w:r w:rsidRPr="00326B5B">
        <w:t xml:space="preserve">The appearance of the 60 mg tablets has been changed to remove reference to the </w:t>
      </w:r>
      <w:r w:rsidR="00491793" w:rsidRPr="00326B5B">
        <w:t>score line</w:t>
      </w:r>
      <w:r w:rsidRPr="00326B5B">
        <w:t>.</w:t>
      </w:r>
    </w:p>
    <w:p w:rsidR="00A0661B" w:rsidRPr="00326B5B" w:rsidRDefault="00A0661B" w:rsidP="00C43D1A">
      <w:pPr>
        <w:pStyle w:val="ListBullet"/>
      </w:pPr>
      <w:r w:rsidRPr="00326B5B">
        <w:t>The expiry limit for Impurity A in the 60 mg tablets has been increased. It is likely that the previous limit was a typographical error and the expiry limit was previou</w:t>
      </w:r>
      <w:r w:rsidR="00C43D1A" w:rsidRPr="00326B5B">
        <w:t>sly accepted for both strengths</w:t>
      </w:r>
      <w:r w:rsidRPr="00326B5B">
        <w:t>.</w:t>
      </w:r>
    </w:p>
    <w:p w:rsidR="00C43D1A" w:rsidRPr="00326B5B" w:rsidRDefault="00A0661B" w:rsidP="00C43D1A">
      <w:pPr>
        <w:pStyle w:val="ListBullet"/>
      </w:pPr>
      <w:r w:rsidRPr="00326B5B">
        <w:t>The dissolution limits have been changed for both strengths.</w:t>
      </w:r>
    </w:p>
    <w:p w:rsidR="00A0661B" w:rsidRPr="00326B5B" w:rsidRDefault="00C43D1A" w:rsidP="0059297C">
      <w:pPr>
        <w:pStyle w:val="ListBullet"/>
        <w:rPr>
          <w:i/>
        </w:rPr>
      </w:pPr>
      <w:r w:rsidRPr="00326B5B">
        <w:t>T</w:t>
      </w:r>
      <w:r w:rsidR="00A0661B" w:rsidRPr="00326B5B">
        <w:t xml:space="preserve">he currently proposed dissolution limits </w:t>
      </w:r>
      <w:r w:rsidR="00A0661B" w:rsidRPr="00326B5B">
        <w:rPr>
          <w:i/>
        </w:rPr>
        <w:t>differ from</w:t>
      </w:r>
      <w:r w:rsidR="00A0661B" w:rsidRPr="00326B5B">
        <w:t xml:space="preserve"> those previously proposed, which were based on the dissolution results of the batch of 60 mg tablets used in the </w:t>
      </w:r>
      <w:r w:rsidR="00A0661B" w:rsidRPr="00326B5B">
        <w:lastRenderedPageBreak/>
        <w:t>bioequivalence studies and the same for both strengths (as only bioequivalence data was only provided for the 60 mg strength)</w:t>
      </w:r>
      <w:r w:rsidR="0059297C" w:rsidRPr="00326B5B">
        <w:t>.</w:t>
      </w:r>
    </w:p>
    <w:p w:rsidR="00A0661B" w:rsidRPr="00326B5B" w:rsidRDefault="00A0661B" w:rsidP="00A0661B">
      <w:pPr>
        <w:spacing w:before="240"/>
        <w:jc w:val="both"/>
      </w:pPr>
      <w:r w:rsidRPr="00326B5B">
        <w:t>Certificates of Analysis for the pilot scale and production scale batches of the 30 mg tablet have been provided. The results complied with the release Finished Product Specification and are consistent between batches.</w:t>
      </w:r>
    </w:p>
    <w:p w:rsidR="00DE6BB6" w:rsidRDefault="00A0661B" w:rsidP="00A0661B">
      <w:pPr>
        <w:jc w:val="both"/>
      </w:pPr>
      <w:r w:rsidRPr="00326B5B">
        <w:t>Certificates of Analysis for three batches of 60 mg scored tablet (former appearance) and one batch of the 60 mg unscored tablet (proposed appearance) have been provided. Apart from</w:t>
      </w:r>
      <w:r w:rsidRPr="00326B5B">
        <w:rPr>
          <w:i/>
        </w:rPr>
        <w:t xml:space="preserve"> Appearance and Dissolution, </w:t>
      </w:r>
      <w:r w:rsidRPr="00326B5B">
        <w:t>all batches (scored or unscored) complied with the proposed finished product Specification for all parameters</w:t>
      </w:r>
      <w:r w:rsidR="00DE6BB6">
        <w:t>.</w:t>
      </w:r>
    </w:p>
    <w:p w:rsidR="00DE6BB6" w:rsidRDefault="00A0661B" w:rsidP="00A0661B">
      <w:pPr>
        <w:jc w:val="both"/>
      </w:pPr>
      <w:r w:rsidRPr="00326B5B">
        <w:t>The stability of the proposed product under accelerated and normal storage conditions has been investigated</w:t>
      </w:r>
      <w:r w:rsidR="00DE6BB6">
        <w:t>.</w:t>
      </w:r>
    </w:p>
    <w:p w:rsidR="0059297C" w:rsidRPr="00326B5B" w:rsidRDefault="0059297C" w:rsidP="0059297C">
      <w:pPr>
        <w:jc w:val="both"/>
      </w:pPr>
      <w:r w:rsidRPr="00326B5B">
        <w:t xml:space="preserve">The stability data supports the shelf-life assignment of </w:t>
      </w:r>
      <w:r w:rsidRPr="00326B5B">
        <w:rPr>
          <w:i/>
        </w:rPr>
        <w:t>36 months, stored below 25°C</w:t>
      </w:r>
      <w:r w:rsidRPr="00326B5B">
        <w:t xml:space="preserve"> for batches packaged in PVC/Al and PVC/PVDC-Al blister pack.</w:t>
      </w:r>
    </w:p>
    <w:p w:rsidR="00A0661B" w:rsidRPr="00326B5B" w:rsidRDefault="00A0661B" w:rsidP="0059297C">
      <w:pPr>
        <w:pStyle w:val="Heading4"/>
        <w:rPr>
          <w:szCs w:val="20"/>
        </w:rPr>
      </w:pPr>
      <w:r w:rsidRPr="00326B5B">
        <w:t>Post</w:t>
      </w:r>
      <w:r w:rsidR="00470B6D" w:rsidRPr="00326B5B">
        <w:t xml:space="preserve"> </w:t>
      </w:r>
      <w:r w:rsidRPr="00326B5B">
        <w:t xml:space="preserve">approval </w:t>
      </w:r>
      <w:r w:rsidR="00746A09" w:rsidRPr="00326B5B">
        <w:t>stability protocol and stability commitment</w:t>
      </w:r>
    </w:p>
    <w:p w:rsidR="00A0661B" w:rsidRPr="00326B5B" w:rsidRDefault="00A0661B" w:rsidP="0059297C">
      <w:r w:rsidRPr="00326B5B">
        <w:t xml:space="preserve">A commitment was provided that the first three commercial batches of both strengths will be placed on long term conditions, and thereafter one batch per year </w:t>
      </w:r>
      <w:proofErr w:type="gramStart"/>
      <w:r w:rsidRPr="00326B5B">
        <w:t>of each strength</w:t>
      </w:r>
      <w:proofErr w:type="gramEnd"/>
      <w:r w:rsidRPr="00326B5B">
        <w:t xml:space="preserve"> in accordance with the protocol below. The sponsor should note that this is a critical dosage form and as such the maximum batch scale accepted for the 60 mg tablets is 120,000 tablets: a Category 3 Application will be required to increase this to 1.2 million tablets.</w:t>
      </w:r>
    </w:p>
    <w:p w:rsidR="00A0661B" w:rsidRDefault="00A0661B" w:rsidP="00A0661B">
      <w:pPr>
        <w:autoSpaceDE w:val="0"/>
        <w:autoSpaceDN w:val="0"/>
        <w:adjustRightInd w:val="0"/>
        <w:spacing w:before="0" w:after="0"/>
        <w:jc w:val="both"/>
      </w:pPr>
      <w:r w:rsidRPr="00326B5B">
        <w:t xml:space="preserve">An assurance was provided that </w:t>
      </w:r>
      <w:r w:rsidRPr="00326B5B">
        <w:rPr>
          <w:szCs w:val="24"/>
        </w:rPr>
        <w:t>the authorities will be notified immediately in the event of any batch failures or unexpected trends becoming evident during the course of the trials.</w:t>
      </w:r>
    </w:p>
    <w:p w:rsidR="008E7846" w:rsidRDefault="008E7846" w:rsidP="008E7846">
      <w:pPr>
        <w:pStyle w:val="Heading3"/>
      </w:pPr>
      <w:bookmarkStart w:id="31" w:name="_Toc314842491"/>
      <w:bookmarkStart w:id="32" w:name="_Toc456784897"/>
      <w:r>
        <w:t>Biopharmaceutics</w:t>
      </w:r>
      <w:bookmarkEnd w:id="31"/>
      <w:bookmarkEnd w:id="32"/>
    </w:p>
    <w:p w:rsidR="00A0661B" w:rsidRDefault="00A0661B" w:rsidP="001B2309">
      <w:pPr>
        <w:pStyle w:val="Heading4"/>
      </w:pPr>
      <w:bookmarkStart w:id="33" w:name="_Toc314842492"/>
      <w:r>
        <w:t xml:space="preserve">Summary of </w:t>
      </w:r>
      <w:r w:rsidR="00470B6D">
        <w:t>bioavailability s</w:t>
      </w:r>
      <w:r>
        <w:t>tudies</w:t>
      </w:r>
    </w:p>
    <w:p w:rsidR="00DE6BB6" w:rsidRDefault="00A0661B" w:rsidP="00A0661B">
      <w:pPr>
        <w:jc w:val="both"/>
      </w:pPr>
      <w:r>
        <w:t xml:space="preserve">A justification for the lack of a bioequivalence study using the proposed unscored 60 mg tablet based on comparative dissolution compared to the scored 60 mg tablets which was shown to be bioequivalent to the reference product </w:t>
      </w:r>
      <w:proofErr w:type="spellStart"/>
      <w:r>
        <w:t>Diamicron</w:t>
      </w:r>
      <w:proofErr w:type="spellEnd"/>
      <w:r>
        <w:t xml:space="preserve"> 60 mg MR tablet has been included</w:t>
      </w:r>
      <w:r w:rsidR="00DE6BB6">
        <w:t>.</w:t>
      </w:r>
    </w:p>
    <w:p w:rsidR="00A0661B" w:rsidRDefault="00A0661B" w:rsidP="00D23D66">
      <w:pPr>
        <w:pStyle w:val="Heading4"/>
      </w:pPr>
      <w:r>
        <w:t xml:space="preserve">Summary of </w:t>
      </w:r>
      <w:r w:rsidR="00470B6D">
        <w:t>human p</w:t>
      </w:r>
      <w:r>
        <w:t>harmacokinetics</w:t>
      </w:r>
    </w:p>
    <w:p w:rsidR="00A0661B" w:rsidRDefault="00A0661B" w:rsidP="00D23D66">
      <w:pPr>
        <w:pStyle w:val="Heading5"/>
      </w:pPr>
      <w:r>
        <w:t xml:space="preserve">Recommended </w:t>
      </w:r>
      <w:r w:rsidR="00470B6D">
        <w:t>d</w:t>
      </w:r>
      <w:r>
        <w:t>ose</w:t>
      </w:r>
    </w:p>
    <w:p w:rsidR="00A0661B" w:rsidRDefault="00A0661B" w:rsidP="001B2309">
      <w:pPr>
        <w:rPr>
          <w:rFonts w:ascii="Times New Roman" w:hAnsi="Times New Roman"/>
        </w:rPr>
      </w:pPr>
      <w:r>
        <w:t>The initial recommended dose is 30 mg, even in elderly patients (≥ 65 years).  The dosage should be titrated in 30 mg increment every two weeks according to the fasting blood glucose response. The daily dose should not exceed 120 mg.</w:t>
      </w:r>
    </w:p>
    <w:p w:rsidR="00A0661B" w:rsidRDefault="00A0661B" w:rsidP="00D23D66">
      <w:pPr>
        <w:pStyle w:val="Heading5"/>
      </w:pPr>
      <w:r>
        <w:t xml:space="preserve">Rate and </w:t>
      </w:r>
      <w:r w:rsidR="00470B6D">
        <w:t>e</w:t>
      </w:r>
      <w:r>
        <w:t xml:space="preserve">xtent of </w:t>
      </w:r>
      <w:r w:rsidR="00470B6D">
        <w:t>a</w:t>
      </w:r>
      <w:r>
        <w:t>bsorption</w:t>
      </w:r>
    </w:p>
    <w:p w:rsidR="00DE6BB6" w:rsidRDefault="00A0661B" w:rsidP="001B2309">
      <w:r>
        <w:t>Hydration of the tablets induces formation of a gel to activate drug release.  Plasma levels increase progressively, resulting in a plateau</w:t>
      </w:r>
      <w:r w:rsidR="0059297C">
        <w:t xml:space="preserve"> </w:t>
      </w:r>
      <w:r>
        <w:t xml:space="preserve">shaped curve from the sixth to the twelfth hour after administration.  Intra-individual variability is low. </w:t>
      </w:r>
    </w:p>
    <w:p w:rsidR="00A0661B" w:rsidRDefault="00A0661B" w:rsidP="001B2309">
      <w:pPr>
        <w:rPr>
          <w:b/>
        </w:rPr>
      </w:pPr>
      <w:proofErr w:type="spellStart"/>
      <w:r>
        <w:t>Gliclazide</w:t>
      </w:r>
      <w:proofErr w:type="spellEnd"/>
      <w:r>
        <w:t xml:space="preserve"> is completely absorbed and food intake does not affect the rate or degree of absorption. The relationship between the dose administered and the area under the concentration curve as a function of time is linear for doses of </w:t>
      </w:r>
      <w:proofErr w:type="spellStart"/>
      <w:r>
        <w:t>gliclazide</w:t>
      </w:r>
      <w:proofErr w:type="spellEnd"/>
      <w:r>
        <w:t xml:space="preserve"> up to 90 mg/day.  At the highest evaluated dose (135 mg/day), the </w:t>
      </w:r>
      <w:r w:rsidR="00470B6D">
        <w:t>area under the concentration versus time curve (</w:t>
      </w:r>
      <w:r>
        <w:t>AUC</w:t>
      </w:r>
      <w:r w:rsidR="00470B6D">
        <w:t>)</w:t>
      </w:r>
      <w:r>
        <w:t xml:space="preserve"> increases slightly more than proportionally to the dose.</w:t>
      </w:r>
    </w:p>
    <w:p w:rsidR="00A0661B" w:rsidRDefault="00A0661B" w:rsidP="00D23D66">
      <w:pPr>
        <w:pStyle w:val="Heading5"/>
      </w:pPr>
      <w:r>
        <w:lastRenderedPageBreak/>
        <w:t>Distribution</w:t>
      </w:r>
    </w:p>
    <w:p w:rsidR="00A0661B" w:rsidRDefault="00A0661B" w:rsidP="001B2309">
      <w:proofErr w:type="spellStart"/>
      <w:r>
        <w:t>Gliclazide</w:t>
      </w:r>
      <w:proofErr w:type="spellEnd"/>
      <w:r>
        <w:t xml:space="preserve"> has a relatively low volume of distribution. It is strongly protein bound (approx</w:t>
      </w:r>
      <w:r w:rsidR="00470B6D">
        <w:t>imately</w:t>
      </w:r>
      <w:r>
        <w:t xml:space="preserve"> 94%).</w:t>
      </w:r>
    </w:p>
    <w:p w:rsidR="00A0661B" w:rsidRDefault="00A0661B" w:rsidP="00D23D66">
      <w:pPr>
        <w:pStyle w:val="Heading5"/>
      </w:pPr>
      <w:r>
        <w:t xml:space="preserve">Metabolism and </w:t>
      </w:r>
      <w:r w:rsidR="00470B6D">
        <w:t>e</w:t>
      </w:r>
      <w:r>
        <w:t>limination</w:t>
      </w:r>
    </w:p>
    <w:p w:rsidR="00A0661B" w:rsidRDefault="00A0661B" w:rsidP="001B2309">
      <w:pPr>
        <w:rPr>
          <w:b/>
          <w:sz w:val="24"/>
          <w:szCs w:val="20"/>
        </w:rPr>
      </w:pPr>
      <w:proofErr w:type="spellStart"/>
      <w:r>
        <w:t>Gliclazide</w:t>
      </w:r>
      <w:proofErr w:type="spellEnd"/>
      <w:r>
        <w:t xml:space="preserve"> is extensively metabolised in the liver </w:t>
      </w:r>
      <w:r w:rsidR="00470B6D">
        <w:t>via</w:t>
      </w:r>
      <w:r>
        <w:t xml:space="preserve"> Phase I and Phase II routes, and only a small fraction of the drug is excreted in the urine unchanged. The metabolites have no significant pharmacodynamic effect and are primarily eliminated via the kidneys (60</w:t>
      </w:r>
      <w:r w:rsidR="00470B6D">
        <w:t xml:space="preserve"> to </w:t>
      </w:r>
      <w:r>
        <w:t>70%) with 10</w:t>
      </w:r>
      <w:r w:rsidR="00470B6D">
        <w:t xml:space="preserve"> to </w:t>
      </w:r>
      <w:r>
        <w:t>20% appearing in the faeces.</w:t>
      </w:r>
      <w:r>
        <w:rPr>
          <w:b/>
        </w:rPr>
        <w:t xml:space="preserve"> </w:t>
      </w:r>
      <w:r>
        <w:t xml:space="preserve">The terminal elimination half-life of </w:t>
      </w:r>
      <w:proofErr w:type="spellStart"/>
      <w:r>
        <w:t>gliclazide</w:t>
      </w:r>
      <w:proofErr w:type="spellEnd"/>
      <w:r>
        <w:t xml:space="preserve"> is approximately </w:t>
      </w:r>
      <w:r w:rsidRPr="00470B6D">
        <w:t>16 hours.</w:t>
      </w:r>
      <w:r>
        <w:t xml:space="preserve"> The clearance of </w:t>
      </w:r>
      <w:proofErr w:type="spellStart"/>
      <w:r>
        <w:t>gliclazide</w:t>
      </w:r>
      <w:proofErr w:type="spellEnd"/>
      <w:r>
        <w:t xml:space="preserve"> has been found to be slightly reduced as a function of age.</w:t>
      </w:r>
    </w:p>
    <w:p w:rsidR="00A0661B" w:rsidRDefault="00A0661B" w:rsidP="00D23D66">
      <w:pPr>
        <w:pStyle w:val="Heading5"/>
      </w:pPr>
      <w:r>
        <w:t xml:space="preserve">Food </w:t>
      </w:r>
      <w:r w:rsidR="00470B6D">
        <w:t>e</w:t>
      </w:r>
      <w:r>
        <w:t>ffects</w:t>
      </w:r>
    </w:p>
    <w:p w:rsidR="00DE6BB6" w:rsidRDefault="00A0661B" w:rsidP="001B2309">
      <w:r>
        <w:t xml:space="preserve">Food intake does not affect the rate or degree of absorption of </w:t>
      </w:r>
      <w:proofErr w:type="spellStart"/>
      <w:r>
        <w:t>gliclazide</w:t>
      </w:r>
      <w:proofErr w:type="spellEnd"/>
      <w:r w:rsidR="00DE6BB6">
        <w:t>.</w:t>
      </w:r>
    </w:p>
    <w:p w:rsidR="00DE6BB6" w:rsidRDefault="00A0661B" w:rsidP="001B2309">
      <w:r>
        <w:t>The tablets should be taken with food due to the increased risk of hypoglycaemia if a meal is taken late, if an inadequate amount of food is consumed or if the food is low in carbohydrate. It is recommended that the medication be taken at breakfast time</w:t>
      </w:r>
      <w:r w:rsidR="00DE6BB6">
        <w:t>.</w:t>
      </w:r>
    </w:p>
    <w:p w:rsidR="008E7846" w:rsidRDefault="008E7846" w:rsidP="00326B5B">
      <w:pPr>
        <w:pStyle w:val="Heading3"/>
      </w:pPr>
      <w:bookmarkStart w:id="34" w:name="_Toc456784898"/>
      <w:r w:rsidRPr="00491793">
        <w:t xml:space="preserve">Advisory committee </w:t>
      </w:r>
      <w:r w:rsidRPr="00326B5B">
        <w:t>considerations</w:t>
      </w:r>
      <w:bookmarkEnd w:id="33"/>
      <w:bookmarkEnd w:id="34"/>
    </w:p>
    <w:p w:rsidR="00491793" w:rsidRPr="00491793" w:rsidRDefault="00491793" w:rsidP="00491793">
      <w:r>
        <w:t xml:space="preserve">See </w:t>
      </w:r>
      <w:r w:rsidRPr="00470B6D">
        <w:rPr>
          <w:i/>
        </w:rPr>
        <w:t>Quality summary and conclusions</w:t>
      </w:r>
      <w:r>
        <w:t xml:space="preserve"> below.</w:t>
      </w:r>
    </w:p>
    <w:p w:rsidR="008E7846" w:rsidRDefault="008E7846" w:rsidP="008E7846">
      <w:pPr>
        <w:pStyle w:val="Heading3"/>
      </w:pPr>
      <w:bookmarkStart w:id="35" w:name="_Toc247691509"/>
      <w:bookmarkStart w:id="36" w:name="_Toc314842493"/>
      <w:bookmarkStart w:id="37" w:name="_Toc456784899"/>
      <w:r>
        <w:t>Quality s</w:t>
      </w:r>
      <w:r w:rsidRPr="008751DC">
        <w:t>ummary</w:t>
      </w:r>
      <w:r>
        <w:t xml:space="preserve"> and conclusions</w:t>
      </w:r>
      <w:bookmarkEnd w:id="35"/>
      <w:bookmarkEnd w:id="36"/>
      <w:bookmarkEnd w:id="37"/>
    </w:p>
    <w:p w:rsidR="00DE6BB6" w:rsidRDefault="00944B2A" w:rsidP="001B2309">
      <w:r w:rsidRPr="001B2309">
        <w:t>There are no further issues that require resolution and approval of registration of the proposed 60 mg products is recommended from a pharmaceutical chemistry and biopharmaceutics perspective</w:t>
      </w:r>
      <w:r w:rsidR="00DE6BB6">
        <w:t>.</w:t>
      </w:r>
    </w:p>
    <w:p w:rsidR="00944B2A" w:rsidRPr="001B2309" w:rsidRDefault="00944B2A" w:rsidP="001B2309">
      <w:pPr>
        <w:rPr>
          <w:rFonts w:ascii="Arial" w:eastAsia="Times New Roman" w:hAnsi="Arial"/>
          <w:bCs/>
          <w:sz w:val="38"/>
          <w:szCs w:val="38"/>
        </w:rPr>
      </w:pPr>
      <w:r w:rsidRPr="001B2309">
        <w:t xml:space="preserve">However given the issues with larger batches, </w:t>
      </w:r>
      <w:r w:rsidR="00491793">
        <w:t>the TGA’s Pharmaceutical Chemistry Subcommittee (PCS) of the Advisory Committee on Prescription Medicines (ACPM)</w:t>
      </w:r>
      <w:r w:rsidRPr="001B2309">
        <w:t xml:space="preserve"> recommends that it should be made a condition of registration that any future submission to increase the batch size of the 60 mg tablets above 120,000 tablets should be accompanied with stability data showing compliance with the accepted dissolution limits.</w:t>
      </w:r>
    </w:p>
    <w:p w:rsidR="00944B2A" w:rsidRPr="001B2309" w:rsidRDefault="00944B2A" w:rsidP="001B2309">
      <w:r w:rsidRPr="001B2309">
        <w:t>The sponsor has withdrawn the 30 mg strength from this application.</w:t>
      </w:r>
    </w:p>
    <w:p w:rsidR="00944B2A" w:rsidRPr="0097510C" w:rsidRDefault="00944B2A" w:rsidP="00944B2A">
      <w:r w:rsidRPr="0097510C">
        <w:t>The following issues relate to this application:</w:t>
      </w:r>
    </w:p>
    <w:p w:rsidR="00DE6BB6" w:rsidRDefault="00944B2A" w:rsidP="001B2309">
      <w:pPr>
        <w:pStyle w:val="ListBullet"/>
      </w:pPr>
      <w:r w:rsidRPr="0097510C">
        <w:t xml:space="preserve">The proposed shelf life of 36 months when stored below 25 °C in PVC/Al and PVC/PVDC-Al blister </w:t>
      </w:r>
      <w:r w:rsidRPr="00480F9F">
        <w:t>packs is supported</w:t>
      </w:r>
      <w:r w:rsidRPr="0097510C">
        <w:t xml:space="preserve"> by the data for the unopened </w:t>
      </w:r>
      <w:r w:rsidRPr="00900D9E">
        <w:t xml:space="preserve">product. </w:t>
      </w:r>
    </w:p>
    <w:p w:rsidR="00DE6BB6" w:rsidRDefault="00944B2A" w:rsidP="001B2309">
      <w:pPr>
        <w:pStyle w:val="ListBullet"/>
      </w:pPr>
      <w:r w:rsidRPr="00EA0314">
        <w:t xml:space="preserve">The PI is acceptable from a </w:t>
      </w:r>
      <w:r w:rsidR="001B2309">
        <w:t>quality</w:t>
      </w:r>
      <w:r w:rsidRPr="00EA0314">
        <w:t xml:space="preserve"> perspective</w:t>
      </w:r>
      <w:r w:rsidR="00DE6BB6">
        <w:t>.</w:t>
      </w:r>
    </w:p>
    <w:p w:rsidR="00944B2A" w:rsidRPr="00D20850" w:rsidRDefault="00944B2A" w:rsidP="001B2309">
      <w:pPr>
        <w:pStyle w:val="ListBullet"/>
      </w:pPr>
      <w:r w:rsidRPr="00D20850">
        <w:t xml:space="preserve">The </w:t>
      </w:r>
      <w:r w:rsidR="00470B6D">
        <w:t>sponsor</w:t>
      </w:r>
      <w:r w:rsidRPr="00D20850">
        <w:t xml:space="preserve"> has updated the colour mock-up blister and carton labels which are acceptable from a </w:t>
      </w:r>
      <w:r w:rsidR="001B2309">
        <w:t>quality</w:t>
      </w:r>
      <w:r w:rsidRPr="00D20850">
        <w:t xml:space="preserve"> perspective.</w:t>
      </w:r>
    </w:p>
    <w:p w:rsidR="00944B2A" w:rsidRPr="001B2309" w:rsidRDefault="00944B2A" w:rsidP="001B2309">
      <w:pPr>
        <w:pStyle w:val="Comment"/>
        <w:ind w:hanging="566"/>
      </w:pPr>
      <w:r w:rsidRPr="001B2309">
        <w:rPr>
          <w:b/>
        </w:rPr>
        <w:t>Note</w:t>
      </w:r>
      <w:r w:rsidRPr="00D20850">
        <w:t xml:space="preserve">: A statement </w:t>
      </w:r>
      <w:r w:rsidR="00491793">
        <w:t>‘</w:t>
      </w:r>
      <w:r w:rsidRPr="00F416BF">
        <w:rPr>
          <w:i/>
        </w:rPr>
        <w:t>The tablet is not scored and should not be broken. Swallow whole</w:t>
      </w:r>
      <w:r w:rsidR="00491793">
        <w:rPr>
          <w:i/>
        </w:rPr>
        <w:t>’</w:t>
      </w:r>
      <w:r w:rsidRPr="00D20850">
        <w:t xml:space="preserve"> has been added to the revised carton </w:t>
      </w:r>
      <w:r w:rsidRPr="00900D9E">
        <w:t xml:space="preserve">labels for the 60 mg </w:t>
      </w:r>
      <w:proofErr w:type="spellStart"/>
      <w:r w:rsidRPr="00900D9E">
        <w:t>gliclazide</w:t>
      </w:r>
      <w:proofErr w:type="spellEnd"/>
      <w:r w:rsidRPr="00900D9E">
        <w:t xml:space="preserve"> tablets, in response to the clinical question. </w:t>
      </w:r>
      <w:r w:rsidRPr="001B2309">
        <w:t xml:space="preserve">This issue is for the </w:t>
      </w:r>
      <w:r w:rsidR="001B2309" w:rsidRPr="001B2309">
        <w:t>c</w:t>
      </w:r>
      <w:r w:rsidRPr="001B2309">
        <w:t xml:space="preserve">linical </w:t>
      </w:r>
      <w:r w:rsidR="001B2309" w:rsidRPr="001B2309">
        <w:t>e</w:t>
      </w:r>
      <w:r w:rsidR="001B2309">
        <w:t>v</w:t>
      </w:r>
      <w:r w:rsidRPr="001B2309">
        <w:t>aluator to assess (also noting that the 30 mg strength is no longer proposed in this application).</w:t>
      </w:r>
    </w:p>
    <w:p w:rsidR="00DE6BB6" w:rsidRDefault="00944B2A" w:rsidP="001B2309">
      <w:pPr>
        <w:pStyle w:val="ListBullet"/>
      </w:pPr>
      <w:r w:rsidRPr="00D20850">
        <w:t xml:space="preserve">Acceptable </w:t>
      </w:r>
      <w:r w:rsidR="00470B6D">
        <w:t>Good Manufacturing Practice (</w:t>
      </w:r>
      <w:r w:rsidRPr="00D20850">
        <w:t>GMP</w:t>
      </w:r>
      <w:r w:rsidR="00470B6D">
        <w:t>)</w:t>
      </w:r>
      <w:r w:rsidRPr="00D20850">
        <w:t xml:space="preserve"> evidence has been provided for all of the nominated overseas manufacturers listed</w:t>
      </w:r>
      <w:r w:rsidR="00DE6BB6">
        <w:t>.</w:t>
      </w:r>
    </w:p>
    <w:p w:rsidR="00944B2A" w:rsidRPr="00A744BE" w:rsidRDefault="00944B2A" w:rsidP="001B2309">
      <w:pPr>
        <w:pStyle w:val="ListBullet"/>
      </w:pPr>
      <w:r w:rsidRPr="0097510C">
        <w:t xml:space="preserve">The evaluator has checked and made the appropriate changes to the </w:t>
      </w:r>
      <w:r w:rsidR="00470B6D">
        <w:t>Provisional ARTG Record (</w:t>
      </w:r>
      <w:r w:rsidRPr="0097510C">
        <w:t>PARs</w:t>
      </w:r>
      <w:r w:rsidR="00470B6D">
        <w:t>)</w:t>
      </w:r>
      <w:r w:rsidRPr="0097510C">
        <w:t>.</w:t>
      </w:r>
      <w:r>
        <w:t xml:space="preserve"> The sponsor should check and advise the TGA of any error or omission that requires amendment.</w:t>
      </w:r>
    </w:p>
    <w:p w:rsidR="001B2309" w:rsidRPr="00D20850" w:rsidRDefault="00944B2A" w:rsidP="001B2309">
      <w:pPr>
        <w:pStyle w:val="ListBullet"/>
      </w:pPr>
      <w:r w:rsidRPr="00D20850">
        <w:lastRenderedPageBreak/>
        <w:t>The finished product specifications (release and expiry</w:t>
      </w:r>
      <w:r w:rsidRPr="00480F9F">
        <w:t>) are acceptable</w:t>
      </w:r>
      <w:r w:rsidR="001671F4">
        <w:t>.</w:t>
      </w:r>
    </w:p>
    <w:p w:rsidR="00DE6BB6" w:rsidRDefault="00944B2A" w:rsidP="001B2309">
      <w:pPr>
        <w:pStyle w:val="ListBullet"/>
      </w:pPr>
      <w:r w:rsidRPr="00D20850">
        <w:t>The proposed trade names are acceptable from a clinical perspective</w:t>
      </w:r>
      <w:r w:rsidR="00DE6BB6">
        <w:t>.</w:t>
      </w:r>
    </w:p>
    <w:p w:rsidR="00944B2A" w:rsidRPr="00D20850" w:rsidRDefault="00944B2A" w:rsidP="001B2309">
      <w:pPr>
        <w:pStyle w:val="ListBullet"/>
      </w:pPr>
      <w:r w:rsidRPr="00D20850">
        <w:t xml:space="preserve">Summary of </w:t>
      </w:r>
      <w:proofErr w:type="spellStart"/>
      <w:r w:rsidRPr="00D20850">
        <w:t>Biopharmaceutic</w:t>
      </w:r>
      <w:proofErr w:type="spellEnd"/>
      <w:r w:rsidRPr="00D20850">
        <w:t xml:space="preserve"> data and/or justification is provided below:</w:t>
      </w:r>
    </w:p>
    <w:p w:rsidR="00DE6BB6" w:rsidRDefault="00944B2A" w:rsidP="001B2309">
      <w:pPr>
        <w:pStyle w:val="ListBullet2"/>
      </w:pPr>
      <w:r w:rsidRPr="00D20850">
        <w:t xml:space="preserve">The </w:t>
      </w:r>
      <w:r w:rsidR="00470B6D">
        <w:t>sponsor</w:t>
      </w:r>
      <w:r>
        <w:t xml:space="preserve"> has provided justification for not performing </w:t>
      </w:r>
      <w:r w:rsidRPr="00D20850">
        <w:t xml:space="preserve">bioequivalence studies on the unscored tablet 60 mg </w:t>
      </w:r>
      <w:r>
        <w:t>on the basis that</w:t>
      </w:r>
      <w:r w:rsidRPr="00D20850">
        <w:t xml:space="preserve"> bioequivalence </w:t>
      </w:r>
      <w:r>
        <w:t>was</w:t>
      </w:r>
      <w:r w:rsidRPr="00D20850">
        <w:t xml:space="preserve"> previously</w:t>
      </w:r>
      <w:r>
        <w:t xml:space="preserve"> </w:t>
      </w:r>
      <w:r w:rsidRPr="00D20850">
        <w:t>established for the proposed scored 60 mg against the Australian innovator product 60 mg tablet</w:t>
      </w:r>
      <w:r>
        <w:t xml:space="preserve"> (</w:t>
      </w:r>
      <w:proofErr w:type="spellStart"/>
      <w:r>
        <w:t>Diamicron</w:t>
      </w:r>
      <w:proofErr w:type="spellEnd"/>
      <w:r>
        <w:t xml:space="preserve"> MR 60)</w:t>
      </w:r>
      <w:r w:rsidR="00DE6BB6">
        <w:t>.</w:t>
      </w:r>
    </w:p>
    <w:p w:rsidR="00944B2A" w:rsidRPr="00D20850" w:rsidRDefault="00944B2A" w:rsidP="001B2309">
      <w:pPr>
        <w:pStyle w:val="ListBullet2"/>
      </w:pPr>
      <w:r w:rsidRPr="00D20850">
        <w:t xml:space="preserve">As the two tablets are the same formulation, manufactured by the same process and only differ in appearance, this justification relies on the ability to demonstrate that the dissolution profiles between the scored 60 mg tablet and the unscored 60 mg tablets are similar across the pH range. </w:t>
      </w:r>
      <w:r>
        <w:t xml:space="preserve">The information provided supported this justification and therefore the justification is acceptable from a </w:t>
      </w:r>
      <w:r w:rsidR="001B2309">
        <w:t>quality</w:t>
      </w:r>
      <w:r>
        <w:t xml:space="preserve"> perspective</w:t>
      </w:r>
      <w:r w:rsidRPr="00D20850">
        <w:t>.</w:t>
      </w:r>
    </w:p>
    <w:p w:rsidR="008E7846" w:rsidRDefault="008E7846" w:rsidP="008E7846">
      <w:pPr>
        <w:pStyle w:val="Heading2"/>
      </w:pPr>
      <w:bookmarkStart w:id="38" w:name="_Toc196046439"/>
      <w:bookmarkStart w:id="39" w:name="_Toc247691510"/>
      <w:bookmarkStart w:id="40" w:name="_Toc314842494"/>
      <w:bookmarkStart w:id="41" w:name="_Toc456784900"/>
      <w:r>
        <w:t>III. Nonclinical</w:t>
      </w:r>
      <w:bookmarkEnd w:id="38"/>
      <w:r>
        <w:t xml:space="preserve"> findings</w:t>
      </w:r>
      <w:bookmarkEnd w:id="39"/>
      <w:bookmarkEnd w:id="40"/>
      <w:bookmarkEnd w:id="41"/>
    </w:p>
    <w:p w:rsidR="00940A89" w:rsidRDefault="00940A89" w:rsidP="000E6196">
      <w:bookmarkStart w:id="42" w:name="_Toc247691511"/>
      <w:bookmarkStart w:id="43" w:name="_Toc314842495"/>
      <w:r>
        <w:t>There was no requirement for a nonclinical evaluation in a submission of this type.</w:t>
      </w:r>
    </w:p>
    <w:p w:rsidR="008E7846" w:rsidRPr="00254787" w:rsidRDefault="008E7846" w:rsidP="008E7846">
      <w:pPr>
        <w:pStyle w:val="Heading2"/>
      </w:pPr>
      <w:bookmarkStart w:id="44" w:name="_Toc196046462"/>
      <w:bookmarkStart w:id="45" w:name="_Toc247691516"/>
      <w:bookmarkStart w:id="46" w:name="_Toc314842500"/>
      <w:bookmarkStart w:id="47" w:name="_Toc163441353"/>
      <w:bookmarkStart w:id="48" w:name="_Toc163441348"/>
      <w:bookmarkStart w:id="49" w:name="_Toc456784901"/>
      <w:bookmarkEnd w:id="42"/>
      <w:bookmarkEnd w:id="43"/>
      <w:r>
        <w:t xml:space="preserve">IV. </w:t>
      </w:r>
      <w:r w:rsidRPr="00254787">
        <w:t>Clinical</w:t>
      </w:r>
      <w:bookmarkEnd w:id="44"/>
      <w:r>
        <w:t xml:space="preserve"> </w:t>
      </w:r>
      <w:r w:rsidR="003A7F6C">
        <w:t>f</w:t>
      </w:r>
      <w:r>
        <w:t>indings</w:t>
      </w:r>
      <w:bookmarkEnd w:id="45"/>
      <w:bookmarkEnd w:id="46"/>
      <w:bookmarkEnd w:id="49"/>
    </w:p>
    <w:p w:rsidR="00605AD4" w:rsidRPr="00605AD4" w:rsidRDefault="00A0661B" w:rsidP="00A0661B">
      <w:bookmarkStart w:id="50" w:name="_Toc247691524"/>
      <w:bookmarkStart w:id="51" w:name="_Toc314842508"/>
      <w:bookmarkStart w:id="52" w:name="_Toc196046504"/>
      <w:bookmarkStart w:id="53" w:name="_Toc163441390"/>
      <w:bookmarkEnd w:id="47"/>
      <w:bookmarkEnd w:id="48"/>
      <w:r>
        <w:rPr>
          <w:lang w:eastAsia="en-AU"/>
        </w:rPr>
        <w:t>The TGA sought the advice of two independent external clinical experts on the lack of the score</w:t>
      </w:r>
      <w:r w:rsidR="00491793">
        <w:rPr>
          <w:lang w:eastAsia="en-AU"/>
        </w:rPr>
        <w:t xml:space="preserve"> </w:t>
      </w:r>
      <w:r>
        <w:rPr>
          <w:lang w:eastAsia="en-AU"/>
        </w:rPr>
        <w:t xml:space="preserve">line on the proposed generic 60 mg MR tablet see </w:t>
      </w:r>
      <w:r w:rsidRPr="00491793">
        <w:rPr>
          <w:i/>
        </w:rPr>
        <w:t>Overall conclusion and risk/benefit assessment below f</w:t>
      </w:r>
      <w:r w:rsidRPr="00491793">
        <w:rPr>
          <w:i/>
          <w:lang w:eastAsia="en-AU"/>
        </w:rPr>
        <w:t>or details.</w:t>
      </w:r>
    </w:p>
    <w:p w:rsidR="008E7846" w:rsidRPr="00E41208" w:rsidRDefault="008E7846" w:rsidP="00546154">
      <w:pPr>
        <w:pStyle w:val="Heading2"/>
      </w:pPr>
      <w:bookmarkStart w:id="54" w:name="_Toc456784902"/>
      <w:r w:rsidRPr="00E41208">
        <w:t xml:space="preserve">V. Pharmacovigilance </w:t>
      </w:r>
      <w:r>
        <w:t>f</w:t>
      </w:r>
      <w:r w:rsidRPr="00E41208">
        <w:t>indings</w:t>
      </w:r>
      <w:bookmarkEnd w:id="50"/>
      <w:bookmarkEnd w:id="51"/>
      <w:bookmarkEnd w:id="54"/>
    </w:p>
    <w:p w:rsidR="00546154" w:rsidRDefault="00546154" w:rsidP="00546154">
      <w:bookmarkStart w:id="55" w:name="_Toc247691526"/>
      <w:bookmarkStart w:id="56" w:name="_Toc314842509"/>
      <w:r w:rsidRPr="00334434">
        <w:t>The</w:t>
      </w:r>
      <w:r w:rsidR="00341F7B" w:rsidRPr="00334434">
        <w:t>re was no</w:t>
      </w:r>
      <w:r w:rsidRPr="00334434">
        <w:t xml:space="preserve"> Risk Management Plan </w:t>
      </w:r>
      <w:r w:rsidR="00341F7B" w:rsidRPr="00334434">
        <w:t xml:space="preserve">evaluation conducted </w:t>
      </w:r>
      <w:r w:rsidRPr="00334434">
        <w:t>for this application.</w:t>
      </w:r>
    </w:p>
    <w:p w:rsidR="008E7846" w:rsidRPr="00792A32" w:rsidRDefault="008E7846" w:rsidP="008E7846">
      <w:pPr>
        <w:pStyle w:val="Heading2"/>
      </w:pPr>
      <w:bookmarkStart w:id="57" w:name="_Toc247691527"/>
      <w:bookmarkStart w:id="58" w:name="_Toc314842510"/>
      <w:bookmarkStart w:id="59" w:name="_Toc456784903"/>
      <w:bookmarkEnd w:id="55"/>
      <w:bookmarkEnd w:id="56"/>
      <w:r>
        <w:t xml:space="preserve">VI.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52"/>
      <w:bookmarkEnd w:id="57"/>
      <w:bookmarkEnd w:id="58"/>
      <w:bookmarkEnd w:id="59"/>
    </w:p>
    <w:p w:rsidR="008E7846" w:rsidRDefault="008E7846" w:rsidP="008E7846">
      <w:bookmarkStart w:id="60" w:name="_Toc247691528"/>
      <w:r>
        <w:t xml:space="preserve">The submission was summarised in the following </w:t>
      </w:r>
      <w:r w:rsidRPr="00EF5C48">
        <w:t xml:space="preserve">Delegate’s </w:t>
      </w:r>
      <w:r>
        <w:t>overview</w:t>
      </w:r>
      <w:r w:rsidRPr="00EF5C48">
        <w:t xml:space="preserve"> and recommendation</w:t>
      </w:r>
      <w:r>
        <w:t>s:</w:t>
      </w:r>
    </w:p>
    <w:p w:rsidR="00491793" w:rsidRDefault="00491793" w:rsidP="00491793">
      <w:pPr>
        <w:pStyle w:val="Heading3"/>
      </w:pPr>
      <w:bookmarkStart w:id="61" w:name="_Toc456784904"/>
      <w:r>
        <w:t>Introduction</w:t>
      </w:r>
      <w:bookmarkEnd w:id="61"/>
    </w:p>
    <w:p w:rsidR="00D23D66" w:rsidRDefault="00491793" w:rsidP="00491793">
      <w:pPr>
        <w:pStyle w:val="Heading4"/>
        <w:rPr>
          <w:lang w:eastAsia="en-AU"/>
        </w:rPr>
      </w:pPr>
      <w:bookmarkStart w:id="62" w:name="_Toc314842511"/>
      <w:r>
        <w:rPr>
          <w:lang w:eastAsia="en-AU"/>
        </w:rPr>
        <w:t>Key concern</w:t>
      </w:r>
    </w:p>
    <w:p w:rsidR="00B43000" w:rsidRDefault="00491793" w:rsidP="00D23D66">
      <w:pPr>
        <w:pStyle w:val="Heading5"/>
        <w:rPr>
          <w:lang w:eastAsia="en-AU"/>
        </w:rPr>
      </w:pPr>
      <w:r>
        <w:rPr>
          <w:lang w:eastAsia="en-AU"/>
        </w:rPr>
        <w:t>L</w:t>
      </w:r>
      <w:r w:rsidR="00B43000">
        <w:rPr>
          <w:lang w:eastAsia="en-AU"/>
        </w:rPr>
        <w:t xml:space="preserve">ack of a </w:t>
      </w:r>
      <w:r>
        <w:rPr>
          <w:lang w:eastAsia="en-AU"/>
        </w:rPr>
        <w:t>score line</w:t>
      </w:r>
      <w:r w:rsidR="00B43000">
        <w:rPr>
          <w:lang w:eastAsia="en-AU"/>
        </w:rPr>
        <w:t xml:space="preserve"> on the proposed generic tablet</w:t>
      </w:r>
    </w:p>
    <w:p w:rsidR="00DE6BB6" w:rsidRDefault="00B43000" w:rsidP="00491793">
      <w:r>
        <w:t>The reference product (</w:t>
      </w:r>
      <w:proofErr w:type="spellStart"/>
      <w:r>
        <w:t>Diamicron</w:t>
      </w:r>
      <w:proofErr w:type="spellEnd"/>
      <w:r>
        <w:t xml:space="preserve"> 60 mg MR; sponsor: </w:t>
      </w:r>
      <w:proofErr w:type="spellStart"/>
      <w:r>
        <w:t>Servier</w:t>
      </w:r>
      <w:proofErr w:type="spellEnd"/>
      <w:r>
        <w:t xml:space="preserve">) has a deep </w:t>
      </w:r>
      <w:r w:rsidR="00491793">
        <w:t>score line</w:t>
      </w:r>
      <w:r>
        <w:t xml:space="preserve">, allowing the 60 mg tablet to be broken into two (equal) 30 mg halves. In contrast, the proposed generic does not have a </w:t>
      </w:r>
      <w:r w:rsidR="00491793">
        <w:t>score line</w:t>
      </w:r>
      <w:r w:rsidR="00DE6BB6">
        <w:t>.</w:t>
      </w:r>
    </w:p>
    <w:p w:rsidR="00B43000" w:rsidRPr="00491793" w:rsidRDefault="00B43000" w:rsidP="00470B6D">
      <w:pPr>
        <w:pStyle w:val="ListBullet"/>
        <w:numPr>
          <w:ilvl w:val="0"/>
          <w:numId w:val="0"/>
        </w:numPr>
        <w:rPr>
          <w:i/>
        </w:rPr>
      </w:pPr>
      <w:r w:rsidRPr="00334434">
        <w:rPr>
          <w:i/>
        </w:rPr>
        <w:t xml:space="preserve">Lack of a </w:t>
      </w:r>
      <w:r w:rsidR="00491793" w:rsidRPr="00334434">
        <w:rPr>
          <w:i/>
        </w:rPr>
        <w:t>score line</w:t>
      </w:r>
      <w:r w:rsidRPr="00334434">
        <w:rPr>
          <w:i/>
        </w:rPr>
        <w:t xml:space="preserve"> on the proposed generic tablet is because of Australian</w:t>
      </w:r>
      <w:r w:rsidR="00491793" w:rsidRPr="00334434">
        <w:rPr>
          <w:i/>
        </w:rPr>
        <w:t xml:space="preserve"> </w:t>
      </w:r>
      <w:r w:rsidRPr="00334434">
        <w:rPr>
          <w:i/>
        </w:rPr>
        <w:t>specific patent issues</w:t>
      </w:r>
      <w:r w:rsidR="00470B6D">
        <w:rPr>
          <w:i/>
        </w:rPr>
        <w:t>.</w:t>
      </w:r>
    </w:p>
    <w:p w:rsidR="00DE6BB6" w:rsidRDefault="00B43000" w:rsidP="00491793">
      <w:r>
        <w:t xml:space="preserve">The sponsor (Generic Partners) of the proposed generic 60 mg MR tablet has informed the TGA that they have not submitted a tablet with a </w:t>
      </w:r>
      <w:r w:rsidR="00491793">
        <w:t>score line</w:t>
      </w:r>
      <w:r>
        <w:t xml:space="preserve"> because patent issues have emerged with the </w:t>
      </w:r>
      <w:r w:rsidR="00491793">
        <w:t>score line</w:t>
      </w:r>
      <w:r>
        <w:t xml:space="preserve"> in Australia</w:t>
      </w:r>
      <w:r w:rsidR="00DE6BB6">
        <w:t>.</w:t>
      </w:r>
    </w:p>
    <w:p w:rsidR="00B43000" w:rsidRDefault="00B43000" w:rsidP="00491793">
      <w:r>
        <w:lastRenderedPageBreak/>
        <w:t xml:space="preserve">In a previous submission in Australia in 2013 (which was rejected because of pharmaceutical chemistry problems, see </w:t>
      </w:r>
      <w:r w:rsidR="00D23D66">
        <w:t>below</w:t>
      </w:r>
      <w:r>
        <w:t xml:space="preserve">) the (then) proposed Australian generic 60 mg MR tablet, from this particular sponsor, had a </w:t>
      </w:r>
      <w:r w:rsidR="00491793">
        <w:t>score line</w:t>
      </w:r>
      <w:r>
        <w:t>.</w:t>
      </w:r>
    </w:p>
    <w:p w:rsidR="00DE6BB6" w:rsidRDefault="00B43000" w:rsidP="00491793">
      <w:r>
        <w:t xml:space="preserve">The sponsor’s generic 60 mg MR tablet has a </w:t>
      </w:r>
      <w:r w:rsidR="00491793">
        <w:t>score line</w:t>
      </w:r>
      <w:r>
        <w:t xml:space="preserve"> in various EU countries and Canada</w:t>
      </w:r>
      <w:r w:rsidR="00DE6BB6">
        <w:t>.</w:t>
      </w:r>
    </w:p>
    <w:p w:rsidR="00B43000" w:rsidRPr="00491793" w:rsidRDefault="00491793" w:rsidP="00333B2C">
      <w:pPr>
        <w:pStyle w:val="ListBullet"/>
        <w:numPr>
          <w:ilvl w:val="0"/>
          <w:numId w:val="0"/>
        </w:numPr>
        <w:rPr>
          <w:i/>
        </w:rPr>
      </w:pPr>
      <w:r w:rsidRPr="00491793">
        <w:rPr>
          <w:i/>
        </w:rPr>
        <w:t>Score line</w:t>
      </w:r>
      <w:r w:rsidR="00B43000" w:rsidRPr="00491793">
        <w:rPr>
          <w:i/>
        </w:rPr>
        <w:t xml:space="preserve"> for the reference product (</w:t>
      </w:r>
      <w:proofErr w:type="spellStart"/>
      <w:r w:rsidR="00B43000" w:rsidRPr="00491793">
        <w:rPr>
          <w:i/>
        </w:rPr>
        <w:t>Diamicron</w:t>
      </w:r>
      <w:proofErr w:type="spellEnd"/>
      <w:r w:rsidR="00B43000" w:rsidRPr="00491793">
        <w:rPr>
          <w:i/>
        </w:rPr>
        <w:t xml:space="preserve">) is based on more evidence than the usual </w:t>
      </w:r>
      <w:r w:rsidRPr="00491793">
        <w:rPr>
          <w:i/>
        </w:rPr>
        <w:t>score line</w:t>
      </w:r>
    </w:p>
    <w:p w:rsidR="00B43000" w:rsidRDefault="00B43000" w:rsidP="00491793">
      <w:r>
        <w:t xml:space="preserve">Setting aside the issue of generics with or without </w:t>
      </w:r>
      <w:r w:rsidR="00491793">
        <w:t>score line</w:t>
      </w:r>
      <w:r>
        <w:t xml:space="preserve">s for a moment; to claim a functional </w:t>
      </w:r>
      <w:r w:rsidR="00491793">
        <w:t>score line</w:t>
      </w:r>
      <w:r>
        <w:t xml:space="preserve">, originator/reference products usually comply with the content and mass uniformity requirements of the </w:t>
      </w:r>
      <w:r w:rsidR="00333B2C">
        <w:t>EP</w:t>
      </w:r>
      <w:r>
        <w:t xml:space="preserve"> or the FDA’s </w:t>
      </w:r>
      <w:r w:rsidR="005E1824">
        <w:t>‘</w:t>
      </w:r>
      <w:r>
        <w:t>Guidance for Industry: Tablet Scoring</w:t>
      </w:r>
      <w:r w:rsidR="005E1824">
        <w:t>’</w:t>
      </w:r>
      <w:r>
        <w:t xml:space="preserve"> (2013).</w:t>
      </w:r>
    </w:p>
    <w:p w:rsidR="00B43000" w:rsidRDefault="00B43000" w:rsidP="00491793">
      <w:r>
        <w:t xml:space="preserve">However, the sponsor of </w:t>
      </w:r>
      <w:proofErr w:type="spellStart"/>
      <w:r>
        <w:t>Diamicron</w:t>
      </w:r>
      <w:proofErr w:type="spellEnd"/>
      <w:r>
        <w:t xml:space="preserve"> (the reference product) was required to do more than just show that there is no loss of mass on breaking the tablet. More, specifically, the sponsor of </w:t>
      </w:r>
      <w:proofErr w:type="spellStart"/>
      <w:r>
        <w:t>Diamicron</w:t>
      </w:r>
      <w:proofErr w:type="spellEnd"/>
      <w:r>
        <w:t xml:space="preserve"> had to establish via pharmacokinetic studies that the two halves of the 60 mg MR scored tablet were bioequivalent to the whole 60 mg MR tablet. This is reflected in the PI</w:t>
      </w:r>
      <w:r w:rsidR="00333B2C">
        <w:t>:</w:t>
      </w:r>
    </w:p>
    <w:p w:rsidR="00333B2C" w:rsidRPr="00333B2C" w:rsidRDefault="00333B2C" w:rsidP="00333B2C">
      <w:pPr>
        <w:ind w:left="720"/>
        <w:rPr>
          <w:i/>
        </w:rPr>
      </w:pPr>
      <w:r w:rsidRPr="00333B2C">
        <w:rPr>
          <w:i/>
        </w:rPr>
        <w:t>Pharmacokinetics</w:t>
      </w:r>
    </w:p>
    <w:p w:rsidR="00333B2C" w:rsidRPr="00333B2C" w:rsidRDefault="00333B2C" w:rsidP="00333B2C">
      <w:pPr>
        <w:ind w:left="720"/>
        <w:rPr>
          <w:i/>
        </w:rPr>
      </w:pPr>
      <w:r w:rsidRPr="00333B2C">
        <w:rPr>
          <w:i/>
        </w:rPr>
        <w:t xml:space="preserve">Pharmacokinetic studies have demonstrated bioequivalence between a </w:t>
      </w:r>
      <w:proofErr w:type="spellStart"/>
      <w:r w:rsidRPr="00333B2C">
        <w:rPr>
          <w:i/>
        </w:rPr>
        <w:t>Diamicron</w:t>
      </w:r>
      <w:proofErr w:type="spellEnd"/>
      <w:r w:rsidRPr="00333B2C">
        <w:rPr>
          <w:i/>
        </w:rPr>
        <w:t xml:space="preserve"> 60</w:t>
      </w:r>
      <w:r w:rsidR="00334434">
        <w:rPr>
          <w:i/>
        </w:rPr>
        <w:t xml:space="preserve"> </w:t>
      </w:r>
      <w:r w:rsidRPr="00333B2C">
        <w:rPr>
          <w:i/>
        </w:rPr>
        <w:t xml:space="preserve">mg MR tablet and two halves (each half containing 30 mg </w:t>
      </w:r>
      <w:proofErr w:type="spellStart"/>
      <w:r w:rsidRPr="00333B2C">
        <w:rPr>
          <w:i/>
        </w:rPr>
        <w:t>gliclazide</w:t>
      </w:r>
      <w:proofErr w:type="spellEnd"/>
      <w:r w:rsidRPr="00333B2C">
        <w:rPr>
          <w:i/>
        </w:rPr>
        <w:t xml:space="preserve">) of one </w:t>
      </w:r>
      <w:proofErr w:type="spellStart"/>
      <w:r w:rsidRPr="00333B2C">
        <w:rPr>
          <w:i/>
        </w:rPr>
        <w:t>Diamicron</w:t>
      </w:r>
      <w:proofErr w:type="spellEnd"/>
      <w:r w:rsidRPr="00333B2C">
        <w:rPr>
          <w:i/>
        </w:rPr>
        <w:t xml:space="preserve"> 60</w:t>
      </w:r>
      <w:r w:rsidR="00334434">
        <w:rPr>
          <w:i/>
        </w:rPr>
        <w:t xml:space="preserve"> </w:t>
      </w:r>
      <w:r w:rsidRPr="00333B2C">
        <w:rPr>
          <w:i/>
        </w:rPr>
        <w:t>mg MR tablet.</w:t>
      </w:r>
    </w:p>
    <w:p w:rsidR="00333B2C" w:rsidRPr="00630073" w:rsidRDefault="00333B2C" w:rsidP="00333B2C">
      <w:pPr>
        <w:pStyle w:val="Heading6"/>
      </w:pPr>
      <w:r w:rsidRPr="00630073">
        <w:t>Score</w:t>
      </w:r>
      <w:r w:rsidR="00341F7B">
        <w:t xml:space="preserve"> </w:t>
      </w:r>
      <w:r w:rsidRPr="00630073">
        <w:t>line is an integral part of the way the reference product is used in Australia</w:t>
      </w:r>
    </w:p>
    <w:p w:rsidR="00DE6BB6" w:rsidRDefault="00333B2C" w:rsidP="00333B2C">
      <w:r w:rsidRPr="00AC2E83">
        <w:t>The TGA has been informed that</w:t>
      </w:r>
      <w:r>
        <w:t xml:space="preserve">, in Australia, </w:t>
      </w:r>
      <w:r w:rsidRPr="00AC2E83">
        <w:t xml:space="preserve">the </w:t>
      </w:r>
      <w:r>
        <w:t>30 mg tablet is infrequently dispensed by pharmacists</w:t>
      </w:r>
      <w:r w:rsidRPr="00AC2E83">
        <w:t>.</w:t>
      </w:r>
      <w:r>
        <w:t xml:space="preserve"> </w:t>
      </w:r>
      <w:r w:rsidRPr="00AC2E83">
        <w:t xml:space="preserve">That is, the current practice </w:t>
      </w:r>
      <w:r>
        <w:t>i</w:t>
      </w:r>
      <w:r w:rsidRPr="00AC2E83">
        <w:t xml:space="preserve">s for pharmacists to typically dispense </w:t>
      </w:r>
      <w:r>
        <w:t xml:space="preserve">only </w:t>
      </w:r>
      <w:r w:rsidRPr="00AC2E83">
        <w:t>the 60 mg tablet</w:t>
      </w:r>
      <w:r w:rsidR="00DE6BB6">
        <w:t>.</w:t>
      </w:r>
    </w:p>
    <w:p w:rsidR="00333B2C" w:rsidRDefault="00333B2C" w:rsidP="00333B2C">
      <w:r>
        <w:t xml:space="preserve">When patients start on </w:t>
      </w:r>
      <w:proofErr w:type="spellStart"/>
      <w:r>
        <w:t>gliclazide</w:t>
      </w:r>
      <w:proofErr w:type="spellEnd"/>
      <w:r>
        <w:t>, they are up-titrated from 30 mg to 60 mg, then 90 mg and 120 mg (the maximum recommended dose). This up-titration is conveniently done by breaking the 60 mg tablet; otherwise the patient would need 2 lots of tablets: 30 mg and 60 mg (each step is typically for 2 weeks).  Also, although the 120 mg dose is the most common final dose, a 90 mg final dose is not that uncommon. Further, some patients may need to be back-titrated from 120 mg to 90 mg, say.</w:t>
      </w:r>
    </w:p>
    <w:p w:rsidR="00333B2C" w:rsidRDefault="00333B2C" w:rsidP="00333B2C">
      <w:r>
        <w:t>In short, for the reference product (</w:t>
      </w:r>
      <w:proofErr w:type="spellStart"/>
      <w:r>
        <w:t>Diamicron</w:t>
      </w:r>
      <w:proofErr w:type="spellEnd"/>
      <w:r>
        <w:t xml:space="preserve">), </w:t>
      </w:r>
      <w:r w:rsidRPr="00AC2E83">
        <w:t xml:space="preserve">even when the medical practitioner has prescribed a 30 mg </w:t>
      </w:r>
      <w:r>
        <w:t xml:space="preserve">or 90 mg </w:t>
      </w:r>
      <w:r w:rsidRPr="00AC2E83">
        <w:t>d</w:t>
      </w:r>
      <w:r>
        <w:t xml:space="preserve">ose, the TGA has been told that current practice is for the pharmacist to dispense the 60 mg tablet; </w:t>
      </w:r>
      <w:r w:rsidRPr="00AC2E83">
        <w:t xml:space="preserve">the patient </w:t>
      </w:r>
      <w:r>
        <w:t xml:space="preserve">is instructed </w:t>
      </w:r>
      <w:r w:rsidRPr="00AC2E83">
        <w:t>to divide the scored 60 mg tablet into two 30 mg halves.</w:t>
      </w:r>
    </w:p>
    <w:p w:rsidR="00333B2C" w:rsidRDefault="00333B2C" w:rsidP="00333B2C">
      <w:r>
        <w:t>In keeping with this, the Australian approved PI for the reference product (</w:t>
      </w:r>
      <w:proofErr w:type="spellStart"/>
      <w:r>
        <w:t>Diamicron</w:t>
      </w:r>
      <w:proofErr w:type="spellEnd"/>
      <w:r>
        <w:t xml:space="preserve"> 60 mg MR) includes the following information.</w:t>
      </w:r>
    </w:p>
    <w:p w:rsidR="00333B2C" w:rsidRPr="00333B2C" w:rsidRDefault="00333B2C" w:rsidP="00333B2C">
      <w:pPr>
        <w:ind w:left="720"/>
        <w:rPr>
          <w:i/>
        </w:rPr>
      </w:pPr>
      <w:r w:rsidRPr="00333B2C">
        <w:rPr>
          <w:i/>
        </w:rPr>
        <w:t>Dosage and administration</w:t>
      </w:r>
    </w:p>
    <w:p w:rsidR="00DE6BB6" w:rsidRDefault="00333B2C" w:rsidP="00333B2C">
      <w:pPr>
        <w:ind w:left="720"/>
        <w:rPr>
          <w:i/>
        </w:rPr>
      </w:pPr>
      <w:r w:rsidRPr="00333B2C">
        <w:rPr>
          <w:i/>
        </w:rPr>
        <w:t>For adult use only</w:t>
      </w:r>
    </w:p>
    <w:p w:rsidR="00DE6BB6" w:rsidRDefault="00333B2C" w:rsidP="00333B2C">
      <w:pPr>
        <w:ind w:left="720"/>
        <w:rPr>
          <w:i/>
        </w:rPr>
      </w:pPr>
      <w:proofErr w:type="spellStart"/>
      <w:r w:rsidRPr="00333B2C">
        <w:rPr>
          <w:i/>
          <w:iCs/>
        </w:rPr>
        <w:t>Diamicron</w:t>
      </w:r>
      <w:proofErr w:type="spellEnd"/>
      <w:r w:rsidRPr="00333B2C">
        <w:rPr>
          <w:i/>
          <w:iCs/>
        </w:rPr>
        <w:t xml:space="preserve"> 60</w:t>
      </w:r>
      <w:r w:rsidR="00334434">
        <w:rPr>
          <w:i/>
          <w:iCs/>
        </w:rPr>
        <w:t xml:space="preserve"> </w:t>
      </w:r>
      <w:r w:rsidRPr="00333B2C">
        <w:rPr>
          <w:i/>
          <w:iCs/>
        </w:rPr>
        <w:t xml:space="preserve">mg MR </w:t>
      </w:r>
      <w:r w:rsidRPr="00333B2C">
        <w:rPr>
          <w:i/>
        </w:rPr>
        <w:t>tablets have a break bar and may be administered as whole or as half tablets (see Pharmacokinetics)</w:t>
      </w:r>
      <w:r w:rsidR="00DE6BB6">
        <w:rPr>
          <w:i/>
        </w:rPr>
        <w:t>.</w:t>
      </w:r>
    </w:p>
    <w:p w:rsidR="00333B2C" w:rsidRPr="00333B2C" w:rsidRDefault="00333B2C" w:rsidP="00333B2C">
      <w:pPr>
        <w:ind w:left="720"/>
        <w:rPr>
          <w:i/>
        </w:rPr>
      </w:pPr>
      <w:r w:rsidRPr="00333B2C">
        <w:rPr>
          <w:i/>
        </w:rPr>
        <w:t>So that the modified release properties of the product can be maintained, tablets should not be chewed or crushed.</w:t>
      </w:r>
    </w:p>
    <w:p w:rsidR="00DE6BB6" w:rsidRDefault="00333B2C" w:rsidP="00333B2C">
      <w:pPr>
        <w:ind w:left="720"/>
        <w:rPr>
          <w:i/>
        </w:rPr>
      </w:pPr>
      <w:r w:rsidRPr="00333B2C">
        <w:rPr>
          <w:i/>
        </w:rPr>
        <w:t>A single daily dose provides an effective blood glucose control. The daily dose may vary from half a tablet to two tablets per day i.e. 30 mg to 120 mg taken orally. The initial recommended dose is half a tablet (30 mg), even in elderly patients (≥ 65 years)</w:t>
      </w:r>
      <w:r w:rsidR="00DE6BB6">
        <w:rPr>
          <w:i/>
        </w:rPr>
        <w:t>.</w:t>
      </w:r>
    </w:p>
    <w:p w:rsidR="00DE6BB6" w:rsidRDefault="00333B2C" w:rsidP="00333B2C">
      <w:pPr>
        <w:ind w:left="720"/>
        <w:rPr>
          <w:i/>
        </w:rPr>
      </w:pPr>
      <w:r w:rsidRPr="00333B2C">
        <w:rPr>
          <w:i/>
        </w:rPr>
        <w:lastRenderedPageBreak/>
        <w:t>As with all hypoglycaemic agents, the dose should be titrated according to the individual patient's response. Titration should be carried out in steps of 30 mg, according to the fasting blood glucose response. Each step should last for at least two weeks. A single daily dose provides an effective blood glucose control. The single daily dose may be between half a tablet and two tablets (30 mg and 120 mg). The daily dose should not exceed two tablets (120 mg)</w:t>
      </w:r>
      <w:r w:rsidR="00DE6BB6">
        <w:rPr>
          <w:i/>
        </w:rPr>
        <w:t>.</w:t>
      </w:r>
    </w:p>
    <w:p w:rsidR="00333B2C" w:rsidRPr="00333B2C" w:rsidRDefault="00333B2C" w:rsidP="00333B2C">
      <w:pPr>
        <w:ind w:left="720"/>
        <w:rPr>
          <w:i/>
        </w:rPr>
      </w:pPr>
      <w:r w:rsidRPr="00333B2C">
        <w:rPr>
          <w:i/>
        </w:rPr>
        <w:t xml:space="preserve">Previously untreated patients should commence with half a tablet of </w:t>
      </w:r>
      <w:proofErr w:type="spellStart"/>
      <w:r w:rsidRPr="00333B2C">
        <w:rPr>
          <w:i/>
          <w:iCs/>
        </w:rPr>
        <w:t>Diamicron</w:t>
      </w:r>
      <w:proofErr w:type="spellEnd"/>
      <w:r w:rsidRPr="00333B2C">
        <w:rPr>
          <w:i/>
          <w:iCs/>
        </w:rPr>
        <w:t xml:space="preserve"> 60mg MR </w:t>
      </w:r>
      <w:r w:rsidRPr="00333B2C">
        <w:rPr>
          <w:i/>
        </w:rPr>
        <w:t>(30 mg) dose and will benefit from dose titration until the appropriate dose is reached.</w:t>
      </w:r>
    </w:p>
    <w:p w:rsidR="00333B2C" w:rsidRDefault="00333B2C" w:rsidP="00333B2C">
      <w:pPr>
        <w:pStyle w:val="Heading6"/>
      </w:pPr>
      <w:r>
        <w:t>Data on Australian prescribing practices</w:t>
      </w:r>
    </w:p>
    <w:p w:rsidR="00333B2C" w:rsidRDefault="00333B2C" w:rsidP="00333B2C">
      <w:r>
        <w:t>The most recent data are from Pharmaceutical Benefits Branch (PBS), Commonwealth Department of Health. Australian Statistics in Medicines 2014, accessed December 2015</w:t>
      </w:r>
      <w:r w:rsidR="00746A09">
        <w:t xml:space="preserve"> </w:t>
      </w:r>
      <w:r w:rsidR="00746A09">
        <w:br/>
        <w:t>&lt;</w:t>
      </w:r>
      <w:hyperlink r:id="rId15" w:history="1">
        <w:r w:rsidR="00746A09" w:rsidRPr="00746A09">
          <w:rPr>
            <w:rStyle w:val="Hyperlink"/>
          </w:rPr>
          <w:t>https://www.pbs.gov.au/info/browse/statistics</w:t>
        </w:r>
      </w:hyperlink>
      <w:r w:rsidR="00746A09">
        <w:t>&gt;</w:t>
      </w:r>
    </w:p>
    <w:p w:rsidR="00333B2C" w:rsidRPr="00333B2C" w:rsidRDefault="00333B2C" w:rsidP="00333B2C">
      <w:r>
        <w:t xml:space="preserve">The following data are for the total </w:t>
      </w:r>
      <w:r w:rsidRPr="00333B2C">
        <w:t>of PBS scripts, Repatriation Pharmaceutical Benefits Scheme (RPBS)</w:t>
      </w:r>
      <w:r>
        <w:rPr>
          <w:rStyle w:val="FootnoteReference"/>
        </w:rPr>
        <w:footnoteReference w:id="3"/>
      </w:r>
      <w:r w:rsidRPr="00333B2C">
        <w:t xml:space="preserve"> scripts and under-co-payments scripts.</w:t>
      </w:r>
    </w:p>
    <w:p w:rsidR="00333B2C" w:rsidRDefault="00333B2C" w:rsidP="00D23D66">
      <w:pPr>
        <w:pStyle w:val="ListBullet"/>
      </w:pPr>
      <w:proofErr w:type="spellStart"/>
      <w:r>
        <w:t>Gliclazide</w:t>
      </w:r>
      <w:proofErr w:type="spellEnd"/>
      <w:r>
        <w:t xml:space="preserve"> 60 mg MR (scored): 1,468,282 scripts</w:t>
      </w:r>
    </w:p>
    <w:p w:rsidR="00333B2C" w:rsidRDefault="00333B2C" w:rsidP="00D23D66">
      <w:pPr>
        <w:pStyle w:val="ListBullet"/>
      </w:pPr>
      <w:proofErr w:type="spellStart"/>
      <w:r>
        <w:t>Gliclazide</w:t>
      </w:r>
      <w:proofErr w:type="spellEnd"/>
      <w:r>
        <w:t xml:space="preserve"> 30 mg MR:    235,817 scripts</w:t>
      </w:r>
    </w:p>
    <w:p w:rsidR="00333B2C" w:rsidRDefault="00333B2C" w:rsidP="00333B2C">
      <w:r>
        <w:t xml:space="preserve">Based on these data, the 60 mg MR tablet represents 86% scripts written for MR </w:t>
      </w:r>
      <w:proofErr w:type="spellStart"/>
      <w:proofErr w:type="gramStart"/>
      <w:r>
        <w:t>gliclazide</w:t>
      </w:r>
      <w:proofErr w:type="spellEnd"/>
      <w:proofErr w:type="gramEnd"/>
      <w:r>
        <w:t>. This supports the view that the most common practice is for pharmacists to dispense the 60 mg MR tablet and for patients to use the deep score line to halve the 60 mg tablet should they require a 30 mg or 90 mg dose.</w:t>
      </w:r>
    </w:p>
    <w:p w:rsidR="00333B2C" w:rsidRDefault="00333B2C" w:rsidP="00333B2C">
      <w:r>
        <w:t>Of course, all doses can be obtained from the 30 mg MR tablets. The TGA’s preferred approach is for the sponsor to register and market their generic 30 mg MR until such time as the patent on the score line expires in Australia. This is what happened in Canada.</w:t>
      </w:r>
    </w:p>
    <w:p w:rsidR="00333B2C" w:rsidRPr="009C4E6E" w:rsidRDefault="00333B2C" w:rsidP="00D23D66">
      <w:pPr>
        <w:pStyle w:val="Heading5"/>
        <w:rPr>
          <w:lang w:eastAsia="en-AU"/>
        </w:rPr>
      </w:pPr>
      <w:r>
        <w:rPr>
          <w:lang w:eastAsia="en-AU"/>
        </w:rPr>
        <w:t>Overseas regulatory status</w:t>
      </w:r>
    </w:p>
    <w:p w:rsidR="00333B2C" w:rsidRPr="000367E6" w:rsidRDefault="00333B2C" w:rsidP="00333B2C">
      <w:pPr>
        <w:rPr>
          <w:lang w:eastAsia="en-AU"/>
        </w:rPr>
      </w:pPr>
      <w:r>
        <w:rPr>
          <w:lang w:eastAsia="en-AU"/>
        </w:rPr>
        <w:t>The sponsor’s/manufacturer’s proposed unscored 60 mg tablet is not currently registered in any comparable country. Scored versions are registered in various EU countries and Canada; see below.</w:t>
      </w:r>
    </w:p>
    <w:p w:rsidR="00333B2C" w:rsidRPr="005526B9" w:rsidRDefault="00333B2C" w:rsidP="00333B2C">
      <w:pPr>
        <w:pStyle w:val="Heading6"/>
        <w:rPr>
          <w:lang w:eastAsia="en-AU"/>
        </w:rPr>
      </w:pPr>
      <w:r w:rsidRPr="005526B9">
        <w:rPr>
          <w:lang w:eastAsia="en-AU"/>
        </w:rPr>
        <w:t>EU</w:t>
      </w:r>
    </w:p>
    <w:p w:rsidR="00333B2C" w:rsidRDefault="00333B2C" w:rsidP="00333B2C">
      <w:r>
        <w:t>A (scored) 60 mg MR tablet was registered in various EU countries in 2014 (</w:t>
      </w:r>
      <w:r w:rsidR="00D25EDA">
        <w:t>reference member state (</w:t>
      </w:r>
      <w:r>
        <w:t>RMS</w:t>
      </w:r>
      <w:r w:rsidR="00D25EDA">
        <w:t>)</w:t>
      </w:r>
      <w:r>
        <w:t xml:space="preserve">: Denmark; </w:t>
      </w:r>
      <w:r w:rsidR="00D25EDA">
        <w:t>concerned member states (</w:t>
      </w:r>
      <w:r>
        <w:t>CMS</w:t>
      </w:r>
      <w:r w:rsidR="00D25EDA">
        <w:t>)</w:t>
      </w:r>
      <w:r>
        <w:t>: Austria, Belgium, Bulgaria, Estonia, France, Lithuania, Portugal, Slovenia, Slovakia and Hungary).</w:t>
      </w:r>
    </w:p>
    <w:p w:rsidR="00333B2C" w:rsidRDefault="00333B2C" w:rsidP="00333B2C">
      <w:pPr>
        <w:pStyle w:val="Heading6"/>
      </w:pPr>
      <w:r>
        <w:t>Canada</w:t>
      </w:r>
    </w:p>
    <w:p w:rsidR="00333B2C" w:rsidRDefault="00333B2C" w:rsidP="00333B2C">
      <w:r w:rsidRPr="005526B9">
        <w:t>B</w:t>
      </w:r>
      <w:r>
        <w:t>oth 30 mg and 60 mg (scored) MR tablets were approved in Canada in 2014 but only 30 mg MR tablet was initially marketed because of patent issues with score line for the 60 mg MR tablet. These appear to have resolved/expired and the (scored) 60 mg MR strength has been subsequently marketed in Canada.</w:t>
      </w:r>
    </w:p>
    <w:p w:rsidR="00333B2C" w:rsidRPr="00A34D5D" w:rsidRDefault="00333B2C" w:rsidP="00333B2C">
      <w:pPr>
        <w:pStyle w:val="Heading6"/>
      </w:pPr>
      <w:r w:rsidRPr="00A34D5D">
        <w:lastRenderedPageBreak/>
        <w:t>Generics without score</w:t>
      </w:r>
      <w:r>
        <w:t xml:space="preserve"> </w:t>
      </w:r>
      <w:r w:rsidRPr="00A34D5D">
        <w:t>lines in Australia</w:t>
      </w:r>
    </w:p>
    <w:p w:rsidR="00DE6BB6" w:rsidRDefault="00333B2C" w:rsidP="00207B99">
      <w:r>
        <w:t xml:space="preserve">The sponsor has provided a list of generics without score lines in Australia (where the reference product has a score line): </w:t>
      </w:r>
      <w:proofErr w:type="spellStart"/>
      <w:r>
        <w:t>lisinopril</w:t>
      </w:r>
      <w:proofErr w:type="spellEnd"/>
      <w:r>
        <w:t xml:space="preserve">, </w:t>
      </w:r>
      <w:proofErr w:type="spellStart"/>
      <w:r>
        <w:t>enalapril</w:t>
      </w:r>
      <w:proofErr w:type="spellEnd"/>
      <w:r>
        <w:t>, amlodipine, risperidone, metformin (immediate-release)</w:t>
      </w:r>
      <w:r w:rsidR="00DE6BB6">
        <w:t>.</w:t>
      </w:r>
    </w:p>
    <w:p w:rsidR="00333B2C" w:rsidRPr="00A34D5D" w:rsidRDefault="00333B2C" w:rsidP="00207B99">
      <w:pPr>
        <w:pStyle w:val="Heading6"/>
      </w:pPr>
      <w:r w:rsidRPr="00A34D5D">
        <w:t>Generics without score</w:t>
      </w:r>
      <w:r w:rsidR="001671F4">
        <w:t xml:space="preserve"> </w:t>
      </w:r>
      <w:r w:rsidRPr="00A34D5D">
        <w:t>lines in comparable overseas jurisdictions</w:t>
      </w:r>
    </w:p>
    <w:p w:rsidR="00333B2C" w:rsidRDefault="00333B2C" w:rsidP="00333B2C">
      <w:r w:rsidRPr="00253496">
        <w:t>In the US, if the reference product has a score</w:t>
      </w:r>
      <w:r>
        <w:t xml:space="preserve"> </w:t>
      </w:r>
      <w:r w:rsidRPr="00253496">
        <w:t>line, then the generic product must have a score</w:t>
      </w:r>
      <w:r>
        <w:t xml:space="preserve"> </w:t>
      </w:r>
      <w:r w:rsidRPr="00253496">
        <w:t xml:space="preserve">line </w:t>
      </w:r>
      <w:r>
        <w:t>to allow</w:t>
      </w:r>
      <w:r w:rsidRPr="00253496">
        <w:t xml:space="preserve"> the patient to </w:t>
      </w:r>
      <w:r>
        <w:t>‘</w:t>
      </w:r>
      <w:r w:rsidRPr="00334434">
        <w:rPr>
          <w:i/>
        </w:rPr>
        <w:t>switch between manufacturers of the same product without encountering problems related to the dose’</w:t>
      </w:r>
      <w:r w:rsidRPr="00253496">
        <w:t>.</w:t>
      </w:r>
      <w:r>
        <w:rPr>
          <w:rStyle w:val="FootnoteReference"/>
        </w:rPr>
        <w:footnoteReference w:id="4"/>
      </w:r>
    </w:p>
    <w:p w:rsidR="00333B2C" w:rsidRDefault="00333B2C" w:rsidP="00333B2C">
      <w:r>
        <w:t>Canada is similar to US.</w:t>
      </w:r>
    </w:p>
    <w:p w:rsidR="00DE6BB6" w:rsidRDefault="00333B2C" w:rsidP="00333B2C">
      <w:r>
        <w:t>Some EU countries allow generics not to have score lines</w:t>
      </w:r>
      <w:r w:rsidR="00DE6BB6">
        <w:t>.</w:t>
      </w:r>
    </w:p>
    <w:p w:rsidR="00333B2C" w:rsidRDefault="00333B2C" w:rsidP="00333B2C">
      <w:r>
        <w:t xml:space="preserve">As outlined above, in EU countries, the sponsor’s 60 mg MR </w:t>
      </w:r>
      <w:proofErr w:type="spellStart"/>
      <w:proofErr w:type="gramStart"/>
      <w:r>
        <w:t>gliclazide</w:t>
      </w:r>
      <w:proofErr w:type="spellEnd"/>
      <w:proofErr w:type="gramEnd"/>
      <w:r>
        <w:t xml:space="preserve"> tablet does have a score</w:t>
      </w:r>
      <w:r w:rsidR="00AC526E">
        <w:t xml:space="preserve"> </w:t>
      </w:r>
      <w:r>
        <w:t>line.</w:t>
      </w:r>
    </w:p>
    <w:p w:rsidR="00333B2C" w:rsidRDefault="00AC526E" w:rsidP="00AC526E">
      <w:pPr>
        <w:pStyle w:val="Heading6"/>
        <w:rPr>
          <w:lang w:eastAsia="en-AU"/>
        </w:rPr>
      </w:pPr>
      <w:r>
        <w:rPr>
          <w:lang w:eastAsia="en-AU"/>
        </w:rPr>
        <w:t>G</w:t>
      </w:r>
      <w:r w:rsidR="00333B2C" w:rsidRPr="00FE4576">
        <w:rPr>
          <w:lang w:eastAsia="en-AU"/>
        </w:rPr>
        <w:t>eneric 60 mg modified-release tablets available in UK (registered by MHRA)</w:t>
      </w:r>
    </w:p>
    <w:p w:rsidR="00DE6BB6" w:rsidRDefault="00333B2C" w:rsidP="00AC526E">
      <w:r>
        <w:t xml:space="preserve">In the UK there is a 60 mg MR </w:t>
      </w:r>
      <w:proofErr w:type="spellStart"/>
      <w:r>
        <w:t>gliclazide</w:t>
      </w:r>
      <w:proofErr w:type="spellEnd"/>
      <w:r>
        <w:t xml:space="preserve"> generic without a score</w:t>
      </w:r>
      <w:r w:rsidR="00AC526E">
        <w:t xml:space="preserve"> </w:t>
      </w:r>
      <w:r>
        <w:t>line (</w:t>
      </w:r>
      <w:proofErr w:type="spellStart"/>
      <w:r w:rsidRPr="00051B40">
        <w:t>Laaglyda</w:t>
      </w:r>
      <w:proofErr w:type="spellEnd"/>
      <w:r w:rsidRPr="00051B40">
        <w:t xml:space="preserve"> MR 60 mg</w:t>
      </w:r>
      <w:r>
        <w:t>; alternative trade</w:t>
      </w:r>
      <w:r w:rsidR="00334434">
        <w:t xml:space="preserve"> </w:t>
      </w:r>
      <w:r>
        <w:t xml:space="preserve">name: </w:t>
      </w:r>
      <w:proofErr w:type="spellStart"/>
      <w:r>
        <w:t>Nazdol</w:t>
      </w:r>
      <w:proofErr w:type="spellEnd"/>
      <w:r>
        <w:t xml:space="preserve">; sponsor: KRKA). </w:t>
      </w:r>
      <w:proofErr w:type="spellStart"/>
      <w:r>
        <w:t>Diaglyaran</w:t>
      </w:r>
      <w:proofErr w:type="spellEnd"/>
      <w:r>
        <w:t xml:space="preserve"> 60 mg (sponsor: Ranbaxy, UK), has a score</w:t>
      </w:r>
      <w:r w:rsidR="00AC526E">
        <w:t xml:space="preserve"> </w:t>
      </w:r>
      <w:r>
        <w:t>line, but the S</w:t>
      </w:r>
      <w:r w:rsidR="00AC526E">
        <w:t>m</w:t>
      </w:r>
      <w:r>
        <w:t>PC states that the score</w:t>
      </w:r>
      <w:r w:rsidR="00AC526E">
        <w:t xml:space="preserve"> </w:t>
      </w:r>
      <w:r>
        <w:t>line is not intended for breaking the tablet (</w:t>
      </w:r>
      <w:r w:rsidR="00AC526E">
        <w:t>that is,</w:t>
      </w:r>
      <w:r>
        <w:t xml:space="preserve"> it is not a functional score</w:t>
      </w:r>
      <w:r w:rsidR="00AC526E">
        <w:t xml:space="preserve"> </w:t>
      </w:r>
      <w:r>
        <w:t>line; see Table</w:t>
      </w:r>
      <w:r w:rsidR="00341F7B">
        <w:t xml:space="preserve"> 3</w:t>
      </w:r>
      <w:r>
        <w:t>, below). It may be that pharmacist practice in U</w:t>
      </w:r>
      <w:r w:rsidR="00AC526E">
        <w:t>nited Kingdom (U</w:t>
      </w:r>
      <w:r>
        <w:t>K</w:t>
      </w:r>
      <w:r w:rsidR="00AC526E">
        <w:t>)</w:t>
      </w:r>
      <w:r>
        <w:t xml:space="preserve"> is different from Australia and the 30 mg tablet is more commonly dispensed</w:t>
      </w:r>
      <w:r w:rsidR="00DE6BB6">
        <w:t>.</w:t>
      </w:r>
    </w:p>
    <w:p w:rsidR="00341F7B" w:rsidRPr="00FE4576" w:rsidRDefault="00341F7B" w:rsidP="000015B2">
      <w:pPr>
        <w:pStyle w:val="TableTitle"/>
      </w:pPr>
      <w:r>
        <w:t xml:space="preserve">Table 3: </w:t>
      </w:r>
      <w:r w:rsidR="000015B2">
        <w:t>Summary of other registered products</w:t>
      </w:r>
    </w:p>
    <w:tbl>
      <w:tblPr>
        <w:tblStyle w:val="TableTGAblue"/>
        <w:tblW w:w="0" w:type="auto"/>
        <w:tblLayout w:type="fixed"/>
        <w:tblLook w:val="04A0" w:firstRow="1" w:lastRow="0" w:firstColumn="1" w:lastColumn="0" w:noHBand="0" w:noVBand="1"/>
      </w:tblPr>
      <w:tblGrid>
        <w:gridCol w:w="1638"/>
        <w:gridCol w:w="1731"/>
        <w:gridCol w:w="1701"/>
        <w:gridCol w:w="992"/>
        <w:gridCol w:w="2658"/>
      </w:tblGrid>
      <w:tr w:rsidR="00333B2C" w:rsidTr="00304EC6">
        <w:trPr>
          <w:cnfStyle w:val="100000000000" w:firstRow="1" w:lastRow="0" w:firstColumn="0" w:lastColumn="0" w:oddVBand="0" w:evenVBand="0" w:oddHBand="0" w:evenHBand="0" w:firstRowFirstColumn="0" w:firstRowLastColumn="0" w:lastRowFirstColumn="0" w:lastRowLastColumn="0"/>
        </w:trPr>
        <w:tc>
          <w:tcPr>
            <w:tcW w:w="1638" w:type="dxa"/>
          </w:tcPr>
          <w:p w:rsidR="00333B2C" w:rsidRPr="00341F7B" w:rsidRDefault="00333B2C" w:rsidP="00746A09">
            <w:pPr>
              <w:ind w:left="0"/>
            </w:pPr>
            <w:proofErr w:type="spellStart"/>
            <w:r w:rsidRPr="00341F7B">
              <w:t>Brandname</w:t>
            </w:r>
            <w:proofErr w:type="spellEnd"/>
          </w:p>
        </w:tc>
        <w:tc>
          <w:tcPr>
            <w:tcW w:w="1731" w:type="dxa"/>
          </w:tcPr>
          <w:p w:rsidR="00333B2C" w:rsidRPr="00341F7B" w:rsidRDefault="00341F7B" w:rsidP="00746A09">
            <w:pPr>
              <w:ind w:left="0"/>
            </w:pPr>
            <w:r>
              <w:t>Sponsor</w:t>
            </w:r>
          </w:p>
        </w:tc>
        <w:tc>
          <w:tcPr>
            <w:tcW w:w="1701" w:type="dxa"/>
          </w:tcPr>
          <w:p w:rsidR="00333B2C" w:rsidRPr="00341F7B" w:rsidRDefault="00333B2C" w:rsidP="00746A09">
            <w:pPr>
              <w:ind w:left="0"/>
            </w:pPr>
            <w:r w:rsidRPr="00341F7B">
              <w:t>Date of registration</w:t>
            </w:r>
          </w:p>
        </w:tc>
        <w:tc>
          <w:tcPr>
            <w:tcW w:w="992" w:type="dxa"/>
          </w:tcPr>
          <w:p w:rsidR="00333B2C" w:rsidRPr="00341F7B" w:rsidRDefault="00333B2C" w:rsidP="00746A09">
            <w:pPr>
              <w:ind w:left="-7"/>
            </w:pPr>
            <w:r w:rsidRPr="00341F7B">
              <w:t>Score</w:t>
            </w:r>
            <w:r w:rsidR="00AC526E" w:rsidRPr="00341F7B">
              <w:t xml:space="preserve"> </w:t>
            </w:r>
            <w:r w:rsidRPr="00341F7B">
              <w:t>line</w:t>
            </w:r>
          </w:p>
        </w:tc>
        <w:tc>
          <w:tcPr>
            <w:tcW w:w="2658" w:type="dxa"/>
          </w:tcPr>
          <w:p w:rsidR="00333B2C" w:rsidRPr="00341F7B" w:rsidRDefault="00333B2C" w:rsidP="00746A09">
            <w:pPr>
              <w:ind w:left="50"/>
            </w:pPr>
            <w:r w:rsidRPr="00341F7B">
              <w:t>Posology</w:t>
            </w:r>
          </w:p>
        </w:tc>
      </w:tr>
      <w:tr w:rsidR="00333B2C" w:rsidTr="00304EC6">
        <w:tc>
          <w:tcPr>
            <w:tcW w:w="1638" w:type="dxa"/>
          </w:tcPr>
          <w:p w:rsidR="00333B2C" w:rsidRPr="00341F7B" w:rsidRDefault="00333B2C" w:rsidP="00746A09">
            <w:pPr>
              <w:ind w:left="0"/>
            </w:pPr>
            <w:proofErr w:type="spellStart"/>
            <w:r w:rsidRPr="00341F7B">
              <w:t>Bilxona</w:t>
            </w:r>
            <w:proofErr w:type="spellEnd"/>
            <w:r w:rsidRPr="00341F7B">
              <w:t xml:space="preserve"> 60mg</w:t>
            </w:r>
            <w:r w:rsidR="00746A09">
              <w:t xml:space="preserve"> </w:t>
            </w:r>
            <w:r w:rsidRPr="00341F7B">
              <w:t>modified-release</w:t>
            </w:r>
          </w:p>
        </w:tc>
        <w:tc>
          <w:tcPr>
            <w:tcW w:w="1731" w:type="dxa"/>
          </w:tcPr>
          <w:p w:rsidR="00333B2C" w:rsidRPr="00341F7B" w:rsidRDefault="00333B2C" w:rsidP="00746A09">
            <w:pPr>
              <w:ind w:left="0"/>
            </w:pPr>
            <w:r w:rsidRPr="00341F7B">
              <w:t>Actavis Group</w:t>
            </w:r>
            <w:r w:rsidR="00746A09">
              <w:t xml:space="preserve"> </w:t>
            </w:r>
            <w:r w:rsidRPr="00341F7B">
              <w:t>(Iceland)</w:t>
            </w:r>
          </w:p>
        </w:tc>
        <w:tc>
          <w:tcPr>
            <w:tcW w:w="1701" w:type="dxa"/>
          </w:tcPr>
          <w:p w:rsidR="00333B2C" w:rsidRPr="00341F7B" w:rsidRDefault="00333B2C" w:rsidP="00746A09">
            <w:pPr>
              <w:ind w:left="0"/>
            </w:pPr>
            <w:r w:rsidRPr="00341F7B">
              <w:t>April</w:t>
            </w:r>
            <w:r w:rsidR="00746A09">
              <w:t xml:space="preserve"> </w:t>
            </w:r>
            <w:r w:rsidRPr="00341F7B">
              <w:t>2015</w:t>
            </w:r>
          </w:p>
        </w:tc>
        <w:tc>
          <w:tcPr>
            <w:tcW w:w="992" w:type="dxa"/>
          </w:tcPr>
          <w:p w:rsidR="00333B2C" w:rsidRPr="00341F7B" w:rsidRDefault="00333B2C" w:rsidP="00746A09">
            <w:pPr>
              <w:ind w:left="-7"/>
            </w:pPr>
            <w:r w:rsidRPr="00341F7B">
              <w:t>Yes</w:t>
            </w:r>
          </w:p>
        </w:tc>
        <w:tc>
          <w:tcPr>
            <w:tcW w:w="2658" w:type="dxa"/>
          </w:tcPr>
          <w:p w:rsidR="00333B2C" w:rsidRPr="00341F7B" w:rsidRDefault="00333B2C" w:rsidP="00746A09">
            <w:pPr>
              <w:ind w:left="50"/>
            </w:pPr>
            <w:r w:rsidRPr="00341F7B">
              <w:t>The tablet can be divided into equal doses.</w:t>
            </w:r>
          </w:p>
          <w:p w:rsidR="00333B2C" w:rsidRPr="00341F7B" w:rsidRDefault="00333B2C" w:rsidP="00746A09">
            <w:pPr>
              <w:ind w:left="50"/>
            </w:pPr>
            <w:r w:rsidRPr="00341F7B">
              <w:t>The daily dose may vary from one half to 2 tablets per day, i.e. from 30 to 120 mg taken orally in a single intake at breakfast time.</w:t>
            </w:r>
          </w:p>
          <w:p w:rsidR="00333B2C" w:rsidRPr="00341F7B" w:rsidRDefault="00333B2C" w:rsidP="00746A09">
            <w:pPr>
              <w:ind w:left="50"/>
            </w:pPr>
            <w:r w:rsidRPr="00341F7B">
              <w:t>It is recommended that the tablet(s) (whole or half tablet) be swallowed in one piece without chewing or crushing.</w:t>
            </w:r>
          </w:p>
        </w:tc>
      </w:tr>
      <w:tr w:rsidR="00333B2C" w:rsidTr="00304EC6">
        <w:tc>
          <w:tcPr>
            <w:tcW w:w="1638" w:type="dxa"/>
          </w:tcPr>
          <w:p w:rsidR="00333B2C" w:rsidRPr="00341F7B" w:rsidRDefault="00333B2C" w:rsidP="00746A09">
            <w:pPr>
              <w:ind w:left="0"/>
            </w:pPr>
            <w:proofErr w:type="spellStart"/>
            <w:r w:rsidRPr="00341F7B">
              <w:t>Diaglyaran</w:t>
            </w:r>
            <w:proofErr w:type="spellEnd"/>
            <w:r w:rsidRPr="00341F7B">
              <w:t xml:space="preserve"> 60 mg modified-release</w:t>
            </w:r>
          </w:p>
        </w:tc>
        <w:tc>
          <w:tcPr>
            <w:tcW w:w="1731" w:type="dxa"/>
          </w:tcPr>
          <w:p w:rsidR="00333B2C" w:rsidRPr="00341F7B" w:rsidRDefault="00333B2C" w:rsidP="00746A09">
            <w:pPr>
              <w:ind w:left="0"/>
            </w:pPr>
            <w:r w:rsidRPr="00341F7B">
              <w:t>Ranbaxy (UK) Limited</w:t>
            </w:r>
          </w:p>
        </w:tc>
        <w:tc>
          <w:tcPr>
            <w:tcW w:w="1701" w:type="dxa"/>
          </w:tcPr>
          <w:p w:rsidR="00333B2C" w:rsidRPr="00341F7B" w:rsidRDefault="00333B2C" w:rsidP="00746A09">
            <w:pPr>
              <w:ind w:left="0"/>
            </w:pPr>
            <w:r w:rsidRPr="00341F7B">
              <w:t>March 2015</w:t>
            </w:r>
          </w:p>
        </w:tc>
        <w:tc>
          <w:tcPr>
            <w:tcW w:w="992" w:type="dxa"/>
          </w:tcPr>
          <w:p w:rsidR="00333B2C" w:rsidRPr="00341F7B" w:rsidRDefault="00333B2C" w:rsidP="00746A09">
            <w:pPr>
              <w:ind w:left="-7"/>
            </w:pPr>
            <w:r w:rsidRPr="00341F7B">
              <w:t>Yes</w:t>
            </w:r>
          </w:p>
        </w:tc>
        <w:tc>
          <w:tcPr>
            <w:tcW w:w="2658" w:type="dxa"/>
          </w:tcPr>
          <w:p w:rsidR="00333B2C" w:rsidRPr="00341F7B" w:rsidRDefault="00333B2C" w:rsidP="00746A09">
            <w:pPr>
              <w:ind w:left="50"/>
            </w:pPr>
            <w:r w:rsidRPr="00341F7B">
              <w:t>The score</w:t>
            </w:r>
            <w:r w:rsidR="00341F7B">
              <w:t xml:space="preserve"> </w:t>
            </w:r>
            <w:r w:rsidRPr="00341F7B">
              <w:t>line is not intended to for breaking the tablet to provide a 30 mg dose.</w:t>
            </w:r>
            <w:r w:rsidR="000015B2">
              <w:t xml:space="preserve"> </w:t>
            </w:r>
            <w:r w:rsidRPr="00341F7B">
              <w:t xml:space="preserve">The tablets should be </w:t>
            </w:r>
            <w:r w:rsidRPr="00341F7B">
              <w:lastRenderedPageBreak/>
              <w:t>swallowed whole and not crushed or chewed. A 30 mg dose cannot be obtained by dividing the tablet.</w:t>
            </w:r>
          </w:p>
        </w:tc>
      </w:tr>
      <w:tr w:rsidR="00333B2C" w:rsidTr="00304EC6">
        <w:tc>
          <w:tcPr>
            <w:tcW w:w="1638" w:type="dxa"/>
          </w:tcPr>
          <w:p w:rsidR="00333B2C" w:rsidRPr="00341F7B" w:rsidRDefault="00333B2C" w:rsidP="00746A09">
            <w:pPr>
              <w:ind w:left="0"/>
            </w:pPr>
            <w:proofErr w:type="spellStart"/>
            <w:r w:rsidRPr="00341F7B">
              <w:lastRenderedPageBreak/>
              <w:t>Laaglyda</w:t>
            </w:r>
            <w:proofErr w:type="spellEnd"/>
            <w:r w:rsidRPr="00341F7B">
              <w:t xml:space="preserve"> MR 60 mg</w:t>
            </w:r>
            <w:r w:rsidR="00746A09">
              <w:t xml:space="preserve"> </w:t>
            </w:r>
            <w:r w:rsidRPr="00341F7B">
              <w:t>(</w:t>
            </w:r>
            <w:proofErr w:type="spellStart"/>
            <w:r w:rsidRPr="00341F7B">
              <w:t>Nazdol</w:t>
            </w:r>
            <w:proofErr w:type="spellEnd"/>
            <w:r w:rsidRPr="00341F7B">
              <w:t>)</w:t>
            </w:r>
          </w:p>
        </w:tc>
        <w:tc>
          <w:tcPr>
            <w:tcW w:w="1731" w:type="dxa"/>
          </w:tcPr>
          <w:p w:rsidR="00333B2C" w:rsidRPr="00341F7B" w:rsidRDefault="00333B2C" w:rsidP="00746A09">
            <w:pPr>
              <w:ind w:left="0"/>
            </w:pPr>
            <w:r w:rsidRPr="00341F7B">
              <w:t>KRKA</w:t>
            </w:r>
            <w:r w:rsidR="00746A09">
              <w:t xml:space="preserve"> </w:t>
            </w:r>
            <w:r w:rsidRPr="00341F7B">
              <w:t>(Slovenia)</w:t>
            </w:r>
          </w:p>
        </w:tc>
        <w:tc>
          <w:tcPr>
            <w:tcW w:w="1701" w:type="dxa"/>
          </w:tcPr>
          <w:p w:rsidR="00333B2C" w:rsidRPr="00341F7B" w:rsidRDefault="00333B2C" w:rsidP="00746A09">
            <w:pPr>
              <w:ind w:left="0"/>
            </w:pPr>
            <w:r w:rsidRPr="00341F7B">
              <w:t>Jan</w:t>
            </w:r>
            <w:r w:rsidR="00334434">
              <w:t>uary</w:t>
            </w:r>
            <w:r w:rsidR="00746A09">
              <w:t xml:space="preserve"> </w:t>
            </w:r>
            <w:r w:rsidRPr="00341F7B">
              <w:t>2013</w:t>
            </w:r>
          </w:p>
        </w:tc>
        <w:tc>
          <w:tcPr>
            <w:tcW w:w="992" w:type="dxa"/>
          </w:tcPr>
          <w:p w:rsidR="00333B2C" w:rsidRPr="00341F7B" w:rsidRDefault="00333B2C" w:rsidP="00746A09">
            <w:pPr>
              <w:ind w:left="-7"/>
            </w:pPr>
            <w:r w:rsidRPr="00341F7B">
              <w:t>No</w:t>
            </w:r>
          </w:p>
        </w:tc>
        <w:tc>
          <w:tcPr>
            <w:tcW w:w="2658" w:type="dxa"/>
          </w:tcPr>
          <w:p w:rsidR="00333B2C" w:rsidRPr="00341F7B" w:rsidRDefault="00333B2C" w:rsidP="00746A09">
            <w:pPr>
              <w:ind w:left="50"/>
            </w:pPr>
            <w:r w:rsidRPr="00341F7B">
              <w:t>The tablets should be swallowed whole and not crushed or chewed.</w:t>
            </w:r>
          </w:p>
        </w:tc>
      </w:tr>
      <w:tr w:rsidR="00333B2C" w:rsidTr="00304EC6">
        <w:tc>
          <w:tcPr>
            <w:tcW w:w="1638" w:type="dxa"/>
          </w:tcPr>
          <w:p w:rsidR="00333B2C" w:rsidRPr="00341F7B" w:rsidRDefault="00333B2C" w:rsidP="00746A09">
            <w:pPr>
              <w:ind w:left="0"/>
            </w:pPr>
            <w:proofErr w:type="spellStart"/>
            <w:r w:rsidRPr="00341F7B">
              <w:t>Vamju</w:t>
            </w:r>
            <w:proofErr w:type="spellEnd"/>
            <w:r w:rsidRPr="00341F7B">
              <w:t xml:space="preserve"> 60 mg modified-release</w:t>
            </w:r>
          </w:p>
        </w:tc>
        <w:tc>
          <w:tcPr>
            <w:tcW w:w="1731" w:type="dxa"/>
          </w:tcPr>
          <w:p w:rsidR="00333B2C" w:rsidRPr="00341F7B" w:rsidRDefault="00333B2C" w:rsidP="00746A09">
            <w:pPr>
              <w:ind w:left="0"/>
            </w:pPr>
            <w:r w:rsidRPr="00341F7B">
              <w:t>Mercury Pharmaceuticals Limited</w:t>
            </w:r>
            <w:r w:rsidR="00746A09">
              <w:t xml:space="preserve"> </w:t>
            </w:r>
            <w:r w:rsidRPr="00341F7B">
              <w:t>(UK)</w:t>
            </w:r>
          </w:p>
        </w:tc>
        <w:tc>
          <w:tcPr>
            <w:tcW w:w="1701" w:type="dxa"/>
          </w:tcPr>
          <w:p w:rsidR="00333B2C" w:rsidRPr="00341F7B" w:rsidRDefault="00333B2C" w:rsidP="00746A09">
            <w:pPr>
              <w:ind w:left="0"/>
            </w:pPr>
            <w:r w:rsidRPr="00341F7B">
              <w:t>Sep</w:t>
            </w:r>
            <w:r w:rsidR="00334434">
              <w:t>tember</w:t>
            </w:r>
            <w:r w:rsidR="00746A09">
              <w:t xml:space="preserve"> </w:t>
            </w:r>
            <w:r w:rsidRPr="00341F7B">
              <w:t>2014</w:t>
            </w:r>
          </w:p>
        </w:tc>
        <w:tc>
          <w:tcPr>
            <w:tcW w:w="992" w:type="dxa"/>
          </w:tcPr>
          <w:p w:rsidR="00333B2C" w:rsidRPr="00341F7B" w:rsidRDefault="00333B2C" w:rsidP="00746A09">
            <w:pPr>
              <w:ind w:left="-7"/>
            </w:pPr>
            <w:r w:rsidRPr="00341F7B">
              <w:t>Yes</w:t>
            </w:r>
          </w:p>
        </w:tc>
        <w:tc>
          <w:tcPr>
            <w:tcW w:w="2658" w:type="dxa"/>
          </w:tcPr>
          <w:p w:rsidR="00333B2C" w:rsidRPr="00341F7B" w:rsidRDefault="00333B2C" w:rsidP="00746A09">
            <w:pPr>
              <w:ind w:left="50"/>
            </w:pPr>
            <w:r w:rsidRPr="00341F7B">
              <w:t>The 60 mg tablet can be divided into equal doses.</w:t>
            </w:r>
            <w:r w:rsidR="000015B2">
              <w:t xml:space="preserve"> </w:t>
            </w:r>
            <w:r w:rsidRPr="00341F7B">
              <w:t>The daily dose may vary from 30 to 120 mg (</w:t>
            </w:r>
            <w:r w:rsidR="00334434">
              <w:t>that is,</w:t>
            </w:r>
            <w:r w:rsidRPr="00341F7B">
              <w:t xml:space="preserve"> 1 to 4 tablets of 30 mg per day or one half to 2 tablets of 60 mg per day) taken orally in a single intake at breakfast</w:t>
            </w:r>
            <w:r w:rsidR="000015B2">
              <w:t xml:space="preserve"> </w:t>
            </w:r>
            <w:r w:rsidRPr="00341F7B">
              <w:t>time.</w:t>
            </w:r>
            <w:r w:rsidR="000015B2">
              <w:t xml:space="preserve"> </w:t>
            </w:r>
            <w:r w:rsidRPr="00341F7B">
              <w:t>It is recommended that the tablet(s) be swallowed whole, without crushing or</w:t>
            </w:r>
            <w:r w:rsidR="000015B2">
              <w:t xml:space="preserve"> </w:t>
            </w:r>
            <w:r w:rsidRPr="00341F7B">
              <w:t>chewing.</w:t>
            </w:r>
          </w:p>
        </w:tc>
      </w:tr>
    </w:tbl>
    <w:p w:rsidR="00333B2C" w:rsidRPr="00A34D5D" w:rsidRDefault="00333B2C" w:rsidP="00AC526E">
      <w:pPr>
        <w:pStyle w:val="Heading6"/>
      </w:pPr>
      <w:r w:rsidRPr="00A34D5D">
        <w:t xml:space="preserve">Other </w:t>
      </w:r>
      <w:proofErr w:type="spellStart"/>
      <w:r w:rsidRPr="00A34D5D">
        <w:t>gliclazide</w:t>
      </w:r>
      <w:proofErr w:type="spellEnd"/>
      <w:r w:rsidRPr="00A34D5D">
        <w:t xml:space="preserve"> generics in Australia</w:t>
      </w:r>
    </w:p>
    <w:p w:rsidR="00DE6BB6" w:rsidRDefault="00333B2C" w:rsidP="00AC526E">
      <w:r>
        <w:t xml:space="preserve">There are currently no 60 mg MR generics of </w:t>
      </w:r>
      <w:proofErr w:type="spellStart"/>
      <w:r>
        <w:t>gliclazide</w:t>
      </w:r>
      <w:proofErr w:type="spellEnd"/>
      <w:r>
        <w:t xml:space="preserve"> registered in Australia</w:t>
      </w:r>
      <w:r w:rsidR="00DE6BB6">
        <w:t>.</w:t>
      </w:r>
    </w:p>
    <w:p w:rsidR="00333B2C" w:rsidRDefault="00333B2C" w:rsidP="00AC526E">
      <w:r>
        <w:t>A generic 30 mg M</w:t>
      </w:r>
      <w:r w:rsidR="00334434">
        <w:t>R tablet is registered (sponsor</w:t>
      </w:r>
      <w:r>
        <w:t xml:space="preserve"> </w:t>
      </w:r>
      <w:proofErr w:type="spellStart"/>
      <w:r>
        <w:t>Apotex</w:t>
      </w:r>
      <w:proofErr w:type="spellEnd"/>
      <w:r>
        <w:t>).</w:t>
      </w:r>
    </w:p>
    <w:p w:rsidR="00333B2C" w:rsidRDefault="00333B2C" w:rsidP="00AC526E">
      <w:r>
        <w:t xml:space="preserve">The other currently registered generic </w:t>
      </w:r>
      <w:proofErr w:type="spellStart"/>
      <w:r>
        <w:t>gliclazide</w:t>
      </w:r>
      <w:proofErr w:type="spellEnd"/>
      <w:r w:rsidR="00D25EDA">
        <w:t xml:space="preserve"> products</w:t>
      </w:r>
      <w:r>
        <w:t xml:space="preserve"> are immediate</w:t>
      </w:r>
      <w:r w:rsidR="00AC526E">
        <w:t xml:space="preserve"> </w:t>
      </w:r>
      <w:r>
        <w:t>release tablets.</w:t>
      </w:r>
    </w:p>
    <w:p w:rsidR="00333B2C" w:rsidRPr="006C27DC" w:rsidRDefault="00333B2C" w:rsidP="00AC526E">
      <w:pPr>
        <w:pStyle w:val="Heading6"/>
        <w:rPr>
          <w:lang w:eastAsia="en-AU"/>
        </w:rPr>
      </w:pPr>
      <w:r>
        <w:rPr>
          <w:lang w:eastAsia="en-AU"/>
        </w:rPr>
        <w:t xml:space="preserve">Previous Australian regulatory history for this particular generic </w:t>
      </w:r>
      <w:proofErr w:type="spellStart"/>
      <w:r>
        <w:rPr>
          <w:lang w:eastAsia="en-AU"/>
        </w:rPr>
        <w:t>gliclazide</w:t>
      </w:r>
      <w:proofErr w:type="spellEnd"/>
      <w:r>
        <w:rPr>
          <w:lang w:eastAsia="en-AU"/>
        </w:rPr>
        <w:t xml:space="preserve"> sponsored by Generic Partners</w:t>
      </w:r>
    </w:p>
    <w:p w:rsidR="00333B2C" w:rsidRDefault="00333B2C" w:rsidP="00333B2C">
      <w:pPr>
        <w:rPr>
          <w:lang w:eastAsia="en-AU"/>
        </w:rPr>
      </w:pPr>
      <w:r>
        <w:rPr>
          <w:lang w:eastAsia="en-AU"/>
        </w:rPr>
        <w:t>A previous application for this product for 30 mg tablets and 60 mg (scored) tablets was submitted by Generic Partners in January 2013. The TGA rejected the application in February 2014 because of unresolved quality concerns, including:</w:t>
      </w:r>
    </w:p>
    <w:p w:rsidR="00333B2C" w:rsidRPr="006522D7" w:rsidRDefault="00333B2C" w:rsidP="00AC526E">
      <w:pPr>
        <w:pStyle w:val="ListBullet"/>
      </w:pPr>
      <w:r w:rsidRPr="006522D7">
        <w:t>Lack of BE data on the proposed 30 mg tablets</w:t>
      </w:r>
    </w:p>
    <w:p w:rsidR="00333B2C" w:rsidRPr="006522D7" w:rsidRDefault="00333B2C" w:rsidP="00AC526E">
      <w:pPr>
        <w:pStyle w:val="ListBullet"/>
      </w:pPr>
      <w:r w:rsidRPr="006522D7">
        <w:t xml:space="preserve">Lack of BE data on halved 60 mg </w:t>
      </w:r>
      <w:r>
        <w:t xml:space="preserve">(scored) </w:t>
      </w:r>
      <w:r w:rsidRPr="006522D7">
        <w:t>tablets</w:t>
      </w:r>
    </w:p>
    <w:p w:rsidR="00333B2C" w:rsidRPr="006522D7" w:rsidRDefault="00333B2C" w:rsidP="00AC526E">
      <w:pPr>
        <w:pStyle w:val="ListBullet"/>
      </w:pPr>
      <w:r w:rsidRPr="006522D7">
        <w:t>Lack of data to demonstrate comparable dissolution profiles between 60 mg tablets, 30 mg tablets and halved 60 mg tablets.</w:t>
      </w:r>
    </w:p>
    <w:p w:rsidR="00333B2C" w:rsidRDefault="00333B2C" w:rsidP="00333B2C">
      <w:pPr>
        <w:rPr>
          <w:lang w:eastAsia="en-AU"/>
        </w:rPr>
      </w:pPr>
      <w:r>
        <w:rPr>
          <w:lang w:eastAsia="en-AU"/>
        </w:rPr>
        <w:t>The sponsor submitted a</w:t>
      </w:r>
      <w:r w:rsidR="00AC526E">
        <w:rPr>
          <w:lang w:eastAsia="en-AU"/>
        </w:rPr>
        <w:t xml:space="preserve">n </w:t>
      </w:r>
      <w:r>
        <w:rPr>
          <w:lang w:eastAsia="en-AU"/>
        </w:rPr>
        <w:t xml:space="preserve">appeal in April 2014. The </w:t>
      </w:r>
      <w:r w:rsidR="00AC526E">
        <w:rPr>
          <w:lang w:eastAsia="en-AU"/>
        </w:rPr>
        <w:t>appeal</w:t>
      </w:r>
      <w:r>
        <w:rPr>
          <w:lang w:eastAsia="en-AU"/>
        </w:rPr>
        <w:t xml:space="preserve"> Delegate upheld the initial decision (June 2014) to reject the application.</w:t>
      </w:r>
    </w:p>
    <w:p w:rsidR="00333B2C" w:rsidRDefault="00333B2C" w:rsidP="00333B2C">
      <w:pPr>
        <w:rPr>
          <w:lang w:eastAsia="en-AU"/>
        </w:rPr>
      </w:pPr>
      <w:r>
        <w:rPr>
          <w:lang w:eastAsia="en-AU"/>
        </w:rPr>
        <w:t>The differences between this current application and that previous application include:</w:t>
      </w:r>
    </w:p>
    <w:p w:rsidR="00333B2C" w:rsidRDefault="00333B2C" w:rsidP="00AC526E">
      <w:pPr>
        <w:pStyle w:val="ListBullet"/>
        <w:rPr>
          <w:lang w:eastAsia="en-AU"/>
        </w:rPr>
      </w:pPr>
      <w:r>
        <w:rPr>
          <w:lang w:eastAsia="en-AU"/>
        </w:rPr>
        <w:t>The 60 mg tablet does not have a score</w:t>
      </w:r>
      <w:r w:rsidR="00AC526E">
        <w:rPr>
          <w:lang w:eastAsia="en-AU"/>
        </w:rPr>
        <w:t xml:space="preserve"> </w:t>
      </w:r>
      <w:r>
        <w:rPr>
          <w:lang w:eastAsia="en-AU"/>
        </w:rPr>
        <w:t>line (as outlined above, the sponsor has stated that patent issues have emerged over the score</w:t>
      </w:r>
      <w:r w:rsidR="00AC526E">
        <w:rPr>
          <w:lang w:eastAsia="en-AU"/>
        </w:rPr>
        <w:t xml:space="preserve"> </w:t>
      </w:r>
      <w:r>
        <w:rPr>
          <w:lang w:eastAsia="en-AU"/>
        </w:rPr>
        <w:t>line in Australia).</w:t>
      </w:r>
    </w:p>
    <w:p w:rsidR="00333B2C" w:rsidRDefault="00333B2C" w:rsidP="00AC526E">
      <w:pPr>
        <w:rPr>
          <w:lang w:eastAsia="en-AU"/>
        </w:rPr>
      </w:pPr>
      <w:r>
        <w:rPr>
          <w:lang w:eastAsia="en-AU"/>
        </w:rPr>
        <w:lastRenderedPageBreak/>
        <w:t>A bioequivalence study under fasting conditions was included for the 30 mg MR tablets (however, the sponsor withdrew the application to register the 30 mg MR tablet during the evaluation).</w:t>
      </w:r>
    </w:p>
    <w:p w:rsidR="008E7846" w:rsidRDefault="008E7846" w:rsidP="008E7846">
      <w:pPr>
        <w:pStyle w:val="Heading3"/>
      </w:pPr>
      <w:bookmarkStart w:id="63" w:name="_Toc456784905"/>
      <w:r>
        <w:t>Quality</w:t>
      </w:r>
      <w:bookmarkEnd w:id="60"/>
      <w:bookmarkEnd w:id="62"/>
      <w:bookmarkEnd w:id="63"/>
    </w:p>
    <w:p w:rsidR="00B43000" w:rsidRDefault="00B43000" w:rsidP="00491793">
      <w:bookmarkStart w:id="64" w:name="_Toc314842512"/>
      <w:r>
        <w:t xml:space="preserve">The </w:t>
      </w:r>
      <w:r w:rsidR="00334434">
        <w:t>quality</w:t>
      </w:r>
      <w:r>
        <w:t xml:space="preserve"> evaluator has advised that the proposed generic 60 mg MR release tablet has met the quality requirements for registration.</w:t>
      </w:r>
    </w:p>
    <w:p w:rsidR="00B43000" w:rsidRDefault="00B43000" w:rsidP="00491793">
      <w:r>
        <w:t>Bioequivalence studies were not submitted for the new unscored 60 mg MR tablet, based on the argument from the sponsor that bioequivalence had been previously established to the reference product (</w:t>
      </w:r>
      <w:proofErr w:type="spellStart"/>
      <w:r>
        <w:t>Diamicron</w:t>
      </w:r>
      <w:proofErr w:type="spellEnd"/>
      <w:r>
        <w:t xml:space="preserve"> MR 60) for the originally proposed scored tablet. This justification was considered acceptable by the </w:t>
      </w:r>
      <w:r w:rsidR="00AC526E">
        <w:t>quality e</w:t>
      </w:r>
      <w:r>
        <w:t>valuator because:</w:t>
      </w:r>
    </w:p>
    <w:p w:rsidR="00B43000" w:rsidRDefault="00B43000" w:rsidP="00491793">
      <w:pPr>
        <w:pStyle w:val="ListBullet"/>
        <w:rPr>
          <w:lang w:eastAsia="en-AU"/>
        </w:rPr>
      </w:pPr>
      <w:r>
        <w:rPr>
          <w:lang w:eastAsia="en-AU"/>
        </w:rPr>
        <w:t>The dissolution profiles between the scored and unscored 60 mg MR tablets were similar across the pH range</w:t>
      </w:r>
    </w:p>
    <w:p w:rsidR="00B43000" w:rsidRDefault="00B43000" w:rsidP="00491793">
      <w:pPr>
        <w:pStyle w:val="ListBullet"/>
        <w:rPr>
          <w:lang w:eastAsia="en-AU"/>
        </w:rPr>
      </w:pPr>
      <w:r>
        <w:rPr>
          <w:lang w:eastAsia="en-AU"/>
        </w:rPr>
        <w:t>The scored and unscored tablets have the same formulation and are manufactured by the same process</w:t>
      </w:r>
    </w:p>
    <w:p w:rsidR="00B43000" w:rsidRDefault="00B43000" w:rsidP="00491793">
      <w:pPr>
        <w:rPr>
          <w:lang w:eastAsia="en-AU"/>
        </w:rPr>
      </w:pPr>
      <w:r>
        <w:rPr>
          <w:lang w:eastAsia="en-AU"/>
        </w:rPr>
        <w:t xml:space="preserve">The sponsor withdrew the application for the proposed generic 30 mg MR tablet, during this current evaluation. The </w:t>
      </w:r>
      <w:r w:rsidR="00AC526E">
        <w:rPr>
          <w:lang w:eastAsia="en-AU"/>
        </w:rPr>
        <w:t>quality</w:t>
      </w:r>
      <w:r>
        <w:rPr>
          <w:lang w:eastAsia="en-AU"/>
        </w:rPr>
        <w:t xml:space="preserve"> evaluator raised some concerns around the dissolution limits for the 30 mg MR tablet. It is unclear whether these could have been resolved.</w:t>
      </w:r>
    </w:p>
    <w:p w:rsidR="008E7846" w:rsidRDefault="008E7846" w:rsidP="008E7846">
      <w:pPr>
        <w:pStyle w:val="Heading3"/>
      </w:pPr>
      <w:bookmarkStart w:id="65" w:name="_Toc456784906"/>
      <w:r>
        <w:t>Nonclinical</w:t>
      </w:r>
      <w:bookmarkEnd w:id="64"/>
      <w:bookmarkEnd w:id="65"/>
    </w:p>
    <w:p w:rsidR="008E7846" w:rsidRDefault="008E7846" w:rsidP="008E7846">
      <w:r>
        <w:t>There was no requirement for a nonclinical evaluation in a submission of this type.</w:t>
      </w:r>
    </w:p>
    <w:p w:rsidR="008E7846" w:rsidRDefault="008E7846" w:rsidP="008E7846">
      <w:pPr>
        <w:pStyle w:val="Heading3"/>
      </w:pPr>
      <w:bookmarkStart w:id="66" w:name="_Toc247691530"/>
      <w:bookmarkStart w:id="67" w:name="_Toc314842513"/>
      <w:bookmarkStart w:id="68" w:name="_Toc456784907"/>
      <w:r>
        <w:t>Clinical</w:t>
      </w:r>
      <w:bookmarkEnd w:id="66"/>
      <w:bookmarkEnd w:id="67"/>
      <w:bookmarkEnd w:id="68"/>
    </w:p>
    <w:p w:rsidR="00B43000" w:rsidRPr="002A00D3" w:rsidRDefault="00B43000" w:rsidP="00AC526E">
      <w:pPr>
        <w:rPr>
          <w:lang w:eastAsia="en-AU"/>
        </w:rPr>
      </w:pPr>
      <w:bookmarkStart w:id="69" w:name="_Toc314842514"/>
      <w:r>
        <w:rPr>
          <w:lang w:eastAsia="en-AU"/>
        </w:rPr>
        <w:t xml:space="preserve">The TGA sought the advice of two independent external clinical experts on the lack of the </w:t>
      </w:r>
      <w:r w:rsidR="00491793">
        <w:rPr>
          <w:lang w:eastAsia="en-AU"/>
        </w:rPr>
        <w:t>score line</w:t>
      </w:r>
      <w:r>
        <w:rPr>
          <w:lang w:eastAsia="en-AU"/>
        </w:rPr>
        <w:t xml:space="preserve"> on the proposed generic 60 mg MR tablet. The sponsor was consulted on the </w:t>
      </w:r>
      <w:r w:rsidRPr="002A00D3">
        <w:rPr>
          <w:lang w:eastAsia="en-AU"/>
        </w:rPr>
        <w:t>accuracy of the background information and wording of the questions before they were sent to the independent external clinical experts. The process was then an iterative one: the expert advice was sent to the sponsor, who responded. The sponsor responses were sent to the experts, who provided further advice, and this final round of advice was sent to the sponsor. Th</w:t>
      </w:r>
      <w:r w:rsidR="00334434" w:rsidRPr="002A00D3">
        <w:rPr>
          <w:lang w:eastAsia="en-AU"/>
        </w:rPr>
        <w:t>is process is</w:t>
      </w:r>
      <w:r w:rsidRPr="002A00D3">
        <w:rPr>
          <w:lang w:eastAsia="en-AU"/>
        </w:rPr>
        <w:t xml:space="preserve"> document</w:t>
      </w:r>
      <w:r w:rsidR="00334434" w:rsidRPr="002A00D3">
        <w:rPr>
          <w:lang w:eastAsia="en-AU"/>
        </w:rPr>
        <w:t>ed below</w:t>
      </w:r>
      <w:r w:rsidRPr="002A00D3">
        <w:rPr>
          <w:lang w:eastAsia="en-AU"/>
        </w:rPr>
        <w:t>.</w:t>
      </w:r>
    </w:p>
    <w:p w:rsidR="00E82DD6" w:rsidRPr="002A00D3" w:rsidRDefault="00E82DD6" w:rsidP="00304EC6">
      <w:pPr>
        <w:pStyle w:val="Heading4"/>
      </w:pPr>
      <w:r w:rsidRPr="002A00D3">
        <w:t>Main issue</w:t>
      </w:r>
    </w:p>
    <w:p w:rsidR="00E82DD6" w:rsidRPr="002A00D3" w:rsidRDefault="00E82DD6" w:rsidP="00AC3D09">
      <w:r w:rsidRPr="002A00D3">
        <w:t>The key issue is that the reference product has a deep score</w:t>
      </w:r>
      <w:r w:rsidR="00334434" w:rsidRPr="002A00D3">
        <w:t xml:space="preserve"> </w:t>
      </w:r>
      <w:r w:rsidRPr="002A00D3">
        <w:t>line, allowing the 60 mg tablet</w:t>
      </w:r>
      <w:r w:rsidR="00AC3D09" w:rsidRPr="002A00D3">
        <w:t xml:space="preserve"> </w:t>
      </w:r>
      <w:r w:rsidRPr="002A00D3">
        <w:t>to be broken into two (equal) 30 mg halves. The proposed Australian generic 60 mg tablet</w:t>
      </w:r>
      <w:r w:rsidR="00AC3D09" w:rsidRPr="002A00D3">
        <w:t xml:space="preserve"> </w:t>
      </w:r>
      <w:r w:rsidRPr="002A00D3">
        <w:t>does not have a score</w:t>
      </w:r>
      <w:r w:rsidR="00AC3D09" w:rsidRPr="002A00D3">
        <w:t xml:space="preserve"> </w:t>
      </w:r>
      <w:r w:rsidRPr="002A00D3">
        <w:t>line (the sponsor has informed the TGA that this is because of patent</w:t>
      </w:r>
      <w:r w:rsidR="00AC3D09" w:rsidRPr="002A00D3">
        <w:t xml:space="preserve"> </w:t>
      </w:r>
      <w:r w:rsidRPr="002A00D3">
        <w:t>issues with the score</w:t>
      </w:r>
      <w:r w:rsidR="00AC3D09" w:rsidRPr="002A00D3">
        <w:t xml:space="preserve"> </w:t>
      </w:r>
      <w:r w:rsidRPr="002A00D3">
        <w:t>line).</w:t>
      </w:r>
    </w:p>
    <w:p w:rsidR="00E82DD6" w:rsidRPr="002A00D3" w:rsidRDefault="00E82DD6" w:rsidP="00AC3D09">
      <w:r w:rsidRPr="002A00D3">
        <w:t>The TGA has been informed that the 30 mg tablet is uncommonly dispensed by</w:t>
      </w:r>
      <w:r w:rsidR="00AC3D09" w:rsidRPr="002A00D3">
        <w:t xml:space="preserve"> </w:t>
      </w:r>
      <w:r w:rsidRPr="002A00D3">
        <w:t>pharmacists.</w:t>
      </w:r>
      <w:r w:rsidR="00AC3D09" w:rsidRPr="002A00D3">
        <w:t xml:space="preserve"> </w:t>
      </w:r>
      <w:r w:rsidRPr="002A00D3">
        <w:t>That is, the current clinical practice in Australia is for pharmacists to typically dispense the</w:t>
      </w:r>
      <w:r w:rsidR="00AC3D09" w:rsidRPr="002A00D3">
        <w:t xml:space="preserve"> </w:t>
      </w:r>
      <w:r w:rsidRPr="002A00D3">
        <w:t>60 mg tablet even when the medical practitioner has prescribed a 30 mg dose; the</w:t>
      </w:r>
      <w:r w:rsidR="00AC3D09" w:rsidRPr="002A00D3">
        <w:t xml:space="preserve"> </w:t>
      </w:r>
      <w:r w:rsidRPr="002A00D3">
        <w:t>pharmacist instructs the patient to divide the scored 60 mg tablet into two 30 mg halves.</w:t>
      </w:r>
      <w:r w:rsidR="00AC3D09" w:rsidRPr="002A00D3">
        <w:t xml:space="preserve"> </w:t>
      </w:r>
      <w:r w:rsidRPr="002A00D3">
        <w:t xml:space="preserve">An unscored 60 mg </w:t>
      </w:r>
      <w:proofErr w:type="spellStart"/>
      <w:r w:rsidRPr="002A00D3">
        <w:t>gliclazide</w:t>
      </w:r>
      <w:proofErr w:type="spellEnd"/>
      <w:r w:rsidRPr="002A00D3">
        <w:t xml:space="preserve"> tablet is not currently registered in Australia or in in any</w:t>
      </w:r>
      <w:r w:rsidR="00AC3D09" w:rsidRPr="002A00D3">
        <w:t xml:space="preserve"> </w:t>
      </w:r>
      <w:r w:rsidRPr="002A00D3">
        <w:t>comparable country.</w:t>
      </w:r>
    </w:p>
    <w:p w:rsidR="00E82DD6" w:rsidRPr="002A00D3" w:rsidRDefault="002A00D3" w:rsidP="00AC3D09">
      <w:pPr>
        <w:pStyle w:val="Heading4"/>
      </w:pPr>
      <w:r w:rsidRPr="002A00D3">
        <w:lastRenderedPageBreak/>
        <w:t>Delegate’s r</w:t>
      </w:r>
      <w:r w:rsidR="00E82DD6" w:rsidRPr="002A00D3">
        <w:t xml:space="preserve">equest for </w:t>
      </w:r>
      <w:r w:rsidRPr="002A00D3">
        <w:t xml:space="preserve">expert </w:t>
      </w:r>
      <w:r w:rsidR="00E82DD6" w:rsidRPr="002A00D3">
        <w:t>advice</w:t>
      </w:r>
    </w:p>
    <w:p w:rsidR="00E82DD6" w:rsidRPr="002A00D3" w:rsidRDefault="00E82DD6" w:rsidP="00AC3D09">
      <w:pPr>
        <w:pStyle w:val="ListBullet"/>
      </w:pPr>
      <w:r w:rsidRPr="002A00D3">
        <w:t xml:space="preserve">With clear statements in the </w:t>
      </w:r>
      <w:r w:rsidR="00334434" w:rsidRPr="002A00D3">
        <w:t>PI</w:t>
      </w:r>
      <w:r w:rsidRPr="002A00D3">
        <w:t>, Consumer Medicine Information</w:t>
      </w:r>
      <w:r w:rsidR="00AC3D09" w:rsidRPr="002A00D3">
        <w:t xml:space="preserve"> </w:t>
      </w:r>
      <w:r w:rsidR="00334434" w:rsidRPr="002A00D3">
        <w:t xml:space="preserve">(CMI) </w:t>
      </w:r>
      <w:r w:rsidRPr="002A00D3">
        <w:t>and on the pack labels that the tablet must not be broken, what is the possibility of</w:t>
      </w:r>
      <w:r w:rsidR="00AC3D09" w:rsidRPr="002A00D3">
        <w:t xml:space="preserve"> </w:t>
      </w:r>
      <w:r w:rsidRPr="002A00D3">
        <w:t>dispensing errors, patient confusion or dosing errors if a 60 mg unscored generic</w:t>
      </w:r>
      <w:r w:rsidR="00AC3D09" w:rsidRPr="002A00D3">
        <w:t xml:space="preserve"> </w:t>
      </w:r>
      <w:r w:rsidRPr="002A00D3">
        <w:t>tablet is registered?</w:t>
      </w:r>
    </w:p>
    <w:p w:rsidR="00E82DD6" w:rsidRPr="002A00D3" w:rsidRDefault="00E82DD6" w:rsidP="00AC3D09">
      <w:pPr>
        <w:pStyle w:val="ListBullet"/>
      </w:pPr>
      <w:r w:rsidRPr="002A00D3">
        <w:t>What are the clinical implications of the patient mistakenly breaking the unscored</w:t>
      </w:r>
      <w:r w:rsidR="00AC3D09" w:rsidRPr="002A00D3">
        <w:t xml:space="preserve"> </w:t>
      </w:r>
      <w:r w:rsidRPr="002A00D3">
        <w:t>60 mg tablet and taking one of the two resulting [likely unequal] portions?</w:t>
      </w:r>
    </w:p>
    <w:p w:rsidR="00E82DD6" w:rsidRPr="002A00D3" w:rsidRDefault="00E82DD6" w:rsidP="00AC3D09">
      <w:pPr>
        <w:pStyle w:val="ListBullet"/>
      </w:pPr>
      <w:r w:rsidRPr="002A00D3">
        <w:t>In addition to clear statements on the product PI/CMI and labels that the tablet</w:t>
      </w:r>
      <w:r w:rsidR="00AC3D09" w:rsidRPr="002A00D3">
        <w:t xml:space="preserve"> </w:t>
      </w:r>
      <w:r w:rsidRPr="002A00D3">
        <w:t>must not be broken, could the risks be further mitigated by additional activities</w:t>
      </w:r>
      <w:r w:rsidR="00AC3D09" w:rsidRPr="002A00D3">
        <w:t xml:space="preserve"> </w:t>
      </w:r>
      <w:r w:rsidRPr="002A00D3">
        <w:t>such as targeting of healthcare professionals by the sponsor or appropriate</w:t>
      </w:r>
      <w:r w:rsidR="00AC3D09" w:rsidRPr="002A00D3">
        <w:t xml:space="preserve"> </w:t>
      </w:r>
      <w:r w:rsidRPr="002A00D3">
        <w:t>warnings in prescribing software?</w:t>
      </w:r>
    </w:p>
    <w:p w:rsidR="00E82DD6" w:rsidRDefault="00E82DD6" w:rsidP="00AC3D09">
      <w:pPr>
        <w:pStyle w:val="Heading4"/>
      </w:pPr>
      <w:r w:rsidRPr="002A00D3">
        <w:t>Advice from external clinical experts on the unscored 60 mg</w:t>
      </w:r>
      <w:r>
        <w:t xml:space="preserve"> </w:t>
      </w:r>
      <w:proofErr w:type="spellStart"/>
      <w:r>
        <w:t>gliclazide</w:t>
      </w:r>
      <w:proofErr w:type="spellEnd"/>
      <w:r>
        <w:t xml:space="preserve"> tablet</w:t>
      </w:r>
    </w:p>
    <w:p w:rsidR="00E82DD6" w:rsidRDefault="00E82DD6" w:rsidP="00AC3D09">
      <w:pPr>
        <w:pStyle w:val="Heading5"/>
        <w:rPr>
          <w:rFonts w:eastAsiaTheme="minorHAnsi"/>
        </w:rPr>
      </w:pPr>
      <w:r>
        <w:rPr>
          <w:rFonts w:eastAsiaTheme="minorHAnsi"/>
        </w:rPr>
        <w:t xml:space="preserve">Advice from external </w:t>
      </w:r>
      <w:r w:rsidR="00334434">
        <w:rPr>
          <w:rFonts w:eastAsiaTheme="minorHAnsi"/>
        </w:rPr>
        <w:t>e</w:t>
      </w:r>
      <w:r>
        <w:rPr>
          <w:rFonts w:eastAsiaTheme="minorHAnsi"/>
        </w:rPr>
        <w:t>xpert 1</w:t>
      </w:r>
    </w:p>
    <w:p w:rsidR="00E82DD6" w:rsidRDefault="00E82DD6" w:rsidP="00AC3D09">
      <w:pPr>
        <w:pStyle w:val="Heading6"/>
        <w:rPr>
          <w:rFonts w:eastAsiaTheme="minorHAnsi"/>
        </w:rPr>
      </w:pPr>
      <w:r>
        <w:rPr>
          <w:rFonts w:eastAsiaTheme="minorHAnsi"/>
        </w:rPr>
        <w:t>Issue to be addressed</w:t>
      </w:r>
    </w:p>
    <w:p w:rsidR="00E82DD6" w:rsidRDefault="00E82DD6" w:rsidP="00AC3D09">
      <w:r>
        <w:t xml:space="preserve">An application has been received for registration of a 60 mg </w:t>
      </w:r>
      <w:proofErr w:type="spellStart"/>
      <w:r>
        <w:t>gliclazide</w:t>
      </w:r>
      <w:proofErr w:type="spellEnd"/>
      <w:r>
        <w:t xml:space="preserve"> modified release</w:t>
      </w:r>
      <w:r w:rsidR="00AC3D09">
        <w:t xml:space="preserve"> </w:t>
      </w:r>
      <w:r>
        <w:t xml:space="preserve">tablet. </w:t>
      </w:r>
      <w:proofErr w:type="spellStart"/>
      <w:r>
        <w:t>Gliclazide</w:t>
      </w:r>
      <w:proofErr w:type="spellEnd"/>
      <w:r>
        <w:t xml:space="preserve"> is a member of the </w:t>
      </w:r>
      <w:proofErr w:type="spellStart"/>
      <w:r>
        <w:t>sulphonylurea</w:t>
      </w:r>
      <w:proofErr w:type="spellEnd"/>
      <w:r>
        <w:t xml:space="preserve"> drug fa</w:t>
      </w:r>
      <w:r w:rsidR="00334434">
        <w:t>mily used to assist control of T</w:t>
      </w:r>
      <w:r>
        <w:t>ype</w:t>
      </w:r>
      <w:r w:rsidR="00AC3D09">
        <w:t xml:space="preserve"> </w:t>
      </w:r>
      <w:r>
        <w:t xml:space="preserve">II diabetes mellitus. Unlike the only such product currently registered in Australia, </w:t>
      </w:r>
      <w:proofErr w:type="spellStart"/>
      <w:r>
        <w:t>Diamicron</w:t>
      </w:r>
      <w:proofErr w:type="spellEnd"/>
      <w:r w:rsidR="00AC3D09">
        <w:t xml:space="preserve"> </w:t>
      </w:r>
      <w:r>
        <w:t>60 mg MR, which is the reference product for the application, the proposed tablet has no</w:t>
      </w:r>
      <w:r w:rsidR="00AC3D09">
        <w:t xml:space="preserve"> </w:t>
      </w:r>
      <w:r>
        <w:t>score</w:t>
      </w:r>
      <w:r w:rsidR="00AC3D09">
        <w:t xml:space="preserve"> </w:t>
      </w:r>
      <w:r>
        <w:t>line enabling easy and accurate division into two 30 mg halves, enabling</w:t>
      </w:r>
      <w:r w:rsidR="00AC3D09">
        <w:t xml:space="preserve"> </w:t>
      </w:r>
      <w:r>
        <w:t>administration of doses of 30 or 90 mg which are in the recommended dose range for this</w:t>
      </w:r>
      <w:r w:rsidR="00AC3D09">
        <w:t xml:space="preserve"> </w:t>
      </w:r>
      <w:r>
        <w:t>medication.</w:t>
      </w:r>
    </w:p>
    <w:p w:rsidR="00E82DD6" w:rsidRDefault="00E82DD6" w:rsidP="00AC3D09">
      <w:r>
        <w:t>A 30 mg modified release formulation is also proposed within the same application. A</w:t>
      </w:r>
      <w:r w:rsidR="00AC3D09">
        <w:t xml:space="preserve"> </w:t>
      </w:r>
      <w:r>
        <w:t xml:space="preserve">number of alternative 30 mg </w:t>
      </w:r>
      <w:proofErr w:type="spellStart"/>
      <w:r>
        <w:t>gliclazide</w:t>
      </w:r>
      <w:proofErr w:type="spellEnd"/>
      <w:r>
        <w:t xml:space="preserve"> modified release products are already registered and</w:t>
      </w:r>
      <w:r w:rsidR="00AC3D09">
        <w:t xml:space="preserve"> </w:t>
      </w:r>
      <w:r>
        <w:t>marketed in Australia.</w:t>
      </w:r>
    </w:p>
    <w:p w:rsidR="00E82DD6" w:rsidRDefault="00E82DD6" w:rsidP="00AC3D09">
      <w:r>
        <w:t xml:space="preserve">The </w:t>
      </w:r>
      <w:r w:rsidR="00334434">
        <w:t>PI</w:t>
      </w:r>
      <w:r>
        <w:t xml:space="preserve">, </w:t>
      </w:r>
      <w:r w:rsidR="00334434">
        <w:t>CMI</w:t>
      </w:r>
      <w:r>
        <w:t xml:space="preserve"> and pack labelling of the proposed</w:t>
      </w:r>
      <w:r w:rsidR="00AC3D09">
        <w:t xml:space="preserve"> </w:t>
      </w:r>
      <w:r>
        <w:t>60 mg unscored tablet clearly states that the tablet should not be broken.</w:t>
      </w:r>
    </w:p>
    <w:p w:rsidR="00E82DD6" w:rsidRPr="00A20D14" w:rsidRDefault="00750E58" w:rsidP="00A20D14">
      <w:pPr>
        <w:pStyle w:val="Heading6"/>
        <w:rPr>
          <w:rStyle w:val="Heading6Char"/>
          <w:rFonts w:eastAsiaTheme="minorHAnsi"/>
        </w:rPr>
      </w:pPr>
      <w:r>
        <w:rPr>
          <w:rFonts w:eastAsiaTheme="minorHAnsi"/>
        </w:rPr>
        <w:t>Expert 1 o</w:t>
      </w:r>
      <w:r w:rsidR="00E82DD6">
        <w:rPr>
          <w:rFonts w:eastAsiaTheme="minorHAnsi"/>
        </w:rPr>
        <w:t>pinion</w:t>
      </w:r>
    </w:p>
    <w:p w:rsidR="00E82DD6" w:rsidRDefault="00E82DD6" w:rsidP="00A20D14">
      <w:pPr>
        <w:pStyle w:val="Numberbullet0"/>
      </w:pPr>
      <w:r>
        <w:t>If it were quite clear in the mind of both prescriber and patient that the intention was to</w:t>
      </w:r>
      <w:r w:rsidR="00AC3D09">
        <w:t xml:space="preserve"> </w:t>
      </w:r>
      <w:r>
        <w:t>take the entire tablet as a 60 mg dose and under no circumstances to change this, then</w:t>
      </w:r>
      <w:r w:rsidR="00AC3D09">
        <w:t xml:space="preserve"> </w:t>
      </w:r>
      <w:r>
        <w:t>there would be no objection to registration.</w:t>
      </w:r>
    </w:p>
    <w:p w:rsidR="00E82DD6" w:rsidRDefault="00E82DD6" w:rsidP="00A20D14">
      <w:pPr>
        <w:pStyle w:val="Numberbullet0"/>
      </w:pPr>
      <w:r>
        <w:t>Nevertheless there are a number of potential circumstances in which despite the above,</w:t>
      </w:r>
      <w:r w:rsidR="00AC3D09">
        <w:t xml:space="preserve"> </w:t>
      </w:r>
      <w:r>
        <w:t>patients might attempt division of the unscored tablet. For example they might, perhaps by</w:t>
      </w:r>
      <w:r w:rsidR="00AC3D09">
        <w:t xml:space="preserve"> </w:t>
      </w:r>
      <w:r>
        <w:t>another doctor, be advised to reduce the dose to 30 mg or increase it to 90 mg; or they</w:t>
      </w:r>
      <w:r w:rsidR="00AC3D09">
        <w:t xml:space="preserve"> </w:t>
      </w:r>
      <w:r>
        <w:t xml:space="preserve">might have been switched from the </w:t>
      </w:r>
      <w:proofErr w:type="spellStart"/>
      <w:r>
        <w:t>Diamicron</w:t>
      </w:r>
      <w:proofErr w:type="spellEnd"/>
      <w:r>
        <w:t xml:space="preserve"> MR preparation by a differential prescriber</w:t>
      </w:r>
      <w:r w:rsidR="00334434">
        <w:t>,</w:t>
      </w:r>
      <w:r w:rsidR="00AC3D09">
        <w:t xml:space="preserve"> </w:t>
      </w:r>
      <w:r>
        <w:t>who did not realise the distinction between the two preparations.</w:t>
      </w:r>
    </w:p>
    <w:p w:rsidR="00E82DD6" w:rsidRDefault="00E82DD6" w:rsidP="00A20D14">
      <w:pPr>
        <w:pStyle w:val="Numberbullet0"/>
      </w:pPr>
      <w:r>
        <w:t>Breaking the unscored tablet, with or without the assistance of a tablet cutter, is likely to</w:t>
      </w:r>
      <w:r w:rsidR="00AC3D09">
        <w:t xml:space="preserve"> </w:t>
      </w:r>
      <w:r>
        <w:t>result in significant maldistribution of dose between the divided portions. In the case of a</w:t>
      </w:r>
      <w:r w:rsidR="00AC3D09">
        <w:t xml:space="preserve"> </w:t>
      </w:r>
      <w:r>
        <w:t xml:space="preserve">patient used to taking 30 mg which is the recommended starting dose of </w:t>
      </w:r>
      <w:proofErr w:type="spellStart"/>
      <w:r>
        <w:t>gliclazide</w:t>
      </w:r>
      <w:proofErr w:type="spellEnd"/>
      <w:r>
        <w:t xml:space="preserve"> MR, this</w:t>
      </w:r>
      <w:r w:rsidR="00AC3D09">
        <w:t xml:space="preserve"> </w:t>
      </w:r>
      <w:r>
        <w:t xml:space="preserve">might result in a dosing error in the order of 30%. In </w:t>
      </w:r>
      <w:r w:rsidR="00334434">
        <w:t>this expert’s</w:t>
      </w:r>
      <w:r>
        <w:t xml:space="preserve"> experience and knowledge of</w:t>
      </w:r>
      <w:r w:rsidR="00AC3D09">
        <w:t xml:space="preserve"> </w:t>
      </w:r>
      <w:r>
        <w:t>the experience of colleagues in the diabetes field, the 30 mg dose is relatively ineffective, so</w:t>
      </w:r>
      <w:r w:rsidR="00AC3D09">
        <w:t xml:space="preserve"> </w:t>
      </w:r>
      <w:r>
        <w:t>that a dosing error at this level would be unlikely to have serious consequences.</w:t>
      </w:r>
      <w:r w:rsidR="00A20D14">
        <w:t xml:space="preserve"> </w:t>
      </w:r>
      <w:r>
        <w:t>Nevertheless it is a bad principle to deliberately use a preparation with the potential to result</w:t>
      </w:r>
      <w:r w:rsidR="00AC3D09">
        <w:t xml:space="preserve"> </w:t>
      </w:r>
      <w:r>
        <w:t>in such errors which might contribute to even low-level diabetes instability possibly over a</w:t>
      </w:r>
      <w:r w:rsidR="00AC3D09">
        <w:t xml:space="preserve"> </w:t>
      </w:r>
      <w:r>
        <w:t>long period of time.</w:t>
      </w:r>
    </w:p>
    <w:p w:rsidR="00E82DD6" w:rsidRDefault="00E82DD6" w:rsidP="00A20D14">
      <w:pPr>
        <w:pStyle w:val="Numberbullet0"/>
      </w:pPr>
      <w:r>
        <w:lastRenderedPageBreak/>
        <w:t>It is possible for patients to be switched from original to generic products without the</w:t>
      </w:r>
      <w:r w:rsidR="00AC3D09">
        <w:t xml:space="preserve"> </w:t>
      </w:r>
      <w:r>
        <w:t>knowledge of the prescriber. W</w:t>
      </w:r>
      <w:r w:rsidR="00A20D14">
        <w:t>h</w:t>
      </w:r>
      <w:r>
        <w:t>ere</w:t>
      </w:r>
      <w:r w:rsidR="00A20D14">
        <w:t xml:space="preserve"> </w:t>
      </w:r>
      <w:r>
        <w:t>this to happen in the instance of a patient who is used to</w:t>
      </w:r>
      <w:r w:rsidR="00AC3D09">
        <w:t xml:space="preserve"> </w:t>
      </w:r>
      <w:r>
        <w:t>breaking the original tablet in half</w:t>
      </w:r>
      <w:r w:rsidR="00A20D14">
        <w:t>,</w:t>
      </w:r>
      <w:r>
        <w:t xml:space="preserve"> possibly without the knowledge of the dispensing</w:t>
      </w:r>
      <w:r w:rsidR="00AC3D09">
        <w:t xml:space="preserve"> </w:t>
      </w:r>
      <w:r>
        <w:t>pharmacist</w:t>
      </w:r>
      <w:r w:rsidR="00A20D14">
        <w:t>,</w:t>
      </w:r>
      <w:r>
        <w:t xml:space="preserve"> there is the potential for errors to develop as described in the previous</w:t>
      </w:r>
      <w:r w:rsidR="00AC3D09">
        <w:t xml:space="preserve"> </w:t>
      </w:r>
      <w:r>
        <w:t>paragraph.</w:t>
      </w:r>
    </w:p>
    <w:p w:rsidR="00E82DD6" w:rsidRDefault="00E82DD6" w:rsidP="00A20D14">
      <w:pPr>
        <w:pStyle w:val="Numberbullet0"/>
      </w:pPr>
      <w:r>
        <w:t>For patients needing a 30 mg dose, there is a perfectly satisfactory 30 mg formulation.</w:t>
      </w:r>
    </w:p>
    <w:p w:rsidR="00E82DD6" w:rsidRDefault="00E82DD6" w:rsidP="00A20D14">
      <w:pPr>
        <w:pStyle w:val="Numberbullet0"/>
      </w:pPr>
      <w:r>
        <w:t xml:space="preserve">With regard to </w:t>
      </w:r>
      <w:r w:rsidR="00A20D14">
        <w:t>the</w:t>
      </w:r>
      <w:r>
        <w:t xml:space="preserve"> question as to whether the risks of adverse consequences as</w:t>
      </w:r>
      <w:r w:rsidR="00AC3D09">
        <w:t xml:space="preserve"> </w:t>
      </w:r>
      <w:r>
        <w:t>described above might be mitigated by activity such as the targeting of healthcare</w:t>
      </w:r>
      <w:r w:rsidR="00AC3D09">
        <w:t xml:space="preserve"> </w:t>
      </w:r>
      <w:r>
        <w:t xml:space="preserve">professionals or warnings in prescribing software, </w:t>
      </w:r>
      <w:r w:rsidR="00334434">
        <w:t xml:space="preserve">this expert </w:t>
      </w:r>
      <w:r>
        <w:t>do</w:t>
      </w:r>
      <w:r w:rsidR="00334434">
        <w:t>es</w:t>
      </w:r>
      <w:r>
        <w:t xml:space="preserve"> not believe that such </w:t>
      </w:r>
      <w:r w:rsidR="00AC3D09">
        <w:t>m</w:t>
      </w:r>
      <w:r>
        <w:t>easures</w:t>
      </w:r>
      <w:r w:rsidR="00AC3D09">
        <w:t xml:space="preserve"> </w:t>
      </w:r>
      <w:r>
        <w:t xml:space="preserve">would provide sufficient protection. The types of error which </w:t>
      </w:r>
      <w:r w:rsidR="00334434">
        <w:t>are</w:t>
      </w:r>
      <w:r>
        <w:t xml:space="preserve"> described above could</w:t>
      </w:r>
      <w:r w:rsidR="00AC3D09">
        <w:t xml:space="preserve"> </w:t>
      </w:r>
      <w:r>
        <w:t>occur without the knowledge of the original prescriber or dispensing pharmacist.</w:t>
      </w:r>
    </w:p>
    <w:p w:rsidR="00E82DD6" w:rsidRDefault="00E82DD6" w:rsidP="00A20D14">
      <w:pPr>
        <w:pStyle w:val="Numberbullet0"/>
      </w:pPr>
      <w:r>
        <w:t xml:space="preserve">The information </w:t>
      </w:r>
      <w:r w:rsidR="00334434">
        <w:t>that the TGA</w:t>
      </w:r>
      <w:r>
        <w:t xml:space="preserve"> ha</w:t>
      </w:r>
      <w:r w:rsidR="00334434">
        <w:t xml:space="preserve">s </w:t>
      </w:r>
      <w:r>
        <w:t xml:space="preserve">provided in </w:t>
      </w:r>
      <w:r w:rsidR="00334434">
        <w:t>this</w:t>
      </w:r>
      <w:r>
        <w:t xml:space="preserve"> request makes it clear that the sponsor of the</w:t>
      </w:r>
      <w:r w:rsidR="00AC3D09">
        <w:t xml:space="preserve"> </w:t>
      </w:r>
      <w:r>
        <w:t>proposed generic 60 mg formulation would have included a score</w:t>
      </w:r>
      <w:r w:rsidR="00AC3D09">
        <w:t xml:space="preserve"> </w:t>
      </w:r>
      <w:r>
        <w:t>line facilitating division of</w:t>
      </w:r>
      <w:r w:rsidR="00AC3D09">
        <w:t xml:space="preserve"> </w:t>
      </w:r>
      <w:r>
        <w:t>the tablet were it not for patent issues relating to the original product. The product</w:t>
      </w:r>
      <w:r w:rsidR="00AC3D09">
        <w:t xml:space="preserve"> </w:t>
      </w:r>
      <w:r>
        <w:t>information for the original product makes it clear that the score</w:t>
      </w:r>
      <w:r w:rsidR="00334434">
        <w:t xml:space="preserve"> </w:t>
      </w:r>
      <w:r>
        <w:t>line is there for the purpose</w:t>
      </w:r>
      <w:r w:rsidR="00AC3D09">
        <w:t xml:space="preserve"> </w:t>
      </w:r>
      <w:r>
        <w:t xml:space="preserve">of enabling intermediate dose levels as described </w:t>
      </w:r>
      <w:r w:rsidR="00334434">
        <w:t>above</w:t>
      </w:r>
      <w:r>
        <w:t>. Accordingly, the</w:t>
      </w:r>
      <w:r w:rsidR="00AC3D09">
        <w:t xml:space="preserve"> </w:t>
      </w:r>
      <w:r>
        <w:t>proposed unscored product is an incomplete and hence unsatisfactory substitute.</w:t>
      </w:r>
    </w:p>
    <w:p w:rsidR="00E82DD6" w:rsidRPr="00A20D14" w:rsidRDefault="00E82DD6" w:rsidP="00A20D14">
      <w:pPr>
        <w:pStyle w:val="Numberbullet0"/>
        <w:numPr>
          <w:ilvl w:val="0"/>
          <w:numId w:val="0"/>
        </w:numPr>
      </w:pPr>
      <w:r w:rsidRPr="00A20D14">
        <w:t xml:space="preserve">In summary, </w:t>
      </w:r>
      <w:r w:rsidR="00AC3D09" w:rsidRPr="00A20D14">
        <w:t xml:space="preserve">it is </w:t>
      </w:r>
      <w:r w:rsidRPr="00A20D14">
        <w:t>consider that the absence of the feature (the score</w:t>
      </w:r>
      <w:r w:rsidR="00AC3D09" w:rsidRPr="00A20D14">
        <w:t xml:space="preserve"> </w:t>
      </w:r>
      <w:r w:rsidRPr="00A20D14">
        <w:t>line) which enables</w:t>
      </w:r>
      <w:r w:rsidR="00AC3D09" w:rsidRPr="00A20D14">
        <w:t xml:space="preserve"> </w:t>
      </w:r>
      <w:r w:rsidRPr="00A20D14">
        <w:t>division of the tablet makes the proposed formulation an unsatisfactory alternative to the</w:t>
      </w:r>
      <w:r w:rsidR="00AC3D09" w:rsidRPr="00A20D14">
        <w:t xml:space="preserve"> </w:t>
      </w:r>
      <w:r w:rsidRPr="00A20D14">
        <w:t xml:space="preserve">existing and long established original </w:t>
      </w:r>
      <w:proofErr w:type="spellStart"/>
      <w:r w:rsidRPr="00A20D14">
        <w:t>Diamicron</w:t>
      </w:r>
      <w:proofErr w:type="spellEnd"/>
      <w:r w:rsidRPr="00A20D14">
        <w:t xml:space="preserve"> 60 mg MR formulation and that it is</w:t>
      </w:r>
      <w:r w:rsidR="00AC3D09" w:rsidRPr="00A20D14">
        <w:t xml:space="preserve"> </w:t>
      </w:r>
      <w:r w:rsidRPr="00A20D14">
        <w:t>therefore unsuitable for registration.</w:t>
      </w:r>
    </w:p>
    <w:p w:rsidR="00E82DD6" w:rsidRDefault="00E82DD6" w:rsidP="00A20D14">
      <w:pPr>
        <w:pStyle w:val="Numberbullet0"/>
        <w:numPr>
          <w:ilvl w:val="0"/>
          <w:numId w:val="0"/>
        </w:numPr>
        <w:ind w:left="425" w:hanging="425"/>
      </w:pPr>
      <w:r>
        <w:t>Cost factors have not been considered in forming this opinion.</w:t>
      </w:r>
    </w:p>
    <w:p w:rsidR="00E82DD6" w:rsidRDefault="00E82DD6" w:rsidP="00A20D14">
      <w:pPr>
        <w:pStyle w:val="Heading5"/>
        <w:rPr>
          <w:rFonts w:eastAsiaTheme="minorHAnsi"/>
        </w:rPr>
      </w:pPr>
      <w:r>
        <w:rPr>
          <w:rFonts w:eastAsiaTheme="minorHAnsi"/>
        </w:rPr>
        <w:t xml:space="preserve">Advice from external </w:t>
      </w:r>
      <w:r w:rsidR="00334434">
        <w:rPr>
          <w:rFonts w:eastAsiaTheme="minorHAnsi"/>
        </w:rPr>
        <w:t>e</w:t>
      </w:r>
      <w:r>
        <w:rPr>
          <w:rFonts w:eastAsiaTheme="minorHAnsi"/>
        </w:rPr>
        <w:t>xpert 2</w:t>
      </w:r>
    </w:p>
    <w:p w:rsidR="00E82DD6" w:rsidRPr="00334434" w:rsidRDefault="00C647FE" w:rsidP="00304EC6">
      <w:r>
        <w:t>A s</w:t>
      </w:r>
      <w:r w:rsidR="00E82DD6" w:rsidRPr="00334434">
        <w:t xml:space="preserve">ummary of </w:t>
      </w:r>
      <w:r w:rsidR="002B7759" w:rsidRPr="00334434">
        <w:t>p</w:t>
      </w:r>
      <w:r w:rsidR="00E82DD6" w:rsidRPr="00334434">
        <w:t>roducts as indicated in brief from the TGA</w:t>
      </w:r>
      <w:r w:rsidR="002B7759" w:rsidRPr="00334434">
        <w:t xml:space="preserve"> are shown in Table</w:t>
      </w:r>
      <w:r w:rsidR="00334434" w:rsidRPr="00334434">
        <w:t xml:space="preserve"> 4.</w:t>
      </w:r>
    </w:p>
    <w:p w:rsidR="002B7759" w:rsidRPr="002B7759" w:rsidRDefault="002B7759" w:rsidP="002B7759">
      <w:pPr>
        <w:pStyle w:val="TableTitle"/>
      </w:pPr>
      <w:r>
        <w:t xml:space="preserve">Table </w:t>
      </w:r>
      <w:r w:rsidR="00334434">
        <w:t xml:space="preserve">4: </w:t>
      </w:r>
      <w:r>
        <w:t>Summary of products</w:t>
      </w:r>
    </w:p>
    <w:tbl>
      <w:tblPr>
        <w:tblStyle w:val="TableTGAblue"/>
        <w:tblW w:w="0" w:type="auto"/>
        <w:tblLook w:val="04A0" w:firstRow="1" w:lastRow="0" w:firstColumn="1" w:lastColumn="0" w:noHBand="0" w:noVBand="1"/>
      </w:tblPr>
      <w:tblGrid>
        <w:gridCol w:w="1668"/>
        <w:gridCol w:w="1701"/>
        <w:gridCol w:w="2126"/>
        <w:gridCol w:w="3225"/>
      </w:tblGrid>
      <w:tr w:rsidR="002B7759" w:rsidTr="00304EC6">
        <w:trPr>
          <w:cnfStyle w:val="100000000000" w:firstRow="1" w:lastRow="0" w:firstColumn="0" w:lastColumn="0" w:oddVBand="0" w:evenVBand="0" w:oddHBand="0" w:evenHBand="0" w:firstRowFirstColumn="0" w:firstRowLastColumn="0" w:lastRowFirstColumn="0" w:lastRowLastColumn="0"/>
        </w:trPr>
        <w:tc>
          <w:tcPr>
            <w:tcW w:w="1668" w:type="dxa"/>
          </w:tcPr>
          <w:p w:rsidR="002B7759" w:rsidRPr="002B7759" w:rsidRDefault="002B7759" w:rsidP="00304EC6">
            <w:pPr>
              <w:ind w:left="0"/>
            </w:pPr>
          </w:p>
        </w:tc>
        <w:tc>
          <w:tcPr>
            <w:tcW w:w="1701" w:type="dxa"/>
          </w:tcPr>
          <w:p w:rsidR="002B7759" w:rsidRPr="002B7759" w:rsidRDefault="002B7759" w:rsidP="00304EC6">
            <w:pPr>
              <w:ind w:left="0"/>
            </w:pPr>
            <w:r w:rsidRPr="002B7759">
              <w:rPr>
                <w:rFonts w:eastAsiaTheme="minorHAnsi" w:cs="Arial"/>
              </w:rPr>
              <w:t>30 mg tablet</w:t>
            </w:r>
          </w:p>
        </w:tc>
        <w:tc>
          <w:tcPr>
            <w:tcW w:w="2126" w:type="dxa"/>
          </w:tcPr>
          <w:p w:rsidR="002B7759" w:rsidRPr="002B7759" w:rsidRDefault="002B7759" w:rsidP="00304EC6">
            <w:pPr>
              <w:ind w:left="34"/>
            </w:pPr>
            <w:r w:rsidRPr="002B7759">
              <w:rPr>
                <w:rFonts w:eastAsiaTheme="minorHAnsi" w:cs="Arial"/>
              </w:rPr>
              <w:t>60 mg tablet comment</w:t>
            </w:r>
          </w:p>
        </w:tc>
        <w:tc>
          <w:tcPr>
            <w:tcW w:w="3225" w:type="dxa"/>
          </w:tcPr>
          <w:p w:rsidR="002B7759" w:rsidRPr="002B7759" w:rsidRDefault="002B7759" w:rsidP="00304EC6">
            <w:pPr>
              <w:ind w:left="34"/>
            </w:pPr>
            <w:r w:rsidRPr="002B7759">
              <w:t>Comment</w:t>
            </w:r>
          </w:p>
        </w:tc>
      </w:tr>
      <w:tr w:rsidR="00207B99" w:rsidTr="00304EC6">
        <w:tc>
          <w:tcPr>
            <w:tcW w:w="8720" w:type="dxa"/>
            <w:gridSpan w:val="4"/>
          </w:tcPr>
          <w:p w:rsidR="00207B99" w:rsidRPr="002B7759" w:rsidRDefault="00207B99" w:rsidP="00304EC6">
            <w:pPr>
              <w:ind w:left="34"/>
              <w:rPr>
                <w:rFonts w:eastAsiaTheme="minorHAnsi" w:cs="Arial"/>
              </w:rPr>
            </w:pPr>
            <w:r w:rsidRPr="002B7759">
              <w:rPr>
                <w:rFonts w:eastAsiaTheme="minorHAnsi" w:cs="Arial"/>
              </w:rPr>
              <w:t xml:space="preserve">Reference </w:t>
            </w:r>
            <w:r>
              <w:rPr>
                <w:rFonts w:eastAsiaTheme="minorHAnsi" w:cs="Arial"/>
              </w:rPr>
              <w:t>p</w:t>
            </w:r>
            <w:r w:rsidRPr="002B7759">
              <w:rPr>
                <w:rFonts w:eastAsiaTheme="minorHAnsi" w:cs="Arial"/>
              </w:rPr>
              <w:t xml:space="preserve">roduct </w:t>
            </w:r>
            <w:proofErr w:type="spellStart"/>
            <w:r w:rsidRPr="002B7759">
              <w:rPr>
                <w:rFonts w:eastAsiaTheme="minorHAnsi" w:cs="Arial"/>
              </w:rPr>
              <w:t>Servier</w:t>
            </w:r>
            <w:proofErr w:type="spellEnd"/>
          </w:p>
        </w:tc>
      </w:tr>
      <w:tr w:rsidR="002B7759" w:rsidTr="00304EC6">
        <w:tc>
          <w:tcPr>
            <w:tcW w:w="1668" w:type="dxa"/>
          </w:tcPr>
          <w:p w:rsidR="002B7759" w:rsidRPr="002B7759" w:rsidRDefault="00C647FE" w:rsidP="00304EC6">
            <w:pPr>
              <w:ind w:left="0"/>
            </w:pPr>
            <w:r>
              <w:rPr>
                <w:rFonts w:eastAsiaTheme="minorHAnsi" w:cs="Arial"/>
              </w:rPr>
              <w:t>Australia</w:t>
            </w:r>
          </w:p>
        </w:tc>
        <w:tc>
          <w:tcPr>
            <w:tcW w:w="1701" w:type="dxa"/>
          </w:tcPr>
          <w:p w:rsidR="002B7759" w:rsidRPr="002B7759" w:rsidRDefault="002B7759" w:rsidP="00304EC6">
            <w:pPr>
              <w:ind w:left="0"/>
            </w:pPr>
            <w:proofErr w:type="spellStart"/>
            <w:r w:rsidRPr="002B7759">
              <w:rPr>
                <w:rFonts w:eastAsiaTheme="minorHAnsi" w:cs="Arial"/>
              </w:rPr>
              <w:t>Glyade</w:t>
            </w:r>
            <w:proofErr w:type="spellEnd"/>
            <w:r w:rsidRPr="002B7759">
              <w:rPr>
                <w:rFonts w:eastAsiaTheme="minorHAnsi" w:cs="Arial"/>
              </w:rPr>
              <w:t xml:space="preserve"> MR</w:t>
            </w:r>
          </w:p>
        </w:tc>
        <w:tc>
          <w:tcPr>
            <w:tcW w:w="2126" w:type="dxa"/>
          </w:tcPr>
          <w:p w:rsidR="002B7759" w:rsidRPr="002B7759" w:rsidRDefault="002B7759" w:rsidP="00304EC6">
            <w:pPr>
              <w:ind w:left="34"/>
            </w:pPr>
            <w:proofErr w:type="spellStart"/>
            <w:r w:rsidRPr="002B7759">
              <w:rPr>
                <w:rFonts w:eastAsiaTheme="minorHAnsi" w:cs="Arial"/>
              </w:rPr>
              <w:t>Diamicron</w:t>
            </w:r>
            <w:proofErr w:type="spellEnd"/>
            <w:r w:rsidRPr="002B7759">
              <w:rPr>
                <w:rFonts w:eastAsiaTheme="minorHAnsi" w:cs="Arial"/>
              </w:rPr>
              <w:t xml:space="preserve"> MR scored</w:t>
            </w:r>
          </w:p>
        </w:tc>
        <w:tc>
          <w:tcPr>
            <w:tcW w:w="3225" w:type="dxa"/>
          </w:tcPr>
          <w:p w:rsidR="002B7759" w:rsidRPr="002B7759" w:rsidRDefault="002B7759" w:rsidP="00304EC6">
            <w:pPr>
              <w:ind w:left="34"/>
            </w:pPr>
            <w:r w:rsidRPr="002B7759">
              <w:rPr>
                <w:rFonts w:eastAsiaTheme="minorHAnsi" w:cs="Arial"/>
              </w:rPr>
              <w:t>Use of 30 mg tablet is uncommon even if prescribed, pharmacists dispense 60 mg, with instructions to break it in half</w:t>
            </w:r>
          </w:p>
        </w:tc>
      </w:tr>
      <w:tr w:rsidR="002B7759" w:rsidTr="00304EC6">
        <w:tc>
          <w:tcPr>
            <w:tcW w:w="8720" w:type="dxa"/>
            <w:gridSpan w:val="4"/>
          </w:tcPr>
          <w:p w:rsidR="002B7759" w:rsidRPr="002B7759" w:rsidRDefault="002B7759" w:rsidP="00304EC6">
            <w:pPr>
              <w:ind w:left="34"/>
            </w:pPr>
            <w:r w:rsidRPr="002B7759">
              <w:rPr>
                <w:rFonts w:eastAsiaTheme="minorHAnsi" w:cs="Arial"/>
              </w:rPr>
              <w:t xml:space="preserve">Proposed </w:t>
            </w:r>
            <w:r w:rsidR="00C647FE">
              <w:rPr>
                <w:rFonts w:eastAsiaTheme="minorHAnsi" w:cs="Arial"/>
              </w:rPr>
              <w:t>p</w:t>
            </w:r>
            <w:r w:rsidRPr="002B7759">
              <w:rPr>
                <w:rFonts w:eastAsiaTheme="minorHAnsi" w:cs="Arial"/>
              </w:rPr>
              <w:t>roduct</w:t>
            </w:r>
            <w:r w:rsidR="00207B99">
              <w:rPr>
                <w:rFonts w:eastAsiaTheme="minorHAnsi" w:cs="Arial"/>
              </w:rPr>
              <w:t xml:space="preserve"> </w:t>
            </w:r>
            <w:r w:rsidR="00C647FE">
              <w:rPr>
                <w:rFonts w:eastAsiaTheme="minorHAnsi" w:cs="Arial"/>
              </w:rPr>
              <w:t>g</w:t>
            </w:r>
            <w:r w:rsidRPr="002B7759">
              <w:rPr>
                <w:rFonts w:eastAsiaTheme="minorHAnsi" w:cs="Arial"/>
              </w:rPr>
              <w:t xml:space="preserve">eneric </w:t>
            </w:r>
            <w:proofErr w:type="spellStart"/>
            <w:r w:rsidRPr="002B7759">
              <w:rPr>
                <w:rFonts w:eastAsiaTheme="minorHAnsi" w:cs="Arial"/>
              </w:rPr>
              <w:t>gliclazide</w:t>
            </w:r>
            <w:proofErr w:type="spellEnd"/>
          </w:p>
        </w:tc>
      </w:tr>
      <w:tr w:rsidR="002B7759" w:rsidTr="00304EC6">
        <w:tc>
          <w:tcPr>
            <w:tcW w:w="1668" w:type="dxa"/>
          </w:tcPr>
          <w:p w:rsidR="002B7759" w:rsidRPr="002B7759" w:rsidRDefault="002B7759" w:rsidP="00304EC6">
            <w:pPr>
              <w:ind w:left="0"/>
            </w:pPr>
            <w:r w:rsidRPr="002B7759">
              <w:rPr>
                <w:rFonts w:eastAsiaTheme="minorHAnsi" w:cs="Arial"/>
              </w:rPr>
              <w:t>EU countries*</w:t>
            </w:r>
          </w:p>
        </w:tc>
        <w:tc>
          <w:tcPr>
            <w:tcW w:w="1701" w:type="dxa"/>
          </w:tcPr>
          <w:p w:rsidR="002B7759" w:rsidRPr="002B7759" w:rsidRDefault="002B7759" w:rsidP="00304EC6">
            <w:pPr>
              <w:ind w:left="0"/>
            </w:pPr>
            <w:proofErr w:type="spellStart"/>
            <w:r w:rsidRPr="002B7759">
              <w:rPr>
                <w:rFonts w:eastAsiaTheme="minorHAnsi" w:cs="Arial"/>
              </w:rPr>
              <w:t>Gliclazide</w:t>
            </w:r>
            <w:proofErr w:type="spellEnd"/>
            <w:r w:rsidRPr="002B7759">
              <w:rPr>
                <w:rFonts w:eastAsiaTheme="minorHAnsi" w:cs="Arial"/>
              </w:rPr>
              <w:t xml:space="preserve"> MR</w:t>
            </w:r>
          </w:p>
        </w:tc>
        <w:tc>
          <w:tcPr>
            <w:tcW w:w="2126" w:type="dxa"/>
          </w:tcPr>
          <w:p w:rsidR="002B7759" w:rsidRPr="002B7759" w:rsidRDefault="002B7759" w:rsidP="00304EC6">
            <w:pPr>
              <w:ind w:left="34"/>
            </w:pPr>
            <w:proofErr w:type="spellStart"/>
            <w:r w:rsidRPr="002B7759">
              <w:rPr>
                <w:rFonts w:eastAsiaTheme="minorHAnsi" w:cs="Arial"/>
              </w:rPr>
              <w:t>Gliclazide</w:t>
            </w:r>
            <w:proofErr w:type="spellEnd"/>
            <w:r w:rsidRPr="002B7759">
              <w:rPr>
                <w:rFonts w:eastAsiaTheme="minorHAnsi" w:cs="Arial"/>
              </w:rPr>
              <w:t xml:space="preserve"> MR scored</w:t>
            </w:r>
          </w:p>
        </w:tc>
        <w:tc>
          <w:tcPr>
            <w:tcW w:w="3225" w:type="dxa"/>
          </w:tcPr>
          <w:p w:rsidR="002B7759" w:rsidRPr="002B7759" w:rsidRDefault="002B7759" w:rsidP="00304EC6">
            <w:pPr>
              <w:ind w:left="34"/>
            </w:pPr>
            <w:r w:rsidRPr="002B7759">
              <w:rPr>
                <w:rFonts w:eastAsiaTheme="minorHAnsi" w:cs="Arial"/>
              </w:rPr>
              <w:t>Scored tablets registered in EU countries, withdrawn from UK and Ireland for commercial reasons</w:t>
            </w:r>
          </w:p>
        </w:tc>
      </w:tr>
      <w:tr w:rsidR="002B7759" w:rsidTr="00304EC6">
        <w:tc>
          <w:tcPr>
            <w:tcW w:w="1668" w:type="dxa"/>
          </w:tcPr>
          <w:p w:rsidR="002B7759" w:rsidRPr="002B7759" w:rsidRDefault="002B7759" w:rsidP="00304EC6">
            <w:pPr>
              <w:ind w:left="0"/>
            </w:pPr>
            <w:r w:rsidRPr="002B7759">
              <w:rPr>
                <w:rFonts w:eastAsiaTheme="minorHAnsi" w:cs="Arial"/>
              </w:rPr>
              <w:t>Canada</w:t>
            </w:r>
            <w:r w:rsidR="00304EC6">
              <w:rPr>
                <w:rFonts w:eastAsiaTheme="minorHAnsi" w:cs="Arial"/>
              </w:rPr>
              <w:t xml:space="preserve"> </w:t>
            </w:r>
            <w:r w:rsidR="00C647FE">
              <w:rPr>
                <w:rFonts w:eastAsiaTheme="minorHAnsi" w:cs="Arial"/>
              </w:rPr>
              <w:t>A</w:t>
            </w:r>
            <w:r w:rsidRPr="002B7759">
              <w:rPr>
                <w:rFonts w:eastAsiaTheme="minorHAnsi" w:cs="Arial"/>
              </w:rPr>
              <w:t>pproved marketed</w:t>
            </w:r>
          </w:p>
        </w:tc>
        <w:tc>
          <w:tcPr>
            <w:tcW w:w="1701" w:type="dxa"/>
          </w:tcPr>
          <w:p w:rsidR="002B7759" w:rsidRPr="002B7759" w:rsidRDefault="002B7759" w:rsidP="00304EC6">
            <w:pPr>
              <w:ind w:left="0"/>
            </w:pPr>
            <w:proofErr w:type="spellStart"/>
            <w:r w:rsidRPr="002B7759">
              <w:rPr>
                <w:rFonts w:eastAsiaTheme="minorHAnsi" w:cs="Arial"/>
              </w:rPr>
              <w:t>Gliclazide</w:t>
            </w:r>
            <w:proofErr w:type="spellEnd"/>
            <w:r w:rsidRPr="002B7759">
              <w:rPr>
                <w:rFonts w:eastAsiaTheme="minorHAnsi" w:cs="Arial"/>
              </w:rPr>
              <w:t xml:space="preserve"> MR</w:t>
            </w:r>
          </w:p>
        </w:tc>
        <w:tc>
          <w:tcPr>
            <w:tcW w:w="2126" w:type="dxa"/>
          </w:tcPr>
          <w:p w:rsidR="002B7759" w:rsidRPr="002B7759" w:rsidRDefault="002B7759" w:rsidP="00304EC6">
            <w:pPr>
              <w:ind w:left="34"/>
            </w:pPr>
            <w:proofErr w:type="spellStart"/>
            <w:r w:rsidRPr="002B7759">
              <w:rPr>
                <w:rFonts w:eastAsiaTheme="minorHAnsi" w:cs="Arial"/>
              </w:rPr>
              <w:t>Gliclazide</w:t>
            </w:r>
            <w:proofErr w:type="spellEnd"/>
            <w:r w:rsidRPr="002B7759">
              <w:rPr>
                <w:rFonts w:eastAsiaTheme="minorHAnsi" w:cs="Arial"/>
              </w:rPr>
              <w:t xml:space="preserve"> MR scored</w:t>
            </w:r>
          </w:p>
        </w:tc>
        <w:tc>
          <w:tcPr>
            <w:tcW w:w="3225" w:type="dxa"/>
          </w:tcPr>
          <w:p w:rsidR="002B7759" w:rsidRPr="002B7759" w:rsidRDefault="002B7759" w:rsidP="00304EC6">
            <w:pPr>
              <w:ind w:left="34"/>
            </w:pPr>
            <w:r w:rsidRPr="002B7759">
              <w:rPr>
                <w:rFonts w:eastAsiaTheme="minorHAnsi" w:cs="Arial"/>
              </w:rPr>
              <w:t>Scored tablet is approved but not marketed due to</w:t>
            </w:r>
            <w:r w:rsidR="00D25EDA">
              <w:rPr>
                <w:rFonts w:eastAsiaTheme="minorHAnsi" w:cs="Arial"/>
              </w:rPr>
              <w:t xml:space="preserve"> </w:t>
            </w:r>
            <w:r w:rsidRPr="002B7759">
              <w:rPr>
                <w:rFonts w:eastAsiaTheme="minorHAnsi" w:cs="Arial"/>
              </w:rPr>
              <w:t>p</w:t>
            </w:r>
            <w:r w:rsidR="00D25EDA">
              <w:rPr>
                <w:rFonts w:eastAsiaTheme="minorHAnsi" w:cs="Arial"/>
              </w:rPr>
              <w:t>a</w:t>
            </w:r>
            <w:r w:rsidRPr="002B7759">
              <w:rPr>
                <w:rFonts w:eastAsiaTheme="minorHAnsi" w:cs="Arial"/>
              </w:rPr>
              <w:t>tent issues with the score line</w:t>
            </w:r>
          </w:p>
        </w:tc>
      </w:tr>
      <w:tr w:rsidR="002B7759" w:rsidTr="00304EC6">
        <w:tc>
          <w:tcPr>
            <w:tcW w:w="1668" w:type="dxa"/>
          </w:tcPr>
          <w:p w:rsidR="002B7759" w:rsidRPr="002B7759" w:rsidRDefault="002B7759" w:rsidP="00304EC6">
            <w:pPr>
              <w:ind w:left="0"/>
            </w:pPr>
            <w:r w:rsidRPr="002B7759">
              <w:lastRenderedPageBreak/>
              <w:t>Australia</w:t>
            </w:r>
          </w:p>
        </w:tc>
        <w:tc>
          <w:tcPr>
            <w:tcW w:w="1701" w:type="dxa"/>
          </w:tcPr>
          <w:p w:rsidR="002B7759" w:rsidRPr="002B7759" w:rsidRDefault="002B7759" w:rsidP="00304EC6">
            <w:pPr>
              <w:ind w:left="0"/>
            </w:pPr>
            <w:proofErr w:type="spellStart"/>
            <w:r w:rsidRPr="002B7759">
              <w:rPr>
                <w:rFonts w:eastAsiaTheme="minorHAnsi" w:cs="Arial"/>
              </w:rPr>
              <w:t>Gliclazide</w:t>
            </w:r>
            <w:proofErr w:type="spellEnd"/>
            <w:r w:rsidRPr="002B7759">
              <w:rPr>
                <w:rFonts w:eastAsiaTheme="minorHAnsi" w:cs="Arial"/>
              </w:rPr>
              <w:t xml:space="preserve"> MR</w:t>
            </w:r>
          </w:p>
        </w:tc>
        <w:tc>
          <w:tcPr>
            <w:tcW w:w="2126" w:type="dxa"/>
          </w:tcPr>
          <w:p w:rsidR="002B7759" w:rsidRPr="002B7759" w:rsidRDefault="002B7759" w:rsidP="00304EC6">
            <w:pPr>
              <w:ind w:left="34"/>
            </w:pPr>
            <w:proofErr w:type="spellStart"/>
            <w:r w:rsidRPr="002B7759">
              <w:rPr>
                <w:rFonts w:eastAsiaTheme="minorHAnsi" w:cs="Arial"/>
              </w:rPr>
              <w:t>Gliclazide</w:t>
            </w:r>
            <w:proofErr w:type="spellEnd"/>
            <w:r w:rsidRPr="002B7759">
              <w:rPr>
                <w:rFonts w:eastAsiaTheme="minorHAnsi" w:cs="Arial"/>
              </w:rPr>
              <w:t xml:space="preserve"> MR scored</w:t>
            </w:r>
          </w:p>
        </w:tc>
        <w:tc>
          <w:tcPr>
            <w:tcW w:w="3225" w:type="dxa"/>
          </w:tcPr>
          <w:p w:rsidR="002B7759" w:rsidRPr="002B7759" w:rsidRDefault="002B7759" w:rsidP="00304EC6">
            <w:pPr>
              <w:ind w:left="34"/>
            </w:pPr>
            <w:r w:rsidRPr="002B7759">
              <w:t xml:space="preserve">Unscored </w:t>
            </w:r>
            <w:proofErr w:type="spellStart"/>
            <w:r w:rsidR="00D25EDA" w:rsidRPr="002B7759">
              <w:t>Gliclazide</w:t>
            </w:r>
            <w:proofErr w:type="spellEnd"/>
            <w:r w:rsidRPr="002B7759">
              <w:t xml:space="preserve"> 60 mg tablet is not currently registered in any comparable country </w:t>
            </w:r>
          </w:p>
        </w:tc>
      </w:tr>
    </w:tbl>
    <w:p w:rsidR="00E82DD6" w:rsidRDefault="00E82DD6" w:rsidP="00A20D14">
      <w:r>
        <w:t xml:space="preserve">However, </w:t>
      </w:r>
      <w:r w:rsidR="00C647FE">
        <w:t xml:space="preserve">the </w:t>
      </w:r>
      <w:r w:rsidR="00334434">
        <w:t>expert</w:t>
      </w:r>
      <w:r w:rsidR="00750E58">
        <w:t xml:space="preserve"> </w:t>
      </w:r>
      <w:r w:rsidR="00334434">
        <w:t>noted</w:t>
      </w:r>
      <w:r>
        <w:t xml:space="preserve"> that it appears there is an unscored </w:t>
      </w:r>
      <w:proofErr w:type="spellStart"/>
      <w:r>
        <w:t>gliclazide</w:t>
      </w:r>
      <w:proofErr w:type="spellEnd"/>
      <w:r>
        <w:t xml:space="preserve"> 60 mg tablet marketed in the UK</w:t>
      </w:r>
      <w:r w:rsidR="00A20D14">
        <w:t xml:space="preserve"> </w:t>
      </w:r>
      <w:proofErr w:type="spellStart"/>
      <w:r>
        <w:t>Laaglyda</w:t>
      </w:r>
      <w:proofErr w:type="spellEnd"/>
      <w:r>
        <w:t xml:space="preserve"> MR, white, oval, biconvex </w:t>
      </w:r>
      <w:r w:rsidRPr="00A20D14">
        <w:t>tablet</w:t>
      </w:r>
      <w:r w:rsidR="00A20D14" w:rsidRPr="00A20D14">
        <w:t>.</w:t>
      </w:r>
      <w:r w:rsidR="00A20D14" w:rsidRPr="00A20D14">
        <w:rPr>
          <w:rStyle w:val="FootnoteReference"/>
        </w:rPr>
        <w:footnoteReference w:id="5"/>
      </w:r>
    </w:p>
    <w:p w:rsidR="00E82DD6" w:rsidRDefault="00E82DD6" w:rsidP="00A20D14">
      <w:pPr>
        <w:pStyle w:val="Heading6"/>
        <w:rPr>
          <w:rFonts w:eastAsiaTheme="minorHAnsi"/>
        </w:rPr>
      </w:pPr>
      <w:r>
        <w:rPr>
          <w:rFonts w:eastAsiaTheme="minorHAnsi"/>
        </w:rPr>
        <w:t xml:space="preserve">General </w:t>
      </w:r>
      <w:r w:rsidR="00304EC6">
        <w:rPr>
          <w:rFonts w:eastAsiaTheme="minorHAnsi"/>
        </w:rPr>
        <w:t>c</w:t>
      </w:r>
      <w:r>
        <w:rPr>
          <w:rFonts w:eastAsiaTheme="minorHAnsi"/>
        </w:rPr>
        <w:t>omments</w:t>
      </w:r>
    </w:p>
    <w:p w:rsidR="00E82DD6" w:rsidRDefault="00E82DD6" w:rsidP="00A20D14">
      <w:r>
        <w:t>From studies of splitting tablets, both scored and unscored, split tablets (scored or unscored)</w:t>
      </w:r>
      <w:r w:rsidR="00A20D14">
        <w:t xml:space="preserve"> </w:t>
      </w:r>
      <w:r>
        <w:t>generally failed to meet expectations for weight variation</w:t>
      </w:r>
      <w:bookmarkStart w:id="70" w:name="_Ref454456929"/>
      <w:r w:rsidR="00A20D14">
        <w:rPr>
          <w:rStyle w:val="FootnoteReference"/>
        </w:rPr>
        <w:footnoteReference w:id="6"/>
      </w:r>
      <w:bookmarkEnd w:id="70"/>
      <w:r>
        <w:t xml:space="preserve"> (1:4 scored tablets passed the</w:t>
      </w:r>
      <w:r w:rsidR="00A20D14">
        <w:t xml:space="preserve"> </w:t>
      </w:r>
      <w:r>
        <w:t>uniformity test v</w:t>
      </w:r>
      <w:r w:rsidR="00A20D14">
        <w:t>ersu</w:t>
      </w:r>
      <w:r>
        <w:t>s 2:7 unscored tablets with at most 1/20 falling outside the range of 85</w:t>
      </w:r>
      <w:r w:rsidR="00A20D14">
        <w:t xml:space="preserve"> to </w:t>
      </w:r>
      <w:r>
        <w:t>115%</w:t>
      </w:r>
      <w:r w:rsidR="00A20D14">
        <w:t xml:space="preserve"> </w:t>
      </w:r>
      <w:r>
        <w:t>weight). These were split with a razor blade.</w:t>
      </w:r>
    </w:p>
    <w:p w:rsidR="00E82DD6" w:rsidRDefault="00E82DD6" w:rsidP="00A20D14">
      <w:r>
        <w:t>Poorly functioning score lines were perceived as a quality defect</w:t>
      </w:r>
      <w:r w:rsidR="00A20D14" w:rsidRPr="00A20D14">
        <w:rPr>
          <w:vertAlign w:val="superscript"/>
        </w:rPr>
        <w:fldChar w:fldCharType="begin"/>
      </w:r>
      <w:r w:rsidR="00A20D14" w:rsidRPr="00A20D14">
        <w:rPr>
          <w:vertAlign w:val="superscript"/>
        </w:rPr>
        <w:instrText xml:space="preserve"> NOTEREF _Ref454456929 \h </w:instrText>
      </w:r>
      <w:r w:rsidR="00A20D14">
        <w:rPr>
          <w:vertAlign w:val="superscript"/>
        </w:rPr>
        <w:instrText xml:space="preserve"> \* MERGEFORMAT </w:instrText>
      </w:r>
      <w:r w:rsidR="00A20D14" w:rsidRPr="00A20D14">
        <w:rPr>
          <w:vertAlign w:val="superscript"/>
        </w:rPr>
      </w:r>
      <w:r w:rsidR="00A20D14" w:rsidRPr="00A20D14">
        <w:rPr>
          <w:vertAlign w:val="superscript"/>
        </w:rPr>
        <w:fldChar w:fldCharType="separate"/>
      </w:r>
      <w:r w:rsidR="00A02133">
        <w:rPr>
          <w:vertAlign w:val="superscript"/>
        </w:rPr>
        <w:t>6</w:t>
      </w:r>
      <w:r w:rsidR="00A20D14" w:rsidRPr="00A20D14">
        <w:rPr>
          <w:vertAlign w:val="superscript"/>
        </w:rPr>
        <w:fldChar w:fldCharType="end"/>
      </w:r>
      <w:r>
        <w:t xml:space="preserve"> and could lead to reduced</w:t>
      </w:r>
      <w:r w:rsidR="00A20D14">
        <w:t xml:space="preserve"> </w:t>
      </w:r>
      <w:r>
        <w:t>patient compliance with medication. This suggests there may be some advantage for some patients</w:t>
      </w:r>
      <w:r w:rsidR="00A20D14">
        <w:t xml:space="preserve"> </w:t>
      </w:r>
      <w:r>
        <w:t>to have an unscored tablet available.</w:t>
      </w:r>
    </w:p>
    <w:p w:rsidR="00E82DD6" w:rsidRDefault="00E82DD6" w:rsidP="00A20D14">
      <w:r>
        <w:t>The effect of splitting a tablet, particularly a modified release tablet, on the release characteristics</w:t>
      </w:r>
      <w:r w:rsidR="00A20D14">
        <w:t xml:space="preserve"> </w:t>
      </w:r>
      <w:r>
        <w:t>and pharmacokinetics of the active drug, will vary according to the technology used to obtain the</w:t>
      </w:r>
      <w:r w:rsidR="00A20D14">
        <w:t xml:space="preserve"> </w:t>
      </w:r>
      <w:r>
        <w:t>modified release. Some may be suitable to split and some may not be. No specific information has</w:t>
      </w:r>
      <w:r w:rsidR="00A20D14">
        <w:t xml:space="preserve"> </w:t>
      </w:r>
      <w:r>
        <w:t>been provided in the brief in relation to the effect on the pharmacokinetic profile of splitting the</w:t>
      </w:r>
      <w:r w:rsidR="00A20D14">
        <w:t xml:space="preserve"> </w:t>
      </w:r>
      <w:r>
        <w:t xml:space="preserve">generic 60 mg </w:t>
      </w:r>
      <w:proofErr w:type="spellStart"/>
      <w:r>
        <w:t>gliclazide</w:t>
      </w:r>
      <w:proofErr w:type="spellEnd"/>
      <w:r>
        <w:t xml:space="preserve"> modified relation tablet, so no further comment can be made on whether, if</w:t>
      </w:r>
      <w:r w:rsidR="00A20D14">
        <w:t xml:space="preserve"> </w:t>
      </w:r>
      <w:r>
        <w:t>split, this product retains it pharmacokinetic profile or is subject to ‘dumping’.</w:t>
      </w:r>
    </w:p>
    <w:p w:rsidR="00E82DD6" w:rsidRDefault="00E82DD6" w:rsidP="00A20D14">
      <w:pPr>
        <w:pStyle w:val="Heading6"/>
        <w:rPr>
          <w:rFonts w:eastAsiaTheme="minorHAnsi"/>
        </w:rPr>
      </w:pPr>
      <w:r>
        <w:rPr>
          <w:rFonts w:eastAsiaTheme="minorHAnsi"/>
        </w:rPr>
        <w:t xml:space="preserve">Other oral </w:t>
      </w:r>
      <w:r w:rsidR="00D25EDA">
        <w:rPr>
          <w:rFonts w:eastAsiaTheme="minorHAnsi"/>
        </w:rPr>
        <w:t>hypoglycaemic</w:t>
      </w:r>
      <w:r>
        <w:rPr>
          <w:rFonts w:eastAsiaTheme="minorHAnsi"/>
        </w:rPr>
        <w:t xml:space="preserve"> agents</w:t>
      </w:r>
    </w:p>
    <w:p w:rsidR="00E82DD6" w:rsidRDefault="00E82DD6" w:rsidP="00A20D14">
      <w:r>
        <w:t xml:space="preserve">There are other oral </w:t>
      </w:r>
      <w:r w:rsidR="00D25EDA">
        <w:t>hypoglycaemic</w:t>
      </w:r>
      <w:r>
        <w:t xml:space="preserve"> agents available to treat diabetes, one of these is metformin.</w:t>
      </w:r>
      <w:r w:rsidR="00A20D14">
        <w:t xml:space="preserve"> </w:t>
      </w:r>
      <w:r>
        <w:t>Metformin is available in a number of forms including</w:t>
      </w:r>
    </w:p>
    <w:p w:rsidR="00E82DD6" w:rsidRDefault="00E82DD6" w:rsidP="00334434">
      <w:pPr>
        <w:pStyle w:val="ListBullet"/>
      </w:pPr>
      <w:r>
        <w:t>500 mg unscored</w:t>
      </w:r>
    </w:p>
    <w:p w:rsidR="00E82DD6" w:rsidRDefault="00E82DD6" w:rsidP="00334434">
      <w:pPr>
        <w:pStyle w:val="ListBullet"/>
      </w:pPr>
      <w:r>
        <w:t>500 mg scored</w:t>
      </w:r>
    </w:p>
    <w:p w:rsidR="00E82DD6" w:rsidRDefault="00E82DD6" w:rsidP="00334434">
      <w:pPr>
        <w:pStyle w:val="ListBullet"/>
      </w:pPr>
      <w:r>
        <w:t>500 mg (controlled release) unscored</w:t>
      </w:r>
    </w:p>
    <w:p w:rsidR="00E82DD6" w:rsidRDefault="00E82DD6" w:rsidP="00334434">
      <w:pPr>
        <w:pStyle w:val="ListBullet"/>
      </w:pPr>
      <w:r>
        <w:t xml:space="preserve">1000 mg scored, </w:t>
      </w:r>
      <w:proofErr w:type="spellStart"/>
      <w:r>
        <w:t>Diabex</w:t>
      </w:r>
      <w:proofErr w:type="spellEnd"/>
      <w:r>
        <w:t xml:space="preserve">, </w:t>
      </w:r>
      <w:proofErr w:type="spellStart"/>
      <w:r>
        <w:t>Diaformin</w:t>
      </w:r>
      <w:proofErr w:type="spellEnd"/>
      <w:r>
        <w:t xml:space="preserve">, </w:t>
      </w:r>
      <w:proofErr w:type="spellStart"/>
      <w:r>
        <w:t>Glucobete</w:t>
      </w:r>
      <w:proofErr w:type="spellEnd"/>
    </w:p>
    <w:p w:rsidR="00E82DD6" w:rsidRDefault="00E82DD6" w:rsidP="00334434">
      <w:pPr>
        <w:pStyle w:val="ListBullet"/>
      </w:pPr>
      <w:r>
        <w:t>1000 mg (controlled release) unscored</w:t>
      </w:r>
    </w:p>
    <w:p w:rsidR="00E82DD6" w:rsidRDefault="00E82DD6" w:rsidP="00A20D14">
      <w:pPr>
        <w:pStyle w:val="Heading6"/>
        <w:rPr>
          <w:rFonts w:eastAsiaTheme="minorHAnsi"/>
        </w:rPr>
      </w:pPr>
      <w:r>
        <w:rPr>
          <w:rFonts w:eastAsiaTheme="minorHAnsi"/>
        </w:rPr>
        <w:t>In relation to the specific request for advice</w:t>
      </w:r>
    </w:p>
    <w:p w:rsidR="00E82DD6" w:rsidRDefault="00E82DD6" w:rsidP="00A20D14">
      <w:pPr>
        <w:pStyle w:val="Heading6"/>
        <w:rPr>
          <w:rFonts w:eastAsiaTheme="minorHAnsi"/>
        </w:rPr>
      </w:pPr>
      <w:r>
        <w:rPr>
          <w:rFonts w:eastAsiaTheme="minorHAnsi"/>
        </w:rPr>
        <w:t>With clear statements in the P</w:t>
      </w:r>
      <w:r w:rsidR="00334434">
        <w:rPr>
          <w:rFonts w:eastAsiaTheme="minorHAnsi"/>
        </w:rPr>
        <w:t>I</w:t>
      </w:r>
      <w:r>
        <w:rPr>
          <w:rFonts w:eastAsiaTheme="minorHAnsi"/>
        </w:rPr>
        <w:t>, C</w:t>
      </w:r>
      <w:r w:rsidR="00334434">
        <w:rPr>
          <w:rFonts w:eastAsiaTheme="minorHAnsi"/>
        </w:rPr>
        <w:t>MI</w:t>
      </w:r>
      <w:r>
        <w:rPr>
          <w:rFonts w:eastAsiaTheme="minorHAnsi"/>
        </w:rPr>
        <w:t xml:space="preserve"> and on the</w:t>
      </w:r>
      <w:r w:rsidR="00A20D14">
        <w:rPr>
          <w:rFonts w:eastAsiaTheme="minorHAnsi"/>
        </w:rPr>
        <w:t xml:space="preserve"> </w:t>
      </w:r>
      <w:r>
        <w:rPr>
          <w:rFonts w:eastAsiaTheme="minorHAnsi"/>
        </w:rPr>
        <w:t>pack labels that the tablet must not be broken, what is the possibility of dispensing errors,</w:t>
      </w:r>
      <w:r w:rsidR="00A20D14">
        <w:rPr>
          <w:rFonts w:eastAsiaTheme="minorHAnsi"/>
        </w:rPr>
        <w:t xml:space="preserve"> </w:t>
      </w:r>
      <w:r>
        <w:rPr>
          <w:rFonts w:eastAsiaTheme="minorHAnsi"/>
        </w:rPr>
        <w:t>patient confusion or dosing errors if a 60 mg unscored generic tablet is registered?</w:t>
      </w:r>
    </w:p>
    <w:p w:rsidR="00E82DD6" w:rsidRDefault="00E82DD6" w:rsidP="00A20D14">
      <w:r>
        <w:t>It is likely that a patient may be dispensed different forms of the tablet on different occasions (</w:t>
      </w:r>
      <w:r w:rsidR="00A20D14">
        <w:t>that is,</w:t>
      </w:r>
      <w:r>
        <w:t xml:space="preserve"> may</w:t>
      </w:r>
      <w:r w:rsidR="00A20D14">
        <w:t xml:space="preserve"> </w:t>
      </w:r>
      <w:r>
        <w:t>be dispensed a scored tablet on one occasion, and the unscored tablet on another occasion). This</w:t>
      </w:r>
      <w:r w:rsidR="00A20D14">
        <w:t xml:space="preserve"> </w:t>
      </w:r>
      <w:r>
        <w:t>may not represent an error but may reflect differences in prescribing practices of individual doctors</w:t>
      </w:r>
      <w:r w:rsidR="00A20D14">
        <w:t xml:space="preserve"> </w:t>
      </w:r>
      <w:r>
        <w:t>(</w:t>
      </w:r>
      <w:r w:rsidR="00A20D14">
        <w:t>that is,</w:t>
      </w:r>
      <w:r>
        <w:t xml:space="preserve"> prescribing by brand name, v</w:t>
      </w:r>
      <w:r w:rsidR="00A20D14">
        <w:t>ersu</w:t>
      </w:r>
      <w:r>
        <w:t>s generic prescribing) or differences in availability of specific</w:t>
      </w:r>
      <w:r w:rsidR="00A20D14">
        <w:t xml:space="preserve"> </w:t>
      </w:r>
      <w:r>
        <w:t>products at particular pharmacies.</w:t>
      </w:r>
    </w:p>
    <w:p w:rsidR="00E82DD6" w:rsidRDefault="00E82DD6" w:rsidP="00A20D14">
      <w:pPr>
        <w:rPr>
          <w:color w:val="000000"/>
        </w:rPr>
      </w:pPr>
      <w:r>
        <w:lastRenderedPageBreak/>
        <w:t>The different appearance of the tablets may contribute to patient confusion however, this is not</w:t>
      </w:r>
      <w:r w:rsidR="00A20D14">
        <w:t xml:space="preserve"> </w:t>
      </w:r>
      <w:r>
        <w:t xml:space="preserve">unique to </w:t>
      </w:r>
      <w:proofErr w:type="spellStart"/>
      <w:r>
        <w:t>gliclazide</w:t>
      </w:r>
      <w:proofErr w:type="spellEnd"/>
      <w:r>
        <w:t xml:space="preserve"> but is already an issue with other products as indicated by the different </w:t>
      </w:r>
      <w:r>
        <w:rPr>
          <w:color w:val="000000"/>
        </w:rPr>
        <w:t>metformin products as outlined above, where both scored and unscored tablets of the same dose</w:t>
      </w:r>
      <w:r w:rsidR="00A20D14">
        <w:rPr>
          <w:color w:val="000000"/>
        </w:rPr>
        <w:t xml:space="preserve"> </w:t>
      </w:r>
      <w:r>
        <w:rPr>
          <w:color w:val="000000"/>
        </w:rPr>
        <w:t>are available.</w:t>
      </w:r>
    </w:p>
    <w:p w:rsidR="00E82DD6" w:rsidRDefault="00E82DD6" w:rsidP="00A20D14">
      <w:pPr>
        <w:rPr>
          <w:color w:val="000000"/>
        </w:rPr>
      </w:pPr>
      <w:r>
        <w:rPr>
          <w:color w:val="000000"/>
        </w:rPr>
        <w:t>It is difficult to anticipate the contribution to dosing errors, without more specific information on the</w:t>
      </w:r>
      <w:r w:rsidR="00A20D14">
        <w:rPr>
          <w:color w:val="000000"/>
        </w:rPr>
        <w:t xml:space="preserve"> </w:t>
      </w:r>
      <w:r>
        <w:rPr>
          <w:color w:val="000000"/>
        </w:rPr>
        <w:t xml:space="preserve">effect on pharmacokinetics of splitting the 60 mg </w:t>
      </w:r>
      <w:proofErr w:type="spellStart"/>
      <w:r>
        <w:rPr>
          <w:color w:val="000000"/>
        </w:rPr>
        <w:t>gliclazide</w:t>
      </w:r>
      <w:proofErr w:type="spellEnd"/>
      <w:r>
        <w:rPr>
          <w:color w:val="000000"/>
        </w:rPr>
        <w:t xml:space="preserve"> modified release.</w:t>
      </w:r>
    </w:p>
    <w:p w:rsidR="00E82DD6" w:rsidRDefault="00E82DD6" w:rsidP="00A20D14">
      <w:pPr>
        <w:pStyle w:val="Heading6"/>
        <w:rPr>
          <w:rFonts w:eastAsiaTheme="minorHAnsi"/>
        </w:rPr>
      </w:pPr>
      <w:r>
        <w:rPr>
          <w:rFonts w:eastAsiaTheme="minorHAnsi"/>
        </w:rPr>
        <w:t>What are the clinical implications of the patient mistakenly breaking the unscored 60 mg</w:t>
      </w:r>
      <w:r w:rsidR="00A20D14">
        <w:rPr>
          <w:rFonts w:eastAsiaTheme="minorHAnsi"/>
        </w:rPr>
        <w:t xml:space="preserve"> </w:t>
      </w:r>
      <w:r>
        <w:rPr>
          <w:rFonts w:eastAsiaTheme="minorHAnsi"/>
        </w:rPr>
        <w:t>tablet and taking one of the two resulting (likely unequal) portions?</w:t>
      </w:r>
    </w:p>
    <w:p w:rsidR="00E82DD6" w:rsidRDefault="00E82DD6" w:rsidP="00A20D14">
      <w:r>
        <w:t>As outlined above, the practice of splitting of tablets, both scored and unscored, generally fails to</w:t>
      </w:r>
      <w:r w:rsidR="00A20D14">
        <w:t xml:space="preserve"> </w:t>
      </w:r>
      <w:r>
        <w:t>meet expectations for weight variation. Nonetheless, it is a relatively common practice in the</w:t>
      </w:r>
      <w:r w:rsidR="00A20D14">
        <w:t xml:space="preserve"> </w:t>
      </w:r>
      <w:r>
        <w:t>community and seems to occur most frequently without any significant clinical implication.</w:t>
      </w:r>
    </w:p>
    <w:p w:rsidR="00E82DD6" w:rsidRDefault="00E82DD6" w:rsidP="00A20D14">
      <w:r>
        <w:t>However, there are additional considerations other than the effect of splitting on tablet size, these</w:t>
      </w:r>
      <w:r w:rsidR="00A20D14">
        <w:t xml:space="preserve"> </w:t>
      </w:r>
      <w:r>
        <w:t>being the effects of splitting on the modified release characteristics of the tablet. Some modified</w:t>
      </w:r>
      <w:r w:rsidR="00A20D14">
        <w:t xml:space="preserve"> </w:t>
      </w:r>
      <w:r>
        <w:t>release preparations, when split, no longer retain their modified release characteristics, altering the</w:t>
      </w:r>
      <w:r w:rsidR="00A20D14">
        <w:t xml:space="preserve"> </w:t>
      </w:r>
      <w:r>
        <w:t>pharmacokinetic profile. Further information on the effect on the pharmacokinetic profile of splitting</w:t>
      </w:r>
      <w:r w:rsidR="00A20D14">
        <w:t xml:space="preserve"> </w:t>
      </w:r>
      <w:r>
        <w:t xml:space="preserve">of the unscored 60 mg </w:t>
      </w:r>
      <w:proofErr w:type="spellStart"/>
      <w:r>
        <w:t>gliclazide</w:t>
      </w:r>
      <w:proofErr w:type="spellEnd"/>
      <w:r>
        <w:t xml:space="preserve"> tablet would be important to anticipate the potential clinical</w:t>
      </w:r>
      <w:r w:rsidR="00A20D14">
        <w:t xml:space="preserve"> </w:t>
      </w:r>
      <w:r>
        <w:t>implications of the (unintended) splitting of the tablet.</w:t>
      </w:r>
    </w:p>
    <w:p w:rsidR="00E82DD6" w:rsidRDefault="00E82DD6" w:rsidP="00A20D14">
      <w:pPr>
        <w:pStyle w:val="Heading6"/>
        <w:rPr>
          <w:rFonts w:eastAsiaTheme="minorHAnsi"/>
        </w:rPr>
      </w:pPr>
      <w:r>
        <w:rPr>
          <w:rFonts w:eastAsiaTheme="minorHAnsi"/>
        </w:rPr>
        <w:t>In addition to clear statements on the product PI/CMI and labels that the tablet must not be</w:t>
      </w:r>
      <w:r w:rsidR="00A20D14">
        <w:rPr>
          <w:rFonts w:eastAsiaTheme="minorHAnsi"/>
        </w:rPr>
        <w:t xml:space="preserve"> </w:t>
      </w:r>
      <w:r>
        <w:rPr>
          <w:rFonts w:eastAsiaTheme="minorHAnsi"/>
        </w:rPr>
        <w:t>broken, could the risks be further mitigated by additional activities such as targeting of</w:t>
      </w:r>
      <w:r w:rsidR="00A20D14">
        <w:rPr>
          <w:rFonts w:eastAsiaTheme="minorHAnsi"/>
        </w:rPr>
        <w:t xml:space="preserve"> </w:t>
      </w:r>
      <w:r>
        <w:rPr>
          <w:rFonts w:eastAsiaTheme="minorHAnsi"/>
        </w:rPr>
        <w:t>healthcare professionals by the sponsor or appropriate warnings in prescribing software?</w:t>
      </w:r>
    </w:p>
    <w:p w:rsidR="00E82DD6" w:rsidRDefault="00E82DD6" w:rsidP="00A20D14">
      <w:r>
        <w:t>Appropriate advice re splitting or non-splitting of tablets is most likely to be useful if it is given as</w:t>
      </w:r>
      <w:r w:rsidR="00A20D14">
        <w:t xml:space="preserve"> </w:t>
      </w:r>
      <w:r>
        <w:t>close to the interaction between the patient, and the tablets as possible. As such, it is most likely to</w:t>
      </w:r>
      <w:r w:rsidR="00A20D14">
        <w:t xml:space="preserve"> </w:t>
      </w:r>
      <w:r>
        <w:t>be useful if it is given at the time of collection of the medicine, and on the medicine label.</w:t>
      </w:r>
    </w:p>
    <w:p w:rsidR="00E82DD6" w:rsidRDefault="00E82DD6" w:rsidP="00A20D14">
      <w:r>
        <w:t>Information given at the time of prescription is less likely to be useful, and specific warnings in</w:t>
      </w:r>
      <w:r w:rsidR="00A20D14">
        <w:t xml:space="preserve"> </w:t>
      </w:r>
      <w:r>
        <w:t xml:space="preserve">prescribing software are not warranted in </w:t>
      </w:r>
      <w:r w:rsidR="00334434">
        <w:t>this expert’s</w:t>
      </w:r>
      <w:r>
        <w:t xml:space="preserve"> opinion. It is important that the prescriber can attend to</w:t>
      </w:r>
      <w:r w:rsidR="00A20D14">
        <w:t xml:space="preserve"> </w:t>
      </w:r>
      <w:r>
        <w:t>other (potentially more significant) warnings, and to include a warning of this nature in prescribing</w:t>
      </w:r>
      <w:r w:rsidR="00A20D14">
        <w:t xml:space="preserve"> </w:t>
      </w:r>
      <w:r>
        <w:t>software would distract from the capacity to attend to more significant warnings.</w:t>
      </w:r>
    </w:p>
    <w:p w:rsidR="00DE6BB6" w:rsidRDefault="00C647FE" w:rsidP="00C647FE">
      <w:pPr>
        <w:pStyle w:val="Heading4"/>
      </w:pPr>
      <w:r>
        <w:t>Delegate’s summary</w:t>
      </w:r>
      <w:r w:rsidR="002A00D3">
        <w:t xml:space="preserve"> and comments on</w:t>
      </w:r>
      <w:r>
        <w:t xml:space="preserve"> the sponsor’s response to the </w:t>
      </w:r>
      <w:r w:rsidR="002A00D3">
        <w:t xml:space="preserve">expert </w:t>
      </w:r>
      <w:r>
        <w:t>advice</w:t>
      </w:r>
    </w:p>
    <w:p w:rsidR="00B43000" w:rsidRDefault="003D39CA" w:rsidP="00AC526E">
      <w:pPr>
        <w:rPr>
          <w:sz w:val="24"/>
          <w:szCs w:val="21"/>
        </w:rPr>
      </w:pPr>
      <w:r>
        <w:t>As advised in correspondence during the evaluation phase</w:t>
      </w:r>
      <w:r w:rsidR="00C647FE">
        <w:t>,</w:t>
      </w:r>
      <w:r>
        <w:t xml:space="preserve"> the TGA sought advice from clinical experts (specialists in community</w:t>
      </w:r>
      <w:r w:rsidR="00A20D14">
        <w:t xml:space="preserve"> </w:t>
      </w:r>
      <w:r>
        <w:t>pharmacy, general practice, and/or endocrinology) on clinical safety issues associated</w:t>
      </w:r>
      <w:r w:rsidR="00A20D14">
        <w:t xml:space="preserve"> </w:t>
      </w:r>
      <w:r>
        <w:t xml:space="preserve">with this application. </w:t>
      </w:r>
      <w:r w:rsidRPr="004A3290">
        <w:t>A copy of the TGA request for advice and the advice obtained was</w:t>
      </w:r>
      <w:r w:rsidR="00A20D14" w:rsidRPr="004A3290">
        <w:t xml:space="preserve"> </w:t>
      </w:r>
      <w:r w:rsidRPr="004A3290">
        <w:t xml:space="preserve">provided to </w:t>
      </w:r>
      <w:r w:rsidR="00A20D14" w:rsidRPr="004A3290">
        <w:t>the sponsor</w:t>
      </w:r>
      <w:r w:rsidRPr="004A3290">
        <w:t>.</w:t>
      </w:r>
      <w:r w:rsidR="00334434" w:rsidRPr="004A3290">
        <w:t xml:space="preserve"> The sponsor’s response to</w:t>
      </w:r>
      <w:r w:rsidRPr="004A3290">
        <w:t xml:space="preserve"> the clinical experts’ concerns and comments detailed </w:t>
      </w:r>
      <w:r w:rsidR="00334434" w:rsidRPr="004A3290">
        <w:t xml:space="preserve">above are </w:t>
      </w:r>
      <w:r w:rsidR="00326B5B">
        <w:t>summarised</w:t>
      </w:r>
      <w:r w:rsidR="00334434" w:rsidRPr="004A3290">
        <w:t xml:space="preserve"> below.</w:t>
      </w:r>
      <w:r w:rsidR="00326B5B">
        <w:t xml:space="preserve"> </w:t>
      </w:r>
      <w:r w:rsidR="00B43000">
        <w:t xml:space="preserve">The TGA’s current position on the sponsor’s response is </w:t>
      </w:r>
      <w:r w:rsidR="00326B5B">
        <w:t xml:space="preserve">also </w:t>
      </w:r>
      <w:r w:rsidR="00B43000">
        <w:t>given below for the information of the sponsor and the ACPM.</w:t>
      </w:r>
    </w:p>
    <w:p w:rsidR="00DE6BB6" w:rsidRDefault="00B43000" w:rsidP="007A2F76">
      <w:pPr>
        <w:pStyle w:val="Heading5"/>
      </w:pPr>
      <w:r>
        <w:t>Sponsor’s response</w:t>
      </w:r>
    </w:p>
    <w:p w:rsidR="00B43000" w:rsidRPr="00491793" w:rsidRDefault="00AC526E" w:rsidP="00A0661B">
      <w:pPr>
        <w:rPr>
          <w:i/>
        </w:rPr>
      </w:pPr>
      <w:r>
        <w:rPr>
          <w:i/>
        </w:rPr>
        <w:t>The sponsor’s</w:t>
      </w:r>
      <w:r w:rsidR="00B43000" w:rsidRPr="00491793">
        <w:rPr>
          <w:i/>
        </w:rPr>
        <w:t xml:space="preserve"> proposed generic 60 mg unscored tablet has been shown to be bioequivalent to the innovator and therefore can be considered an acceptable alternative to the innovator where doses of 60 mg or 120 mg are required.</w:t>
      </w:r>
    </w:p>
    <w:p w:rsidR="00B43000" w:rsidRDefault="00B43000" w:rsidP="00B06F52">
      <w:pPr>
        <w:pStyle w:val="Heading5"/>
        <w:rPr>
          <w:lang w:eastAsia="en-AU"/>
        </w:rPr>
      </w:pPr>
      <w:r>
        <w:t>TGA’s current position</w:t>
      </w:r>
    </w:p>
    <w:p w:rsidR="00B43000" w:rsidRDefault="00AC526E" w:rsidP="00AC526E">
      <w:r>
        <w:t>The TGA a</w:t>
      </w:r>
      <w:r w:rsidR="00B43000">
        <w:t xml:space="preserve">gree that there is no problem for patients taking a 60 mg or 120 mg dose. However, 90 mg is a possible maintenance dose and patients could not achieve this dose </w:t>
      </w:r>
      <w:r w:rsidR="00B43000">
        <w:lastRenderedPageBreak/>
        <w:t xml:space="preserve">with the proposed generic 60 mg MR tablet because it cannot be split. Also, patients when initiating treatment with </w:t>
      </w:r>
      <w:proofErr w:type="spellStart"/>
      <w:r w:rsidR="00B43000">
        <w:t>gliclazide</w:t>
      </w:r>
      <w:proofErr w:type="spellEnd"/>
      <w:r w:rsidR="00B43000">
        <w:t xml:space="preserve"> are up-titrated from 30 mg and through 90 mg. The concern is that proposed generic can be used for some of the same doses that the reference product can be used for (60 mg, 120 mg) but not others (30 mg, 90 mg). This could create the risk of pharmacist and patient error. Note that this is a more complicated situation than a generic not being marketed with all the strengths of the reference product. More specifically, this is a case where the particular strength of the proposed generic cannot provide the same doses as the corresponding strength of the reference product; and that are recommended for use in clinical practice.</w:t>
      </w:r>
    </w:p>
    <w:p w:rsidR="00B43000" w:rsidRDefault="00B43000" w:rsidP="007A2F76">
      <w:pPr>
        <w:pStyle w:val="Heading5"/>
        <w:rPr>
          <w:lang w:eastAsia="en-AU"/>
        </w:rPr>
      </w:pPr>
      <w:r>
        <w:rPr>
          <w:lang w:eastAsia="en-AU"/>
        </w:rPr>
        <w:t>Sponsor’s response</w:t>
      </w:r>
    </w:p>
    <w:p w:rsidR="00B43000" w:rsidRPr="00491793" w:rsidRDefault="00B43000" w:rsidP="00A0661B">
      <w:pPr>
        <w:rPr>
          <w:i/>
        </w:rPr>
      </w:pPr>
      <w:r w:rsidRPr="00491793">
        <w:rPr>
          <w:i/>
        </w:rPr>
        <w:t xml:space="preserve">Approximately 70% of patients who are on </w:t>
      </w:r>
      <w:proofErr w:type="spellStart"/>
      <w:r w:rsidRPr="00491793">
        <w:rPr>
          <w:i/>
        </w:rPr>
        <w:t>Gliclazide</w:t>
      </w:r>
      <w:proofErr w:type="spellEnd"/>
      <w:r w:rsidRPr="00491793">
        <w:rPr>
          <w:i/>
        </w:rPr>
        <w:t xml:space="preserve"> require a dose of 12</w:t>
      </w:r>
      <w:r w:rsidR="005E1824">
        <w:rPr>
          <w:i/>
        </w:rPr>
        <w:t>0 mg</w:t>
      </w:r>
      <w:r w:rsidRPr="00491793">
        <w:rPr>
          <w:i/>
        </w:rPr>
        <w:t xml:space="preserve"> </w:t>
      </w:r>
      <w:proofErr w:type="spellStart"/>
      <w:r w:rsidRPr="00491793">
        <w:rPr>
          <w:i/>
        </w:rPr>
        <w:t>Gliclazide</w:t>
      </w:r>
      <w:proofErr w:type="spellEnd"/>
      <w:r w:rsidR="00057EF3" w:rsidRPr="00491793">
        <w:rPr>
          <w:i/>
        </w:rPr>
        <w:t xml:space="preserve"> </w:t>
      </w:r>
      <w:r w:rsidRPr="00491793">
        <w:rPr>
          <w:i/>
        </w:rPr>
        <w:t>before any clinical effect is seen (</w:t>
      </w:r>
      <w:proofErr w:type="spellStart"/>
      <w:r w:rsidRPr="00491793">
        <w:rPr>
          <w:i/>
        </w:rPr>
        <w:t>Diamicron</w:t>
      </w:r>
      <w:proofErr w:type="spellEnd"/>
      <w:r w:rsidRPr="00491793">
        <w:rPr>
          <w:i/>
        </w:rPr>
        <w:t xml:space="preserve"> 6</w:t>
      </w:r>
      <w:r w:rsidR="005E1824">
        <w:rPr>
          <w:i/>
        </w:rPr>
        <w:t>0 mg</w:t>
      </w:r>
      <w:r w:rsidRPr="00491793">
        <w:rPr>
          <w:i/>
        </w:rPr>
        <w:t xml:space="preserve"> MR flyer), </w:t>
      </w:r>
      <w:r w:rsidR="00AC526E">
        <w:rPr>
          <w:i/>
        </w:rPr>
        <w:t>that is,</w:t>
      </w:r>
      <w:r w:rsidRPr="00491793">
        <w:rPr>
          <w:i/>
        </w:rPr>
        <w:t xml:space="preserve"> there is no requirement</w:t>
      </w:r>
      <w:r w:rsidR="00057EF3" w:rsidRPr="00491793">
        <w:rPr>
          <w:i/>
        </w:rPr>
        <w:t xml:space="preserve"> </w:t>
      </w:r>
      <w:r w:rsidRPr="00491793">
        <w:rPr>
          <w:i/>
        </w:rPr>
        <w:t>to break the tablet.</w:t>
      </w:r>
    </w:p>
    <w:p w:rsidR="00B43000" w:rsidRDefault="00B43000" w:rsidP="00C647FE">
      <w:pPr>
        <w:pStyle w:val="Heading5"/>
      </w:pPr>
      <w:r>
        <w:t>TGA’s current position</w:t>
      </w:r>
    </w:p>
    <w:p w:rsidR="00DE6BB6" w:rsidRDefault="00B43000" w:rsidP="00A0661B">
      <w:r>
        <w:t>Yes, but most patients on initiating treatment are up-titrated from 30 mg and through 90</w:t>
      </w:r>
      <w:r w:rsidR="00057EF3">
        <w:t xml:space="preserve"> </w:t>
      </w:r>
      <w:r>
        <w:t>mg. It is not reassuring that there are likely to be no problems for 70% of patients</w:t>
      </w:r>
      <w:r w:rsidR="00DE6BB6">
        <w:t>.</w:t>
      </w:r>
    </w:p>
    <w:p w:rsidR="00B43000" w:rsidRDefault="00B43000" w:rsidP="007A2F76">
      <w:pPr>
        <w:pStyle w:val="Heading5"/>
        <w:rPr>
          <w:lang w:eastAsia="en-AU"/>
        </w:rPr>
      </w:pPr>
      <w:r>
        <w:rPr>
          <w:lang w:eastAsia="en-AU"/>
        </w:rPr>
        <w:t>Sponsor’s response</w:t>
      </w:r>
    </w:p>
    <w:p w:rsidR="00B43000" w:rsidRPr="00491793" w:rsidRDefault="00B43000" w:rsidP="00A0661B">
      <w:pPr>
        <w:rPr>
          <w:i/>
        </w:rPr>
      </w:pPr>
      <w:r w:rsidRPr="00491793">
        <w:rPr>
          <w:i/>
        </w:rPr>
        <w:t>The lack of scoring will be appropriately managed using PI/CMI, labelling statements,</w:t>
      </w:r>
      <w:r w:rsidR="00057EF3" w:rsidRPr="00491793">
        <w:rPr>
          <w:i/>
        </w:rPr>
        <w:t xml:space="preserve"> </w:t>
      </w:r>
      <w:r w:rsidRPr="00491793">
        <w:rPr>
          <w:i/>
        </w:rPr>
        <w:t>dispenser detailing, as well as promotion of already existing cautionary statements in</w:t>
      </w:r>
      <w:r w:rsidR="00057EF3" w:rsidRPr="00491793">
        <w:rPr>
          <w:i/>
        </w:rPr>
        <w:t xml:space="preserve"> </w:t>
      </w:r>
      <w:r w:rsidRPr="00491793">
        <w:rPr>
          <w:i/>
        </w:rPr>
        <w:t>the dispensing software to be printed on the dispensing label that the product should</w:t>
      </w:r>
      <w:r w:rsidR="00057EF3" w:rsidRPr="00491793">
        <w:rPr>
          <w:i/>
        </w:rPr>
        <w:t xml:space="preserve"> </w:t>
      </w:r>
      <w:r w:rsidRPr="00491793">
        <w:rPr>
          <w:i/>
        </w:rPr>
        <w:t>be swallowed whole and not crushed or chewed.</w:t>
      </w:r>
    </w:p>
    <w:p w:rsidR="00B43000" w:rsidRDefault="00B43000" w:rsidP="00B06F52">
      <w:pPr>
        <w:pStyle w:val="Heading5"/>
      </w:pPr>
      <w:r>
        <w:t>TGA’s current position</w:t>
      </w:r>
    </w:p>
    <w:p w:rsidR="00DE6BB6" w:rsidRDefault="00B43000" w:rsidP="00A0661B">
      <w:r>
        <w:t xml:space="preserve">It is well known that some </w:t>
      </w:r>
      <w:r w:rsidRPr="00E82DD6">
        <w:t>patients break tablets even when the PI/CMI and statements on</w:t>
      </w:r>
      <w:r w:rsidR="00057EF3" w:rsidRPr="00E82DD6">
        <w:t xml:space="preserve"> </w:t>
      </w:r>
      <w:r w:rsidRPr="00E82DD6">
        <w:t xml:space="preserve">the pack instruct the </w:t>
      </w:r>
      <w:r w:rsidR="00AC526E" w:rsidRPr="00E82DD6">
        <w:t xml:space="preserve">patient not to </w:t>
      </w:r>
      <w:r w:rsidR="00E82DD6" w:rsidRPr="00E82DD6">
        <w:t>(</w:t>
      </w:r>
      <w:proofErr w:type="gramStart"/>
      <w:r w:rsidR="00E82DD6" w:rsidRPr="00E82DD6">
        <w:t xml:space="preserve">see </w:t>
      </w:r>
      <w:proofErr w:type="gramEnd"/>
      <w:r w:rsidR="00AC526E" w:rsidRPr="00E82DD6">
        <w:rPr>
          <w:rStyle w:val="FootnoteReference"/>
        </w:rPr>
        <w:footnoteReference w:id="7"/>
      </w:r>
      <w:r w:rsidRPr="00E82DD6">
        <w:t>). Suppose a pharmacist incorrectly dispensed the proposed (unscored) generic 60 mg R tablets to</w:t>
      </w:r>
      <w:r>
        <w:t xml:space="preserve"> a patient who required a 90 mg daily dose. The patient would have the</w:t>
      </w:r>
      <w:r w:rsidR="00057EF3">
        <w:t xml:space="preserve"> </w:t>
      </w:r>
      <w:r>
        <w:t>inconvenience of having to return to the pharmacy to obtain the reference (scored) 60 mg MR tablets or 30 mg MR tablets. The easiest (but concerning) option would be for the patient to (incorrectly) break the (unscored) generic 60 mg MR tablets; or take two of the (unscored) generic tablets</w:t>
      </w:r>
      <w:r w:rsidR="00DE6BB6">
        <w:t>.</w:t>
      </w:r>
    </w:p>
    <w:p w:rsidR="00B43000" w:rsidRDefault="00B43000" w:rsidP="007A2F76">
      <w:pPr>
        <w:pStyle w:val="Heading5"/>
        <w:rPr>
          <w:lang w:eastAsia="en-AU"/>
        </w:rPr>
      </w:pPr>
      <w:r>
        <w:t>Sponsor’s response</w:t>
      </w:r>
    </w:p>
    <w:p w:rsidR="00B43000" w:rsidRPr="00491793" w:rsidRDefault="00B43000" w:rsidP="00A0661B">
      <w:pPr>
        <w:rPr>
          <w:i/>
        </w:rPr>
      </w:pPr>
      <w:r w:rsidRPr="00491793">
        <w:rPr>
          <w:i/>
        </w:rPr>
        <w:t xml:space="preserve">A number of products are already approved (some PBS listed and </w:t>
      </w:r>
      <w:r w:rsidR="005E1824">
        <w:rPr>
          <w:i/>
        </w:rPr>
        <w:t>‘</w:t>
      </w:r>
      <w:r w:rsidRPr="00491793">
        <w:rPr>
          <w:i/>
        </w:rPr>
        <w:t>a flagged</w:t>
      </w:r>
      <w:r w:rsidR="005E1824">
        <w:rPr>
          <w:i/>
        </w:rPr>
        <w:t>’</w:t>
      </w:r>
      <w:r w:rsidRPr="00491793">
        <w:rPr>
          <w:i/>
        </w:rPr>
        <w:t>) where</w:t>
      </w:r>
      <w:r w:rsidR="00057EF3" w:rsidRPr="00491793">
        <w:rPr>
          <w:i/>
        </w:rPr>
        <w:t xml:space="preserve"> </w:t>
      </w:r>
      <w:r w:rsidRPr="00491793">
        <w:rPr>
          <w:i/>
        </w:rPr>
        <w:t>the scoring differs between the innovator and generic brands where the lack of a</w:t>
      </w:r>
      <w:r w:rsidR="00057EF3" w:rsidRPr="00491793">
        <w:rPr>
          <w:i/>
        </w:rPr>
        <w:t xml:space="preserve"> </w:t>
      </w:r>
      <w:r w:rsidR="00491793" w:rsidRPr="00491793">
        <w:rPr>
          <w:i/>
        </w:rPr>
        <w:t>score line</w:t>
      </w:r>
      <w:r w:rsidRPr="00491793">
        <w:rPr>
          <w:i/>
        </w:rPr>
        <w:t xml:space="preserve"> is appropriately managed by similar statements in the PI and CMI to what we</w:t>
      </w:r>
      <w:r w:rsidR="00057EF3" w:rsidRPr="00491793">
        <w:rPr>
          <w:i/>
        </w:rPr>
        <w:t xml:space="preserve"> </w:t>
      </w:r>
      <w:r w:rsidRPr="00491793">
        <w:rPr>
          <w:i/>
        </w:rPr>
        <w:t>have included in our PI and CMI.</w:t>
      </w:r>
    </w:p>
    <w:p w:rsidR="00B43000" w:rsidRDefault="00B43000" w:rsidP="00B06F52">
      <w:pPr>
        <w:pStyle w:val="Heading5"/>
      </w:pPr>
      <w:r>
        <w:t>TGA’s current position</w:t>
      </w:r>
    </w:p>
    <w:p w:rsidR="00DE6BB6" w:rsidRDefault="00B43000" w:rsidP="00A0661B">
      <w:r>
        <w:t xml:space="preserve">Yes, but in these cases the </w:t>
      </w:r>
      <w:r w:rsidR="00491793">
        <w:t>score line</w:t>
      </w:r>
      <w:r>
        <w:t xml:space="preserve"> of the reference product was supported by evidence</w:t>
      </w:r>
      <w:r w:rsidR="00057EF3">
        <w:t xml:space="preserve"> </w:t>
      </w:r>
      <w:r>
        <w:t xml:space="preserve">that there was no undue loss of mass when the tablet was split; not by much stronger evidence of bioequivalence as is the case for </w:t>
      </w:r>
      <w:proofErr w:type="spellStart"/>
      <w:r>
        <w:t>Diamicron</w:t>
      </w:r>
      <w:proofErr w:type="spellEnd"/>
      <w:r w:rsidR="00DE6BB6">
        <w:t>.</w:t>
      </w:r>
    </w:p>
    <w:p w:rsidR="00DE6BB6" w:rsidRDefault="00B43000" w:rsidP="007A2F76">
      <w:pPr>
        <w:pStyle w:val="Heading5"/>
      </w:pPr>
      <w:r>
        <w:t>Sponsor’s response</w:t>
      </w:r>
    </w:p>
    <w:p w:rsidR="00B43000" w:rsidRPr="00491793" w:rsidRDefault="00B43000" w:rsidP="00A0661B">
      <w:pPr>
        <w:rPr>
          <w:i/>
        </w:rPr>
      </w:pPr>
      <w:r w:rsidRPr="00491793">
        <w:rPr>
          <w:i/>
        </w:rPr>
        <w:t xml:space="preserve">There are generic products approved in the EU of </w:t>
      </w:r>
      <w:proofErr w:type="spellStart"/>
      <w:r w:rsidRPr="00491793">
        <w:rPr>
          <w:i/>
        </w:rPr>
        <w:t>gliclazide</w:t>
      </w:r>
      <w:proofErr w:type="spellEnd"/>
      <w:r w:rsidRPr="00491793">
        <w:rPr>
          <w:i/>
        </w:rPr>
        <w:t xml:space="preserve"> unscored 60 mg tablets where</w:t>
      </w:r>
      <w:r w:rsidR="00057EF3" w:rsidRPr="00491793">
        <w:rPr>
          <w:i/>
        </w:rPr>
        <w:t xml:space="preserve"> </w:t>
      </w:r>
      <w:r w:rsidRPr="00491793">
        <w:rPr>
          <w:i/>
        </w:rPr>
        <w:t>the only instructions in the S</w:t>
      </w:r>
      <w:r w:rsidR="00AC526E">
        <w:rPr>
          <w:i/>
        </w:rPr>
        <w:t>m</w:t>
      </w:r>
      <w:r w:rsidRPr="00491793">
        <w:rPr>
          <w:i/>
        </w:rPr>
        <w:t>PC and PIL are to swallow the tablets whole. No specific instruction is provided that the tablets cannot or should not be broken in half.</w:t>
      </w:r>
    </w:p>
    <w:p w:rsidR="00B43000" w:rsidRDefault="00B43000" w:rsidP="00B06F52">
      <w:pPr>
        <w:pStyle w:val="Heading5"/>
      </w:pPr>
      <w:r>
        <w:lastRenderedPageBreak/>
        <w:t>TGA’s current position</w:t>
      </w:r>
    </w:p>
    <w:p w:rsidR="00B43000" w:rsidRDefault="00B43000" w:rsidP="00A0661B">
      <w:r>
        <w:t xml:space="preserve">The sponsor’s generic 60 mg MR release tablet in various EU countries does have a </w:t>
      </w:r>
      <w:r w:rsidR="00491793">
        <w:t>score line</w:t>
      </w:r>
      <w:r>
        <w:t>. Australian</w:t>
      </w:r>
      <w:r w:rsidR="00AC526E">
        <w:t xml:space="preserve"> </w:t>
      </w:r>
      <w:r>
        <w:t xml:space="preserve">specific patent laws seem to be the main reason for the sponsor not having a </w:t>
      </w:r>
      <w:r w:rsidR="00491793">
        <w:t>score line</w:t>
      </w:r>
      <w:r>
        <w:t xml:space="preserve"> on the proposed Australian generic 60 mg MR tablet. The sponsor’s Australian application in 2013 was for a proposed generic 60 mg MR tablet with a </w:t>
      </w:r>
      <w:r w:rsidR="00491793">
        <w:t>score line</w:t>
      </w:r>
      <w:r>
        <w:t>.</w:t>
      </w:r>
    </w:p>
    <w:p w:rsidR="00DE6BB6" w:rsidRDefault="00B43000" w:rsidP="00A0661B">
      <w:proofErr w:type="spellStart"/>
      <w:r>
        <w:t>Laaglyda</w:t>
      </w:r>
      <w:proofErr w:type="spellEnd"/>
      <w:r>
        <w:t xml:space="preserve"> (also called </w:t>
      </w:r>
      <w:proofErr w:type="spellStart"/>
      <w:r>
        <w:t>Nazdol</w:t>
      </w:r>
      <w:proofErr w:type="spellEnd"/>
      <w:r>
        <w:t xml:space="preserve">) is registered in the UK and it does not have a </w:t>
      </w:r>
      <w:r w:rsidR="00491793">
        <w:t>score line</w:t>
      </w:r>
      <w:r>
        <w:t xml:space="preserve">. The sponsor is a Slovenian company called KRKA. It is possible that, in the UK, pharmacists dispense 30 mg MR tablets for initiating </w:t>
      </w:r>
      <w:proofErr w:type="spellStart"/>
      <w:r>
        <w:t>gliclazide</w:t>
      </w:r>
      <w:proofErr w:type="spellEnd"/>
      <w:r>
        <w:t xml:space="preserve"> treatment; or if a 90 mg MR maintenance dose is required. This is not commonly the case in Australia. The sponsor of the proposed (unscored) generic in </w:t>
      </w:r>
      <w:r w:rsidRPr="00AC526E">
        <w:t xml:space="preserve">Australia (Generic Partners) would need to provide detailed documentation of the </w:t>
      </w:r>
      <w:r w:rsidR="00AC526E" w:rsidRPr="00AC526E">
        <w:t>Medicines and Healthcare products Regulatory Agency (</w:t>
      </w:r>
      <w:r w:rsidRPr="00AC526E">
        <w:t>MHRA</w:t>
      </w:r>
      <w:r w:rsidR="00AC526E" w:rsidRPr="00AC526E">
        <w:t>)</w:t>
      </w:r>
      <w:r w:rsidRPr="00AC526E">
        <w:t xml:space="preserve"> reasoning in registering </w:t>
      </w:r>
      <w:proofErr w:type="spellStart"/>
      <w:r w:rsidRPr="00AC526E">
        <w:t>Laaglyda</w:t>
      </w:r>
      <w:proofErr w:type="spellEnd"/>
      <w:r w:rsidRPr="00AC526E">
        <w:t>; the fact of registration is not enough. The sponsor should also note that providing the MHRA reasoning to the TGA would not necessarily trump TGA concerns that the presence of an unscored generic 60 mg MR tablet on the Australian market would increase the risk of</w:t>
      </w:r>
      <w:r>
        <w:t xml:space="preserve"> pharmacist dispensing errors and patient dosing errors</w:t>
      </w:r>
      <w:r w:rsidR="00DE6BB6">
        <w:t>.</w:t>
      </w:r>
    </w:p>
    <w:p w:rsidR="00B43000" w:rsidRDefault="00B43000" w:rsidP="00A0661B">
      <w:r>
        <w:t>The sponsor should also note that the most recent report of the Australian Commission on Safety and Quality in Health Care on medication safety (2013) stated that 12% of medical admissions (</w:t>
      </w:r>
      <w:r w:rsidR="00855D16">
        <w:t>that is</w:t>
      </w:r>
      <w:r>
        <w:t xml:space="preserve"> 230,000 admissions per year) were attributable to medication/dosing errors; a (conservative) estimate of the cost of these admissions was $1.2</w:t>
      </w:r>
      <w:r w:rsidR="00855D16">
        <w:t xml:space="preserve"> billion</w:t>
      </w:r>
      <w:r>
        <w:t xml:space="preserve"> per year.</w:t>
      </w:r>
    </w:p>
    <w:p w:rsidR="00DE6BB6" w:rsidRDefault="00B43000" w:rsidP="007A2F76">
      <w:pPr>
        <w:pStyle w:val="Heading5"/>
      </w:pPr>
      <w:r>
        <w:t>Sponsor’s response</w:t>
      </w:r>
    </w:p>
    <w:p w:rsidR="00B43000" w:rsidRPr="00341F7B" w:rsidRDefault="00B43000" w:rsidP="00341F7B">
      <w:pPr>
        <w:rPr>
          <w:i/>
        </w:rPr>
      </w:pPr>
      <w:r w:rsidRPr="00341F7B">
        <w:rPr>
          <w:i/>
        </w:rPr>
        <w:t xml:space="preserve">There is a generic product approved in the EU of </w:t>
      </w:r>
      <w:proofErr w:type="spellStart"/>
      <w:r w:rsidRPr="00341F7B">
        <w:rPr>
          <w:i/>
        </w:rPr>
        <w:t>gliclazide</w:t>
      </w:r>
      <w:proofErr w:type="spellEnd"/>
      <w:r w:rsidRPr="00341F7B">
        <w:rPr>
          <w:i/>
        </w:rPr>
        <w:t xml:space="preserve"> scored 60 mg tablets,</w:t>
      </w:r>
      <w:r w:rsidR="00057EF3" w:rsidRPr="00341F7B">
        <w:rPr>
          <w:i/>
        </w:rPr>
        <w:t xml:space="preserve"> </w:t>
      </w:r>
      <w:r w:rsidRPr="00341F7B">
        <w:rPr>
          <w:i/>
        </w:rPr>
        <w:t>however there is specific advice in their S</w:t>
      </w:r>
      <w:r w:rsidR="00855D16" w:rsidRPr="00341F7B">
        <w:rPr>
          <w:i/>
        </w:rPr>
        <w:t>m</w:t>
      </w:r>
      <w:r w:rsidRPr="00341F7B">
        <w:rPr>
          <w:i/>
        </w:rPr>
        <w:t>PC and PIL that the tablet cannot be broken in</w:t>
      </w:r>
      <w:r w:rsidR="00057EF3" w:rsidRPr="00341F7B">
        <w:rPr>
          <w:i/>
        </w:rPr>
        <w:t xml:space="preserve"> </w:t>
      </w:r>
      <w:r w:rsidRPr="00341F7B">
        <w:rPr>
          <w:i/>
        </w:rPr>
        <w:t>half to make a 30 mg dose.</w:t>
      </w:r>
    </w:p>
    <w:p w:rsidR="00B43000" w:rsidRDefault="00B43000" w:rsidP="00B06F52">
      <w:pPr>
        <w:pStyle w:val="Heading5"/>
      </w:pPr>
      <w:r>
        <w:t>TGA’s current position</w:t>
      </w:r>
    </w:p>
    <w:p w:rsidR="00B43000" w:rsidRDefault="00855D16" w:rsidP="00A0661B">
      <w:r>
        <w:t>The TGA</w:t>
      </w:r>
      <w:r w:rsidR="00B43000">
        <w:t xml:space="preserve"> assume the sponsor is referring to a product called </w:t>
      </w:r>
      <w:proofErr w:type="spellStart"/>
      <w:r w:rsidR="00B43000">
        <w:t>Diaglyaran</w:t>
      </w:r>
      <w:proofErr w:type="spellEnd"/>
      <w:r w:rsidR="00B43000">
        <w:t xml:space="preserve">, which is registered in the UK, and has a </w:t>
      </w:r>
      <w:r w:rsidR="00491793">
        <w:t>score line</w:t>
      </w:r>
      <w:r w:rsidR="00B43000">
        <w:t>, but the posology in the S</w:t>
      </w:r>
      <w:r>
        <w:t>m</w:t>
      </w:r>
      <w:r w:rsidR="00B43000">
        <w:t xml:space="preserve">PC says that the tablet should not be broken. In other words, the </w:t>
      </w:r>
      <w:r w:rsidR="00491793">
        <w:t>score line</w:t>
      </w:r>
      <w:r w:rsidR="00B43000">
        <w:t xml:space="preserve"> is not functional.</w:t>
      </w:r>
    </w:p>
    <w:p w:rsidR="00B43000" w:rsidRDefault="00B43000" w:rsidP="00A0661B">
      <w:r>
        <w:t xml:space="preserve">The sponsor is referred to the comments for </w:t>
      </w:r>
      <w:proofErr w:type="spellStart"/>
      <w:r>
        <w:t>Laaglyda</w:t>
      </w:r>
      <w:proofErr w:type="spellEnd"/>
      <w:r>
        <w:t>. MHRA reasoning would need to be provided and this would not necessarily trump Australian</w:t>
      </w:r>
      <w:r w:rsidR="00B06F52">
        <w:t xml:space="preserve">   </w:t>
      </w:r>
      <w:r>
        <w:t>specific concerns about the unscored proposed generic tablet increasing the risk of medication errors.</w:t>
      </w:r>
    </w:p>
    <w:p w:rsidR="00B43000" w:rsidRDefault="00B43000" w:rsidP="007A2F76">
      <w:pPr>
        <w:pStyle w:val="Heading5"/>
        <w:rPr>
          <w:rFonts w:ascii="Times New Roman" w:hAnsi="Times New Roman"/>
        </w:rPr>
      </w:pPr>
      <w:r>
        <w:t>Sponsor’s response</w:t>
      </w:r>
    </w:p>
    <w:p w:rsidR="00B43000" w:rsidRPr="00341F7B" w:rsidRDefault="00B43000" w:rsidP="00341F7B">
      <w:pPr>
        <w:rPr>
          <w:i/>
        </w:rPr>
      </w:pPr>
      <w:r w:rsidRPr="00341F7B">
        <w:rPr>
          <w:i/>
        </w:rPr>
        <w:t>There is no requirement in the EU or TGA guidelines for generic products to be able to</w:t>
      </w:r>
      <w:r w:rsidR="00057EF3" w:rsidRPr="00341F7B">
        <w:rPr>
          <w:i/>
        </w:rPr>
        <w:t xml:space="preserve"> </w:t>
      </w:r>
      <w:r w:rsidRPr="00341F7B">
        <w:rPr>
          <w:i/>
        </w:rPr>
        <w:t>match all uses of the innovator and they are not required to match exactly all attributes</w:t>
      </w:r>
      <w:r w:rsidR="00057EF3" w:rsidRPr="00341F7B">
        <w:rPr>
          <w:i/>
        </w:rPr>
        <w:t xml:space="preserve"> </w:t>
      </w:r>
      <w:r w:rsidRPr="00341F7B">
        <w:rPr>
          <w:i/>
        </w:rPr>
        <w:t>of the innovator product, provided the differences can be appropriately managed, as is</w:t>
      </w:r>
      <w:r w:rsidR="00057EF3" w:rsidRPr="00341F7B">
        <w:rPr>
          <w:i/>
        </w:rPr>
        <w:t xml:space="preserve"> </w:t>
      </w:r>
      <w:r w:rsidRPr="00341F7B">
        <w:rPr>
          <w:i/>
        </w:rPr>
        <w:t>already the case for unscored generic products currently listed on the PBS.</w:t>
      </w:r>
    </w:p>
    <w:p w:rsidR="00B43000" w:rsidRDefault="00B43000" w:rsidP="00B06F52">
      <w:pPr>
        <w:pStyle w:val="Heading5"/>
      </w:pPr>
      <w:r>
        <w:t>TGA’s current position</w:t>
      </w:r>
    </w:p>
    <w:p w:rsidR="00DE6BB6" w:rsidRDefault="00B43000" w:rsidP="00A0661B">
      <w:r>
        <w:t xml:space="preserve">Yes, this is correct. The issue is that the TGA does not think the differences can be appropriately managed in this particular circumstance. More specifically, for the 60 mg MR reference (innovator) product, the deep </w:t>
      </w:r>
      <w:r w:rsidR="00491793">
        <w:t>score line</w:t>
      </w:r>
      <w:r>
        <w:t xml:space="preserve"> is supported by evidence of bioequivalence; not just evidence of no loss of mass on breaking. Further, given the inconvenience of having to return to that pharmacy in the case of a dispensing error, there is a material risk that patients will break the unscored generic tablet, despite instructions on the pack and in the PI/CMI not too</w:t>
      </w:r>
      <w:r w:rsidR="00DE6BB6">
        <w:t>.</w:t>
      </w:r>
    </w:p>
    <w:p w:rsidR="008E7846" w:rsidRDefault="00386150" w:rsidP="007B6132">
      <w:pPr>
        <w:pStyle w:val="Heading3"/>
        <w:rPr>
          <w:lang w:eastAsia="en-AU"/>
        </w:rPr>
      </w:pPr>
      <w:bookmarkStart w:id="71" w:name="_Toc456784908"/>
      <w:r>
        <w:rPr>
          <w:lang w:eastAsia="en-AU"/>
        </w:rPr>
        <w:t>Risk m</w:t>
      </w:r>
      <w:r w:rsidR="008E7846">
        <w:rPr>
          <w:lang w:eastAsia="en-AU"/>
        </w:rPr>
        <w:t xml:space="preserve">anagement </w:t>
      </w:r>
      <w:r>
        <w:rPr>
          <w:lang w:eastAsia="en-AU"/>
        </w:rPr>
        <w:t>p</w:t>
      </w:r>
      <w:r w:rsidR="008E7846">
        <w:rPr>
          <w:lang w:eastAsia="en-AU"/>
        </w:rPr>
        <w:t>lan</w:t>
      </w:r>
      <w:bookmarkEnd w:id="69"/>
      <w:bookmarkEnd w:id="71"/>
    </w:p>
    <w:p w:rsidR="008E7846" w:rsidRDefault="00B43000" w:rsidP="008E7846">
      <w:r>
        <w:t>There was no RMP evaluation conducted for this application.</w:t>
      </w:r>
    </w:p>
    <w:p w:rsidR="008E7846" w:rsidRPr="002A00D3" w:rsidRDefault="00AA0ED0" w:rsidP="002A00D3">
      <w:pPr>
        <w:pStyle w:val="Heading3"/>
      </w:pPr>
      <w:bookmarkStart w:id="72" w:name="_Toc247691531"/>
      <w:bookmarkStart w:id="73" w:name="_Toc314842515"/>
      <w:bookmarkStart w:id="74" w:name="_Toc196046505"/>
      <w:bookmarkStart w:id="75" w:name="_Toc196046949"/>
      <w:bookmarkStart w:id="76" w:name="_Toc456784909"/>
      <w:r>
        <w:lastRenderedPageBreak/>
        <w:t>Risk-benefit a</w:t>
      </w:r>
      <w:r w:rsidR="008E7846">
        <w:t>nalysis</w:t>
      </w:r>
      <w:bookmarkEnd w:id="72"/>
      <w:bookmarkEnd w:id="73"/>
      <w:bookmarkEnd w:id="76"/>
    </w:p>
    <w:p w:rsidR="00DE6BB6" w:rsidRDefault="00D23139" w:rsidP="002A00D3">
      <w:pPr>
        <w:pStyle w:val="Heading4"/>
      </w:pPr>
      <w:r w:rsidRPr="00D23139">
        <w:t>Delegate’s considerations</w:t>
      </w:r>
    </w:p>
    <w:p w:rsidR="00944B2A" w:rsidRDefault="00944B2A" w:rsidP="002A00D3">
      <w:pPr>
        <w:pStyle w:val="Heading5"/>
      </w:pPr>
      <w:r>
        <w:t>Summary of issues</w:t>
      </w:r>
    </w:p>
    <w:p w:rsidR="00DE6BB6" w:rsidRDefault="00944B2A" w:rsidP="00491793">
      <w:r>
        <w:t xml:space="preserve">The key issue is that the proposed generic 60 mg MR tablet does not have a </w:t>
      </w:r>
      <w:r w:rsidR="00491793">
        <w:t>score line</w:t>
      </w:r>
      <w:r>
        <w:t>; whereas the reference tablet (</w:t>
      </w:r>
      <w:proofErr w:type="spellStart"/>
      <w:r>
        <w:t>Diamicron</w:t>
      </w:r>
      <w:proofErr w:type="spellEnd"/>
      <w:r>
        <w:t xml:space="preserve">) does. The sponsor’s 60 mg MR tablet, marketed in similar overseas countries, does have a </w:t>
      </w:r>
      <w:r w:rsidR="00491793">
        <w:t>score line</w:t>
      </w:r>
      <w:r>
        <w:t xml:space="preserve">. The sponsor has stated that the reason for not having a </w:t>
      </w:r>
      <w:r w:rsidR="00491793">
        <w:t>score line</w:t>
      </w:r>
      <w:r>
        <w:t xml:space="preserve"> in Australia is related to (presumably, Australian</w:t>
      </w:r>
      <w:r w:rsidR="00855D16">
        <w:t xml:space="preserve"> </w:t>
      </w:r>
      <w:r>
        <w:t xml:space="preserve">specific) patent issues. The </w:t>
      </w:r>
      <w:r w:rsidR="00491793">
        <w:t>score line</w:t>
      </w:r>
      <w:r>
        <w:t xml:space="preserve"> on the reference product is supported by evidence showing that two halves of the 60 mg MR tablet are bioequivalent to the whole 60 mg MR tablet. This is more than the standard evidence for a </w:t>
      </w:r>
      <w:r w:rsidR="00491793">
        <w:t>score line</w:t>
      </w:r>
      <w:r>
        <w:t>, which is (typically) in</w:t>
      </w:r>
      <w:r w:rsidR="00855D16">
        <w:t xml:space="preserve"> </w:t>
      </w:r>
      <w:r>
        <w:t>vitro data showing that there is only limited loss of mass on breaking the tablet</w:t>
      </w:r>
      <w:r w:rsidR="00DE6BB6">
        <w:t>.</w:t>
      </w:r>
    </w:p>
    <w:p w:rsidR="00DE6BB6" w:rsidRDefault="00944B2A" w:rsidP="00491793">
      <w:r>
        <w:t xml:space="preserve">For the </w:t>
      </w:r>
      <w:r w:rsidRPr="00E82DD6">
        <w:t>information of the sponso</w:t>
      </w:r>
      <w:r w:rsidR="00E82DD6">
        <w:t xml:space="preserve">r and the ACPM, the reasons for </w:t>
      </w:r>
      <w:r w:rsidRPr="00E82DD6">
        <w:t xml:space="preserve">rejection, at this point in time, are given </w:t>
      </w:r>
      <w:r w:rsidR="00E82DD6" w:rsidRPr="00E82DD6">
        <w:t>below</w:t>
      </w:r>
      <w:r w:rsidRPr="00E82DD6">
        <w:t>. The sponsor</w:t>
      </w:r>
      <w:r>
        <w:t xml:space="preserve"> should specifically address these reasons in their pre-ACPM response</w:t>
      </w:r>
      <w:r w:rsidR="00DE6BB6">
        <w:t>.</w:t>
      </w:r>
    </w:p>
    <w:p w:rsidR="00DE6BB6" w:rsidRDefault="00944B2A" w:rsidP="00491793">
      <w:r>
        <w:t xml:space="preserve">In Canada, where there were similar patent issues on the </w:t>
      </w:r>
      <w:r w:rsidR="00491793">
        <w:t>score line</w:t>
      </w:r>
      <w:r>
        <w:t>, the sponsor marketed the 30 mg MR tablet, until the patent issues were resolved. The same approach would be preferable approach Australia, rather that introducing an unscored 60 mg MR tablet onto the market which will increase the risk of pharmacist and patient medication errors</w:t>
      </w:r>
      <w:r w:rsidR="00DE6BB6">
        <w:t>.</w:t>
      </w:r>
    </w:p>
    <w:p w:rsidR="00944B2A" w:rsidRPr="00944B2A" w:rsidRDefault="00944B2A" w:rsidP="00491793">
      <w:r>
        <w:t xml:space="preserve">In contrast to the Canadian approach, the sponsor’s Australian approach means that there is no guarantee that, when the patent on the </w:t>
      </w:r>
      <w:r w:rsidR="00491793">
        <w:t>score line</w:t>
      </w:r>
      <w:r>
        <w:t xml:space="preserve"> expires in Australia, that the sponsor’s/manufacturer’s generic scored 60 mg MR tablet (marketed in similar countries overseas) will be marketed in Australia.</w:t>
      </w:r>
    </w:p>
    <w:p w:rsidR="00944B2A" w:rsidRDefault="00944B2A" w:rsidP="00944B2A">
      <w:pPr>
        <w:pStyle w:val="Heading4"/>
      </w:pPr>
      <w:r w:rsidRPr="00D23139">
        <w:t>Proposed action</w:t>
      </w:r>
    </w:p>
    <w:p w:rsidR="00944B2A" w:rsidRDefault="00944B2A" w:rsidP="00491793">
      <w:r>
        <w:t xml:space="preserve">At this point in time, </w:t>
      </w:r>
      <w:r w:rsidR="00855D16">
        <w:t>the Delegate’s</w:t>
      </w:r>
      <w:r>
        <w:t xml:space="preserve"> view is that safety and efficacy have not been satisfactorily established for the proposed generic 60 mg MR tablet which does not have a </w:t>
      </w:r>
      <w:r w:rsidR="00491793">
        <w:t>score line</w:t>
      </w:r>
      <w:r>
        <w:t>.</w:t>
      </w:r>
    </w:p>
    <w:p w:rsidR="00B43000" w:rsidRPr="00491793" w:rsidRDefault="00B43000" w:rsidP="00491793">
      <w:pPr>
        <w:pStyle w:val="Heading5"/>
      </w:pPr>
      <w:r>
        <w:rPr>
          <w:lang w:eastAsia="en-AU"/>
        </w:rPr>
        <w:t xml:space="preserve">Reasons for </w:t>
      </w:r>
      <w:r w:rsidR="00491793">
        <w:rPr>
          <w:lang w:eastAsia="en-AU"/>
        </w:rPr>
        <w:t>proposed action</w:t>
      </w:r>
    </w:p>
    <w:p w:rsidR="00B43000" w:rsidRPr="00491793" w:rsidRDefault="00B43000" w:rsidP="00491793">
      <w:pPr>
        <w:pStyle w:val="ListBullet"/>
      </w:pPr>
      <w:r w:rsidRPr="00491793">
        <w:t xml:space="preserve">It is accepted that for most patients, the lack of a </w:t>
      </w:r>
      <w:r w:rsidR="00491793" w:rsidRPr="00491793">
        <w:t>score line</w:t>
      </w:r>
      <w:r w:rsidRPr="00491793">
        <w:t xml:space="preserve"> on the proposed generic tablet will not raise any major clinical concerns. This is especially the case for patients on the 120 mg dose, which is the most common dose.</w:t>
      </w:r>
    </w:p>
    <w:p w:rsidR="00B43000" w:rsidRPr="00491793" w:rsidRDefault="00B43000" w:rsidP="00491793">
      <w:pPr>
        <w:pStyle w:val="ListBullet"/>
      </w:pPr>
      <w:r w:rsidRPr="00491793">
        <w:t xml:space="preserve">However, when </w:t>
      </w:r>
      <w:proofErr w:type="spellStart"/>
      <w:r w:rsidRPr="00491793">
        <w:t>gliclazide</w:t>
      </w:r>
      <w:proofErr w:type="spellEnd"/>
      <w:r w:rsidRPr="00491793">
        <w:t xml:space="preserve"> therapy is started, patients typically up-titrate from a starting dose of 30 mg; and through 90 mg (typically each dose-level lasts two weeks). Also, for some patients, 90 mg is the appropriate long</w:t>
      </w:r>
      <w:r w:rsidR="00855D16">
        <w:t xml:space="preserve"> </w:t>
      </w:r>
      <w:r w:rsidRPr="00491793">
        <w:t>term/maintenance dose; and, other patients might, at some point in time, require back-titration from 120 mg to 90 mg.</w:t>
      </w:r>
    </w:p>
    <w:p w:rsidR="00B43000" w:rsidRPr="00491793" w:rsidRDefault="00B43000" w:rsidP="00491793">
      <w:pPr>
        <w:pStyle w:val="ListBullet"/>
      </w:pPr>
      <w:r w:rsidRPr="00491793">
        <w:t>For patient convenience, current practice in Australia is for pharmacists to dispense the 60 mg MR (scored) reference tablet, allowing patients to make up 30 mg and 90 mg doses by halving the 60 mg (scored) tablet. This should not be done with the proposed unscored 60 mg generic tablet; although patients used to breaking the scored reference tablet might break the unscored proposed generic tablet, despite warnings on the pack and in the PI/CMI.</w:t>
      </w:r>
    </w:p>
    <w:p w:rsidR="00DE6BB6" w:rsidRDefault="00B43000" w:rsidP="00491793">
      <w:pPr>
        <w:pStyle w:val="ListBullet"/>
      </w:pPr>
      <w:r w:rsidRPr="00491793">
        <w:t>It is agreed that pharmacists should not dispense the proposed generic 60 mg MR tablet if a 30 mg or 90 mg dose is prescribed. Statements on the pack and in the PI/CMI could warn against this. However, in quality</w:t>
      </w:r>
      <w:r w:rsidR="00D2572B">
        <w:t xml:space="preserve"> </w:t>
      </w:r>
      <w:r w:rsidRPr="00491793">
        <w:t>engineering terms, the presence of an unscored 60 mg MR generic tablet on the Australian market would create a system problem: an increased risk of pharmacist error (and subsequent patient error)</w:t>
      </w:r>
      <w:r w:rsidR="00DE6BB6">
        <w:t>.</w:t>
      </w:r>
    </w:p>
    <w:p w:rsidR="00B43000" w:rsidRPr="00491793" w:rsidRDefault="00B43000" w:rsidP="00491793">
      <w:pPr>
        <w:pStyle w:val="ListBullet"/>
      </w:pPr>
      <w:r w:rsidRPr="00491793">
        <w:lastRenderedPageBreak/>
        <w:t>The clinical effect of taking part of the proposed generic unscored MR 60 mg tablet (should the patient incorrectly try to break it, because he/she is accustomed to doing this with the reference scored tablet) is uncertain. Too high a dose can lead to hypoglycaemia; too low a dose to hyperglycaemia.</w:t>
      </w:r>
    </w:p>
    <w:p w:rsidR="00B43000" w:rsidRPr="00491793" w:rsidRDefault="00B43000" w:rsidP="00491793">
      <w:pPr>
        <w:pStyle w:val="ListBullet"/>
      </w:pPr>
      <w:r w:rsidRPr="00491793">
        <w:t>It is accepted that these problems might only occur uncommonly (10</w:t>
      </w:r>
      <w:r w:rsidRPr="00855D16">
        <w:rPr>
          <w:vertAlign w:val="superscript"/>
        </w:rPr>
        <w:t>3</w:t>
      </w:r>
      <w:r w:rsidRPr="00491793">
        <w:t xml:space="preserve"> </w:t>
      </w:r>
      <w:r w:rsidR="00855D16">
        <w:t>to</w:t>
      </w:r>
      <w:r w:rsidRPr="00491793">
        <w:t xml:space="preserve"> 10</w:t>
      </w:r>
      <w:r w:rsidRPr="00855D16">
        <w:rPr>
          <w:vertAlign w:val="superscript"/>
        </w:rPr>
        <w:t>2</w:t>
      </w:r>
      <w:r w:rsidRPr="00491793">
        <w:t xml:space="preserve"> patien</w:t>
      </w:r>
      <w:r w:rsidR="00855D16">
        <w:t>t-years exposure) or rarely (10</w:t>
      </w:r>
      <w:r w:rsidRPr="00855D16">
        <w:rPr>
          <w:vertAlign w:val="superscript"/>
        </w:rPr>
        <w:t>4</w:t>
      </w:r>
      <w:r w:rsidRPr="00491793">
        <w:t xml:space="preserve"> </w:t>
      </w:r>
      <w:r w:rsidR="00855D16">
        <w:t>to</w:t>
      </w:r>
      <w:r w:rsidRPr="00491793">
        <w:t xml:space="preserve"> 10</w:t>
      </w:r>
      <w:r w:rsidRPr="00855D16">
        <w:rPr>
          <w:vertAlign w:val="superscript"/>
        </w:rPr>
        <w:t>3</w:t>
      </w:r>
      <w:r w:rsidRPr="00491793">
        <w:t xml:space="preserve"> patient-years exposure).</w:t>
      </w:r>
    </w:p>
    <w:p w:rsidR="00B43000" w:rsidRPr="00491793" w:rsidRDefault="00B43000" w:rsidP="00491793">
      <w:pPr>
        <w:pStyle w:val="ListBullet"/>
      </w:pPr>
      <w:r w:rsidRPr="00491793">
        <w:t>However, even if these problems are uncommon or rare, it means that efficacy and safety of the unscored generic tablet is not equivalent to efficacy and safety of the scored reference tablet. That is, at a population-level the efficacy and safety of Generic Partners proposed (unscored) 60 mg MR generic tablet have not been satisfactorily established (</w:t>
      </w:r>
      <w:r w:rsidR="00855D16">
        <w:t>the quality section</w:t>
      </w:r>
      <w:r w:rsidRPr="00491793">
        <w:t xml:space="preserve"> have advised that the quality of the proposed [unscored] generic 60 mg MR tablet is acceptabl</w:t>
      </w:r>
      <w:r w:rsidR="00D2572B">
        <w:t>e</w:t>
      </w:r>
      <w:r w:rsidRPr="00491793">
        <w:t>)</w:t>
      </w:r>
      <w:r w:rsidR="00D2572B">
        <w:t>.</w:t>
      </w:r>
    </w:p>
    <w:p w:rsidR="00DE6BB6" w:rsidRDefault="00B43000" w:rsidP="00491793">
      <w:pPr>
        <w:pStyle w:val="ListBullet"/>
      </w:pPr>
      <w:r w:rsidRPr="00491793">
        <w:t xml:space="preserve">In general, the efficacy and safety of a generic tablet is established by showing bioequivalence to the reference product; then, all the efficacy and safety data for the reference product can be bridged across to the generic product. However, in this particular circumstance, the lack of a </w:t>
      </w:r>
      <w:r w:rsidR="00491793" w:rsidRPr="00491793">
        <w:t>score line</w:t>
      </w:r>
      <w:r w:rsidRPr="00491793">
        <w:t xml:space="preserve"> increases the risk of pharmacist or patient error, leading to possible over or under dosing. As listing in the immediately preceding dot-point, even if the increased risk of dosing error is small, it means that, at a population-level, the efficacy and safety of the proposed generic 60 mg MR is not equivalent to the efficacy and safety of the reference tablet</w:t>
      </w:r>
      <w:r w:rsidR="00DE6BB6">
        <w:t>.</w:t>
      </w:r>
    </w:p>
    <w:p w:rsidR="00B43000" w:rsidRPr="00491793" w:rsidRDefault="00B43000" w:rsidP="00491793">
      <w:pPr>
        <w:pStyle w:val="ListBullet"/>
      </w:pPr>
      <w:r w:rsidRPr="00491793">
        <w:t>The most recent report of the Australian Commission on Safety and Quality in Health Care on medication safety (2013) stated that 12% of medical admissions (</w:t>
      </w:r>
      <w:r w:rsidR="00855D16">
        <w:t>that is,</w:t>
      </w:r>
      <w:r w:rsidRPr="00491793">
        <w:t xml:space="preserve"> 230,000 admissions per year) were attributable to medication/dosing errors; a (conservative) estimate of cost was $1.2</w:t>
      </w:r>
      <w:r w:rsidR="00855D16">
        <w:t xml:space="preserve"> billion</w:t>
      </w:r>
      <w:r w:rsidRPr="00491793">
        <w:t xml:space="preserve"> per year. Introducing an avoidable system problem (</w:t>
      </w:r>
      <w:r w:rsidR="00855D16">
        <w:t>that is,</w:t>
      </w:r>
      <w:r w:rsidRPr="00491793">
        <w:t xml:space="preserve"> registering an unscored generic 60 mg MR tablet) into the Australian healthcare system, that will likely lead to more dosing/medication errors, is not prudent.</w:t>
      </w:r>
    </w:p>
    <w:p w:rsidR="00DE6BB6" w:rsidRDefault="00B43000" w:rsidP="00491793">
      <w:pPr>
        <w:pStyle w:val="ListBullet"/>
      </w:pPr>
      <w:r w:rsidRPr="00491793">
        <w:t>Spontaneous pharmacovigilance is unlikely to detect any increased rate of hypoglycaemia associated with introduction of the proposed unscored generic 60 mg MR tablet onto the Australian market</w:t>
      </w:r>
      <w:r w:rsidR="00DE6BB6">
        <w:t>.</w:t>
      </w:r>
    </w:p>
    <w:p w:rsidR="00B43000" w:rsidRPr="00491793" w:rsidRDefault="00B43000" w:rsidP="00491793">
      <w:pPr>
        <w:pStyle w:val="ListBullet"/>
      </w:pPr>
      <w:r w:rsidRPr="00491793">
        <w:t xml:space="preserve">The sponsor’s argument that there are other generics without </w:t>
      </w:r>
      <w:r w:rsidR="00491793" w:rsidRPr="00491793">
        <w:t>score line</w:t>
      </w:r>
      <w:r w:rsidRPr="00491793">
        <w:t xml:space="preserve">s registered in Australia is not convincing. The evidence for the functionality of most </w:t>
      </w:r>
      <w:r w:rsidR="00491793" w:rsidRPr="00491793">
        <w:t>score line</w:t>
      </w:r>
      <w:r w:rsidRPr="00491793">
        <w:t xml:space="preserve">s is based on limited loss of mass on breaking the tablet. In contrast the evidence for the functionality of the deep </w:t>
      </w:r>
      <w:r w:rsidR="00491793" w:rsidRPr="00491793">
        <w:t>score line</w:t>
      </w:r>
      <w:r w:rsidRPr="00491793">
        <w:t xml:space="preserve"> for </w:t>
      </w:r>
      <w:proofErr w:type="spellStart"/>
      <w:r w:rsidRPr="00491793">
        <w:t>Diamicron</w:t>
      </w:r>
      <w:proofErr w:type="spellEnd"/>
      <w:r w:rsidRPr="00491793">
        <w:t xml:space="preserve"> is a bioequivalence study.</w:t>
      </w:r>
    </w:p>
    <w:p w:rsidR="00B43000" w:rsidRPr="00491793" w:rsidRDefault="00B43000" w:rsidP="00491793">
      <w:pPr>
        <w:pStyle w:val="ListBullet"/>
      </w:pPr>
      <w:r w:rsidRPr="00491793">
        <w:t xml:space="preserve">The sponsor’s argument that there are other </w:t>
      </w:r>
      <w:proofErr w:type="spellStart"/>
      <w:r w:rsidRPr="00491793">
        <w:t>gliclazide</w:t>
      </w:r>
      <w:proofErr w:type="spellEnd"/>
      <w:r w:rsidRPr="00491793">
        <w:t xml:space="preserve"> 60 mg MR generics without </w:t>
      </w:r>
      <w:r w:rsidR="00491793" w:rsidRPr="00491793">
        <w:t>score line</w:t>
      </w:r>
      <w:r w:rsidRPr="00491793">
        <w:t xml:space="preserve">s registered in UK is not convincing. For patient convenience, current practice in Australia is for pharmacists to dispense the 60 mg MR (scored) reference tablet, allowing patients to make up 30 mg and 90 mg doses by halving the 60 mg (scored) tablet. Also, the sponsor’s 60 mg MR generic tablet, which is marketed in the EU, has a </w:t>
      </w:r>
      <w:r w:rsidR="00491793" w:rsidRPr="00491793">
        <w:t>score line</w:t>
      </w:r>
      <w:r w:rsidRPr="00491793">
        <w:t>.</w:t>
      </w:r>
    </w:p>
    <w:p w:rsidR="00B43000" w:rsidRPr="00491793" w:rsidRDefault="00B43000" w:rsidP="00491793">
      <w:pPr>
        <w:pStyle w:val="ListBullet"/>
      </w:pPr>
      <w:r w:rsidRPr="00491793">
        <w:t>The sponsor’s argument that the increased risk of pharmacist/patient error with the proposed unscored generic tablet can be adequately mitigated by statements on the pack and in the PI/CMI is not convincing. It is well known that some patients break tablets even when the PI/CMI and statements on the pack instruct the patient not to (see for example</w:t>
      </w:r>
      <w:r w:rsidR="00855D16">
        <w:rPr>
          <w:rStyle w:val="FootnoteReference"/>
        </w:rPr>
        <w:footnoteReference w:id="8"/>
      </w:r>
      <w:r w:rsidRPr="00491793">
        <w:t>).</w:t>
      </w:r>
    </w:p>
    <w:p w:rsidR="00B43000" w:rsidRPr="00491793" w:rsidRDefault="00B43000" w:rsidP="00491793">
      <w:pPr>
        <w:pStyle w:val="ListBullet"/>
      </w:pPr>
      <w:r w:rsidRPr="00491793">
        <w:lastRenderedPageBreak/>
        <w:t xml:space="preserve">A better strategy would be for the sponsor/manufacturer to register and market their 30 mg MR generic tablet in Australia, until the patent issues have been resolved with the </w:t>
      </w:r>
      <w:r w:rsidR="00491793" w:rsidRPr="00491793">
        <w:t>score line</w:t>
      </w:r>
      <w:r w:rsidRPr="00491793">
        <w:t xml:space="preserve"> on 60 mg MR tablet. This is what happened in Canada.</w:t>
      </w:r>
    </w:p>
    <w:p w:rsidR="00D23139" w:rsidRDefault="00D23139" w:rsidP="00D23139">
      <w:pPr>
        <w:pStyle w:val="Heading4"/>
      </w:pPr>
      <w:r w:rsidRPr="00D23139">
        <w:t xml:space="preserve">Request for </w:t>
      </w:r>
      <w:r w:rsidR="00D25EDA">
        <w:t>Advisory</w:t>
      </w:r>
      <w:r w:rsidR="00D25EDA">
        <w:rPr>
          <w:spacing w:val="7"/>
        </w:rPr>
        <w:t xml:space="preserve"> </w:t>
      </w:r>
      <w:r w:rsidR="00D25EDA">
        <w:t>Committee</w:t>
      </w:r>
      <w:r w:rsidR="00D25EDA">
        <w:rPr>
          <w:spacing w:val="11"/>
        </w:rPr>
        <w:t xml:space="preserve"> </w:t>
      </w:r>
      <w:r w:rsidR="00D25EDA">
        <w:t>on</w:t>
      </w:r>
      <w:r w:rsidR="00D25EDA">
        <w:rPr>
          <w:spacing w:val="69"/>
        </w:rPr>
        <w:t xml:space="preserve"> </w:t>
      </w:r>
      <w:r w:rsidR="00D25EDA" w:rsidRPr="00855D16">
        <w:t>Prescription Medicines</w:t>
      </w:r>
      <w:r w:rsidR="00D25EDA" w:rsidRPr="00D23139">
        <w:t xml:space="preserve"> </w:t>
      </w:r>
      <w:r w:rsidR="00D25EDA">
        <w:t>(</w:t>
      </w:r>
      <w:r w:rsidRPr="00D23139">
        <w:t>ACPM</w:t>
      </w:r>
      <w:r w:rsidR="00D25EDA">
        <w:t>)</w:t>
      </w:r>
      <w:r w:rsidRPr="00D23139">
        <w:t xml:space="preserve"> advice</w:t>
      </w:r>
    </w:p>
    <w:p w:rsidR="00944B2A" w:rsidRPr="007A2F76" w:rsidRDefault="00944B2A" w:rsidP="007A2F76">
      <w:pPr>
        <w:pStyle w:val="Numberbullet0"/>
        <w:numPr>
          <w:ilvl w:val="0"/>
          <w:numId w:val="14"/>
        </w:numPr>
        <w:rPr>
          <w:i/>
        </w:rPr>
      </w:pPr>
      <w:r w:rsidRPr="007A2F76">
        <w:rPr>
          <w:i/>
        </w:rPr>
        <w:t>Has the sponsor satisfactorily established that the efficacy and safety of the proposed generic 60 mg MR tablet is the same as that of the reference 60 mg MR tablet (</w:t>
      </w:r>
      <w:proofErr w:type="spellStart"/>
      <w:r w:rsidRPr="007A2F76">
        <w:rPr>
          <w:i/>
        </w:rPr>
        <w:t>Diamicron</w:t>
      </w:r>
      <w:proofErr w:type="spellEnd"/>
      <w:r w:rsidRPr="007A2F76">
        <w:rPr>
          <w:i/>
        </w:rPr>
        <w:t>)?</w:t>
      </w:r>
    </w:p>
    <w:p w:rsidR="00DE6BB6" w:rsidRDefault="00D23139" w:rsidP="00D23139">
      <w:pPr>
        <w:pStyle w:val="Heading4"/>
      </w:pPr>
      <w:r w:rsidRPr="00D23139">
        <w:t xml:space="preserve">Response from </w:t>
      </w:r>
      <w:r w:rsidR="00341F7B">
        <w:t>s</w:t>
      </w:r>
      <w:r w:rsidRPr="00D23139">
        <w:t>ponsor</w:t>
      </w:r>
    </w:p>
    <w:p w:rsidR="00A0661B" w:rsidRPr="00855D16" w:rsidRDefault="00A0661B" w:rsidP="00855D16">
      <w:r>
        <w:t>The</w:t>
      </w:r>
      <w:r>
        <w:rPr>
          <w:spacing w:val="11"/>
        </w:rPr>
        <w:t xml:space="preserve"> </w:t>
      </w:r>
      <w:r>
        <w:t>Delegate</w:t>
      </w:r>
      <w:r>
        <w:rPr>
          <w:spacing w:val="11"/>
        </w:rPr>
        <w:t xml:space="preserve"> </w:t>
      </w:r>
      <w:r>
        <w:t>has</w:t>
      </w:r>
      <w:r>
        <w:rPr>
          <w:spacing w:val="14"/>
        </w:rPr>
        <w:t xml:space="preserve"> </w:t>
      </w:r>
      <w:r>
        <w:t>requested</w:t>
      </w:r>
      <w:r>
        <w:rPr>
          <w:spacing w:val="14"/>
        </w:rPr>
        <w:t xml:space="preserve"> </w:t>
      </w:r>
      <w:r>
        <w:t>the</w:t>
      </w:r>
      <w:r>
        <w:rPr>
          <w:spacing w:val="11"/>
        </w:rPr>
        <w:t xml:space="preserve"> </w:t>
      </w:r>
      <w:r>
        <w:t>advice</w:t>
      </w:r>
      <w:r>
        <w:rPr>
          <w:spacing w:val="11"/>
        </w:rPr>
        <w:t xml:space="preserve"> </w:t>
      </w:r>
      <w:r>
        <w:t>of</w:t>
      </w:r>
      <w:r>
        <w:rPr>
          <w:spacing w:val="11"/>
        </w:rPr>
        <w:t xml:space="preserve"> </w:t>
      </w:r>
      <w:r>
        <w:t>the</w:t>
      </w:r>
      <w:r>
        <w:rPr>
          <w:spacing w:val="11"/>
        </w:rPr>
        <w:t xml:space="preserve"> </w:t>
      </w:r>
      <w:r w:rsidR="00D25EDA">
        <w:t>ACPM</w:t>
      </w:r>
      <w:r w:rsidRPr="00855D16">
        <w:t xml:space="preserve"> as to whether Generic Partners, the sponsor of a generic version of </w:t>
      </w:r>
      <w:proofErr w:type="spellStart"/>
      <w:r w:rsidRPr="00855D16">
        <w:t>Gliclazide</w:t>
      </w:r>
      <w:proofErr w:type="spellEnd"/>
      <w:r w:rsidRPr="00855D16">
        <w:t xml:space="preserve"> MR 6</w:t>
      </w:r>
      <w:r w:rsidR="005E1824" w:rsidRPr="00855D16">
        <w:t>0 mg</w:t>
      </w:r>
      <w:r w:rsidRPr="00855D16">
        <w:t xml:space="preserve"> tablets, has satisfactorily established the efficacy and safety of this formulation, compared to the reference 6</w:t>
      </w:r>
      <w:r w:rsidR="005E1824" w:rsidRPr="00855D16">
        <w:t>0 mg</w:t>
      </w:r>
      <w:r w:rsidRPr="00855D16">
        <w:t xml:space="preserve"> MR tablet (</w:t>
      </w:r>
      <w:proofErr w:type="spellStart"/>
      <w:r w:rsidRPr="00855D16">
        <w:t>Diamicron</w:t>
      </w:r>
      <w:proofErr w:type="spellEnd"/>
      <w:r w:rsidRPr="00855D16">
        <w:t xml:space="preserve"> brand).</w:t>
      </w:r>
    </w:p>
    <w:p w:rsidR="00A0661B" w:rsidRPr="00855D16" w:rsidRDefault="00A0661B" w:rsidP="00855D16">
      <w:r w:rsidRPr="00855D16">
        <w:t xml:space="preserve">While the </w:t>
      </w:r>
      <w:r w:rsidR="00D25EDA">
        <w:t>quality</w:t>
      </w:r>
      <w:r w:rsidRPr="00855D16">
        <w:t xml:space="preserve"> evaluator has advised that the proposed generic 6</w:t>
      </w:r>
      <w:r w:rsidR="005E1824" w:rsidRPr="00855D16">
        <w:t>0 mg</w:t>
      </w:r>
      <w:r w:rsidRPr="00855D16">
        <w:t xml:space="preserve"> MR tablet has met the requirements of equivalence to the 6</w:t>
      </w:r>
      <w:r w:rsidR="005E1824" w:rsidRPr="00855D16">
        <w:t>0 mg</w:t>
      </w:r>
      <w:r w:rsidRPr="00855D16">
        <w:t xml:space="preserve"> </w:t>
      </w:r>
      <w:proofErr w:type="spellStart"/>
      <w:r w:rsidRPr="00855D16">
        <w:t>Diamicron</w:t>
      </w:r>
      <w:proofErr w:type="spellEnd"/>
      <w:r w:rsidRPr="00855D16">
        <w:t xml:space="preserve"> MR </w:t>
      </w:r>
      <w:proofErr w:type="gramStart"/>
      <w:r w:rsidRPr="00855D16">
        <w:t>reference</w:t>
      </w:r>
      <w:proofErr w:type="gramEnd"/>
      <w:r w:rsidRPr="00855D16">
        <w:t xml:space="preserve"> tablet, the TGA is concerned that the lack of a score line on the generic formulation could create the risk of pharmacist and patient error.</w:t>
      </w:r>
    </w:p>
    <w:p w:rsidR="00A0661B" w:rsidRPr="00855D16" w:rsidRDefault="00A0661B" w:rsidP="00855D16">
      <w:r w:rsidRPr="00855D16">
        <w:t>The TGA suggest that, because the reference 6</w:t>
      </w:r>
      <w:r w:rsidR="005E1824" w:rsidRPr="00855D16">
        <w:t>0 mg</w:t>
      </w:r>
      <w:r w:rsidRPr="00855D16">
        <w:t xml:space="preserve"> </w:t>
      </w:r>
      <w:proofErr w:type="spellStart"/>
      <w:r w:rsidRPr="00855D16">
        <w:t>Diamicron</w:t>
      </w:r>
      <w:proofErr w:type="spellEnd"/>
      <w:r w:rsidRPr="00855D16">
        <w:t xml:space="preserve"> MR tablet has a score line, the pharmacist is likely to dispense a 6</w:t>
      </w:r>
      <w:r w:rsidR="005E1824" w:rsidRPr="00855D16">
        <w:t>0 mg</w:t>
      </w:r>
      <w:r w:rsidRPr="00855D16">
        <w:t xml:space="preserve"> </w:t>
      </w:r>
      <w:proofErr w:type="spellStart"/>
      <w:r w:rsidRPr="00855D16">
        <w:t>Diamicron</w:t>
      </w:r>
      <w:proofErr w:type="spellEnd"/>
      <w:r w:rsidRPr="00855D16">
        <w:t xml:space="preserve"> MR tablet, rather than a 3</w:t>
      </w:r>
      <w:r w:rsidR="005E1824" w:rsidRPr="00855D16">
        <w:t>0 mg</w:t>
      </w:r>
      <w:r w:rsidRPr="00855D16">
        <w:t xml:space="preserve"> MR tablet, when a 3</w:t>
      </w:r>
      <w:r w:rsidR="005E1824" w:rsidRPr="00855D16">
        <w:t>0 mg</w:t>
      </w:r>
      <w:r w:rsidRPr="00855D16">
        <w:t xml:space="preserve"> or 9</w:t>
      </w:r>
      <w:r w:rsidR="005E1824" w:rsidRPr="00855D16">
        <w:t>0 mg</w:t>
      </w:r>
      <w:r w:rsidRPr="00855D16">
        <w:t xml:space="preserve"> is prescribed. If this was the case the patient is therefore likely to take HALF a 6</w:t>
      </w:r>
      <w:r w:rsidR="005E1824" w:rsidRPr="00855D16">
        <w:t>0 mg</w:t>
      </w:r>
      <w:r w:rsidRPr="00855D16">
        <w:t xml:space="preserve"> </w:t>
      </w:r>
      <w:proofErr w:type="spellStart"/>
      <w:r w:rsidRPr="00855D16">
        <w:t>Diamicron</w:t>
      </w:r>
      <w:proofErr w:type="spellEnd"/>
      <w:r w:rsidRPr="00855D16">
        <w:t xml:space="preserve"> MR tablet to administer these doses.</w:t>
      </w:r>
    </w:p>
    <w:p w:rsidR="00A0661B" w:rsidRPr="00855D16" w:rsidRDefault="00A0661B" w:rsidP="00855D16">
      <w:r w:rsidRPr="00855D16">
        <w:t>Furthermore the TGA suggests that if the unscored generic 6</w:t>
      </w:r>
      <w:r w:rsidR="005E1824" w:rsidRPr="00855D16">
        <w:t>0 mg</w:t>
      </w:r>
      <w:r w:rsidRPr="00855D16">
        <w:t xml:space="preserve"> MR tablet becomes available for substitution at the pharmacy level, any patient prescribed a 3</w:t>
      </w:r>
      <w:r w:rsidR="005E1824" w:rsidRPr="00855D16">
        <w:t>0 mg</w:t>
      </w:r>
      <w:r w:rsidRPr="00855D16">
        <w:t xml:space="preserve"> or 9</w:t>
      </w:r>
      <w:r w:rsidR="005E1824" w:rsidRPr="00855D16">
        <w:t>0 mg</w:t>
      </w:r>
      <w:r w:rsidRPr="00855D16">
        <w:t xml:space="preserve"> dose, may also use the unscored 6</w:t>
      </w:r>
      <w:r w:rsidR="005E1824" w:rsidRPr="00855D16">
        <w:t>0 mg</w:t>
      </w:r>
      <w:r w:rsidRPr="00855D16">
        <w:t xml:space="preserve"> MR tablet to administer the prescribed dose. If this was the case, the TGA suggest that it could potentially result in maldistribution of dose between the split portions of the unscored tablet. The TGA suggest that the clinical consequence of taking part of an unscored tablet could be hypoglycaemia, if the split portion was too large; or hyperglycaemia if the split proportion was too small.</w:t>
      </w:r>
    </w:p>
    <w:p w:rsidR="00A0661B" w:rsidRPr="00855D16" w:rsidRDefault="00A0661B" w:rsidP="00855D16">
      <w:r w:rsidRPr="00855D16">
        <w:t xml:space="preserve">The sponsor requests that the following information, which supports </w:t>
      </w:r>
      <w:r w:rsidR="00855D16" w:rsidRPr="00855D16">
        <w:t>the sponsor’s</w:t>
      </w:r>
      <w:r w:rsidRPr="00855D16">
        <w:t xml:space="preserve"> position that the TGA view will not be the case in practice, should also be fully considered by the Committee:</w:t>
      </w:r>
    </w:p>
    <w:p w:rsidR="00A0661B" w:rsidRPr="00491793" w:rsidRDefault="00A0661B" w:rsidP="00491793">
      <w:pPr>
        <w:pStyle w:val="Heading5"/>
        <w:rPr>
          <w:rFonts w:eastAsiaTheme="minorEastAsia"/>
        </w:rPr>
      </w:pPr>
      <w:r w:rsidRPr="00491793">
        <w:rPr>
          <w:rFonts w:eastAsiaTheme="minorEastAsia"/>
        </w:rPr>
        <w:t>P</w:t>
      </w:r>
      <w:r w:rsidR="00491793">
        <w:t>roposed use of the generic unscored 60 mg MR tablet</w:t>
      </w:r>
    </w:p>
    <w:p w:rsidR="00A0661B" w:rsidRPr="00341F7B" w:rsidRDefault="00491793" w:rsidP="00341F7B">
      <w:r w:rsidRPr="00341F7B">
        <w:t>The sponsor’s</w:t>
      </w:r>
      <w:r w:rsidR="00A0661B" w:rsidRPr="00341F7B">
        <w:t xml:space="preserve"> generic 60 mg unscored </w:t>
      </w:r>
      <w:proofErr w:type="spellStart"/>
      <w:r w:rsidR="00A0661B" w:rsidRPr="00341F7B">
        <w:t>gliclazide</w:t>
      </w:r>
      <w:proofErr w:type="spellEnd"/>
      <w:r w:rsidR="00A0661B" w:rsidRPr="00341F7B">
        <w:t xml:space="preserve"> tablet is to be used for maintenance doses of 60 mg or 120 mg </w:t>
      </w:r>
      <w:proofErr w:type="spellStart"/>
      <w:r w:rsidR="00A0661B" w:rsidRPr="00341F7B">
        <w:t>gliclazide</w:t>
      </w:r>
      <w:proofErr w:type="spellEnd"/>
      <w:r w:rsidR="00A0661B" w:rsidRPr="00341F7B">
        <w:t xml:space="preserve"> (and not for the 30 mg or 90 mg). </w:t>
      </w:r>
      <w:r w:rsidRPr="00341F7B">
        <w:t>The</w:t>
      </w:r>
      <w:r w:rsidR="00A0661B" w:rsidRPr="00341F7B">
        <w:t xml:space="preserve"> PI, </w:t>
      </w:r>
      <w:r w:rsidRPr="00341F7B">
        <w:t>C</w:t>
      </w:r>
      <w:r w:rsidR="00C647FE">
        <w:t>MI</w:t>
      </w:r>
      <w:r w:rsidR="00A0661B" w:rsidRPr="00341F7B">
        <w:t xml:space="preserve"> and labels reflect this use.</w:t>
      </w:r>
    </w:p>
    <w:p w:rsidR="00A0661B" w:rsidRDefault="00A0661B" w:rsidP="00341F7B">
      <w:r w:rsidRPr="00341F7B">
        <w:t>TGA’s position: Agree that there is no problem for patients taking</w:t>
      </w:r>
      <w:r>
        <w:t xml:space="preserve"> a 60 </w:t>
      </w:r>
      <w:r>
        <w:rPr>
          <w:spacing w:val="1"/>
        </w:rPr>
        <w:t>mg</w:t>
      </w:r>
      <w:r>
        <w:rPr>
          <w:spacing w:val="-3"/>
        </w:rPr>
        <w:t xml:space="preserve"> </w:t>
      </w:r>
      <w:r>
        <w:t xml:space="preserve">or 120 </w:t>
      </w:r>
      <w:r>
        <w:rPr>
          <w:spacing w:val="1"/>
        </w:rPr>
        <w:t>mg</w:t>
      </w:r>
      <w:r>
        <w:rPr>
          <w:spacing w:val="-3"/>
        </w:rPr>
        <w:t xml:space="preserve"> </w:t>
      </w:r>
      <w:r>
        <w:t>dose.</w:t>
      </w:r>
    </w:p>
    <w:p w:rsidR="00A0661B" w:rsidRDefault="00A0661B" w:rsidP="00057EF3">
      <w:pPr>
        <w:pStyle w:val="Heading5"/>
        <w:rPr>
          <w:rFonts w:eastAsiaTheme="minorEastAsia"/>
          <w:sz w:val="24"/>
          <w:szCs w:val="24"/>
        </w:rPr>
      </w:pPr>
      <w:r>
        <w:rPr>
          <w:rFonts w:eastAsiaTheme="minorEastAsia"/>
          <w:spacing w:val="-1"/>
        </w:rPr>
        <w:t>C</w:t>
      </w:r>
      <w:r w:rsidR="00491793">
        <w:rPr>
          <w:rFonts w:eastAsiaTheme="minorEastAsia"/>
          <w:spacing w:val="-1"/>
        </w:rPr>
        <w:t>an differential scoring be successfully managed?</w:t>
      </w:r>
    </w:p>
    <w:p w:rsidR="00A0661B" w:rsidRPr="00341F7B" w:rsidRDefault="001671F4" w:rsidP="00341F7B">
      <w:r>
        <w:t>The sponsor has</w:t>
      </w:r>
      <w:r w:rsidR="00A0661B" w:rsidRPr="00341F7B">
        <w:t xml:space="preserve"> shown examples of approved products on the ARTG as well as approved products in the UK and across the EU, that any potential safety risks concerning prescriber/patient errors between innovator and generic products can and has been successfully managed for over 10 years through statements in the PI/CMI/PIL/SPC (see our Section 31 response to TGA, Attachment 2 to DOV).</w:t>
      </w:r>
    </w:p>
    <w:p w:rsidR="00A0661B" w:rsidRPr="00341F7B" w:rsidRDefault="00A0661B" w:rsidP="00341F7B">
      <w:r w:rsidRPr="00341F7B">
        <w:t xml:space="preserve">TGA mention that the innovator product had to submit a BE study to successfully demonstrate that the </w:t>
      </w:r>
      <w:r w:rsidR="00491793" w:rsidRPr="00341F7B">
        <w:t>score line</w:t>
      </w:r>
      <w:r w:rsidRPr="00341F7B">
        <w:t xml:space="preserve"> was functional and could be used to produce a 30 mg dose. Any other approved product with a functional </w:t>
      </w:r>
      <w:r w:rsidR="00491793" w:rsidRPr="00341F7B">
        <w:t>score line</w:t>
      </w:r>
      <w:r w:rsidRPr="00341F7B">
        <w:t xml:space="preserve"> has demonstrated that halving the tablet can acceptably produce a half dose of that product, regardless of the data they </w:t>
      </w:r>
      <w:r w:rsidRPr="00341F7B">
        <w:lastRenderedPageBreak/>
        <w:t xml:space="preserve">were required to submit. The fact remains that innovator products with proven, functioning </w:t>
      </w:r>
      <w:r w:rsidR="00491793" w:rsidRPr="00341F7B">
        <w:t>score line</w:t>
      </w:r>
      <w:r w:rsidRPr="00341F7B">
        <w:t xml:space="preserve">s were approved and subsequently, corresponding generics without </w:t>
      </w:r>
      <w:r w:rsidR="00491793" w:rsidRPr="00341F7B">
        <w:t>score line</w:t>
      </w:r>
      <w:r w:rsidRPr="00341F7B">
        <w:t xml:space="preserve">s were approved (which by definition have been proven to be bioequivalent to the innovator) with only statements in their PI and CMI highlighting the differences. All these products were approved based on their quality, safety and efficacy and can be used for their intended use stated in their product information. </w:t>
      </w:r>
      <w:r w:rsidR="00087CED" w:rsidRPr="00341F7B">
        <w:t>The sponsor’s</w:t>
      </w:r>
      <w:r w:rsidRPr="00341F7B">
        <w:t xml:space="preserve"> product should not be treated any differently.</w:t>
      </w:r>
    </w:p>
    <w:p w:rsidR="00DE6BB6" w:rsidRDefault="00087CED" w:rsidP="00341F7B">
      <w:r w:rsidRPr="00341F7B">
        <w:t>The examples the sponsor provided demonstrate that there are a significant number of generic products out there with no score line, where the same lowest strength of the innovator has a score. There is therefore no way to break the generic product in the same way as the innovator in these cases, which have been TGA approved and in some cases PBS a flagged for years, with no clinical safety issues. The sponsor’s proposed generic is of the higher strength available and therefore the lower strength can be obtained by other brands available in the market</w:t>
      </w:r>
      <w:r w:rsidR="00DE6BB6">
        <w:t>.</w:t>
      </w:r>
    </w:p>
    <w:p w:rsidR="00A0661B" w:rsidRPr="00341F7B" w:rsidRDefault="00A0661B" w:rsidP="00341F7B">
      <w:r w:rsidRPr="00341F7B">
        <w:t xml:space="preserve">TGA’s concern that our examples of unscored or non-functional </w:t>
      </w:r>
      <w:r w:rsidR="00491793" w:rsidRPr="00341F7B">
        <w:t>score line</w:t>
      </w:r>
      <w:r w:rsidRPr="00341F7B">
        <w:t xml:space="preserve"> </w:t>
      </w:r>
      <w:proofErr w:type="spellStart"/>
      <w:r w:rsidRPr="00341F7B">
        <w:t>gliclazide</w:t>
      </w:r>
      <w:proofErr w:type="spellEnd"/>
      <w:r w:rsidRPr="00341F7B">
        <w:t xml:space="preserve"> products approved in the EU is not convincing as the clinical practise is not known, nor the agency’s reasoning for approval. The fact remains that these products have been approved by regulatory authorities, which by TGA’s definition are comparable to the TGA and, whilst our specific unscored generic product has not been approved in these markets, the examples of products approved by other sponsor’s should be considered. Our application proved that the EU innovator was the same as the Australian innovator product and that our generic was bioequivalent to the innovator. Regardless of prescribing practises in UK/EU, the MHRA and other referred EU authorities, comparable regulatory authorities to Australia, have found these alternatives to the </w:t>
      </w:r>
      <w:proofErr w:type="spellStart"/>
      <w:r w:rsidRPr="00341F7B">
        <w:t>gliclazide</w:t>
      </w:r>
      <w:proofErr w:type="spellEnd"/>
      <w:r w:rsidRPr="00341F7B">
        <w:t xml:space="preserve"> innovator to be of acceptable safety, efficacy and quality despite the differences and any risks to prescribing/patient errors are effectively managed by statements in the PIL/SPC.</w:t>
      </w:r>
    </w:p>
    <w:p w:rsidR="00A0661B" w:rsidRPr="005E1824" w:rsidRDefault="00A0661B" w:rsidP="005E1824">
      <w:pPr>
        <w:pStyle w:val="Heading5"/>
        <w:rPr>
          <w:rFonts w:eastAsiaTheme="minorEastAsia"/>
        </w:rPr>
      </w:pPr>
      <w:r w:rsidRPr="005E1824">
        <w:rPr>
          <w:rFonts w:eastAsiaTheme="minorEastAsia"/>
        </w:rPr>
        <w:t>T</w:t>
      </w:r>
      <w:r w:rsidR="005E1824" w:rsidRPr="005E1824">
        <w:rPr>
          <w:rFonts w:eastAsiaTheme="minorEastAsia"/>
        </w:rPr>
        <w:t xml:space="preserve">he unscored 60 mg </w:t>
      </w:r>
      <w:proofErr w:type="spellStart"/>
      <w:r w:rsidR="005E1824" w:rsidRPr="005E1824">
        <w:rPr>
          <w:rFonts w:eastAsiaTheme="minorEastAsia"/>
        </w:rPr>
        <w:t>gliclazide</w:t>
      </w:r>
      <w:proofErr w:type="spellEnd"/>
      <w:r w:rsidR="005E1824" w:rsidRPr="005E1824">
        <w:rPr>
          <w:rFonts w:eastAsiaTheme="minorEastAsia"/>
        </w:rPr>
        <w:t xml:space="preserve"> </w:t>
      </w:r>
      <w:r w:rsidRPr="005E1824">
        <w:rPr>
          <w:rFonts w:eastAsiaTheme="minorEastAsia"/>
        </w:rPr>
        <w:t xml:space="preserve">MR </w:t>
      </w:r>
      <w:r w:rsidR="005E1824" w:rsidRPr="005E1824">
        <w:rPr>
          <w:rFonts w:eastAsiaTheme="minorEastAsia"/>
        </w:rPr>
        <w:t>tablet will be used to administer a 30 mg or 90 mg dose</w:t>
      </w:r>
    </w:p>
    <w:p w:rsidR="00A0661B" w:rsidRPr="00341F7B" w:rsidRDefault="00A0661B" w:rsidP="00341F7B">
      <w:r w:rsidRPr="00341F7B">
        <w:t>The sponsor does not agree with the TGA assumption that the unscored generic 60</w:t>
      </w:r>
      <w:r w:rsidR="005E1824" w:rsidRPr="00341F7B">
        <w:t xml:space="preserve"> </w:t>
      </w:r>
      <w:r w:rsidRPr="00341F7B">
        <w:t>mg MR tablet will be dispensed to patients prescribed a 30</w:t>
      </w:r>
      <w:r w:rsidR="005E1824" w:rsidRPr="00341F7B">
        <w:t xml:space="preserve"> </w:t>
      </w:r>
      <w:r w:rsidRPr="00341F7B">
        <w:t>mg or 90</w:t>
      </w:r>
      <w:r w:rsidR="005E1824" w:rsidRPr="00341F7B">
        <w:t xml:space="preserve"> </w:t>
      </w:r>
      <w:r w:rsidRPr="00341F7B">
        <w:t xml:space="preserve">mg dose of </w:t>
      </w:r>
      <w:proofErr w:type="spellStart"/>
      <w:r w:rsidRPr="00341F7B">
        <w:t>gliclazide</w:t>
      </w:r>
      <w:proofErr w:type="spellEnd"/>
      <w:r w:rsidRPr="00341F7B">
        <w:t>.</w:t>
      </w:r>
    </w:p>
    <w:p w:rsidR="00A0661B" w:rsidRPr="00341F7B" w:rsidRDefault="00A0661B" w:rsidP="00341F7B">
      <w:r w:rsidRPr="00341F7B">
        <w:t>The following information relevant to general precautions provided to health professionals and consumers associated with breaking or splitting modified release tablets, the professional standards and expectations of pharmacists, and past dispensing history relating to the 3</w:t>
      </w:r>
      <w:r w:rsidR="005E1824" w:rsidRPr="00341F7B">
        <w:t>0 mg</w:t>
      </w:r>
      <w:r w:rsidRPr="00341F7B">
        <w:t xml:space="preserve"> MR tablet, has lead the sponsor to an alternative conclusion:</w:t>
      </w:r>
    </w:p>
    <w:p w:rsidR="00A0661B" w:rsidRPr="005E1824" w:rsidRDefault="00A0661B" w:rsidP="005E1824">
      <w:pPr>
        <w:pStyle w:val="ListBullet"/>
      </w:pPr>
      <w:proofErr w:type="spellStart"/>
      <w:r w:rsidRPr="005E1824">
        <w:t>Quinzler</w:t>
      </w:r>
      <w:proofErr w:type="spellEnd"/>
      <w:r w:rsidRPr="005E1824">
        <w:t xml:space="preserve"> (2006)</w:t>
      </w:r>
      <w:r w:rsidR="00985178">
        <w:rPr>
          <w:rStyle w:val="FootnoteReference"/>
        </w:rPr>
        <w:footnoteReference w:id="9"/>
      </w:r>
      <w:r w:rsidRPr="005E1824">
        <w:t xml:space="preserve"> to which the TGA refer makes the following conclusion regarding tablet splitting: </w:t>
      </w:r>
      <w:r w:rsidR="005E1824">
        <w:t>‘</w:t>
      </w:r>
      <w:r w:rsidRPr="005E1824">
        <w:t>The splitting of tablets in primary care is a frequent habit likely driven by medical and economic considerations. Almost 1% of all tablets are split that must not be fragmented. However, the</w:t>
      </w:r>
      <w:r w:rsidR="00D25EDA">
        <w:t xml:space="preserve"> </w:t>
      </w:r>
      <w:r w:rsidR="00334434">
        <w:t>SmPC</w:t>
      </w:r>
      <w:r w:rsidRPr="005E1824">
        <w:t xml:space="preserve"> and PL provide only limited information on divisibility stressing the need to improve this information promptly to avoid medication errors.</w:t>
      </w:r>
      <w:r w:rsidR="005E1824">
        <w:t>’</w:t>
      </w:r>
    </w:p>
    <w:p w:rsidR="00A0661B" w:rsidRPr="005E1824" w:rsidRDefault="00A0661B" w:rsidP="00A9386E">
      <w:pPr>
        <w:pStyle w:val="ListBullet"/>
        <w:numPr>
          <w:ilvl w:val="0"/>
          <w:numId w:val="0"/>
        </w:numPr>
        <w:ind w:left="360"/>
      </w:pPr>
      <w:r w:rsidRPr="005E1824">
        <w:t xml:space="preserve">The study’s conclusion states that almost 1% of all tablets are split which should not be split. This percentage is made up </w:t>
      </w:r>
      <w:r w:rsidRPr="00985178">
        <w:t xml:space="preserve">of immediate release, enteric coated and modified release tablets. It states that current </w:t>
      </w:r>
      <w:r w:rsidR="00985178" w:rsidRPr="00985178">
        <w:t>Summary of Product Characteristics (</w:t>
      </w:r>
      <w:r w:rsidRPr="00985178">
        <w:t>S</w:t>
      </w:r>
      <w:r w:rsidR="00985178" w:rsidRPr="00985178">
        <w:t>m</w:t>
      </w:r>
      <w:r w:rsidRPr="00985178">
        <w:t>PC</w:t>
      </w:r>
      <w:r w:rsidR="00985178" w:rsidRPr="00985178">
        <w:t>)</w:t>
      </w:r>
      <w:r w:rsidRPr="00985178">
        <w:t>/</w:t>
      </w:r>
      <w:r w:rsidR="00985178" w:rsidRPr="00985178">
        <w:t xml:space="preserve"> patient information leaflet (</w:t>
      </w:r>
      <w:r w:rsidRPr="00985178">
        <w:t>PIL</w:t>
      </w:r>
      <w:r w:rsidR="00985178" w:rsidRPr="00985178">
        <w:t>)</w:t>
      </w:r>
      <w:r w:rsidRPr="00985178">
        <w:t xml:space="preserve"> provide only limited information and</w:t>
      </w:r>
      <w:r w:rsidRPr="005E1824">
        <w:t xml:space="preserve"> that this should be improved to avoid medication errors and no mention was made of labelling.</w:t>
      </w:r>
    </w:p>
    <w:p w:rsidR="00A0661B" w:rsidRPr="005E1824" w:rsidRDefault="00A0661B" w:rsidP="005E1824">
      <w:pPr>
        <w:pStyle w:val="ListBullet2"/>
      </w:pPr>
      <w:r w:rsidRPr="005E1824">
        <w:t>Since this paper was written in 2006, significant improvements have been made for specific advice to be included in PIL/S</w:t>
      </w:r>
      <w:r w:rsidR="00985178">
        <w:t>m</w:t>
      </w:r>
      <w:r w:rsidRPr="005E1824">
        <w:t xml:space="preserve">PC/PI/CMI across EU and Australia for </w:t>
      </w:r>
      <w:r w:rsidRPr="005E1824">
        <w:lastRenderedPageBreak/>
        <w:t xml:space="preserve">all products and our product is no exception. </w:t>
      </w:r>
      <w:r w:rsidR="00985178">
        <w:t>The sponsor is</w:t>
      </w:r>
      <w:r w:rsidRPr="005E1824">
        <w:t xml:space="preserve"> doing more than putting specific statements in the PI and CMI for </w:t>
      </w:r>
      <w:r w:rsidR="00985178">
        <w:t>their</w:t>
      </w:r>
      <w:r w:rsidRPr="005E1824">
        <w:t xml:space="preserve"> product. </w:t>
      </w:r>
      <w:r w:rsidR="00985178">
        <w:t>The sponsor is</w:t>
      </w:r>
      <w:r w:rsidRPr="005E1824">
        <w:t xml:space="preserve"> also adding text on the carton as well as specific dispensing labels and are providing pharmacist training highlighting that </w:t>
      </w:r>
      <w:r w:rsidR="00985178">
        <w:t>the</w:t>
      </w:r>
      <w:r w:rsidRPr="005E1824">
        <w:t xml:space="preserve"> product does not have a </w:t>
      </w:r>
      <w:r w:rsidR="00491793" w:rsidRPr="005E1824">
        <w:t>score line</w:t>
      </w:r>
      <w:r w:rsidRPr="005E1824">
        <w:t xml:space="preserve"> compared with the innovator, and so is not to be dispensed for a 30 mg or 90 mg dose.</w:t>
      </w:r>
    </w:p>
    <w:p w:rsidR="00A0661B" w:rsidRPr="005E1824" w:rsidRDefault="00A0661B" w:rsidP="005E1824">
      <w:pPr>
        <w:pStyle w:val="ListBullet2"/>
      </w:pPr>
      <w:r w:rsidRPr="005E1824">
        <w:t>Only a fraction of the 1% mentioned in this study is made up of modified release tablets. Specific product advice on PI/CMI as well as carton labelling and specific dispensing labels and pharmacist training will remove the risk that even this fraction will split our product.</w:t>
      </w:r>
    </w:p>
    <w:p w:rsidR="00A0661B" w:rsidRPr="005E1824" w:rsidRDefault="00A0661B" w:rsidP="005E1824">
      <w:pPr>
        <w:pStyle w:val="ListBullet2"/>
      </w:pPr>
      <w:r w:rsidRPr="005E1824">
        <w:t>The ge</w:t>
      </w:r>
      <w:r w:rsidR="00985178">
        <w:t>neric products mentioned in the sponsor’s</w:t>
      </w:r>
      <w:r w:rsidRPr="005E1824">
        <w:t xml:space="preserve"> response,  where they either had no </w:t>
      </w:r>
      <w:r w:rsidR="00491793" w:rsidRPr="005E1824">
        <w:t>score line</w:t>
      </w:r>
      <w:r w:rsidRPr="005E1824">
        <w:t xml:space="preserve">, or a non-functional </w:t>
      </w:r>
      <w:r w:rsidR="00491793" w:rsidRPr="005E1824">
        <w:t>score line</w:t>
      </w:r>
      <w:r w:rsidRPr="005E1824">
        <w:t xml:space="preserve">, compared to the innovator, were all approved by TGA and registered on the ARTG post 2006, </w:t>
      </w:r>
      <w:r w:rsidR="00985178">
        <w:t>that is,</w:t>
      </w:r>
      <w:r w:rsidRPr="005E1824">
        <w:t xml:space="preserve"> post the </w:t>
      </w:r>
      <w:proofErr w:type="spellStart"/>
      <w:r w:rsidRPr="005E1824">
        <w:t>Quinzler</w:t>
      </w:r>
      <w:proofErr w:type="spellEnd"/>
      <w:r w:rsidRPr="005E1824">
        <w:t xml:space="preserve"> paper:</w:t>
      </w:r>
    </w:p>
    <w:p w:rsidR="00A0661B" w:rsidRPr="005E1824" w:rsidRDefault="00A0661B" w:rsidP="005E1824">
      <w:pPr>
        <w:pStyle w:val="ListBullet3"/>
      </w:pPr>
      <w:r w:rsidRPr="005E1824">
        <w:t xml:space="preserve">Unscored: </w:t>
      </w:r>
      <w:proofErr w:type="spellStart"/>
      <w:r w:rsidRPr="005E1824">
        <w:t>Apotex</w:t>
      </w:r>
      <w:proofErr w:type="spellEnd"/>
      <w:r w:rsidRPr="005E1824">
        <w:t xml:space="preserve"> Lisinopril 5 mg (2008); Scored: APO-Lisinopril 5 mg (2013)</w:t>
      </w:r>
    </w:p>
    <w:p w:rsidR="00A0661B" w:rsidRPr="005E1824" w:rsidRDefault="00A0661B" w:rsidP="005E1824">
      <w:pPr>
        <w:pStyle w:val="ListBullet3"/>
      </w:pPr>
      <w:r w:rsidRPr="005E1824">
        <w:t xml:space="preserve">Unscored: </w:t>
      </w:r>
      <w:proofErr w:type="spellStart"/>
      <w:r w:rsidRPr="005E1824">
        <w:t>Enalapril</w:t>
      </w:r>
      <w:proofErr w:type="spellEnd"/>
      <w:r w:rsidRPr="005E1824">
        <w:t xml:space="preserve"> Generic</w:t>
      </w:r>
      <w:r w:rsidR="00D25EDA">
        <w:t xml:space="preserve"> H</w:t>
      </w:r>
      <w:r w:rsidRPr="005E1824">
        <w:t>ealth 5 mg (2008)</w:t>
      </w:r>
    </w:p>
    <w:p w:rsidR="00A0661B" w:rsidRPr="005E1824" w:rsidRDefault="00A0661B" w:rsidP="005E1824">
      <w:pPr>
        <w:pStyle w:val="ListBullet3"/>
      </w:pPr>
      <w:r w:rsidRPr="005E1824">
        <w:t xml:space="preserve">Unscored: </w:t>
      </w:r>
      <w:proofErr w:type="spellStart"/>
      <w:r w:rsidRPr="005E1824">
        <w:t>Auro</w:t>
      </w:r>
      <w:proofErr w:type="spellEnd"/>
      <w:r w:rsidRPr="005E1824">
        <w:t>-amlodipine 5 mg (2009)</w:t>
      </w:r>
    </w:p>
    <w:p w:rsidR="00A0661B" w:rsidRPr="005E1824" w:rsidRDefault="00A0661B" w:rsidP="005E1824">
      <w:pPr>
        <w:pStyle w:val="ListBullet3"/>
      </w:pPr>
      <w:r w:rsidRPr="005E1824">
        <w:t xml:space="preserve">Unscored: Risperidone Actavis (now Risperidone </w:t>
      </w:r>
      <w:proofErr w:type="spellStart"/>
      <w:r w:rsidRPr="005E1824">
        <w:t>Amneal</w:t>
      </w:r>
      <w:proofErr w:type="spellEnd"/>
      <w:r w:rsidRPr="005E1824">
        <w:t>) 0.5 mg (2010)</w:t>
      </w:r>
    </w:p>
    <w:p w:rsidR="00A0661B" w:rsidRPr="005E1824" w:rsidRDefault="00A0661B" w:rsidP="005E1824">
      <w:pPr>
        <w:pStyle w:val="ListBullet3"/>
      </w:pPr>
      <w:r w:rsidRPr="005E1824">
        <w:t xml:space="preserve">Unscored: </w:t>
      </w:r>
      <w:proofErr w:type="spellStart"/>
      <w:r w:rsidRPr="005E1824">
        <w:t>Formet</w:t>
      </w:r>
      <w:proofErr w:type="spellEnd"/>
      <w:r w:rsidRPr="005E1824">
        <w:t xml:space="preserve"> Aspen 500 (2012), Metformin Ranbaxy (2008), Metformin Generic</w:t>
      </w:r>
      <w:r w:rsidR="00D25EDA">
        <w:t xml:space="preserve"> H</w:t>
      </w:r>
      <w:r w:rsidRPr="005E1824">
        <w:t xml:space="preserve">ealth (2008), </w:t>
      </w:r>
      <w:proofErr w:type="spellStart"/>
      <w:r w:rsidRPr="005E1824">
        <w:t>Glucobete</w:t>
      </w:r>
      <w:proofErr w:type="spellEnd"/>
      <w:r w:rsidRPr="005E1824">
        <w:t xml:space="preserve"> 500 (2011), Metformin AN (2011)</w:t>
      </w:r>
    </w:p>
    <w:p w:rsidR="00A0661B" w:rsidRDefault="00A0661B" w:rsidP="005E1824">
      <w:pPr>
        <w:pStyle w:val="ListBullet2"/>
      </w:pPr>
      <w:r>
        <w:t>Examples</w:t>
      </w:r>
      <w:r>
        <w:rPr>
          <w:spacing w:val="7"/>
        </w:rPr>
        <w:t xml:space="preserve"> </w:t>
      </w:r>
      <w:r>
        <w:t>provided</w:t>
      </w:r>
      <w:r>
        <w:rPr>
          <w:spacing w:val="7"/>
        </w:rPr>
        <w:t xml:space="preserve"> </w:t>
      </w:r>
      <w:r>
        <w:t>of</w:t>
      </w:r>
      <w:r>
        <w:rPr>
          <w:spacing w:val="8"/>
        </w:rPr>
        <w:t xml:space="preserve"> </w:t>
      </w:r>
      <w:proofErr w:type="spellStart"/>
      <w:r>
        <w:t>gliclazide</w:t>
      </w:r>
      <w:proofErr w:type="spellEnd"/>
      <w:r>
        <w:rPr>
          <w:spacing w:val="6"/>
        </w:rPr>
        <w:t xml:space="preserve"> </w:t>
      </w:r>
      <w:r>
        <w:t>products</w:t>
      </w:r>
      <w:r>
        <w:rPr>
          <w:spacing w:val="7"/>
        </w:rPr>
        <w:t xml:space="preserve"> </w:t>
      </w:r>
      <w:r>
        <w:t>registered</w:t>
      </w:r>
      <w:r>
        <w:rPr>
          <w:spacing w:val="7"/>
        </w:rPr>
        <w:t xml:space="preserve"> </w:t>
      </w:r>
      <w:r>
        <w:t>in</w:t>
      </w:r>
      <w:r>
        <w:rPr>
          <w:spacing w:val="7"/>
        </w:rPr>
        <w:t xml:space="preserve"> </w:t>
      </w:r>
      <w:r>
        <w:t>the</w:t>
      </w:r>
      <w:r>
        <w:rPr>
          <w:spacing w:val="6"/>
        </w:rPr>
        <w:t xml:space="preserve"> </w:t>
      </w:r>
      <w:r>
        <w:t>EU</w:t>
      </w:r>
      <w:r>
        <w:rPr>
          <w:spacing w:val="6"/>
        </w:rPr>
        <w:t xml:space="preserve"> </w:t>
      </w:r>
      <w:r>
        <w:t>where</w:t>
      </w:r>
      <w:r>
        <w:rPr>
          <w:spacing w:val="6"/>
        </w:rPr>
        <w:t xml:space="preserve"> </w:t>
      </w:r>
      <w:r>
        <w:t>the</w:t>
      </w:r>
      <w:r>
        <w:rPr>
          <w:spacing w:val="8"/>
        </w:rPr>
        <w:t xml:space="preserve"> </w:t>
      </w:r>
      <w:r>
        <w:t>generic</w:t>
      </w:r>
      <w:r>
        <w:rPr>
          <w:spacing w:val="6"/>
        </w:rPr>
        <w:t xml:space="preserve"> </w:t>
      </w:r>
      <w:r>
        <w:t>does</w:t>
      </w:r>
      <w:r>
        <w:rPr>
          <w:spacing w:val="81"/>
        </w:rPr>
        <w:t xml:space="preserve"> </w:t>
      </w:r>
      <w:r>
        <w:t>not</w:t>
      </w:r>
      <w:r>
        <w:rPr>
          <w:spacing w:val="26"/>
        </w:rPr>
        <w:t xml:space="preserve"> </w:t>
      </w:r>
      <w:r>
        <w:t>have</w:t>
      </w:r>
      <w:r>
        <w:rPr>
          <w:spacing w:val="25"/>
        </w:rPr>
        <w:t xml:space="preserve"> </w:t>
      </w:r>
      <w:r>
        <w:t>a</w:t>
      </w:r>
      <w:r>
        <w:rPr>
          <w:spacing w:val="25"/>
        </w:rPr>
        <w:t xml:space="preserve"> </w:t>
      </w:r>
      <w:r w:rsidR="00491793">
        <w:t>score line</w:t>
      </w:r>
      <w:r>
        <w:t>,</w:t>
      </w:r>
      <w:r>
        <w:rPr>
          <w:spacing w:val="26"/>
        </w:rPr>
        <w:t xml:space="preserve"> </w:t>
      </w:r>
      <w:r>
        <w:t>or</w:t>
      </w:r>
      <w:r>
        <w:rPr>
          <w:spacing w:val="28"/>
        </w:rPr>
        <w:t xml:space="preserve"> </w:t>
      </w:r>
      <w:r>
        <w:t>a</w:t>
      </w:r>
      <w:r>
        <w:rPr>
          <w:spacing w:val="25"/>
        </w:rPr>
        <w:t xml:space="preserve"> </w:t>
      </w:r>
      <w:r>
        <w:t>functional</w:t>
      </w:r>
      <w:r>
        <w:rPr>
          <w:spacing w:val="26"/>
        </w:rPr>
        <w:t xml:space="preserve"> </w:t>
      </w:r>
      <w:r w:rsidR="00491793">
        <w:t>score line</w:t>
      </w:r>
      <w:r>
        <w:rPr>
          <w:spacing w:val="25"/>
        </w:rPr>
        <w:t xml:space="preserve"> </w:t>
      </w:r>
      <w:r>
        <w:t>were</w:t>
      </w:r>
      <w:r>
        <w:rPr>
          <w:spacing w:val="27"/>
        </w:rPr>
        <w:t xml:space="preserve"> </w:t>
      </w:r>
      <w:r>
        <w:t>all</w:t>
      </w:r>
      <w:r>
        <w:rPr>
          <w:spacing w:val="26"/>
        </w:rPr>
        <w:t xml:space="preserve"> </w:t>
      </w:r>
      <w:r>
        <w:t>also</w:t>
      </w:r>
      <w:r>
        <w:rPr>
          <w:spacing w:val="26"/>
        </w:rPr>
        <w:t xml:space="preserve"> </w:t>
      </w:r>
      <w:r>
        <w:t>approved</w:t>
      </w:r>
      <w:r>
        <w:rPr>
          <w:spacing w:val="28"/>
        </w:rPr>
        <w:t xml:space="preserve"> </w:t>
      </w:r>
      <w:r>
        <w:t>and</w:t>
      </w:r>
      <w:r>
        <w:rPr>
          <w:spacing w:val="26"/>
        </w:rPr>
        <w:t xml:space="preserve"> </w:t>
      </w:r>
      <w:r>
        <w:t>registered</w:t>
      </w:r>
      <w:r>
        <w:rPr>
          <w:spacing w:val="84"/>
        </w:rPr>
        <w:t xml:space="preserve"> </w:t>
      </w:r>
      <w:r>
        <w:t>after 2006:</w:t>
      </w:r>
    </w:p>
    <w:p w:rsidR="00A0661B" w:rsidRPr="005E1824" w:rsidRDefault="00A0661B" w:rsidP="005E1824">
      <w:pPr>
        <w:pStyle w:val="ListBullet3"/>
      </w:pPr>
      <w:r w:rsidRPr="005E1824">
        <w:t xml:space="preserve">Unscored: </w:t>
      </w:r>
      <w:proofErr w:type="spellStart"/>
      <w:r w:rsidRPr="005E1824">
        <w:t>Laaglyda</w:t>
      </w:r>
      <w:proofErr w:type="spellEnd"/>
      <w:r w:rsidRPr="005E1824">
        <w:t xml:space="preserve"> MR 60 mg (2013), </w:t>
      </w:r>
      <w:proofErr w:type="spellStart"/>
      <w:r w:rsidRPr="005E1824">
        <w:t>Diacronal</w:t>
      </w:r>
      <w:proofErr w:type="spellEnd"/>
      <w:r w:rsidRPr="005E1824">
        <w:t xml:space="preserve"> MR 60 mg (2013)</w:t>
      </w:r>
    </w:p>
    <w:p w:rsidR="00A0661B" w:rsidRPr="005E1824" w:rsidRDefault="00A0661B" w:rsidP="005E1824">
      <w:pPr>
        <w:pStyle w:val="ListBullet3"/>
      </w:pPr>
      <w:r w:rsidRPr="005E1824">
        <w:t xml:space="preserve">Scored but cannot be broken: </w:t>
      </w:r>
      <w:proofErr w:type="spellStart"/>
      <w:r w:rsidRPr="005E1824">
        <w:t>Diagylaran</w:t>
      </w:r>
      <w:proofErr w:type="spellEnd"/>
      <w:r w:rsidRPr="005E1824">
        <w:t xml:space="preserve"> 60 mg MR (2015)</w:t>
      </w:r>
    </w:p>
    <w:p w:rsidR="00A0661B" w:rsidRDefault="00A0661B" w:rsidP="005E1824">
      <w:pPr>
        <w:pStyle w:val="ListBullet2"/>
      </w:pPr>
      <w:r>
        <w:t>The</w:t>
      </w:r>
      <w:r>
        <w:rPr>
          <w:spacing w:val="18"/>
        </w:rPr>
        <w:t xml:space="preserve"> </w:t>
      </w:r>
      <w:r>
        <w:t>safety</w:t>
      </w:r>
      <w:r>
        <w:rPr>
          <w:spacing w:val="16"/>
        </w:rPr>
        <w:t xml:space="preserve"> </w:t>
      </w:r>
      <w:r>
        <w:t>risks</w:t>
      </w:r>
      <w:r>
        <w:rPr>
          <w:spacing w:val="19"/>
        </w:rPr>
        <w:t xml:space="preserve"> </w:t>
      </w:r>
      <w:r>
        <w:t>for</w:t>
      </w:r>
      <w:r>
        <w:rPr>
          <w:spacing w:val="20"/>
        </w:rPr>
        <w:t xml:space="preserve"> </w:t>
      </w:r>
      <w:r>
        <w:t>the</w:t>
      </w:r>
      <w:r>
        <w:rPr>
          <w:spacing w:val="20"/>
        </w:rPr>
        <w:t xml:space="preserve"> </w:t>
      </w:r>
      <w:r>
        <w:t>above</w:t>
      </w:r>
      <w:r>
        <w:rPr>
          <w:spacing w:val="18"/>
        </w:rPr>
        <w:t xml:space="preserve"> </w:t>
      </w:r>
      <w:r>
        <w:t>products</w:t>
      </w:r>
      <w:r>
        <w:rPr>
          <w:spacing w:val="19"/>
        </w:rPr>
        <w:t xml:space="preserve"> </w:t>
      </w:r>
      <w:r>
        <w:t>are</w:t>
      </w:r>
      <w:r>
        <w:rPr>
          <w:spacing w:val="18"/>
        </w:rPr>
        <w:t xml:space="preserve"> </w:t>
      </w:r>
      <w:r>
        <w:t>all</w:t>
      </w:r>
      <w:r>
        <w:rPr>
          <w:spacing w:val="19"/>
        </w:rPr>
        <w:t xml:space="preserve"> </w:t>
      </w:r>
      <w:r>
        <w:t>successfully</w:t>
      </w:r>
      <w:r>
        <w:rPr>
          <w:spacing w:val="14"/>
        </w:rPr>
        <w:t xml:space="preserve"> </w:t>
      </w:r>
      <w:r>
        <w:t>managed</w:t>
      </w:r>
      <w:r>
        <w:rPr>
          <w:spacing w:val="21"/>
        </w:rPr>
        <w:t xml:space="preserve"> </w:t>
      </w:r>
      <w:r>
        <w:t>with</w:t>
      </w:r>
      <w:r>
        <w:rPr>
          <w:spacing w:val="19"/>
        </w:rPr>
        <w:t xml:space="preserve"> </w:t>
      </w:r>
      <w:r>
        <w:t>statements</w:t>
      </w:r>
      <w:r>
        <w:rPr>
          <w:spacing w:val="67"/>
        </w:rPr>
        <w:t xml:space="preserve"> </w:t>
      </w:r>
      <w:r>
        <w:t>in their PI/CMI</w:t>
      </w:r>
      <w:r>
        <w:rPr>
          <w:spacing w:val="-4"/>
        </w:rPr>
        <w:t xml:space="preserve"> </w:t>
      </w:r>
      <w:r>
        <w:t>to the correct and proper use of their medicine.</w:t>
      </w:r>
    </w:p>
    <w:p w:rsidR="00A0661B" w:rsidRPr="005E1824" w:rsidRDefault="00A0661B" w:rsidP="005E1824">
      <w:pPr>
        <w:pStyle w:val="ListBullet"/>
      </w:pPr>
      <w:r w:rsidRPr="005E1824">
        <w:t xml:space="preserve">Not all generics have the same excipients as the innovator, some which may be allergenic to some patients. The safety risk to the patient exists in these circumstances and the risk is removed by listing all excipients in the PI and CMI, with excipients of concern also included on the carton label. The safety risk for </w:t>
      </w:r>
      <w:r w:rsidR="00985178">
        <w:t>this</w:t>
      </w:r>
      <w:r w:rsidRPr="005E1824">
        <w:t xml:space="preserve"> medicine will be successfully managed in this manner.</w:t>
      </w:r>
    </w:p>
    <w:p w:rsidR="00A0661B" w:rsidRPr="005E1824" w:rsidRDefault="00A0661B" w:rsidP="005E1824">
      <w:pPr>
        <w:pStyle w:val="ListBullet"/>
      </w:pPr>
      <w:r w:rsidRPr="005E1824">
        <w:t>Not all generic medicines are approved for the same indications as the innovator, while this may not pose a safety risk, it does highlight the importance of each medicine’s PI and CMI to highlight any differences between the innovator and the generic product. It cannot be assumed by the TGA that doctors and pharmacists do not check the brand specific information prior to prescribing/dispensing to a patient. In fact, it should be assumed that they do.</w:t>
      </w:r>
    </w:p>
    <w:p w:rsidR="00A0661B" w:rsidRDefault="00A0661B" w:rsidP="005E1824">
      <w:pPr>
        <w:pStyle w:val="ListBullet"/>
      </w:pPr>
      <w:r w:rsidRPr="005E1824">
        <w:t xml:space="preserve">Advice in the </w:t>
      </w:r>
      <w:proofErr w:type="spellStart"/>
      <w:r w:rsidRPr="005E1824">
        <w:t>Diamicron</w:t>
      </w:r>
      <w:proofErr w:type="spellEnd"/>
      <w:r w:rsidRPr="005E1824">
        <w:t xml:space="preserve"> 6</w:t>
      </w:r>
      <w:r w:rsidR="005E1824">
        <w:t>0 mg</w:t>
      </w:r>
      <w:r w:rsidRPr="005E1824">
        <w:t xml:space="preserve"> MR Product Information (PI) that a 3</w:t>
      </w:r>
      <w:r w:rsidR="005E1824">
        <w:t>0 mg</w:t>
      </w:r>
      <w:r w:rsidRPr="005E1824">
        <w:t xml:space="preserve"> dose may be administered as half a 6</w:t>
      </w:r>
      <w:r w:rsidR="005E1824">
        <w:t>0 mg</w:t>
      </w:r>
      <w:r w:rsidRPr="005E1824">
        <w:t xml:space="preserve"> tablet is inconsistent with advice provided in the PI of the 3</w:t>
      </w:r>
      <w:r w:rsidR="005E1824">
        <w:t>0 mg</w:t>
      </w:r>
      <w:r w:rsidRPr="005E1824">
        <w:t xml:space="preserve"> </w:t>
      </w:r>
      <w:proofErr w:type="spellStart"/>
      <w:r w:rsidRPr="005E1824">
        <w:t>gliclazide</w:t>
      </w:r>
      <w:proofErr w:type="spellEnd"/>
      <w:r w:rsidRPr="005E1824">
        <w:t xml:space="preserve"> MR formulation (</w:t>
      </w:r>
      <w:proofErr w:type="spellStart"/>
      <w:r w:rsidRPr="005E1824">
        <w:t>Glyade</w:t>
      </w:r>
      <w:proofErr w:type="spellEnd"/>
      <w:r w:rsidRPr="005E1824">
        <w:t xml:space="preserve">) supplied by the same manufacturer of </w:t>
      </w:r>
      <w:proofErr w:type="spellStart"/>
      <w:r w:rsidRPr="000015B2">
        <w:t>Diamicron</w:t>
      </w:r>
      <w:proofErr w:type="spellEnd"/>
      <w:r w:rsidRPr="000015B2">
        <w:t xml:space="preserve"> 6</w:t>
      </w:r>
      <w:r w:rsidR="005E1824" w:rsidRPr="000015B2">
        <w:t>0 mg</w:t>
      </w:r>
      <w:r w:rsidRPr="000015B2">
        <w:t xml:space="preserve"> (</w:t>
      </w:r>
      <w:proofErr w:type="spellStart"/>
      <w:r w:rsidRPr="000015B2">
        <w:t>Servier</w:t>
      </w:r>
      <w:proofErr w:type="spellEnd"/>
      <w:r w:rsidRPr="000015B2">
        <w:t xml:space="preserve"> Laboratories (Australia)), and the advice given for many other widely prescribed and dispensed medicines formulated as modified release formulations (</w:t>
      </w:r>
      <w:r w:rsidR="005E1824" w:rsidRPr="000015B2">
        <w:t>T</w:t>
      </w:r>
      <w:r w:rsidRPr="000015B2">
        <w:t xml:space="preserve">able </w:t>
      </w:r>
      <w:r w:rsidR="000015B2" w:rsidRPr="000015B2">
        <w:t>4</w:t>
      </w:r>
      <w:r w:rsidRPr="000015B2">
        <w:t xml:space="preserve">). In all cases, the advice is that the tablet </w:t>
      </w:r>
      <w:r w:rsidR="00985178" w:rsidRPr="000015B2">
        <w:rPr>
          <w:i/>
        </w:rPr>
        <w:t>should not</w:t>
      </w:r>
      <w:r w:rsidR="00985178" w:rsidRPr="000015B2">
        <w:t xml:space="preserve"> </w:t>
      </w:r>
      <w:r w:rsidRPr="000015B2">
        <w:t>be broken, divided, crushed or chewed.</w:t>
      </w:r>
    </w:p>
    <w:p w:rsidR="000015B2" w:rsidRDefault="000015B2" w:rsidP="000015B2">
      <w:pPr>
        <w:pStyle w:val="TableTitle"/>
        <w:rPr>
          <w:bCs/>
          <w:sz w:val="24"/>
          <w:szCs w:val="24"/>
        </w:rPr>
      </w:pPr>
      <w:r>
        <w:lastRenderedPageBreak/>
        <w:t>Table 4:</w:t>
      </w:r>
      <w:r>
        <w:rPr>
          <w:spacing w:val="59"/>
        </w:rPr>
        <w:t xml:space="preserve"> </w:t>
      </w:r>
      <w:r>
        <w:t xml:space="preserve">Dosage and Administration advice from </w:t>
      </w:r>
      <w:r>
        <w:rPr>
          <w:spacing w:val="-2"/>
        </w:rPr>
        <w:t>PI</w:t>
      </w:r>
      <w:r>
        <w:t xml:space="preserve"> </w:t>
      </w:r>
      <w:r>
        <w:rPr>
          <w:spacing w:val="1"/>
        </w:rPr>
        <w:t>or</w:t>
      </w:r>
      <w:r>
        <w:t xml:space="preserve"> CMI of</w:t>
      </w:r>
      <w:r>
        <w:rPr>
          <w:spacing w:val="4"/>
        </w:rPr>
        <w:t xml:space="preserve"> </w:t>
      </w:r>
      <w:r>
        <w:t>modified release</w:t>
      </w:r>
      <w:r>
        <w:rPr>
          <w:spacing w:val="1"/>
        </w:rPr>
        <w:t xml:space="preserve"> </w:t>
      </w:r>
      <w:r>
        <w:t>tablets</w:t>
      </w:r>
    </w:p>
    <w:tbl>
      <w:tblPr>
        <w:tblStyle w:val="TableTGAblue"/>
        <w:tblW w:w="8505" w:type="dxa"/>
        <w:tblLayout w:type="fixed"/>
        <w:tblLook w:val="04A0" w:firstRow="1" w:lastRow="0" w:firstColumn="1" w:lastColumn="0" w:noHBand="0" w:noVBand="1"/>
      </w:tblPr>
      <w:tblGrid>
        <w:gridCol w:w="2977"/>
        <w:gridCol w:w="5528"/>
      </w:tblGrid>
      <w:tr w:rsidR="000015B2" w:rsidTr="00304EC6">
        <w:trPr>
          <w:cnfStyle w:val="100000000000" w:firstRow="1" w:lastRow="0" w:firstColumn="0" w:lastColumn="0" w:oddVBand="0" w:evenVBand="0" w:oddHBand="0" w:evenHBand="0" w:firstRowFirstColumn="0" w:firstRowLastColumn="0" w:lastRowFirstColumn="0" w:lastRowLastColumn="0"/>
          <w:trHeight w:val="20"/>
        </w:trPr>
        <w:tc>
          <w:tcPr>
            <w:tcW w:w="2977" w:type="dxa"/>
            <w:hideMark/>
          </w:tcPr>
          <w:p w:rsidR="000015B2" w:rsidRPr="000015B2" w:rsidRDefault="000015B2" w:rsidP="00304EC6">
            <w:r w:rsidRPr="000015B2">
              <w:t>Product</w:t>
            </w:r>
          </w:p>
        </w:tc>
        <w:tc>
          <w:tcPr>
            <w:tcW w:w="5528" w:type="dxa"/>
            <w:hideMark/>
          </w:tcPr>
          <w:p w:rsidR="000015B2" w:rsidRPr="000015B2" w:rsidRDefault="000015B2" w:rsidP="00304EC6">
            <w:r w:rsidRPr="000015B2">
              <w:t>Advice</w:t>
            </w:r>
          </w:p>
        </w:tc>
      </w:tr>
      <w:tr w:rsidR="000015B2" w:rsidTr="00304EC6">
        <w:trPr>
          <w:trHeight w:val="20"/>
        </w:trPr>
        <w:tc>
          <w:tcPr>
            <w:tcW w:w="2977" w:type="dxa"/>
            <w:hideMark/>
          </w:tcPr>
          <w:p w:rsidR="000015B2" w:rsidRPr="000015B2" w:rsidRDefault="000015B2" w:rsidP="00304EC6">
            <w:proofErr w:type="spellStart"/>
            <w:r w:rsidRPr="000015B2">
              <w:t>Ceclor</w:t>
            </w:r>
            <w:proofErr w:type="spellEnd"/>
            <w:r w:rsidRPr="000015B2">
              <w:t xml:space="preserve"> CD</w:t>
            </w:r>
          </w:p>
        </w:tc>
        <w:tc>
          <w:tcPr>
            <w:tcW w:w="5528" w:type="dxa"/>
            <w:hideMark/>
          </w:tcPr>
          <w:p w:rsidR="000015B2" w:rsidRPr="000015B2" w:rsidRDefault="000015B2" w:rsidP="00304EC6">
            <w:r w:rsidRPr="000015B2">
              <w:t>Should not be cut, crushed or chewed.</w:t>
            </w:r>
          </w:p>
        </w:tc>
      </w:tr>
      <w:tr w:rsidR="000015B2" w:rsidTr="00304EC6">
        <w:trPr>
          <w:trHeight w:val="20"/>
        </w:trPr>
        <w:tc>
          <w:tcPr>
            <w:tcW w:w="2977" w:type="dxa"/>
            <w:hideMark/>
          </w:tcPr>
          <w:p w:rsidR="000015B2" w:rsidRPr="000015B2" w:rsidRDefault="000015B2" w:rsidP="00304EC6">
            <w:proofErr w:type="spellStart"/>
            <w:r w:rsidRPr="000015B2">
              <w:t>Concerta</w:t>
            </w:r>
            <w:proofErr w:type="spellEnd"/>
            <w:r w:rsidRPr="000015B2">
              <w:t xml:space="preserve"> Extended Release</w:t>
            </w:r>
          </w:p>
        </w:tc>
        <w:tc>
          <w:tcPr>
            <w:tcW w:w="5528" w:type="dxa"/>
            <w:hideMark/>
          </w:tcPr>
          <w:p w:rsidR="000015B2" w:rsidRPr="000015B2" w:rsidRDefault="000015B2" w:rsidP="00304EC6">
            <w:r w:rsidRPr="000015B2">
              <w:t>Must</w:t>
            </w:r>
            <w:r w:rsidRPr="000015B2">
              <w:rPr>
                <w:spacing w:val="10"/>
              </w:rPr>
              <w:t xml:space="preserve"> </w:t>
            </w:r>
            <w:r w:rsidRPr="000015B2">
              <w:t>be</w:t>
            </w:r>
            <w:r w:rsidRPr="000015B2">
              <w:rPr>
                <w:spacing w:val="8"/>
              </w:rPr>
              <w:t xml:space="preserve"> </w:t>
            </w:r>
            <w:r w:rsidRPr="000015B2">
              <w:t>swallowed</w:t>
            </w:r>
            <w:r w:rsidRPr="000015B2">
              <w:rPr>
                <w:spacing w:val="9"/>
              </w:rPr>
              <w:t xml:space="preserve"> </w:t>
            </w:r>
            <w:r w:rsidRPr="000015B2">
              <w:t>whole…and</w:t>
            </w:r>
            <w:r w:rsidRPr="000015B2">
              <w:rPr>
                <w:spacing w:val="9"/>
              </w:rPr>
              <w:t xml:space="preserve"> </w:t>
            </w:r>
            <w:r w:rsidRPr="000015B2">
              <w:t>must</w:t>
            </w:r>
            <w:r w:rsidRPr="000015B2">
              <w:rPr>
                <w:spacing w:val="10"/>
              </w:rPr>
              <w:t xml:space="preserve"> </w:t>
            </w:r>
            <w:r w:rsidRPr="000015B2">
              <w:t>not</w:t>
            </w:r>
            <w:r w:rsidRPr="000015B2">
              <w:rPr>
                <w:spacing w:val="10"/>
              </w:rPr>
              <w:t xml:space="preserve"> </w:t>
            </w:r>
            <w:r w:rsidRPr="000015B2">
              <w:t>be</w:t>
            </w:r>
            <w:r w:rsidRPr="000015B2">
              <w:rPr>
                <w:spacing w:val="8"/>
              </w:rPr>
              <w:t xml:space="preserve"> </w:t>
            </w:r>
            <w:r w:rsidRPr="000015B2">
              <w:t>chewed,</w:t>
            </w:r>
            <w:r w:rsidRPr="000015B2">
              <w:rPr>
                <w:spacing w:val="9"/>
              </w:rPr>
              <w:t xml:space="preserve"> </w:t>
            </w:r>
            <w:r w:rsidRPr="000015B2">
              <w:t>divided</w:t>
            </w:r>
            <w:r w:rsidRPr="000015B2">
              <w:rPr>
                <w:spacing w:val="9"/>
              </w:rPr>
              <w:t xml:space="preserve"> </w:t>
            </w:r>
            <w:r w:rsidRPr="000015B2">
              <w:t>or</w:t>
            </w:r>
            <w:r w:rsidRPr="000015B2">
              <w:rPr>
                <w:spacing w:val="31"/>
              </w:rPr>
              <w:t xml:space="preserve"> </w:t>
            </w:r>
            <w:r w:rsidRPr="000015B2">
              <w:t>crushed.</w:t>
            </w:r>
          </w:p>
        </w:tc>
      </w:tr>
      <w:tr w:rsidR="000015B2" w:rsidTr="00304EC6">
        <w:trPr>
          <w:trHeight w:val="20"/>
        </w:trPr>
        <w:tc>
          <w:tcPr>
            <w:tcW w:w="2977" w:type="dxa"/>
            <w:hideMark/>
          </w:tcPr>
          <w:p w:rsidR="000015B2" w:rsidRPr="000015B2" w:rsidRDefault="000015B2" w:rsidP="00304EC6">
            <w:proofErr w:type="spellStart"/>
            <w:r w:rsidRPr="000015B2">
              <w:t>Diabex</w:t>
            </w:r>
            <w:proofErr w:type="spellEnd"/>
            <w:r w:rsidRPr="000015B2">
              <w:rPr>
                <w:spacing w:val="2"/>
              </w:rPr>
              <w:t xml:space="preserve"> </w:t>
            </w:r>
            <w:r w:rsidRPr="000015B2">
              <w:t>XR</w:t>
            </w:r>
          </w:p>
        </w:tc>
        <w:tc>
          <w:tcPr>
            <w:tcW w:w="5528" w:type="dxa"/>
            <w:hideMark/>
          </w:tcPr>
          <w:p w:rsidR="000015B2" w:rsidRPr="000015B2" w:rsidRDefault="000015B2" w:rsidP="00304EC6">
            <w:r w:rsidRPr="000015B2">
              <w:t>Swallow</w:t>
            </w:r>
            <w:r w:rsidRPr="000015B2">
              <w:rPr>
                <w:spacing w:val="49"/>
              </w:rPr>
              <w:t xml:space="preserve"> </w:t>
            </w:r>
            <w:r w:rsidRPr="000015B2">
              <w:t>the</w:t>
            </w:r>
            <w:r w:rsidRPr="000015B2">
              <w:rPr>
                <w:spacing w:val="49"/>
              </w:rPr>
              <w:t xml:space="preserve"> </w:t>
            </w:r>
            <w:r w:rsidRPr="000015B2">
              <w:t>tablets</w:t>
            </w:r>
            <w:r w:rsidRPr="000015B2">
              <w:rPr>
                <w:spacing w:val="50"/>
              </w:rPr>
              <w:t xml:space="preserve"> </w:t>
            </w:r>
            <w:r w:rsidRPr="000015B2">
              <w:t>whole…do</w:t>
            </w:r>
            <w:r w:rsidRPr="000015B2">
              <w:rPr>
                <w:spacing w:val="50"/>
              </w:rPr>
              <w:t xml:space="preserve"> </w:t>
            </w:r>
            <w:r w:rsidRPr="000015B2">
              <w:t>not</w:t>
            </w:r>
            <w:r w:rsidRPr="000015B2">
              <w:rPr>
                <w:spacing w:val="50"/>
              </w:rPr>
              <w:t xml:space="preserve"> </w:t>
            </w:r>
            <w:r w:rsidRPr="000015B2">
              <w:t>break,</w:t>
            </w:r>
            <w:r w:rsidRPr="000015B2">
              <w:rPr>
                <w:spacing w:val="52"/>
              </w:rPr>
              <w:t xml:space="preserve"> </w:t>
            </w:r>
            <w:r w:rsidRPr="000015B2">
              <w:t>crush</w:t>
            </w:r>
            <w:r w:rsidRPr="000015B2">
              <w:rPr>
                <w:spacing w:val="50"/>
              </w:rPr>
              <w:t xml:space="preserve"> </w:t>
            </w:r>
            <w:r w:rsidRPr="000015B2">
              <w:t>or</w:t>
            </w:r>
            <w:r w:rsidRPr="000015B2">
              <w:rPr>
                <w:spacing w:val="52"/>
              </w:rPr>
              <w:t xml:space="preserve"> </w:t>
            </w:r>
            <w:r w:rsidRPr="000015B2">
              <w:t>chew</w:t>
            </w:r>
            <w:r w:rsidRPr="000015B2">
              <w:rPr>
                <w:spacing w:val="52"/>
              </w:rPr>
              <w:t xml:space="preserve"> </w:t>
            </w:r>
            <w:r w:rsidRPr="000015B2">
              <w:t>the</w:t>
            </w:r>
            <w:r w:rsidRPr="000015B2">
              <w:rPr>
                <w:spacing w:val="25"/>
              </w:rPr>
              <w:t xml:space="preserve"> </w:t>
            </w:r>
            <w:r w:rsidRPr="000015B2">
              <w:t>tablets.</w:t>
            </w:r>
          </w:p>
        </w:tc>
      </w:tr>
      <w:tr w:rsidR="000015B2" w:rsidTr="00304EC6">
        <w:trPr>
          <w:trHeight w:val="20"/>
        </w:trPr>
        <w:tc>
          <w:tcPr>
            <w:tcW w:w="2977" w:type="dxa"/>
            <w:hideMark/>
          </w:tcPr>
          <w:p w:rsidR="000015B2" w:rsidRPr="000015B2" w:rsidRDefault="000015B2" w:rsidP="00304EC6">
            <w:proofErr w:type="spellStart"/>
            <w:r w:rsidRPr="000015B2">
              <w:t>Glyade</w:t>
            </w:r>
            <w:proofErr w:type="spellEnd"/>
            <w:r w:rsidRPr="000015B2">
              <w:t xml:space="preserve"> MR 30 mg</w:t>
            </w:r>
          </w:p>
        </w:tc>
        <w:tc>
          <w:tcPr>
            <w:tcW w:w="5528" w:type="dxa"/>
            <w:hideMark/>
          </w:tcPr>
          <w:p w:rsidR="000015B2" w:rsidRPr="000015B2" w:rsidRDefault="000015B2" w:rsidP="00304EC6">
            <w:proofErr w:type="spellStart"/>
            <w:r w:rsidRPr="000015B2">
              <w:t>Glyade</w:t>
            </w:r>
            <w:proofErr w:type="spellEnd"/>
            <w:r w:rsidRPr="000015B2">
              <w:rPr>
                <w:spacing w:val="11"/>
              </w:rPr>
              <w:t xml:space="preserve"> </w:t>
            </w:r>
            <w:r w:rsidRPr="000015B2">
              <w:t>MR</w:t>
            </w:r>
            <w:r w:rsidRPr="000015B2">
              <w:rPr>
                <w:spacing w:val="12"/>
              </w:rPr>
              <w:t xml:space="preserve"> </w:t>
            </w:r>
            <w:r w:rsidRPr="000015B2">
              <w:t>tablets</w:t>
            </w:r>
            <w:r w:rsidRPr="000015B2">
              <w:rPr>
                <w:spacing w:val="12"/>
              </w:rPr>
              <w:t xml:space="preserve"> </w:t>
            </w:r>
            <w:r w:rsidRPr="000015B2">
              <w:t>are</w:t>
            </w:r>
            <w:r w:rsidRPr="000015B2">
              <w:rPr>
                <w:spacing w:val="13"/>
              </w:rPr>
              <w:t xml:space="preserve"> </w:t>
            </w:r>
            <w:r w:rsidRPr="000015B2">
              <w:t>modified</w:t>
            </w:r>
            <w:r w:rsidRPr="000015B2">
              <w:rPr>
                <w:spacing w:val="12"/>
              </w:rPr>
              <w:t xml:space="preserve"> </w:t>
            </w:r>
            <w:r w:rsidRPr="000015B2">
              <w:t>release</w:t>
            </w:r>
            <w:r w:rsidRPr="000015B2">
              <w:rPr>
                <w:spacing w:val="11"/>
              </w:rPr>
              <w:t xml:space="preserve"> </w:t>
            </w:r>
            <w:r w:rsidRPr="000015B2">
              <w:t>and</w:t>
            </w:r>
            <w:r w:rsidRPr="000015B2">
              <w:rPr>
                <w:spacing w:val="12"/>
              </w:rPr>
              <w:t xml:space="preserve"> </w:t>
            </w:r>
            <w:r w:rsidRPr="000015B2">
              <w:t>therefore</w:t>
            </w:r>
            <w:r w:rsidRPr="000015B2">
              <w:rPr>
                <w:spacing w:val="11"/>
              </w:rPr>
              <w:t xml:space="preserve"> </w:t>
            </w:r>
            <w:r w:rsidRPr="000015B2">
              <w:t>should</w:t>
            </w:r>
            <w:r w:rsidRPr="000015B2">
              <w:rPr>
                <w:spacing w:val="12"/>
              </w:rPr>
              <w:t xml:space="preserve"> </w:t>
            </w:r>
            <w:r w:rsidRPr="000015B2">
              <w:t>be neither broken nor chewed.</w:t>
            </w:r>
          </w:p>
        </w:tc>
      </w:tr>
      <w:tr w:rsidR="000015B2" w:rsidTr="00304EC6">
        <w:trPr>
          <w:trHeight w:val="20"/>
        </w:trPr>
        <w:tc>
          <w:tcPr>
            <w:tcW w:w="2977" w:type="dxa"/>
            <w:hideMark/>
          </w:tcPr>
          <w:p w:rsidR="000015B2" w:rsidRPr="000015B2" w:rsidRDefault="000015B2" w:rsidP="00304EC6">
            <w:proofErr w:type="spellStart"/>
            <w:r w:rsidRPr="000015B2">
              <w:t>Imdur</w:t>
            </w:r>
            <w:proofErr w:type="spellEnd"/>
            <w:r w:rsidRPr="000015B2">
              <w:rPr>
                <w:spacing w:val="1"/>
              </w:rPr>
              <w:t xml:space="preserve"> </w:t>
            </w:r>
            <w:proofErr w:type="spellStart"/>
            <w:r w:rsidRPr="000015B2">
              <w:t>Durules</w:t>
            </w:r>
            <w:proofErr w:type="spellEnd"/>
          </w:p>
        </w:tc>
        <w:tc>
          <w:tcPr>
            <w:tcW w:w="5528" w:type="dxa"/>
            <w:hideMark/>
          </w:tcPr>
          <w:p w:rsidR="000015B2" w:rsidRPr="000015B2" w:rsidRDefault="000015B2" w:rsidP="00304EC6">
            <w:r w:rsidRPr="000015B2">
              <w:t>Should</w:t>
            </w:r>
            <w:r w:rsidRPr="000015B2">
              <w:rPr>
                <w:spacing w:val="57"/>
              </w:rPr>
              <w:t xml:space="preserve"> </w:t>
            </w:r>
            <w:r w:rsidRPr="000015B2">
              <w:t>not</w:t>
            </w:r>
            <w:r w:rsidRPr="000015B2">
              <w:rPr>
                <w:spacing w:val="58"/>
              </w:rPr>
              <w:t xml:space="preserve"> </w:t>
            </w:r>
            <w:r w:rsidRPr="000015B2">
              <w:t>be</w:t>
            </w:r>
            <w:r w:rsidRPr="000015B2">
              <w:rPr>
                <w:spacing w:val="56"/>
              </w:rPr>
              <w:t xml:space="preserve"> </w:t>
            </w:r>
            <w:r w:rsidRPr="000015B2">
              <w:t>chewed or</w:t>
            </w:r>
            <w:r w:rsidRPr="000015B2">
              <w:rPr>
                <w:spacing w:val="56"/>
              </w:rPr>
              <w:t xml:space="preserve"> </w:t>
            </w:r>
            <w:r w:rsidRPr="000015B2">
              <w:t>crushed, and</w:t>
            </w:r>
            <w:r w:rsidRPr="000015B2">
              <w:rPr>
                <w:spacing w:val="57"/>
              </w:rPr>
              <w:t xml:space="preserve"> </w:t>
            </w:r>
            <w:r w:rsidRPr="000015B2">
              <w:t>should</w:t>
            </w:r>
            <w:r w:rsidRPr="000015B2">
              <w:rPr>
                <w:spacing w:val="57"/>
              </w:rPr>
              <w:t xml:space="preserve"> </w:t>
            </w:r>
            <w:r w:rsidRPr="000015B2">
              <w:t>be</w:t>
            </w:r>
            <w:r w:rsidRPr="000015B2">
              <w:rPr>
                <w:spacing w:val="56"/>
              </w:rPr>
              <w:t xml:space="preserve"> </w:t>
            </w:r>
            <w:r w:rsidRPr="000015B2">
              <w:t>swallowed</w:t>
            </w:r>
            <w:r w:rsidRPr="000015B2">
              <w:rPr>
                <w:spacing w:val="29"/>
              </w:rPr>
              <w:t xml:space="preserve"> </w:t>
            </w:r>
            <w:r w:rsidRPr="000015B2">
              <w:t>whole.</w:t>
            </w:r>
          </w:p>
        </w:tc>
      </w:tr>
      <w:tr w:rsidR="000015B2" w:rsidTr="00304EC6">
        <w:trPr>
          <w:trHeight w:val="20"/>
        </w:trPr>
        <w:tc>
          <w:tcPr>
            <w:tcW w:w="2977" w:type="dxa"/>
            <w:hideMark/>
          </w:tcPr>
          <w:p w:rsidR="000015B2" w:rsidRPr="000015B2" w:rsidRDefault="000015B2" w:rsidP="00304EC6">
            <w:r w:rsidRPr="000015B2">
              <w:t xml:space="preserve">MS </w:t>
            </w:r>
            <w:proofErr w:type="spellStart"/>
            <w:r w:rsidRPr="000015B2">
              <w:t>Contin</w:t>
            </w:r>
            <w:proofErr w:type="spellEnd"/>
          </w:p>
        </w:tc>
        <w:tc>
          <w:tcPr>
            <w:tcW w:w="5528" w:type="dxa"/>
            <w:hideMark/>
          </w:tcPr>
          <w:p w:rsidR="000015B2" w:rsidRPr="000015B2" w:rsidRDefault="000015B2" w:rsidP="00304EC6">
            <w:r w:rsidRPr="000015B2">
              <w:t>Should be swallowed whole, not chewed,</w:t>
            </w:r>
            <w:r w:rsidRPr="000015B2">
              <w:rPr>
                <w:spacing w:val="2"/>
              </w:rPr>
              <w:t xml:space="preserve"> </w:t>
            </w:r>
            <w:r w:rsidRPr="000015B2">
              <w:t>crushed</w:t>
            </w:r>
            <w:r w:rsidRPr="000015B2">
              <w:rPr>
                <w:spacing w:val="2"/>
              </w:rPr>
              <w:t xml:space="preserve"> </w:t>
            </w:r>
            <w:r w:rsidRPr="000015B2">
              <w:t>or broken.</w:t>
            </w:r>
          </w:p>
        </w:tc>
      </w:tr>
      <w:tr w:rsidR="000015B2" w:rsidTr="00304EC6">
        <w:trPr>
          <w:trHeight w:val="20"/>
        </w:trPr>
        <w:tc>
          <w:tcPr>
            <w:tcW w:w="2977" w:type="dxa"/>
            <w:hideMark/>
          </w:tcPr>
          <w:p w:rsidR="000015B2" w:rsidRPr="000015B2" w:rsidRDefault="000015B2" w:rsidP="00304EC6">
            <w:r w:rsidRPr="000015B2">
              <w:t>Naprosyn SR</w:t>
            </w:r>
          </w:p>
        </w:tc>
        <w:tc>
          <w:tcPr>
            <w:tcW w:w="5528" w:type="dxa"/>
            <w:hideMark/>
          </w:tcPr>
          <w:p w:rsidR="000015B2" w:rsidRPr="000015B2" w:rsidRDefault="000015B2" w:rsidP="00304EC6">
            <w:r w:rsidRPr="000015B2">
              <w:t>Should be taken whole and not chewed.</w:t>
            </w:r>
          </w:p>
        </w:tc>
      </w:tr>
      <w:tr w:rsidR="000015B2" w:rsidTr="00304EC6">
        <w:trPr>
          <w:trHeight w:val="20"/>
        </w:trPr>
        <w:tc>
          <w:tcPr>
            <w:tcW w:w="2977" w:type="dxa"/>
            <w:hideMark/>
          </w:tcPr>
          <w:p w:rsidR="000015B2" w:rsidRPr="000015B2" w:rsidRDefault="000015B2" w:rsidP="00304EC6">
            <w:r w:rsidRPr="000015B2">
              <w:t>OxyContin</w:t>
            </w:r>
          </w:p>
        </w:tc>
        <w:tc>
          <w:tcPr>
            <w:tcW w:w="5528" w:type="dxa"/>
            <w:hideMark/>
          </w:tcPr>
          <w:p w:rsidR="000015B2" w:rsidRPr="000015B2" w:rsidRDefault="000015B2" w:rsidP="00304EC6">
            <w:r w:rsidRPr="000015B2">
              <w:t>Are</w:t>
            </w:r>
            <w:r w:rsidRPr="000015B2">
              <w:rPr>
                <w:spacing w:val="18"/>
              </w:rPr>
              <w:t xml:space="preserve"> </w:t>
            </w:r>
            <w:r w:rsidRPr="000015B2">
              <w:t>to</w:t>
            </w:r>
            <w:r w:rsidRPr="000015B2">
              <w:rPr>
                <w:spacing w:val="19"/>
              </w:rPr>
              <w:t xml:space="preserve"> </w:t>
            </w:r>
            <w:r w:rsidRPr="000015B2">
              <w:t>be</w:t>
            </w:r>
            <w:r w:rsidRPr="000015B2">
              <w:rPr>
                <w:spacing w:val="18"/>
              </w:rPr>
              <w:t xml:space="preserve"> </w:t>
            </w:r>
            <w:r w:rsidRPr="000015B2">
              <w:t>swallowed</w:t>
            </w:r>
            <w:r w:rsidRPr="000015B2">
              <w:rPr>
                <w:spacing w:val="19"/>
              </w:rPr>
              <w:t xml:space="preserve"> </w:t>
            </w:r>
            <w:r w:rsidRPr="000015B2">
              <w:t>whole,</w:t>
            </w:r>
            <w:r w:rsidRPr="000015B2">
              <w:rPr>
                <w:spacing w:val="19"/>
              </w:rPr>
              <w:t xml:space="preserve"> </w:t>
            </w:r>
            <w:r w:rsidRPr="000015B2">
              <w:t>and</w:t>
            </w:r>
            <w:r w:rsidRPr="000015B2">
              <w:rPr>
                <w:spacing w:val="19"/>
              </w:rPr>
              <w:t xml:space="preserve"> </w:t>
            </w:r>
            <w:r w:rsidRPr="000015B2">
              <w:t>not</w:t>
            </w:r>
            <w:r w:rsidRPr="000015B2">
              <w:rPr>
                <w:spacing w:val="19"/>
              </w:rPr>
              <w:t xml:space="preserve"> </w:t>
            </w:r>
            <w:r w:rsidRPr="000015B2">
              <w:t>to</w:t>
            </w:r>
            <w:r w:rsidRPr="000015B2">
              <w:rPr>
                <w:spacing w:val="19"/>
              </w:rPr>
              <w:t xml:space="preserve"> </w:t>
            </w:r>
            <w:r w:rsidRPr="000015B2">
              <w:t>be</w:t>
            </w:r>
            <w:r w:rsidRPr="000015B2">
              <w:rPr>
                <w:spacing w:val="18"/>
              </w:rPr>
              <w:t xml:space="preserve"> </w:t>
            </w:r>
            <w:r w:rsidRPr="000015B2">
              <w:t>cut,</w:t>
            </w:r>
            <w:r w:rsidRPr="000015B2">
              <w:rPr>
                <w:spacing w:val="19"/>
              </w:rPr>
              <w:t xml:space="preserve"> </w:t>
            </w:r>
            <w:r w:rsidRPr="000015B2">
              <w:t>broken,</w:t>
            </w:r>
            <w:r w:rsidRPr="000015B2">
              <w:rPr>
                <w:spacing w:val="19"/>
              </w:rPr>
              <w:t xml:space="preserve"> </w:t>
            </w:r>
            <w:r w:rsidRPr="000015B2">
              <w:t>chewed,</w:t>
            </w:r>
            <w:r w:rsidRPr="000015B2">
              <w:rPr>
                <w:spacing w:val="37"/>
              </w:rPr>
              <w:t xml:space="preserve"> </w:t>
            </w:r>
            <w:r w:rsidRPr="000015B2">
              <w:t>crushed or dissolved.</w:t>
            </w:r>
          </w:p>
        </w:tc>
      </w:tr>
      <w:tr w:rsidR="000015B2" w:rsidTr="00304EC6">
        <w:trPr>
          <w:trHeight w:val="20"/>
        </w:trPr>
        <w:tc>
          <w:tcPr>
            <w:tcW w:w="2977" w:type="dxa"/>
            <w:hideMark/>
          </w:tcPr>
          <w:p w:rsidR="000015B2" w:rsidRPr="000015B2" w:rsidRDefault="000015B2" w:rsidP="00304EC6">
            <w:proofErr w:type="spellStart"/>
            <w:r w:rsidRPr="000015B2">
              <w:t>Plendil</w:t>
            </w:r>
            <w:proofErr w:type="spellEnd"/>
            <w:r w:rsidRPr="000015B2">
              <w:t xml:space="preserve"> ER</w:t>
            </w:r>
          </w:p>
        </w:tc>
        <w:tc>
          <w:tcPr>
            <w:tcW w:w="5528" w:type="dxa"/>
            <w:hideMark/>
          </w:tcPr>
          <w:p w:rsidR="000015B2" w:rsidRPr="000015B2" w:rsidRDefault="000015B2" w:rsidP="00304EC6">
            <w:r w:rsidRPr="000015B2">
              <w:t>Should</w:t>
            </w:r>
            <w:r w:rsidRPr="000015B2">
              <w:rPr>
                <w:spacing w:val="16"/>
              </w:rPr>
              <w:t xml:space="preserve"> </w:t>
            </w:r>
            <w:r w:rsidRPr="000015B2">
              <w:t>be</w:t>
            </w:r>
            <w:r w:rsidRPr="000015B2">
              <w:rPr>
                <w:spacing w:val="15"/>
              </w:rPr>
              <w:t xml:space="preserve"> </w:t>
            </w:r>
            <w:r w:rsidRPr="000015B2">
              <w:t>swallowed</w:t>
            </w:r>
            <w:r w:rsidRPr="000015B2">
              <w:rPr>
                <w:spacing w:val="16"/>
              </w:rPr>
              <w:t xml:space="preserve"> </w:t>
            </w:r>
            <w:r w:rsidRPr="000015B2">
              <w:t>whole…and</w:t>
            </w:r>
            <w:r w:rsidRPr="000015B2">
              <w:rPr>
                <w:spacing w:val="16"/>
              </w:rPr>
              <w:t xml:space="preserve"> </w:t>
            </w:r>
            <w:r w:rsidRPr="000015B2">
              <w:t>must</w:t>
            </w:r>
            <w:r w:rsidRPr="000015B2">
              <w:rPr>
                <w:spacing w:val="17"/>
              </w:rPr>
              <w:t xml:space="preserve"> </w:t>
            </w:r>
            <w:r w:rsidRPr="000015B2">
              <w:t>not</w:t>
            </w:r>
            <w:r w:rsidRPr="000015B2">
              <w:rPr>
                <w:spacing w:val="17"/>
              </w:rPr>
              <w:t xml:space="preserve"> </w:t>
            </w:r>
            <w:r w:rsidRPr="000015B2">
              <w:t>be</w:t>
            </w:r>
            <w:r w:rsidRPr="000015B2">
              <w:rPr>
                <w:spacing w:val="15"/>
              </w:rPr>
              <w:t xml:space="preserve"> </w:t>
            </w:r>
            <w:r w:rsidRPr="000015B2">
              <w:t>divided,</w:t>
            </w:r>
            <w:r w:rsidRPr="000015B2">
              <w:rPr>
                <w:spacing w:val="16"/>
              </w:rPr>
              <w:t xml:space="preserve"> </w:t>
            </w:r>
            <w:r w:rsidRPr="000015B2">
              <w:t>crushed</w:t>
            </w:r>
            <w:r w:rsidRPr="000015B2">
              <w:rPr>
                <w:spacing w:val="37"/>
              </w:rPr>
              <w:t xml:space="preserve"> </w:t>
            </w:r>
            <w:r w:rsidRPr="000015B2">
              <w:t>or chewed.</w:t>
            </w:r>
          </w:p>
        </w:tc>
      </w:tr>
      <w:tr w:rsidR="000015B2" w:rsidTr="00304EC6">
        <w:trPr>
          <w:trHeight w:val="20"/>
        </w:trPr>
        <w:tc>
          <w:tcPr>
            <w:tcW w:w="2977" w:type="dxa"/>
            <w:hideMark/>
          </w:tcPr>
          <w:p w:rsidR="000015B2" w:rsidRPr="000015B2" w:rsidRDefault="000015B2" w:rsidP="00304EC6">
            <w:proofErr w:type="spellStart"/>
            <w:r w:rsidRPr="000015B2">
              <w:t>Pristiq</w:t>
            </w:r>
            <w:proofErr w:type="spellEnd"/>
          </w:p>
        </w:tc>
        <w:tc>
          <w:tcPr>
            <w:tcW w:w="5528" w:type="dxa"/>
            <w:hideMark/>
          </w:tcPr>
          <w:p w:rsidR="000015B2" w:rsidRPr="000015B2" w:rsidRDefault="000015B2" w:rsidP="00304EC6">
            <w:r w:rsidRPr="000015B2">
              <w:t>Must</w:t>
            </w:r>
            <w:r w:rsidRPr="000015B2">
              <w:rPr>
                <w:spacing w:val="31"/>
              </w:rPr>
              <w:t xml:space="preserve"> </w:t>
            </w:r>
            <w:r w:rsidRPr="000015B2">
              <w:t>be</w:t>
            </w:r>
            <w:r w:rsidRPr="000015B2">
              <w:rPr>
                <w:spacing w:val="30"/>
              </w:rPr>
              <w:t xml:space="preserve"> </w:t>
            </w:r>
            <w:r w:rsidRPr="000015B2">
              <w:t>swallowed</w:t>
            </w:r>
            <w:r w:rsidRPr="000015B2">
              <w:rPr>
                <w:spacing w:val="33"/>
              </w:rPr>
              <w:t xml:space="preserve"> </w:t>
            </w:r>
            <w:r w:rsidRPr="000015B2">
              <w:t>whole…and</w:t>
            </w:r>
            <w:r w:rsidRPr="000015B2">
              <w:rPr>
                <w:spacing w:val="31"/>
              </w:rPr>
              <w:t xml:space="preserve"> </w:t>
            </w:r>
            <w:r w:rsidRPr="000015B2">
              <w:t>not</w:t>
            </w:r>
            <w:r w:rsidRPr="000015B2">
              <w:rPr>
                <w:spacing w:val="31"/>
              </w:rPr>
              <w:t xml:space="preserve"> </w:t>
            </w:r>
            <w:r w:rsidRPr="000015B2">
              <w:t>divided,</w:t>
            </w:r>
            <w:r w:rsidRPr="000015B2">
              <w:rPr>
                <w:spacing w:val="33"/>
              </w:rPr>
              <w:t xml:space="preserve"> </w:t>
            </w:r>
            <w:r w:rsidRPr="000015B2">
              <w:t>crushed,</w:t>
            </w:r>
            <w:r w:rsidRPr="000015B2">
              <w:rPr>
                <w:spacing w:val="31"/>
              </w:rPr>
              <w:t xml:space="preserve"> </w:t>
            </w:r>
            <w:r w:rsidRPr="000015B2">
              <w:t>chewed,</w:t>
            </w:r>
            <w:r w:rsidRPr="000015B2">
              <w:rPr>
                <w:spacing w:val="65"/>
              </w:rPr>
              <w:t xml:space="preserve"> </w:t>
            </w:r>
            <w:r w:rsidRPr="000015B2">
              <w:t>or dissolved.</w:t>
            </w:r>
          </w:p>
        </w:tc>
      </w:tr>
      <w:tr w:rsidR="000015B2" w:rsidTr="00304EC6">
        <w:trPr>
          <w:trHeight w:val="20"/>
        </w:trPr>
        <w:tc>
          <w:tcPr>
            <w:tcW w:w="2977" w:type="dxa"/>
            <w:hideMark/>
          </w:tcPr>
          <w:p w:rsidR="000015B2" w:rsidRPr="000015B2" w:rsidRDefault="000015B2" w:rsidP="00304EC6">
            <w:r w:rsidRPr="000015B2">
              <w:t>Seroquel XR</w:t>
            </w:r>
          </w:p>
        </w:tc>
        <w:tc>
          <w:tcPr>
            <w:tcW w:w="5528" w:type="dxa"/>
            <w:hideMark/>
          </w:tcPr>
          <w:p w:rsidR="000015B2" w:rsidRPr="000015B2" w:rsidRDefault="000015B2" w:rsidP="00304EC6">
            <w:r w:rsidRPr="000015B2">
              <w:t>The</w:t>
            </w:r>
            <w:r w:rsidRPr="000015B2">
              <w:rPr>
                <w:spacing w:val="11"/>
              </w:rPr>
              <w:t xml:space="preserve"> </w:t>
            </w:r>
            <w:r w:rsidRPr="000015B2">
              <w:t>tablets</w:t>
            </w:r>
            <w:r w:rsidRPr="000015B2">
              <w:rPr>
                <w:spacing w:val="12"/>
              </w:rPr>
              <w:t xml:space="preserve"> </w:t>
            </w:r>
            <w:r w:rsidRPr="000015B2">
              <w:t>should</w:t>
            </w:r>
            <w:r w:rsidRPr="000015B2">
              <w:rPr>
                <w:spacing w:val="12"/>
              </w:rPr>
              <w:t xml:space="preserve"> </w:t>
            </w:r>
            <w:r w:rsidRPr="000015B2">
              <w:t>be</w:t>
            </w:r>
            <w:r w:rsidRPr="000015B2">
              <w:rPr>
                <w:spacing w:val="11"/>
              </w:rPr>
              <w:t xml:space="preserve"> </w:t>
            </w:r>
            <w:r w:rsidRPr="000015B2">
              <w:t>swallowed</w:t>
            </w:r>
            <w:r w:rsidRPr="000015B2">
              <w:rPr>
                <w:spacing w:val="12"/>
              </w:rPr>
              <w:t xml:space="preserve"> </w:t>
            </w:r>
            <w:r w:rsidRPr="000015B2">
              <w:t>whole</w:t>
            </w:r>
            <w:r w:rsidRPr="000015B2">
              <w:rPr>
                <w:spacing w:val="11"/>
              </w:rPr>
              <w:t xml:space="preserve"> </w:t>
            </w:r>
            <w:r w:rsidRPr="000015B2">
              <w:t>and</w:t>
            </w:r>
            <w:r w:rsidRPr="000015B2">
              <w:rPr>
                <w:spacing w:val="12"/>
              </w:rPr>
              <w:t xml:space="preserve"> </w:t>
            </w:r>
            <w:r w:rsidRPr="000015B2">
              <w:t>not</w:t>
            </w:r>
            <w:r w:rsidRPr="000015B2">
              <w:rPr>
                <w:spacing w:val="12"/>
              </w:rPr>
              <w:t xml:space="preserve"> </w:t>
            </w:r>
            <w:r w:rsidRPr="000015B2">
              <w:t>split,</w:t>
            </w:r>
            <w:r w:rsidRPr="000015B2">
              <w:rPr>
                <w:spacing w:val="12"/>
              </w:rPr>
              <w:t xml:space="preserve"> </w:t>
            </w:r>
            <w:r w:rsidRPr="000015B2">
              <w:t>chewed</w:t>
            </w:r>
            <w:r w:rsidRPr="000015B2">
              <w:rPr>
                <w:spacing w:val="12"/>
              </w:rPr>
              <w:t xml:space="preserve"> </w:t>
            </w:r>
            <w:r w:rsidRPr="000015B2">
              <w:t>or</w:t>
            </w:r>
            <w:r w:rsidRPr="000015B2">
              <w:rPr>
                <w:spacing w:val="43"/>
              </w:rPr>
              <w:t xml:space="preserve"> </w:t>
            </w:r>
            <w:r w:rsidRPr="000015B2">
              <w:t>crushed.</w:t>
            </w:r>
          </w:p>
        </w:tc>
      </w:tr>
    </w:tbl>
    <w:p w:rsidR="00A0661B" w:rsidRPr="00D2572B" w:rsidRDefault="00A0661B" w:rsidP="00D2572B">
      <w:r w:rsidRPr="00D2572B">
        <w:t>As a general rule, pharmacy best practice specifies that any dose of a medicine should be administered as a whole dosage form wherever possible, rather than a divided or broken tablet:</w:t>
      </w:r>
    </w:p>
    <w:p w:rsidR="00A0661B" w:rsidRPr="000015B2" w:rsidRDefault="00A0661B" w:rsidP="00341F7B">
      <w:pPr>
        <w:pStyle w:val="ListBullet"/>
      </w:pPr>
      <w:r w:rsidRPr="000015B2">
        <w:t>It is therefore the exception rather than the rule, that modified release tablets should be broken to deliver half doses, when acceptable whole dose alternatives are available. Consequently it is unlikely that a pharmacist would routinely assume that a modified release oral formulation can or should be broken or divided, and therefore unlikely to be their default position when considering how a half dose of a modified release medicine is best dispensed and administered (</w:t>
      </w:r>
      <w:r w:rsidR="000015B2" w:rsidRPr="000015B2">
        <w:t>T</w:t>
      </w:r>
      <w:r w:rsidRPr="000015B2">
        <w:t xml:space="preserve">able </w:t>
      </w:r>
      <w:r w:rsidR="000015B2" w:rsidRPr="000015B2">
        <w:t>4</w:t>
      </w:r>
      <w:r w:rsidRPr="000015B2">
        <w:t>).</w:t>
      </w:r>
    </w:p>
    <w:p w:rsidR="00A0661B" w:rsidRPr="00341F7B" w:rsidRDefault="00A0661B" w:rsidP="00341F7B">
      <w:pPr>
        <w:pStyle w:val="ListBullet"/>
      </w:pPr>
      <w:r w:rsidRPr="000015B2">
        <w:t>The 3</w:t>
      </w:r>
      <w:r w:rsidR="005E1824" w:rsidRPr="000015B2">
        <w:t>0 mg</w:t>
      </w:r>
      <w:r w:rsidRPr="000015B2">
        <w:t xml:space="preserve"> dose of </w:t>
      </w:r>
      <w:proofErr w:type="spellStart"/>
      <w:r w:rsidRPr="000015B2">
        <w:t>gliclazide</w:t>
      </w:r>
      <w:proofErr w:type="spellEnd"/>
      <w:r w:rsidRPr="000015B2">
        <w:t xml:space="preserve"> is the recommended starting dose and acknowledged</w:t>
      </w:r>
      <w:r w:rsidRPr="00341F7B">
        <w:t xml:space="preserve"> by a TGA external clinical expert to be relatively ineffective.</w:t>
      </w:r>
    </w:p>
    <w:p w:rsidR="00A0661B" w:rsidRPr="00341F7B" w:rsidRDefault="00A0661B" w:rsidP="00341F7B">
      <w:pPr>
        <w:pStyle w:val="ListBullet"/>
      </w:pPr>
      <w:r w:rsidRPr="00341F7B">
        <w:t>The sponsor has previously supplied advice to the TGA that 70% of patients receive a 12</w:t>
      </w:r>
      <w:r w:rsidR="005E1824" w:rsidRPr="00341F7B">
        <w:t>0 mg</w:t>
      </w:r>
      <w:r w:rsidRPr="00341F7B">
        <w:t xml:space="preserve"> dose of </w:t>
      </w:r>
      <w:proofErr w:type="spellStart"/>
      <w:r w:rsidRPr="00341F7B">
        <w:t>gliclazide</w:t>
      </w:r>
      <w:proofErr w:type="spellEnd"/>
      <w:r w:rsidRPr="00341F7B">
        <w:t xml:space="preserve"> MR daily. It is therefore also unlikely that a significant proportion of patients are stabilised on 9</w:t>
      </w:r>
      <w:r w:rsidR="005E1824" w:rsidRPr="00341F7B">
        <w:t>0 mg</w:t>
      </w:r>
      <w:r w:rsidRPr="00341F7B">
        <w:t xml:space="preserve"> daily.</w:t>
      </w:r>
    </w:p>
    <w:p w:rsidR="00A0661B" w:rsidRPr="00341F7B" w:rsidRDefault="00A0661B" w:rsidP="00341F7B">
      <w:pPr>
        <w:pStyle w:val="ListBullet"/>
      </w:pPr>
      <w:r w:rsidRPr="00341F7B">
        <w:t>Even though the 3</w:t>
      </w:r>
      <w:r w:rsidR="005E1824" w:rsidRPr="00341F7B">
        <w:t>0 mg</w:t>
      </w:r>
      <w:r w:rsidRPr="00341F7B">
        <w:t xml:space="preserve"> dose is the starting dose, and unlikely to be effective in the majority of patients, and that a relatively small proportion of patients take a 9</w:t>
      </w:r>
      <w:r w:rsidR="005E1824" w:rsidRPr="00341F7B">
        <w:t>0 mg</w:t>
      </w:r>
      <w:r w:rsidRPr="00341F7B">
        <w:t xml:space="preserve"> </w:t>
      </w:r>
      <w:r w:rsidRPr="00341F7B">
        <w:lastRenderedPageBreak/>
        <w:t>daily dose, 14% of prescriptions issued in 2014 were for the 3</w:t>
      </w:r>
      <w:r w:rsidR="005E1824" w:rsidRPr="00341F7B">
        <w:t>0 mg</w:t>
      </w:r>
      <w:r w:rsidRPr="00341F7B">
        <w:t xml:space="preserve"> MR tablet, as provided in the </w:t>
      </w:r>
      <w:r w:rsidR="00985178" w:rsidRPr="00341F7B">
        <w:t>D</w:t>
      </w:r>
      <w:r w:rsidRPr="00341F7B">
        <w:t xml:space="preserve">elegates </w:t>
      </w:r>
      <w:r w:rsidR="005E1824" w:rsidRPr="00341F7B">
        <w:t>‘</w:t>
      </w:r>
      <w:r w:rsidRPr="00341F7B">
        <w:t>request for ACPM Advice</w:t>
      </w:r>
      <w:r w:rsidR="005E1824" w:rsidRPr="00341F7B">
        <w:t>’</w:t>
      </w:r>
      <w:r w:rsidR="00985178" w:rsidRPr="00341F7B">
        <w:t xml:space="preserve"> (see above Overall conclusions and risk-benefit analysis)</w:t>
      </w:r>
      <w:r w:rsidRPr="00341F7B">
        <w:t>. This suggests that most patients stabilised on a 3</w:t>
      </w:r>
      <w:r w:rsidR="005E1824" w:rsidRPr="00341F7B">
        <w:t>0 mg</w:t>
      </w:r>
      <w:r w:rsidRPr="00341F7B">
        <w:t xml:space="preserve"> or 9</w:t>
      </w:r>
      <w:r w:rsidR="005E1824" w:rsidRPr="00341F7B">
        <w:t>0 mg</w:t>
      </w:r>
      <w:r w:rsidRPr="00341F7B">
        <w:t xml:space="preserve"> do in fact receive a 3</w:t>
      </w:r>
      <w:r w:rsidR="005E1824" w:rsidRPr="00341F7B">
        <w:t>0 mg</w:t>
      </w:r>
      <w:r w:rsidRPr="00341F7B">
        <w:t xml:space="preserve"> MR tablet.</w:t>
      </w:r>
    </w:p>
    <w:p w:rsidR="00A0661B" w:rsidRPr="00341F7B" w:rsidRDefault="00A0661B" w:rsidP="00341F7B">
      <w:pPr>
        <w:pStyle w:val="ListBullet"/>
      </w:pPr>
      <w:r w:rsidRPr="00341F7B">
        <w:t>The Australian Pharmaceutical Formulary and Handbook (APF)</w:t>
      </w:r>
      <w:r w:rsidR="00985178" w:rsidRPr="00341F7B">
        <w:t xml:space="preserve"> </w:t>
      </w:r>
      <w:proofErr w:type="gramStart"/>
      <w:r w:rsidRPr="00341F7B">
        <w:t>provides</w:t>
      </w:r>
      <w:proofErr w:type="gramEnd"/>
      <w:r w:rsidRPr="00341F7B">
        <w:t xml:space="preserve"> a guide to the type of counselling and cautionary advisory labels for medicines (CAL), to assist in the safe and efficacious use of specific treatments.</w:t>
      </w:r>
    </w:p>
    <w:p w:rsidR="00A0661B" w:rsidRPr="00341F7B" w:rsidRDefault="00A0661B" w:rsidP="00341F7B">
      <w:pPr>
        <w:pStyle w:val="ListBullet"/>
      </w:pPr>
      <w:r w:rsidRPr="00341F7B">
        <w:t xml:space="preserve">For </w:t>
      </w:r>
      <w:proofErr w:type="spellStart"/>
      <w:r w:rsidRPr="00341F7B">
        <w:t>gliclazide</w:t>
      </w:r>
      <w:proofErr w:type="spellEnd"/>
      <w:r w:rsidRPr="00341F7B">
        <w:t xml:space="preserve"> MR tablets it is recommended that label A is added to this product: </w:t>
      </w:r>
      <w:r w:rsidR="005E1824" w:rsidRPr="00341F7B">
        <w:t>‘</w:t>
      </w:r>
      <w:r w:rsidRPr="00341F7B">
        <w:t>SWALLOW WHOLE  Do not crush or chew</w:t>
      </w:r>
      <w:r w:rsidR="005E1824" w:rsidRPr="00341F7B">
        <w:t>’</w:t>
      </w:r>
    </w:p>
    <w:p w:rsidR="00A0661B" w:rsidRPr="00341F7B" w:rsidRDefault="00A0661B" w:rsidP="00341F7B">
      <w:pPr>
        <w:pStyle w:val="ListBullet"/>
      </w:pPr>
      <w:r w:rsidRPr="00341F7B">
        <w:t xml:space="preserve">This advice is consistent with information provided in the PI for two formulations of </w:t>
      </w:r>
      <w:proofErr w:type="spellStart"/>
      <w:r w:rsidRPr="00341F7B">
        <w:t>gliclazide</w:t>
      </w:r>
      <w:proofErr w:type="spellEnd"/>
      <w:r w:rsidRPr="00341F7B">
        <w:t xml:space="preserve"> 3</w:t>
      </w:r>
      <w:r w:rsidR="005E1824" w:rsidRPr="00341F7B">
        <w:t>0 mg</w:t>
      </w:r>
      <w:r w:rsidRPr="00341F7B">
        <w:t xml:space="preserve"> MR tablets; </w:t>
      </w:r>
      <w:proofErr w:type="spellStart"/>
      <w:r w:rsidRPr="00341F7B">
        <w:t>Oziclide</w:t>
      </w:r>
      <w:proofErr w:type="spellEnd"/>
      <w:r w:rsidRPr="00341F7B">
        <w:t xml:space="preserve"> (Ranbaxy) and </w:t>
      </w:r>
      <w:proofErr w:type="spellStart"/>
      <w:r w:rsidRPr="00341F7B">
        <w:t>Glyade</w:t>
      </w:r>
      <w:proofErr w:type="spellEnd"/>
      <w:r w:rsidRPr="00341F7B">
        <w:t xml:space="preserve"> MR (</w:t>
      </w:r>
      <w:proofErr w:type="spellStart"/>
      <w:r w:rsidRPr="00341F7B">
        <w:t>Servier</w:t>
      </w:r>
      <w:proofErr w:type="spellEnd"/>
      <w:r w:rsidRPr="00341F7B">
        <w:t xml:space="preserve">). </w:t>
      </w:r>
      <w:r w:rsidR="005E1824" w:rsidRPr="00341F7B">
        <w:t>‘</w:t>
      </w:r>
      <w:r w:rsidRPr="00341F7B">
        <w:t>… MR tablets are modified release tablets and therefore should be neither broken nor chewed.</w:t>
      </w:r>
      <w:r w:rsidR="005E1824" w:rsidRPr="00341F7B">
        <w:t>’</w:t>
      </w:r>
    </w:p>
    <w:p w:rsidR="00A0661B" w:rsidRPr="00341F7B" w:rsidRDefault="00A0661B" w:rsidP="00341F7B">
      <w:pPr>
        <w:pStyle w:val="ListBullet"/>
      </w:pPr>
      <w:r w:rsidRPr="00341F7B">
        <w:t>The Pharmaceutical Society of Australia (PSA) Professional Practice Standards version 4 2010, endorsed by the Pharmacy Board of Australia, proscribe a range of professional activities consistent with current pharmacy best practice</w:t>
      </w:r>
      <w:r w:rsidR="00985178" w:rsidRPr="00341F7B">
        <w:rPr>
          <w:rStyle w:val="FootnoteReference"/>
          <w:vertAlign w:val="baseline"/>
        </w:rPr>
        <w:footnoteReference w:id="10"/>
      </w:r>
      <w:r w:rsidRPr="00341F7B">
        <w:t>:</w:t>
      </w:r>
    </w:p>
    <w:p w:rsidR="00A0661B" w:rsidRPr="00341F7B" w:rsidRDefault="00A0661B" w:rsidP="00341F7B">
      <w:pPr>
        <w:pStyle w:val="ListBullet2"/>
      </w:pPr>
      <w:r w:rsidRPr="00341F7B">
        <w:t xml:space="preserve">Standard 5: Dispensing, provides advice on the appropriate use of CAL, under criterion 7.6: Uses cautionary advisory labels to indicate specific usage instructions. The APF advice is to add label A to </w:t>
      </w:r>
      <w:proofErr w:type="spellStart"/>
      <w:r w:rsidRPr="00341F7B">
        <w:t>gliclazide</w:t>
      </w:r>
      <w:proofErr w:type="spellEnd"/>
      <w:r w:rsidRPr="00341F7B">
        <w:t xml:space="preserve"> MR products.</w:t>
      </w:r>
    </w:p>
    <w:p w:rsidR="00A0661B" w:rsidRPr="00341F7B" w:rsidRDefault="00A0661B" w:rsidP="00341F7B">
      <w:pPr>
        <w:pStyle w:val="ListBullet2"/>
      </w:pPr>
      <w:r w:rsidRPr="00341F7B">
        <w:t xml:space="preserve">Standard 3: Counselling; Criterion 5.2 requires CMI to be offered to consumers, with the pharmacist explaining the information contained in the CMI, and its relevance to the medicine supplied. In the case of supplying the generic </w:t>
      </w:r>
      <w:proofErr w:type="spellStart"/>
      <w:r w:rsidRPr="00341F7B">
        <w:t>gliclazide</w:t>
      </w:r>
      <w:proofErr w:type="spellEnd"/>
      <w:r w:rsidRPr="00341F7B">
        <w:t xml:space="preserve"> 6</w:t>
      </w:r>
      <w:r w:rsidR="005E1824" w:rsidRPr="00341F7B">
        <w:t>0 mg</w:t>
      </w:r>
      <w:r w:rsidRPr="00341F7B">
        <w:t xml:space="preserve"> MR tablet, the pharmacist should clearly explain that the 6</w:t>
      </w:r>
      <w:r w:rsidR="005E1824" w:rsidRPr="00341F7B">
        <w:t>0 mg</w:t>
      </w:r>
      <w:r w:rsidRPr="00341F7B">
        <w:t xml:space="preserve"> MR tablet should not be broken, crushed or chewed, and if the dose prescribed relies on a 3</w:t>
      </w:r>
      <w:r w:rsidR="005E1824" w:rsidRPr="00341F7B">
        <w:t>0 mg</w:t>
      </w:r>
      <w:r w:rsidRPr="00341F7B">
        <w:t xml:space="preserve"> component, then a specific 3</w:t>
      </w:r>
      <w:r w:rsidR="005E1824" w:rsidRPr="00341F7B">
        <w:t>0 mg</w:t>
      </w:r>
      <w:r w:rsidRPr="00341F7B">
        <w:t xml:space="preserve"> MR tablet should be dispensed.</w:t>
      </w:r>
    </w:p>
    <w:p w:rsidR="00A0661B" w:rsidRPr="00341F7B" w:rsidRDefault="00A0661B" w:rsidP="00341F7B">
      <w:pPr>
        <w:pStyle w:val="ListBullet"/>
      </w:pPr>
      <w:r w:rsidRPr="00341F7B">
        <w:t xml:space="preserve">The PSA Dispensing Practice Guidelines advise that </w:t>
      </w:r>
      <w:r w:rsidR="005E1824" w:rsidRPr="00341F7B">
        <w:t>‘</w:t>
      </w:r>
      <w:r w:rsidRPr="00341F7B">
        <w:t>The medication is labelled with adequate directions, ancillary labels and additional instructions as applicable</w:t>
      </w:r>
      <w:r w:rsidR="005E1824" w:rsidRPr="00341F7B">
        <w:t>’</w:t>
      </w:r>
      <w:r w:rsidR="00985178" w:rsidRPr="00341F7B">
        <w:rPr>
          <w:rStyle w:val="FootnoteReference"/>
          <w:vertAlign w:val="baseline"/>
        </w:rPr>
        <w:footnoteReference w:id="11"/>
      </w:r>
      <w:r w:rsidRPr="00341F7B">
        <w:t>. The APF</w:t>
      </w:r>
      <w:r w:rsidR="00985178" w:rsidRPr="00341F7B">
        <w:t xml:space="preserve"> </w:t>
      </w:r>
      <w:r w:rsidRPr="00341F7B">
        <w:t xml:space="preserve">advice is to add label A to </w:t>
      </w:r>
      <w:proofErr w:type="spellStart"/>
      <w:r w:rsidRPr="00341F7B">
        <w:t>gliclazide</w:t>
      </w:r>
      <w:proofErr w:type="spellEnd"/>
      <w:r w:rsidRPr="00341F7B">
        <w:t xml:space="preserve"> MR products:</w:t>
      </w:r>
    </w:p>
    <w:p w:rsidR="00A0661B" w:rsidRPr="00341F7B" w:rsidRDefault="00A0661B" w:rsidP="00341F7B">
      <w:pPr>
        <w:pStyle w:val="ListBullet2"/>
      </w:pPr>
      <w:r w:rsidRPr="00341F7B">
        <w:t>Standard 5: Dispensing; Criterion 8 advises that the pharmacist should ensure that the consumer has adequate dosing instructions and fully understands how to safely use the dispensed medicine. This includes provision of a CMI where required, use of appropriate CAL as recommended in the APF, and verbal counselling.</w:t>
      </w:r>
    </w:p>
    <w:p w:rsidR="00A0661B" w:rsidRPr="00341F7B" w:rsidRDefault="005E1824" w:rsidP="00341F7B">
      <w:pPr>
        <w:pStyle w:val="ListBullet2"/>
      </w:pPr>
      <w:r w:rsidRPr="00341F7B">
        <w:t>‘</w:t>
      </w:r>
      <w:r w:rsidR="00A0661B" w:rsidRPr="00341F7B">
        <w:t>Counselling and verification of patient understanding of medication use occurs, incorporating the use of written drug information where appropriate.</w:t>
      </w:r>
      <w:r w:rsidRPr="00341F7B">
        <w:t>’</w:t>
      </w:r>
      <w:r w:rsidR="00A0661B" w:rsidRPr="00341F7B">
        <w:t xml:space="preserve"> In the case of supplying the generic </w:t>
      </w:r>
      <w:proofErr w:type="spellStart"/>
      <w:r w:rsidR="00A0661B" w:rsidRPr="00341F7B">
        <w:t>gliclazide</w:t>
      </w:r>
      <w:proofErr w:type="spellEnd"/>
      <w:r w:rsidR="00A0661B" w:rsidRPr="00341F7B">
        <w:t xml:space="preserve"> 6</w:t>
      </w:r>
      <w:r w:rsidRPr="00341F7B">
        <w:t>0 mg</w:t>
      </w:r>
      <w:r w:rsidR="00A0661B" w:rsidRPr="00341F7B">
        <w:t xml:space="preserve"> MR tablet, the pharmacist should clearly explain that the 6</w:t>
      </w:r>
      <w:r w:rsidRPr="00341F7B">
        <w:t>0 mg</w:t>
      </w:r>
      <w:r w:rsidR="00A0661B" w:rsidRPr="00341F7B">
        <w:t xml:space="preserve"> MR tablet should not be broken, crushed or chewed, and if the dose prescribed relies on a 3</w:t>
      </w:r>
      <w:r w:rsidRPr="00341F7B">
        <w:t>0 mg</w:t>
      </w:r>
      <w:r w:rsidR="00A0661B" w:rsidRPr="00341F7B">
        <w:t xml:space="preserve"> component, then a specific 3</w:t>
      </w:r>
      <w:r w:rsidRPr="00341F7B">
        <w:t>0 mg</w:t>
      </w:r>
      <w:r w:rsidR="00A0661B" w:rsidRPr="00341F7B">
        <w:t xml:space="preserve"> MR tablet should be dispensed.</w:t>
      </w:r>
    </w:p>
    <w:p w:rsidR="00A0661B" w:rsidRPr="00341F7B" w:rsidRDefault="00A0661B" w:rsidP="00341F7B">
      <w:pPr>
        <w:pStyle w:val="ListBullet"/>
      </w:pPr>
      <w:r w:rsidRPr="00341F7B">
        <w:t>The proposed generic unscored 6</w:t>
      </w:r>
      <w:r w:rsidR="005E1824" w:rsidRPr="00341F7B">
        <w:t>0 mg</w:t>
      </w:r>
      <w:r w:rsidRPr="00341F7B">
        <w:t xml:space="preserve"> MR tablet PI and CMI </w:t>
      </w:r>
      <w:r w:rsidR="005E1824" w:rsidRPr="00341F7B">
        <w:t>advic</w:t>
      </w:r>
      <w:r w:rsidRPr="00341F7B">
        <w:t>e that the 6</w:t>
      </w:r>
      <w:r w:rsidR="005E1824" w:rsidRPr="00341F7B">
        <w:t>0 mg</w:t>
      </w:r>
      <w:r w:rsidRPr="00341F7B">
        <w:t xml:space="preserve"> MR tablet should not be </w:t>
      </w:r>
      <w:proofErr w:type="gramStart"/>
      <w:r w:rsidRPr="00341F7B">
        <w:t>broken</w:t>
      </w:r>
      <w:r w:rsidR="00A9386E" w:rsidRPr="00341F7B">
        <w:t>,</w:t>
      </w:r>
      <w:proofErr w:type="gramEnd"/>
      <w:r w:rsidRPr="00341F7B">
        <w:t xml:space="preserve"> chewed or crushed.  If a 3</w:t>
      </w:r>
      <w:r w:rsidR="005E1824" w:rsidRPr="00341F7B">
        <w:t>0 mg</w:t>
      </w:r>
      <w:r w:rsidRPr="00341F7B">
        <w:t xml:space="preserve"> or 9</w:t>
      </w:r>
      <w:r w:rsidR="005E1824" w:rsidRPr="00341F7B">
        <w:t>0 mg</w:t>
      </w:r>
      <w:r w:rsidRPr="00341F7B">
        <w:t xml:space="preserve"> dose is required, other brands are available.</w:t>
      </w:r>
    </w:p>
    <w:p w:rsidR="00A0661B" w:rsidRPr="00341F7B" w:rsidRDefault="00A0661B" w:rsidP="00341F7B">
      <w:pPr>
        <w:pStyle w:val="ListBullet"/>
      </w:pPr>
      <w:r w:rsidRPr="00341F7B">
        <w:lastRenderedPageBreak/>
        <w:t xml:space="preserve">The proposed generic unscored 60 mg MR tablet carton label states </w:t>
      </w:r>
      <w:r w:rsidR="005E1824" w:rsidRPr="00341F7B">
        <w:t>‘</w:t>
      </w:r>
      <w:r w:rsidRPr="00341F7B">
        <w:t>the tablet is not scored and should not be broken</w:t>
      </w:r>
      <w:r w:rsidR="005E1824" w:rsidRPr="00341F7B">
        <w:t>’</w:t>
      </w:r>
      <w:r w:rsidRPr="00341F7B">
        <w:t>.</w:t>
      </w:r>
    </w:p>
    <w:p w:rsidR="00057EF3" w:rsidRPr="005E1824" w:rsidRDefault="00057EF3" w:rsidP="005E1824">
      <w:pPr>
        <w:pStyle w:val="Heading6"/>
        <w:rPr>
          <w:rStyle w:val="Heading6Char"/>
        </w:rPr>
      </w:pPr>
      <w:r>
        <w:t>C</w:t>
      </w:r>
      <w:r w:rsidR="005E1824">
        <w:t>onclusion</w:t>
      </w:r>
    </w:p>
    <w:p w:rsidR="00057EF3" w:rsidRDefault="00057EF3" w:rsidP="005E1824">
      <w:r>
        <w:t>The</w:t>
      </w:r>
      <w:r>
        <w:rPr>
          <w:spacing w:val="11"/>
        </w:rPr>
        <w:t xml:space="preserve"> </w:t>
      </w:r>
      <w:r>
        <w:t>TGA</w:t>
      </w:r>
      <w:r>
        <w:rPr>
          <w:spacing w:val="11"/>
        </w:rPr>
        <w:t xml:space="preserve"> </w:t>
      </w:r>
      <w:r>
        <w:t>conclusion</w:t>
      </w:r>
      <w:r>
        <w:rPr>
          <w:spacing w:val="12"/>
        </w:rPr>
        <w:t xml:space="preserve"> </w:t>
      </w:r>
      <w:r>
        <w:t>that</w:t>
      </w:r>
      <w:r>
        <w:rPr>
          <w:spacing w:val="12"/>
        </w:rPr>
        <w:t xml:space="preserve"> </w:t>
      </w:r>
      <w:r>
        <w:t>an</w:t>
      </w:r>
      <w:r>
        <w:rPr>
          <w:spacing w:val="12"/>
        </w:rPr>
        <w:t xml:space="preserve"> </w:t>
      </w:r>
      <w:r>
        <w:t>unscored</w:t>
      </w:r>
      <w:r>
        <w:rPr>
          <w:spacing w:val="12"/>
        </w:rPr>
        <w:t xml:space="preserve"> </w:t>
      </w:r>
      <w:r>
        <w:t>generic</w:t>
      </w:r>
      <w:r>
        <w:rPr>
          <w:spacing w:val="11"/>
        </w:rPr>
        <w:t xml:space="preserve"> </w:t>
      </w:r>
      <w:r>
        <w:t>6</w:t>
      </w:r>
      <w:r w:rsidR="005E1824">
        <w:t>0 mg</w:t>
      </w:r>
      <w:r>
        <w:rPr>
          <w:spacing w:val="9"/>
        </w:rPr>
        <w:t xml:space="preserve"> </w:t>
      </w:r>
      <w:r>
        <w:t>MR</w:t>
      </w:r>
      <w:r>
        <w:rPr>
          <w:spacing w:val="12"/>
        </w:rPr>
        <w:t xml:space="preserve"> </w:t>
      </w:r>
      <w:r>
        <w:t>tablet</w:t>
      </w:r>
      <w:r>
        <w:rPr>
          <w:spacing w:val="12"/>
        </w:rPr>
        <w:t xml:space="preserve"> </w:t>
      </w:r>
      <w:r>
        <w:t>will</w:t>
      </w:r>
      <w:r>
        <w:rPr>
          <w:spacing w:val="10"/>
        </w:rPr>
        <w:t xml:space="preserve"> </w:t>
      </w:r>
      <w:r>
        <w:t>invariably</w:t>
      </w:r>
      <w:r>
        <w:rPr>
          <w:spacing w:val="7"/>
        </w:rPr>
        <w:t xml:space="preserve"> </w:t>
      </w:r>
      <w:r>
        <w:t>be</w:t>
      </w:r>
      <w:r>
        <w:rPr>
          <w:spacing w:val="11"/>
        </w:rPr>
        <w:t xml:space="preserve"> </w:t>
      </w:r>
      <w:r>
        <w:t>used</w:t>
      </w:r>
      <w:r>
        <w:rPr>
          <w:spacing w:val="12"/>
        </w:rPr>
        <w:t xml:space="preserve"> </w:t>
      </w:r>
      <w:r>
        <w:rPr>
          <w:spacing w:val="2"/>
        </w:rPr>
        <w:t>by</w:t>
      </w:r>
      <w:r>
        <w:rPr>
          <w:spacing w:val="89"/>
        </w:rPr>
        <w:t xml:space="preserve"> </w:t>
      </w:r>
      <w:r>
        <w:t>the pharmacist to administer a 3</w:t>
      </w:r>
      <w:r w:rsidR="005E1824">
        <w:t>0 mg</w:t>
      </w:r>
      <w:r>
        <w:rPr>
          <w:spacing w:val="-3"/>
        </w:rPr>
        <w:t xml:space="preserve"> </w:t>
      </w:r>
      <w:r>
        <w:t>or</w:t>
      </w:r>
      <w:r>
        <w:rPr>
          <w:spacing w:val="59"/>
        </w:rPr>
        <w:t xml:space="preserve"> </w:t>
      </w:r>
      <w:r>
        <w:t>9</w:t>
      </w:r>
      <w:r w:rsidR="005E1824">
        <w:t>0 mg</w:t>
      </w:r>
      <w:r>
        <w:rPr>
          <w:spacing w:val="-3"/>
        </w:rPr>
        <w:t xml:space="preserve"> </w:t>
      </w:r>
      <w:r>
        <w:t>dose is not supported by:</w:t>
      </w:r>
    </w:p>
    <w:p w:rsidR="00057EF3" w:rsidRPr="00341F7B" w:rsidRDefault="00057EF3" w:rsidP="00341F7B">
      <w:pPr>
        <w:pStyle w:val="ListBullet"/>
      </w:pPr>
      <w:r w:rsidRPr="00341F7B">
        <w:t>The number of prescriptions issued for the 3</w:t>
      </w:r>
      <w:r w:rsidR="005E1824" w:rsidRPr="00341F7B">
        <w:t>0 mg</w:t>
      </w:r>
      <w:r w:rsidRPr="00341F7B">
        <w:t xml:space="preserve"> MR tablet</w:t>
      </w:r>
      <w:r w:rsidR="007323EE" w:rsidRPr="00341F7B">
        <w:t>.</w:t>
      </w:r>
    </w:p>
    <w:p w:rsidR="00057EF3" w:rsidRPr="00341F7B" w:rsidRDefault="00057EF3" w:rsidP="00341F7B">
      <w:pPr>
        <w:pStyle w:val="ListBullet"/>
      </w:pPr>
      <w:r w:rsidRPr="00341F7B">
        <w:t>The exception rather than the rule that a modified release tablet may be broken to provide a ‘half dose’</w:t>
      </w:r>
      <w:r w:rsidR="007323EE" w:rsidRPr="00341F7B">
        <w:t>.</w:t>
      </w:r>
    </w:p>
    <w:p w:rsidR="00057EF3" w:rsidRPr="00341F7B" w:rsidRDefault="00057EF3" w:rsidP="00341F7B">
      <w:pPr>
        <w:pStyle w:val="ListBullet"/>
      </w:pPr>
      <w:r w:rsidRPr="00341F7B">
        <w:t>Professional Pharmacy Practice standards which emphasise the need to appropriately counsel patients, and provide written and labelling advice which reinforces a best practice of not halving the generic unscored 6</w:t>
      </w:r>
      <w:r w:rsidR="005E1824" w:rsidRPr="00341F7B">
        <w:t>0 mg</w:t>
      </w:r>
      <w:r w:rsidRPr="00341F7B">
        <w:t xml:space="preserve"> MR tablet, and more appropriately dispense a 3</w:t>
      </w:r>
      <w:r w:rsidR="005E1824" w:rsidRPr="00341F7B">
        <w:t>0 mg</w:t>
      </w:r>
      <w:r w:rsidRPr="00341F7B">
        <w:t xml:space="preserve"> </w:t>
      </w:r>
      <w:proofErr w:type="spellStart"/>
      <w:r w:rsidRPr="00341F7B">
        <w:t>gliclazide</w:t>
      </w:r>
      <w:proofErr w:type="spellEnd"/>
      <w:r w:rsidRPr="00341F7B">
        <w:t xml:space="preserve"> MR tablet for 30 and 9</w:t>
      </w:r>
      <w:r w:rsidR="005E1824" w:rsidRPr="00341F7B">
        <w:t>0 mg</w:t>
      </w:r>
      <w:r w:rsidRPr="00341F7B">
        <w:t xml:space="preserve"> doses.</w:t>
      </w:r>
    </w:p>
    <w:p w:rsidR="00057EF3" w:rsidRPr="00341F7B" w:rsidRDefault="00057EF3" w:rsidP="00341F7B">
      <w:pPr>
        <w:pStyle w:val="ListBullet"/>
      </w:pPr>
      <w:r w:rsidRPr="00341F7B">
        <w:t>Previously provided examples of TGA approved unscored generics where the innovator is scored</w:t>
      </w:r>
      <w:r w:rsidR="007323EE" w:rsidRPr="00341F7B">
        <w:t>.</w:t>
      </w:r>
    </w:p>
    <w:p w:rsidR="00057EF3" w:rsidRPr="00341F7B" w:rsidRDefault="00057EF3" w:rsidP="00341F7B">
      <w:pPr>
        <w:pStyle w:val="ListBullet"/>
      </w:pPr>
      <w:r w:rsidRPr="00341F7B">
        <w:t>The information contained in our products’ PI, CMI, carton labelling as well as the training which will be provided to Pharmacists.</w:t>
      </w:r>
    </w:p>
    <w:p w:rsidR="005E1824" w:rsidRDefault="00057EF3" w:rsidP="00057EF3">
      <w:pPr>
        <w:pStyle w:val="Heading5"/>
        <w:rPr>
          <w:rFonts w:eastAsiaTheme="minorEastAsia"/>
        </w:rPr>
      </w:pPr>
      <w:r>
        <w:rPr>
          <w:rFonts w:eastAsiaTheme="minorEastAsia"/>
        </w:rPr>
        <w:t>T</w:t>
      </w:r>
      <w:r w:rsidR="005E1824">
        <w:rPr>
          <w:rFonts w:eastAsiaTheme="minorEastAsia"/>
        </w:rPr>
        <w:t>he negative clinical consequences of taking a split, unscored tablet</w:t>
      </w:r>
    </w:p>
    <w:p w:rsidR="00057EF3" w:rsidRPr="00341F7B" w:rsidRDefault="00057EF3" w:rsidP="00341F7B">
      <w:r w:rsidRPr="00341F7B">
        <w:t xml:space="preserve">As set out above, </w:t>
      </w:r>
      <w:r w:rsidR="005E1824" w:rsidRPr="00341F7B">
        <w:t>the sponsor</w:t>
      </w:r>
      <w:r w:rsidRPr="00341F7B">
        <w:t xml:space="preserve"> does not accept that any patient will split our 60 mg MR tablet. However, </w:t>
      </w:r>
      <w:r w:rsidR="007323EE" w:rsidRPr="00341F7B">
        <w:t>the sponsor</w:t>
      </w:r>
      <w:r w:rsidRPr="00341F7B">
        <w:t xml:space="preserve"> considers that the clinical consequences of an administered ‘half dose’ using our unscored generic 6</w:t>
      </w:r>
      <w:r w:rsidR="005E1824" w:rsidRPr="00341F7B">
        <w:t>0 mg</w:t>
      </w:r>
      <w:r w:rsidRPr="00341F7B">
        <w:t xml:space="preserve"> MR tablet, if it did occur, will not impact on safety or efficacy of the medicine. The following information is provided in support of this conclusion:</w:t>
      </w:r>
    </w:p>
    <w:p w:rsidR="00057EF3" w:rsidRPr="00341F7B" w:rsidRDefault="00057EF3" w:rsidP="00341F7B">
      <w:pPr>
        <w:pStyle w:val="ListBullet"/>
      </w:pPr>
      <w:r w:rsidRPr="00341F7B">
        <w:t>Dose dumping does not occur if the unscored version of the tablet were to be inadvertently spli</w:t>
      </w:r>
      <w:r w:rsidR="00D25EDA">
        <w:t>t</w:t>
      </w:r>
      <w:r w:rsidRPr="00341F7B">
        <w:t xml:space="preserve">, which </w:t>
      </w:r>
      <w:r w:rsidR="007323EE" w:rsidRPr="00341F7B">
        <w:t>the sponsor</w:t>
      </w:r>
      <w:r w:rsidRPr="00341F7B">
        <w:t xml:space="preserve"> do</w:t>
      </w:r>
      <w:r w:rsidR="007323EE" w:rsidRPr="00341F7B">
        <w:t>es</w:t>
      </w:r>
      <w:r w:rsidRPr="00341F7B">
        <w:t xml:space="preserve"> not accept would occur, as </w:t>
      </w:r>
      <w:r w:rsidR="007323EE" w:rsidRPr="00341F7B">
        <w:t>the</w:t>
      </w:r>
      <w:r w:rsidRPr="00341F7B">
        <w:t xml:space="preserve"> product was originally formulated to be split.</w:t>
      </w:r>
    </w:p>
    <w:p w:rsidR="00057EF3" w:rsidRPr="00341F7B" w:rsidRDefault="007323EE" w:rsidP="00341F7B">
      <w:pPr>
        <w:pStyle w:val="ListBullet"/>
      </w:pPr>
      <w:r w:rsidRPr="00341F7B">
        <w:t>The sponsor</w:t>
      </w:r>
      <w:r w:rsidR="00057EF3" w:rsidRPr="00341F7B">
        <w:t xml:space="preserve"> has previously supplied advice to the TGA that 70% of patients receive a 12</w:t>
      </w:r>
      <w:r w:rsidR="005E1824" w:rsidRPr="00341F7B">
        <w:t>0 mg</w:t>
      </w:r>
      <w:r w:rsidR="00057EF3" w:rsidRPr="00341F7B">
        <w:t xml:space="preserve"> dose of </w:t>
      </w:r>
      <w:proofErr w:type="spellStart"/>
      <w:r w:rsidR="00057EF3" w:rsidRPr="00341F7B">
        <w:t>gliclazide</w:t>
      </w:r>
      <w:proofErr w:type="spellEnd"/>
      <w:r w:rsidR="00057EF3" w:rsidRPr="00341F7B">
        <w:t xml:space="preserve"> MR daily. It is therefore unlikely that a significant proportion of patients are stabilised on 9</w:t>
      </w:r>
      <w:r w:rsidR="005E1824" w:rsidRPr="00341F7B">
        <w:t>0 mg</w:t>
      </w:r>
      <w:r w:rsidR="00057EF3" w:rsidRPr="00341F7B">
        <w:t xml:space="preserve"> daily.</w:t>
      </w:r>
    </w:p>
    <w:p w:rsidR="00057EF3" w:rsidRPr="00341F7B" w:rsidRDefault="00057EF3" w:rsidP="00341F7B">
      <w:pPr>
        <w:pStyle w:val="ListBullet"/>
      </w:pPr>
      <w:r w:rsidRPr="00341F7B">
        <w:t>Advice from a TGA external clinical expert concludes that the 3</w:t>
      </w:r>
      <w:r w:rsidR="005E1824" w:rsidRPr="00341F7B">
        <w:t>0 mg</w:t>
      </w:r>
      <w:r w:rsidRPr="00341F7B">
        <w:t xml:space="preserve"> dose is relatively ineffective, so that a dosing error due to maldistribution of dose following splitting of the unscored 6</w:t>
      </w:r>
      <w:r w:rsidR="005E1824" w:rsidRPr="00341F7B">
        <w:t>0 mg</w:t>
      </w:r>
      <w:r w:rsidRPr="00341F7B">
        <w:t xml:space="preserve"> MR tablet which </w:t>
      </w:r>
      <w:r w:rsidR="007323EE" w:rsidRPr="00341F7B">
        <w:t>the sponsor</w:t>
      </w:r>
      <w:r w:rsidRPr="00341F7B">
        <w:t xml:space="preserve"> do</w:t>
      </w:r>
      <w:r w:rsidR="007323EE" w:rsidRPr="00341F7B">
        <w:t>es</w:t>
      </w:r>
      <w:r w:rsidRPr="00341F7B">
        <w:t xml:space="preserve"> not accept would occur</w:t>
      </w:r>
      <w:r w:rsidR="005E1824" w:rsidRPr="00341F7B">
        <w:t>,</w:t>
      </w:r>
      <w:r w:rsidRPr="00341F7B">
        <w:t xml:space="preserve"> would be unlikely to have serious consequences.</w:t>
      </w:r>
    </w:p>
    <w:p w:rsidR="00057EF3" w:rsidRPr="00341F7B" w:rsidRDefault="00057EF3" w:rsidP="00341F7B">
      <w:pPr>
        <w:pStyle w:val="ListBullet"/>
      </w:pPr>
      <w:r w:rsidRPr="00341F7B">
        <w:t>While Frey (2003)</w:t>
      </w:r>
      <w:bookmarkStart w:id="77" w:name="_Ref452550924"/>
      <w:r w:rsidR="007323EE" w:rsidRPr="00341F7B">
        <w:rPr>
          <w:rStyle w:val="FootnoteReference"/>
          <w:vertAlign w:val="baseline"/>
        </w:rPr>
        <w:footnoteReference w:id="12"/>
      </w:r>
      <w:bookmarkEnd w:id="77"/>
      <w:r w:rsidRPr="00341F7B">
        <w:t xml:space="preserve"> were able to establish a relationship between the pharmacokinetics of </w:t>
      </w:r>
      <w:proofErr w:type="spellStart"/>
      <w:r w:rsidRPr="00341F7B">
        <w:t>gliclazide</w:t>
      </w:r>
      <w:proofErr w:type="spellEnd"/>
      <w:r w:rsidRPr="00341F7B">
        <w:t xml:space="preserve"> and its long term pharmacodynamics in 634 type 2 diabetic patients, the average AUC producing maximum effect on fasting plasma glucose was 20</w:t>
      </w:r>
      <w:r w:rsidR="005E1824" w:rsidRPr="00341F7B">
        <w:t xml:space="preserve"> µ</w:t>
      </w:r>
      <w:proofErr w:type="spellStart"/>
      <w:r w:rsidRPr="00341F7B">
        <w:t>g</w:t>
      </w:r>
      <w:r w:rsidR="005E1824" w:rsidRPr="00341F7B">
        <w:t>.</w:t>
      </w:r>
      <w:r w:rsidRPr="00341F7B">
        <w:t>h</w:t>
      </w:r>
      <w:proofErr w:type="spellEnd"/>
      <w:r w:rsidR="005E1824" w:rsidRPr="00341F7B">
        <w:t>/</w:t>
      </w:r>
      <w:proofErr w:type="spellStart"/>
      <w:r w:rsidRPr="00341F7B">
        <w:t>mL.</w:t>
      </w:r>
      <w:proofErr w:type="spellEnd"/>
      <w:r w:rsidRPr="00341F7B">
        <w:t xml:space="preserve">  However,</w:t>
      </w:r>
      <w:r w:rsidR="00A9386E" w:rsidRPr="00341F7B">
        <w:t xml:space="preserve"> t</w:t>
      </w:r>
      <w:r w:rsidRPr="00341F7B">
        <w:t xml:space="preserve">he </w:t>
      </w:r>
      <w:proofErr w:type="spellStart"/>
      <w:r w:rsidRPr="00341F7B">
        <w:t>intersubject</w:t>
      </w:r>
      <w:proofErr w:type="spellEnd"/>
      <w:r w:rsidRPr="00341F7B">
        <w:t xml:space="preserve"> variability in both maximum effect, and the AUC of </w:t>
      </w:r>
      <w:proofErr w:type="spellStart"/>
      <w:r w:rsidRPr="00341F7B">
        <w:t>gliclazide</w:t>
      </w:r>
      <w:proofErr w:type="spellEnd"/>
      <w:r w:rsidRPr="00341F7B">
        <w:t xml:space="preserve"> inducing 50% of maximal effect were large (30% and 60% respectively).</w:t>
      </w:r>
      <w:r w:rsidR="007323EE" w:rsidRPr="00341F7B">
        <w:fldChar w:fldCharType="begin"/>
      </w:r>
      <w:r w:rsidR="007323EE" w:rsidRPr="00341F7B">
        <w:instrText xml:space="preserve"> NOTEREF _Ref452550924 \h  \* MERGEFORMAT </w:instrText>
      </w:r>
      <w:r w:rsidR="007323EE" w:rsidRPr="00341F7B">
        <w:fldChar w:fldCharType="separate"/>
      </w:r>
      <w:r w:rsidR="00A02133">
        <w:t>12</w:t>
      </w:r>
      <w:r w:rsidR="007323EE" w:rsidRPr="00341F7B">
        <w:fldChar w:fldCharType="end"/>
      </w:r>
    </w:p>
    <w:p w:rsidR="00057EF3" w:rsidRPr="00341F7B" w:rsidRDefault="00057EF3" w:rsidP="00341F7B">
      <w:pPr>
        <w:pStyle w:val="ListBullet"/>
      </w:pPr>
      <w:r w:rsidRPr="00341F7B">
        <w:t>Furthermore, Davis (2000)</w:t>
      </w:r>
      <w:r w:rsidR="007323EE" w:rsidRPr="00341F7B">
        <w:rPr>
          <w:rStyle w:val="FootnoteReference"/>
          <w:vertAlign w:val="baseline"/>
        </w:rPr>
        <w:footnoteReference w:id="13"/>
      </w:r>
      <w:r w:rsidRPr="00341F7B">
        <w:t xml:space="preserve"> found that the rate and extent of </w:t>
      </w:r>
      <w:proofErr w:type="spellStart"/>
      <w:r w:rsidRPr="00341F7B">
        <w:t>gliclazide</w:t>
      </w:r>
      <w:proofErr w:type="spellEnd"/>
      <w:r w:rsidRPr="00341F7B">
        <w:t xml:space="preserve"> absorption had a limited impact on glycaemia in 19 type 2 diabetics, with no significant </w:t>
      </w:r>
      <w:r w:rsidRPr="00341F7B">
        <w:lastRenderedPageBreak/>
        <w:t xml:space="preserve">correlation established between </w:t>
      </w:r>
      <w:proofErr w:type="spellStart"/>
      <w:r w:rsidRPr="00341F7B">
        <w:t>gliclazide</w:t>
      </w:r>
      <w:proofErr w:type="spellEnd"/>
      <w:r w:rsidRPr="00341F7B">
        <w:t xml:space="preserve"> </w:t>
      </w:r>
      <w:r w:rsidR="00D25EDA">
        <w:t>peak plasma concentration (</w:t>
      </w:r>
      <w:proofErr w:type="spellStart"/>
      <w:r w:rsidRPr="00341F7B">
        <w:t>C</w:t>
      </w:r>
      <w:r w:rsidRPr="00D25EDA">
        <w:rPr>
          <w:vertAlign w:val="subscript"/>
        </w:rPr>
        <w:t>max</w:t>
      </w:r>
      <w:proofErr w:type="spellEnd"/>
      <w:r w:rsidR="00D25EDA">
        <w:t xml:space="preserve">) </w:t>
      </w:r>
      <w:r w:rsidRPr="00341F7B">
        <w:t xml:space="preserve">and </w:t>
      </w:r>
      <w:r w:rsidR="00D25EDA">
        <w:t xml:space="preserve">time to </w:t>
      </w:r>
      <w:r w:rsidRPr="00341F7B">
        <w:t xml:space="preserve">glucose </w:t>
      </w:r>
      <w:proofErr w:type="spellStart"/>
      <w:r w:rsidR="00D25EDA">
        <w:t>C</w:t>
      </w:r>
      <w:r w:rsidR="00D25EDA" w:rsidRPr="00D25EDA">
        <w:rPr>
          <w:vertAlign w:val="subscript"/>
        </w:rPr>
        <w:t>max</w:t>
      </w:r>
      <w:proofErr w:type="spellEnd"/>
      <w:r w:rsidR="00D25EDA">
        <w:t xml:space="preserve"> (</w:t>
      </w:r>
      <w:proofErr w:type="spellStart"/>
      <w:r w:rsidR="002A00D3">
        <w:t>T</w:t>
      </w:r>
      <w:r w:rsidRPr="00D25EDA">
        <w:rPr>
          <w:vertAlign w:val="subscript"/>
        </w:rPr>
        <w:t>max</w:t>
      </w:r>
      <w:proofErr w:type="spellEnd"/>
      <w:r w:rsidR="00D25EDA">
        <w:t>).</w:t>
      </w:r>
    </w:p>
    <w:p w:rsidR="00057EF3" w:rsidRPr="00341F7B" w:rsidRDefault="00057EF3" w:rsidP="00341F7B">
      <w:pPr>
        <w:pStyle w:val="ListBullet"/>
      </w:pPr>
      <w:r w:rsidRPr="00341F7B">
        <w:t xml:space="preserve">In addition, </w:t>
      </w:r>
      <w:proofErr w:type="spellStart"/>
      <w:r w:rsidRPr="00341F7B">
        <w:t>Shiba</w:t>
      </w:r>
      <w:proofErr w:type="spellEnd"/>
      <w:r w:rsidRPr="00341F7B">
        <w:t xml:space="preserve"> (1986)</w:t>
      </w:r>
      <w:r w:rsidR="007323EE" w:rsidRPr="00341F7B">
        <w:rPr>
          <w:rStyle w:val="FootnoteReference"/>
          <w:vertAlign w:val="baseline"/>
        </w:rPr>
        <w:footnoteReference w:id="14"/>
      </w:r>
      <w:r w:rsidRPr="00341F7B">
        <w:t xml:space="preserve"> showed that the mean and 95% confidence interval of steady state </w:t>
      </w:r>
      <w:proofErr w:type="spellStart"/>
      <w:r w:rsidRPr="00341F7B">
        <w:t>gliclazide</w:t>
      </w:r>
      <w:proofErr w:type="spellEnd"/>
      <w:r w:rsidRPr="00341F7B">
        <w:t xml:space="preserve"> concentrations, two hours after oral administration of 40</w:t>
      </w:r>
      <w:r w:rsidR="005E1824" w:rsidRPr="00341F7B">
        <w:t xml:space="preserve"> </w:t>
      </w:r>
      <w:r w:rsidRPr="00341F7B">
        <w:t xml:space="preserve">mg </w:t>
      </w:r>
      <w:proofErr w:type="spellStart"/>
      <w:r w:rsidRPr="00341F7B">
        <w:t>gliclazide</w:t>
      </w:r>
      <w:proofErr w:type="spellEnd"/>
      <w:r w:rsidRPr="00341F7B">
        <w:t xml:space="preserve"> per m2 was 5.86; 3.40 to 7.72 </w:t>
      </w:r>
      <w:r w:rsidR="005E1824" w:rsidRPr="00341F7B">
        <w:t>µ</w:t>
      </w:r>
      <w:r w:rsidRPr="00341F7B">
        <w:t>g/mL.</w:t>
      </w:r>
    </w:p>
    <w:p w:rsidR="00057EF3" w:rsidRPr="005E1824" w:rsidRDefault="00057EF3" w:rsidP="005E1824">
      <w:pPr>
        <w:pStyle w:val="Heading5"/>
        <w:rPr>
          <w:rFonts w:eastAsiaTheme="minorEastAsia"/>
        </w:rPr>
      </w:pPr>
      <w:r>
        <w:rPr>
          <w:rFonts w:eastAsiaTheme="minorEastAsia"/>
        </w:rPr>
        <w:t>C</w:t>
      </w:r>
      <w:r w:rsidR="005E1824">
        <w:rPr>
          <w:rFonts w:eastAsiaTheme="minorEastAsia"/>
        </w:rPr>
        <w:t>onclusion</w:t>
      </w:r>
    </w:p>
    <w:p w:rsidR="00057EF3" w:rsidRPr="00341F7B" w:rsidRDefault="00057EF3" w:rsidP="00341F7B">
      <w:pPr>
        <w:pStyle w:val="ListBullet"/>
      </w:pPr>
      <w:r w:rsidRPr="00341F7B">
        <w:t xml:space="preserve">While </w:t>
      </w:r>
      <w:r w:rsidR="00A9386E" w:rsidRPr="00341F7B">
        <w:t>the sponsor</w:t>
      </w:r>
      <w:r w:rsidRPr="00341F7B">
        <w:t xml:space="preserve"> do</w:t>
      </w:r>
      <w:r w:rsidR="00A9386E" w:rsidRPr="00341F7B">
        <w:t>es</w:t>
      </w:r>
      <w:r w:rsidRPr="00341F7B">
        <w:t xml:space="preserve"> not accept that patients will split our tablet, any small differences in the daily dose of </w:t>
      </w:r>
      <w:proofErr w:type="spellStart"/>
      <w:r w:rsidRPr="00341F7B">
        <w:t>gliclazide</w:t>
      </w:r>
      <w:proofErr w:type="spellEnd"/>
      <w:r w:rsidRPr="00341F7B">
        <w:t xml:space="preserve"> which may occur if an unscored generic 6</w:t>
      </w:r>
      <w:r w:rsidR="005E1824" w:rsidRPr="00341F7B">
        <w:t>0 mg</w:t>
      </w:r>
      <w:r w:rsidRPr="00341F7B">
        <w:t xml:space="preserve"> MR tablet was used against pharmacy best practice, or the manufacturer’s advice, to provide a ‘half dose’, will not impact the clinical outcome, given the inherent variability in pharmacokinetics and pharmacodynamics of </w:t>
      </w:r>
      <w:proofErr w:type="spellStart"/>
      <w:r w:rsidRPr="00341F7B">
        <w:t>gliclazide</w:t>
      </w:r>
      <w:proofErr w:type="spellEnd"/>
      <w:r w:rsidRPr="00341F7B">
        <w:t xml:space="preserve"> and relatively poor correlation between concentration and effect on glucose.</w:t>
      </w:r>
    </w:p>
    <w:p w:rsidR="00057EF3" w:rsidRPr="00341F7B" w:rsidRDefault="00057EF3" w:rsidP="00341F7B">
      <w:pPr>
        <w:pStyle w:val="ListBullet"/>
      </w:pPr>
      <w:r w:rsidRPr="00341F7B">
        <w:t>The sponsor has demonstrated that the unscored 60 mg tablet is safe and efficacious when taken in line with the proposed PI and is therefore approvable:</w:t>
      </w:r>
    </w:p>
    <w:p w:rsidR="00057EF3" w:rsidRPr="00341F7B" w:rsidRDefault="00057EF3" w:rsidP="00341F7B">
      <w:pPr>
        <w:pStyle w:val="ListBullet2"/>
      </w:pPr>
      <w:r w:rsidRPr="00341F7B">
        <w:t>Dose titration can be done using other brands where a patient requires a 3</w:t>
      </w:r>
      <w:r w:rsidR="005E1824" w:rsidRPr="00341F7B">
        <w:t>0 mg</w:t>
      </w:r>
      <w:r w:rsidRPr="00341F7B">
        <w:t xml:space="preserve"> or 9</w:t>
      </w:r>
      <w:r w:rsidR="005E1824" w:rsidRPr="00341F7B">
        <w:t>0 mg</w:t>
      </w:r>
      <w:r w:rsidRPr="00341F7B">
        <w:t xml:space="preserve"> dose.</w:t>
      </w:r>
    </w:p>
    <w:p w:rsidR="00057EF3" w:rsidRPr="00341F7B" w:rsidRDefault="00057EF3" w:rsidP="00341F7B">
      <w:pPr>
        <w:pStyle w:val="ListBullet2"/>
      </w:pPr>
      <w:r w:rsidRPr="00341F7B">
        <w:t>TGA agree that the unscored 6</w:t>
      </w:r>
      <w:r w:rsidR="005E1824" w:rsidRPr="00341F7B">
        <w:t>0 mg</w:t>
      </w:r>
      <w:r w:rsidRPr="00341F7B">
        <w:t xml:space="preserve"> tablet is acceptable for 6</w:t>
      </w:r>
      <w:r w:rsidR="005E1824" w:rsidRPr="00341F7B">
        <w:t>0 mg</w:t>
      </w:r>
      <w:r w:rsidRPr="00341F7B">
        <w:t xml:space="preserve"> and 12</w:t>
      </w:r>
      <w:r w:rsidR="005E1824" w:rsidRPr="00341F7B">
        <w:t>0 mg</w:t>
      </w:r>
      <w:r w:rsidRPr="00341F7B">
        <w:t xml:space="preserve"> doses.</w:t>
      </w:r>
    </w:p>
    <w:p w:rsidR="00057EF3" w:rsidRPr="00341F7B" w:rsidRDefault="00057EF3" w:rsidP="00341F7B">
      <w:pPr>
        <w:pStyle w:val="ListBullet2"/>
      </w:pPr>
      <w:r w:rsidRPr="00341F7B">
        <w:t>Dose dumping does not occur if the tablet were to be inadvertently split.</w:t>
      </w:r>
    </w:p>
    <w:p w:rsidR="00057EF3" w:rsidRPr="00341F7B" w:rsidRDefault="00057EF3" w:rsidP="00341F7B">
      <w:pPr>
        <w:pStyle w:val="ListBullet2"/>
      </w:pPr>
      <w:r w:rsidRPr="00341F7B">
        <w:t xml:space="preserve">TGA </w:t>
      </w:r>
      <w:r w:rsidR="007323EE" w:rsidRPr="00341F7B">
        <w:t>c</w:t>
      </w:r>
      <w:r w:rsidRPr="00341F7B">
        <w:t>linical expert concludes that the 3</w:t>
      </w:r>
      <w:r w:rsidR="005E1824" w:rsidRPr="00341F7B">
        <w:t>0 mg</w:t>
      </w:r>
      <w:r w:rsidRPr="00341F7B">
        <w:t xml:space="preserve"> dose is relatively ineffective, so that a dosing error due to maldistribution of dose following splitting of the</w:t>
      </w:r>
      <w:r w:rsidR="005E1824" w:rsidRPr="00341F7B">
        <w:t xml:space="preserve"> </w:t>
      </w:r>
      <w:r w:rsidRPr="00341F7B">
        <w:t>unscored 6</w:t>
      </w:r>
      <w:r w:rsidR="005E1824" w:rsidRPr="00341F7B">
        <w:t>0 mg</w:t>
      </w:r>
      <w:r w:rsidRPr="00341F7B">
        <w:t xml:space="preserve"> MR tablet (which </w:t>
      </w:r>
      <w:r w:rsidR="007323EE" w:rsidRPr="00341F7B">
        <w:t>the sponsor</w:t>
      </w:r>
      <w:r w:rsidRPr="00341F7B">
        <w:t xml:space="preserve"> do not accept would occur) would not have serious consequences.</w:t>
      </w:r>
    </w:p>
    <w:p w:rsidR="008E7846" w:rsidRDefault="008E7846" w:rsidP="008E7846">
      <w:pPr>
        <w:pStyle w:val="Heading4"/>
      </w:pPr>
      <w:r>
        <w:t xml:space="preserve">Advisory </w:t>
      </w:r>
      <w:r w:rsidR="00304EC6">
        <w:t>committee considerations</w:t>
      </w:r>
    </w:p>
    <w:p w:rsidR="00DE6BB6" w:rsidRDefault="00A0661B" w:rsidP="00A0661B">
      <w:pPr>
        <w:adjustRightInd w:val="0"/>
        <w:snapToGrid w:val="0"/>
        <w:rPr>
          <w:rFonts w:eastAsia="Times New Roman" w:cs="Arial"/>
          <w:szCs w:val="20"/>
          <w:lang w:eastAsia="en-AU"/>
        </w:rPr>
      </w:pPr>
      <w:r w:rsidRPr="00740BA1">
        <w:rPr>
          <w:rFonts w:eastAsia="Times New Roman" w:cs="Arial"/>
          <w:szCs w:val="20"/>
          <w:lang w:eastAsia="en-AU"/>
        </w:rPr>
        <w:t xml:space="preserve">The ACPM resolved to recommend to the TGA </w:t>
      </w:r>
      <w:r w:rsidR="00CF00B9">
        <w:rPr>
          <w:rFonts w:eastAsia="Times New Roman" w:cs="Arial"/>
          <w:szCs w:val="20"/>
          <w:lang w:eastAsia="en-AU"/>
        </w:rPr>
        <w:t>D</w:t>
      </w:r>
      <w:r w:rsidRPr="00740BA1">
        <w:rPr>
          <w:rFonts w:eastAsia="Times New Roman" w:cs="Arial"/>
          <w:szCs w:val="20"/>
          <w:lang w:eastAsia="en-AU"/>
        </w:rPr>
        <w:t>elegate of the Minister and Secretary that:</w:t>
      </w:r>
    </w:p>
    <w:p w:rsidR="00A0661B" w:rsidRPr="00F6192F" w:rsidRDefault="00A0661B" w:rsidP="00A0661B">
      <w:pPr>
        <w:adjustRightInd w:val="0"/>
        <w:snapToGrid w:val="0"/>
        <w:rPr>
          <w:rFonts w:eastAsia="MS Mincho" w:cs="Calibri"/>
          <w:bCs/>
          <w:lang w:eastAsia="ja-JP"/>
        </w:rPr>
      </w:pPr>
      <w:r w:rsidRPr="00F6192F">
        <w:rPr>
          <w:rFonts w:eastAsia="MS Mincho" w:cs="Calibri"/>
          <w:lang w:eastAsia="ja-JP"/>
        </w:rPr>
        <w:t>The ACPM</w:t>
      </w:r>
      <w:r>
        <w:rPr>
          <w:rFonts w:eastAsia="MS Mincho" w:cs="Calibri"/>
          <w:lang w:eastAsia="ja-JP"/>
        </w:rPr>
        <w:t>,</w:t>
      </w:r>
      <w:r w:rsidRPr="00F6192F">
        <w:rPr>
          <w:rFonts w:eastAsia="MS Mincho" w:cs="Calibri"/>
          <w:lang w:eastAsia="ja-JP"/>
        </w:rPr>
        <w:t xml:space="preserve"> taking into account the submitted evidence of pharmaceutical efficacy, safety and quality considered </w:t>
      </w:r>
      <w:r w:rsidRPr="00F6192F">
        <w:rPr>
          <w:rFonts w:eastAsia="MS Mincho"/>
          <w:bCs/>
          <w:noProof/>
          <w:lang w:eastAsia="ja-JP"/>
        </w:rPr>
        <w:t>LIZIDIC MR (+ other tradenames)</w:t>
      </w:r>
      <w:r w:rsidRPr="00F6192F">
        <w:rPr>
          <w:rFonts w:eastAsia="MS Mincho"/>
          <w:lang w:eastAsia="ja-JP"/>
        </w:rPr>
        <w:t xml:space="preserve"> </w:t>
      </w:r>
      <w:r w:rsidRPr="00F6192F">
        <w:rPr>
          <w:rFonts w:eastAsia="MS Mincho"/>
          <w:bCs/>
          <w:noProof/>
          <w:lang w:eastAsia="ja-JP"/>
        </w:rPr>
        <w:t>tablet</w:t>
      </w:r>
      <w:r w:rsidRPr="00F6192F">
        <w:rPr>
          <w:rFonts w:eastAsia="MS Mincho"/>
          <w:bCs/>
          <w:lang w:eastAsia="ja-JP"/>
        </w:rPr>
        <w:t xml:space="preserve"> containing </w:t>
      </w:r>
      <w:r w:rsidRPr="00F6192F">
        <w:rPr>
          <w:rFonts w:eastAsia="MS Mincho"/>
          <w:bCs/>
          <w:noProof/>
          <w:lang w:eastAsia="ja-JP"/>
        </w:rPr>
        <w:t>60 mg</w:t>
      </w:r>
      <w:r w:rsidRPr="00F6192F">
        <w:rPr>
          <w:rFonts w:eastAsia="MS Mincho"/>
          <w:bCs/>
          <w:lang w:eastAsia="ja-JP"/>
        </w:rPr>
        <w:t xml:space="preserve"> of </w:t>
      </w:r>
      <w:r w:rsidRPr="00F6192F">
        <w:rPr>
          <w:rFonts w:eastAsia="MS Mincho"/>
          <w:bCs/>
          <w:noProof/>
          <w:lang w:eastAsia="ja-JP"/>
        </w:rPr>
        <w:t>gliclazide</w:t>
      </w:r>
      <w:r w:rsidRPr="00F6192F">
        <w:rPr>
          <w:rFonts w:eastAsia="MS Mincho" w:cs="Calibri"/>
          <w:lang w:eastAsia="ja-JP"/>
        </w:rPr>
        <w:t xml:space="preserve"> to have an overall negative benefit–risk profile.</w:t>
      </w:r>
    </w:p>
    <w:p w:rsidR="00DE6BB6" w:rsidRDefault="00A0661B" w:rsidP="005E1824">
      <w:pPr>
        <w:rPr>
          <w:lang w:eastAsia="ja-JP"/>
        </w:rPr>
      </w:pPr>
      <w:r w:rsidRPr="00740BA1">
        <w:rPr>
          <w:lang w:eastAsia="ja-JP"/>
        </w:rPr>
        <w:t>In making this recommendation the ACPM;</w:t>
      </w:r>
    </w:p>
    <w:p w:rsidR="00A0661B" w:rsidRPr="00A51592" w:rsidRDefault="00A0661B" w:rsidP="005E1824">
      <w:pPr>
        <w:pStyle w:val="ListBullet"/>
        <w:rPr>
          <w:lang w:eastAsia="ja-JP"/>
        </w:rPr>
      </w:pPr>
      <w:proofErr w:type="gramStart"/>
      <w:r w:rsidRPr="00740BA1">
        <w:rPr>
          <w:lang w:eastAsia="ja-JP"/>
        </w:rPr>
        <w:t>noted</w:t>
      </w:r>
      <w:proofErr w:type="gramEnd"/>
      <w:r w:rsidRPr="00740BA1">
        <w:rPr>
          <w:lang w:eastAsia="ja-JP"/>
        </w:rPr>
        <w:t xml:space="preserve"> </w:t>
      </w:r>
      <w:r>
        <w:rPr>
          <w:lang w:eastAsia="ja-JP"/>
        </w:rPr>
        <w:t>that the manufacturing q</w:t>
      </w:r>
      <w:r w:rsidRPr="00A51592">
        <w:rPr>
          <w:lang w:eastAsia="ja-JP"/>
        </w:rPr>
        <w:t>uality requirements have been met and bioequivalence</w:t>
      </w:r>
      <w:r>
        <w:rPr>
          <w:lang w:eastAsia="ja-JP"/>
        </w:rPr>
        <w:t xml:space="preserve"> of the whole 60 mg tablet to the reference product, </w:t>
      </w:r>
      <w:proofErr w:type="spellStart"/>
      <w:r>
        <w:rPr>
          <w:lang w:eastAsia="ja-JP"/>
        </w:rPr>
        <w:t>Diamicron</w:t>
      </w:r>
      <w:proofErr w:type="spellEnd"/>
      <w:r>
        <w:rPr>
          <w:lang w:eastAsia="ja-JP"/>
        </w:rPr>
        <w:t xml:space="preserve"> 60 mg</w:t>
      </w:r>
      <w:r w:rsidRPr="00A51592">
        <w:rPr>
          <w:lang w:eastAsia="ja-JP"/>
        </w:rPr>
        <w:t xml:space="preserve"> is accepted. This generic can be considered an acceptable alternative to the innovator where doses </w:t>
      </w:r>
      <w:r>
        <w:rPr>
          <w:lang w:eastAsia="ja-JP"/>
        </w:rPr>
        <w:t>of 60 mg or 120 mg are required</w:t>
      </w:r>
    </w:p>
    <w:p w:rsidR="00A0661B" w:rsidRPr="00A51592" w:rsidRDefault="00A0661B" w:rsidP="005E1824">
      <w:pPr>
        <w:pStyle w:val="ListBullet"/>
        <w:rPr>
          <w:lang w:eastAsia="ja-JP"/>
        </w:rPr>
      </w:pPr>
      <w:r>
        <w:rPr>
          <w:lang w:eastAsia="ja-JP"/>
        </w:rPr>
        <w:t>noted t</w:t>
      </w:r>
      <w:r w:rsidRPr="00A51592">
        <w:rPr>
          <w:lang w:eastAsia="ja-JP"/>
        </w:rPr>
        <w:t xml:space="preserve">he main issue is the absence of a </w:t>
      </w:r>
      <w:r w:rsidR="00491793">
        <w:rPr>
          <w:lang w:eastAsia="ja-JP"/>
        </w:rPr>
        <w:t>score line</w:t>
      </w:r>
      <w:r w:rsidRPr="00A51592">
        <w:rPr>
          <w:lang w:eastAsia="ja-JP"/>
        </w:rPr>
        <w:t xml:space="preserve">, which </w:t>
      </w:r>
      <w:r>
        <w:rPr>
          <w:lang w:eastAsia="ja-JP"/>
        </w:rPr>
        <w:t>is an</w:t>
      </w:r>
      <w:r w:rsidRPr="00A51592">
        <w:rPr>
          <w:lang w:eastAsia="ja-JP"/>
        </w:rPr>
        <w:t xml:space="preserve"> integral part of the way the reference product is </w:t>
      </w:r>
      <w:r>
        <w:rPr>
          <w:lang w:eastAsia="ja-JP"/>
        </w:rPr>
        <w:t>dispensed and used in Australia</w:t>
      </w:r>
    </w:p>
    <w:p w:rsidR="00A0661B" w:rsidRPr="00FC326B" w:rsidRDefault="00A0661B" w:rsidP="005E1824">
      <w:pPr>
        <w:pStyle w:val="ListBullet"/>
        <w:rPr>
          <w:lang w:eastAsia="ja-JP"/>
        </w:rPr>
      </w:pPr>
      <w:r w:rsidRPr="00740BA1">
        <w:rPr>
          <w:lang w:eastAsia="ja-JP"/>
        </w:rPr>
        <w:t>expressed concern</w:t>
      </w:r>
      <w:r w:rsidRPr="00FC326B">
        <w:rPr>
          <w:lang w:eastAsia="ja-JP"/>
        </w:rPr>
        <w:t xml:space="preserve"> that </w:t>
      </w:r>
      <w:r>
        <w:rPr>
          <w:lang w:eastAsia="ja-JP"/>
        </w:rPr>
        <w:t xml:space="preserve">although </w:t>
      </w:r>
      <w:r w:rsidRPr="00FC326B">
        <w:rPr>
          <w:lang w:eastAsia="ja-JP"/>
        </w:rPr>
        <w:t>the proposed generic can be used for some of the same doses that the reference product can be used for (60 mg, 120 mg)</w:t>
      </w:r>
      <w:r>
        <w:rPr>
          <w:lang w:eastAsia="ja-JP"/>
        </w:rPr>
        <w:t>;</w:t>
      </w:r>
      <w:r w:rsidRPr="00FC326B">
        <w:rPr>
          <w:lang w:eastAsia="ja-JP"/>
        </w:rPr>
        <w:t xml:space="preserve"> other</w:t>
      </w:r>
      <w:r>
        <w:rPr>
          <w:lang w:eastAsia="ja-JP"/>
        </w:rPr>
        <w:t xml:space="preserve"> dose</w:t>
      </w:r>
      <w:r w:rsidRPr="00FC326B">
        <w:rPr>
          <w:lang w:eastAsia="ja-JP"/>
        </w:rPr>
        <w:t xml:space="preserve"> (30</w:t>
      </w:r>
      <w:r>
        <w:rPr>
          <w:lang w:eastAsia="ja-JP"/>
        </w:rPr>
        <w:t> </w:t>
      </w:r>
      <w:r w:rsidRPr="00FC326B">
        <w:rPr>
          <w:lang w:eastAsia="ja-JP"/>
        </w:rPr>
        <w:t>mg, 90 mg)</w:t>
      </w:r>
      <w:r w:rsidR="005E1824">
        <w:rPr>
          <w:lang w:eastAsia="ja-JP"/>
        </w:rPr>
        <w:t xml:space="preserve"> </w:t>
      </w:r>
      <w:r>
        <w:rPr>
          <w:lang w:eastAsia="ja-JP"/>
        </w:rPr>
        <w:t>carry a</w:t>
      </w:r>
      <w:r w:rsidR="005E1824">
        <w:rPr>
          <w:lang w:eastAsia="ja-JP"/>
        </w:rPr>
        <w:t xml:space="preserve"> </w:t>
      </w:r>
      <w:r w:rsidRPr="00FC326B">
        <w:rPr>
          <w:lang w:eastAsia="ja-JP"/>
        </w:rPr>
        <w:t xml:space="preserve">risk </w:t>
      </w:r>
      <w:r>
        <w:rPr>
          <w:lang w:eastAsia="ja-JP"/>
        </w:rPr>
        <w:t>of pharmacist and patient error</w:t>
      </w:r>
    </w:p>
    <w:p w:rsidR="00A0661B" w:rsidRDefault="00A0661B" w:rsidP="005E1824">
      <w:pPr>
        <w:pStyle w:val="ListBullet"/>
        <w:rPr>
          <w:lang w:eastAsia="ja-JP"/>
        </w:rPr>
      </w:pPr>
      <w:r>
        <w:rPr>
          <w:lang w:eastAsia="ja-JP"/>
        </w:rPr>
        <w:t xml:space="preserve">noted the mitigation measures proposed by the </w:t>
      </w:r>
      <w:r w:rsidR="005E1824">
        <w:rPr>
          <w:lang w:eastAsia="ja-JP"/>
        </w:rPr>
        <w:t>s</w:t>
      </w:r>
      <w:r>
        <w:rPr>
          <w:lang w:eastAsia="ja-JP"/>
        </w:rPr>
        <w:t>ponsor to lower the identified risk, however remained concerned that patients may continue to break the tablets risking dosing errors</w:t>
      </w:r>
    </w:p>
    <w:p w:rsidR="00A0661B" w:rsidRPr="00740BA1" w:rsidRDefault="00A0661B" w:rsidP="005E1824">
      <w:pPr>
        <w:pStyle w:val="Heading5"/>
        <w:rPr>
          <w:rFonts w:eastAsia="MS Mincho"/>
          <w:highlight w:val="yellow"/>
          <w:lang w:eastAsia="ja-JP"/>
        </w:rPr>
      </w:pPr>
      <w:r w:rsidRPr="00740BA1">
        <w:rPr>
          <w:rFonts w:eastAsia="MS Mincho"/>
          <w:lang w:eastAsia="ja-JP"/>
        </w:rPr>
        <w:lastRenderedPageBreak/>
        <w:t xml:space="preserve">Specific </w:t>
      </w:r>
      <w:r w:rsidR="00304EC6">
        <w:rPr>
          <w:rFonts w:eastAsia="MS Mincho"/>
          <w:lang w:eastAsia="ja-JP"/>
        </w:rPr>
        <w:t>a</w:t>
      </w:r>
      <w:r w:rsidRPr="00740BA1">
        <w:rPr>
          <w:rFonts w:eastAsia="MS Mincho"/>
          <w:lang w:eastAsia="ja-JP"/>
        </w:rPr>
        <w:t>dvice</w:t>
      </w:r>
    </w:p>
    <w:p w:rsidR="00A0661B" w:rsidRPr="00740BA1" w:rsidRDefault="00A0661B" w:rsidP="00A0661B">
      <w:pPr>
        <w:adjustRightInd w:val="0"/>
        <w:snapToGrid w:val="0"/>
        <w:rPr>
          <w:rFonts w:eastAsia="MS Mincho"/>
          <w:b/>
          <w:bCs/>
          <w:iCs/>
          <w:szCs w:val="20"/>
          <w:highlight w:val="yellow"/>
          <w:lang w:eastAsia="ja-JP"/>
        </w:rPr>
      </w:pPr>
      <w:r w:rsidRPr="005E1824">
        <w:t xml:space="preserve">The ACPM advised the following in response to the </w:t>
      </w:r>
      <w:r w:rsidR="005E1824">
        <w:t>D</w:t>
      </w:r>
      <w:r w:rsidRPr="005E1824">
        <w:t>elegate’s specific questions on this submission</w:t>
      </w:r>
      <w:r w:rsidRPr="00740BA1">
        <w:rPr>
          <w:rFonts w:eastAsia="MS Mincho" w:cs="Arial"/>
          <w:szCs w:val="20"/>
          <w:lang w:eastAsia="ja-JP"/>
        </w:rPr>
        <w:t>:</w:t>
      </w:r>
    </w:p>
    <w:p w:rsidR="00A0661B" w:rsidRPr="005E1824" w:rsidRDefault="00A0661B" w:rsidP="005E1824">
      <w:pPr>
        <w:pStyle w:val="ListBullet"/>
        <w:rPr>
          <w:b/>
          <w:i/>
          <w:lang w:eastAsia="ja-JP"/>
        </w:rPr>
      </w:pPr>
      <w:r w:rsidRPr="005E1824">
        <w:rPr>
          <w:i/>
          <w:noProof/>
          <w:lang w:eastAsia="ja-JP"/>
        </w:rPr>
        <w:t>Has the sponsor satisfactorily established that the efficacy and safety of the proposed generic 60 mg MR tablet is the same as that of the reference 60 mg MR tablet (Diamicron)?</w:t>
      </w:r>
    </w:p>
    <w:p w:rsidR="00A0661B" w:rsidRPr="000F5A83" w:rsidRDefault="00A0661B" w:rsidP="005E1824">
      <w:pPr>
        <w:rPr>
          <w:lang w:eastAsia="ja-JP"/>
        </w:rPr>
      </w:pPr>
      <w:r w:rsidRPr="000F5A83">
        <w:rPr>
          <w:lang w:eastAsia="ja-JP"/>
        </w:rPr>
        <w:t xml:space="preserve">The ACPM advised that although </w:t>
      </w:r>
      <w:r>
        <w:rPr>
          <w:lang w:eastAsia="ja-JP"/>
        </w:rPr>
        <w:t xml:space="preserve">manufacturing </w:t>
      </w:r>
      <w:r w:rsidRPr="000F5A83">
        <w:rPr>
          <w:lang w:eastAsia="ja-JP"/>
        </w:rPr>
        <w:t xml:space="preserve">quality requirements have been met and bioequivalence is accepted, the </w:t>
      </w:r>
      <w:r>
        <w:rPr>
          <w:lang w:eastAsia="ja-JP"/>
        </w:rPr>
        <w:t xml:space="preserve">committee considered the </w:t>
      </w:r>
      <w:r w:rsidRPr="000F5A83">
        <w:rPr>
          <w:lang w:eastAsia="ja-JP"/>
        </w:rPr>
        <w:t xml:space="preserve">proposed unscored tablet </w:t>
      </w:r>
      <w:r w:rsidR="005E1824">
        <w:rPr>
          <w:lang w:eastAsia="ja-JP"/>
        </w:rPr>
        <w:t>‘</w:t>
      </w:r>
      <w:r w:rsidRPr="000F5A83">
        <w:rPr>
          <w:lang w:eastAsia="ja-JP"/>
        </w:rPr>
        <w:t>an incomplete and unsatisfactory substitute</w:t>
      </w:r>
      <w:r w:rsidR="005E1824">
        <w:rPr>
          <w:lang w:eastAsia="ja-JP"/>
        </w:rPr>
        <w:t>’</w:t>
      </w:r>
      <w:r>
        <w:rPr>
          <w:lang w:eastAsia="ja-JP"/>
        </w:rPr>
        <w:t xml:space="preserve"> for the reference product</w:t>
      </w:r>
      <w:r w:rsidRPr="000F5A83">
        <w:rPr>
          <w:lang w:eastAsia="ja-JP"/>
        </w:rPr>
        <w:t>.</w:t>
      </w:r>
    </w:p>
    <w:p w:rsidR="00DE6BB6" w:rsidRDefault="00A0661B" w:rsidP="005E1824">
      <w:pPr>
        <w:rPr>
          <w:lang w:eastAsia="ja-JP"/>
        </w:rPr>
      </w:pPr>
      <w:r>
        <w:rPr>
          <w:lang w:eastAsia="ja-JP"/>
        </w:rPr>
        <w:t>The ACPM was of the view that;</w:t>
      </w:r>
    </w:p>
    <w:p w:rsidR="00A0661B" w:rsidRDefault="00A0661B" w:rsidP="005E1824">
      <w:pPr>
        <w:pStyle w:val="ListBullet"/>
        <w:rPr>
          <w:lang w:eastAsia="ja-JP"/>
        </w:rPr>
      </w:pPr>
      <w:r w:rsidRPr="00E728FE">
        <w:rPr>
          <w:lang w:eastAsia="ja-JP"/>
        </w:rPr>
        <w:t>this is a</w:t>
      </w:r>
      <w:r>
        <w:rPr>
          <w:lang w:eastAsia="ja-JP"/>
        </w:rPr>
        <w:t xml:space="preserve"> quality use of medicines issue</w:t>
      </w:r>
    </w:p>
    <w:p w:rsidR="00A0661B" w:rsidRDefault="00A0661B" w:rsidP="005E1824">
      <w:pPr>
        <w:pStyle w:val="ListBullet"/>
        <w:rPr>
          <w:lang w:eastAsia="ja-JP"/>
        </w:rPr>
      </w:pPr>
      <w:r>
        <w:rPr>
          <w:lang w:eastAsia="ja-JP"/>
        </w:rPr>
        <w:t xml:space="preserve">by failing to provide an identical product this </w:t>
      </w:r>
      <w:r w:rsidRPr="00F6192F">
        <w:rPr>
          <w:lang w:eastAsia="ja-JP"/>
        </w:rPr>
        <w:t xml:space="preserve">ultimately </w:t>
      </w:r>
      <w:r>
        <w:rPr>
          <w:lang w:eastAsia="ja-JP"/>
        </w:rPr>
        <w:t>puts the onus</w:t>
      </w:r>
      <w:r w:rsidRPr="00C601CF">
        <w:rPr>
          <w:lang w:eastAsia="ja-JP"/>
        </w:rPr>
        <w:t xml:space="preserve"> </w:t>
      </w:r>
      <w:r>
        <w:rPr>
          <w:lang w:eastAsia="ja-JP"/>
        </w:rPr>
        <w:t>of distinguishing medicines, at a very detailed level, on the patient rather than supplying an inherently safe product</w:t>
      </w:r>
    </w:p>
    <w:p w:rsidR="00DE6BB6" w:rsidRDefault="00A0661B" w:rsidP="005E1824">
      <w:pPr>
        <w:pStyle w:val="ListBullet"/>
        <w:rPr>
          <w:lang w:eastAsia="ja-JP"/>
        </w:rPr>
      </w:pPr>
      <w:proofErr w:type="gramStart"/>
      <w:r>
        <w:rPr>
          <w:lang w:eastAsia="ja-JP"/>
        </w:rPr>
        <w:t>the</w:t>
      </w:r>
      <w:proofErr w:type="gramEnd"/>
      <w:r>
        <w:rPr>
          <w:lang w:eastAsia="ja-JP"/>
        </w:rPr>
        <w:t xml:space="preserve"> mitigation strategies are all potentially useful but will not prevent some patients from breaking the tablets, and without data on bioequivalence of halved tablets and potential dose dumping, there are unanswered safety question</w:t>
      </w:r>
      <w:r w:rsidR="00DE6BB6">
        <w:rPr>
          <w:lang w:eastAsia="ja-JP"/>
        </w:rPr>
        <w:t>.</w:t>
      </w:r>
    </w:p>
    <w:p w:rsidR="00A0661B" w:rsidRPr="000F5A83" w:rsidRDefault="00A0661B" w:rsidP="005E1824">
      <w:pPr>
        <w:rPr>
          <w:lang w:eastAsia="en-AU"/>
        </w:rPr>
      </w:pPr>
      <w:r w:rsidRPr="000F5A83">
        <w:rPr>
          <w:lang w:eastAsia="en-AU"/>
        </w:rPr>
        <w:t xml:space="preserve">The ACPM agreed with the TGA’s preferred approach; for the </w:t>
      </w:r>
      <w:r w:rsidR="005E1824">
        <w:rPr>
          <w:lang w:eastAsia="en-AU"/>
        </w:rPr>
        <w:t>s</w:t>
      </w:r>
      <w:r w:rsidRPr="000F5A83">
        <w:rPr>
          <w:lang w:eastAsia="en-AU"/>
        </w:rPr>
        <w:t xml:space="preserve">ponsor to register and market their generic 30 mg MR, until such time as the patent issues on the </w:t>
      </w:r>
      <w:r w:rsidR="00491793">
        <w:rPr>
          <w:lang w:eastAsia="en-AU"/>
        </w:rPr>
        <w:t>score line</w:t>
      </w:r>
      <w:r w:rsidRPr="000F5A83">
        <w:rPr>
          <w:lang w:eastAsia="en-AU"/>
        </w:rPr>
        <w:t xml:space="preserve"> expires in Australia thus mirroring the events in Canada. This is the most reasonable approach.</w:t>
      </w:r>
    </w:p>
    <w:p w:rsidR="00A0661B" w:rsidRPr="00A322B3" w:rsidRDefault="00A0661B" w:rsidP="005E1824">
      <w:r w:rsidRPr="000F5A83">
        <w:t xml:space="preserve">The ACPM also advised that </w:t>
      </w:r>
      <w:r w:rsidRPr="000F5A83">
        <w:rPr>
          <w:lang w:eastAsia="en-AU"/>
        </w:rPr>
        <w:t xml:space="preserve">the US approach, if the reference product has a </w:t>
      </w:r>
      <w:r w:rsidR="00491793">
        <w:rPr>
          <w:lang w:eastAsia="en-AU"/>
        </w:rPr>
        <w:t>score line</w:t>
      </w:r>
      <w:r w:rsidRPr="000F5A83">
        <w:rPr>
          <w:lang w:eastAsia="en-AU"/>
        </w:rPr>
        <w:t xml:space="preserve">, then the generic product must have a </w:t>
      </w:r>
      <w:r w:rsidR="00491793">
        <w:rPr>
          <w:lang w:eastAsia="en-AU"/>
        </w:rPr>
        <w:t>score line</w:t>
      </w:r>
      <w:r w:rsidRPr="000F5A83">
        <w:rPr>
          <w:lang w:eastAsia="en-AU"/>
        </w:rPr>
        <w:t xml:space="preserve"> to allow the patient to </w:t>
      </w:r>
      <w:r w:rsidR="005E1824">
        <w:rPr>
          <w:lang w:eastAsia="en-AU"/>
        </w:rPr>
        <w:t>‘</w:t>
      </w:r>
      <w:r w:rsidRPr="000F5A83">
        <w:rPr>
          <w:lang w:eastAsia="en-AU"/>
        </w:rPr>
        <w:t>switch between manufacturers of the same product without encountering problems related to the dose</w:t>
      </w:r>
      <w:r w:rsidR="005E1824">
        <w:rPr>
          <w:lang w:eastAsia="en-AU"/>
        </w:rPr>
        <w:t>’</w:t>
      </w:r>
      <w:r w:rsidRPr="000F5A83">
        <w:rPr>
          <w:lang w:eastAsia="en-AU"/>
        </w:rPr>
        <w:t xml:space="preserve"> is clearly a sensible approach and </w:t>
      </w:r>
      <w:r>
        <w:rPr>
          <w:lang w:eastAsia="en-AU"/>
        </w:rPr>
        <w:t xml:space="preserve">is recommended to the </w:t>
      </w:r>
      <w:r w:rsidRPr="000F5A83">
        <w:rPr>
          <w:lang w:eastAsia="en-AU"/>
        </w:rPr>
        <w:t>TGA</w:t>
      </w:r>
      <w:r>
        <w:rPr>
          <w:lang w:eastAsia="en-AU"/>
        </w:rPr>
        <w:t>,</w:t>
      </w:r>
      <w:r w:rsidRPr="000F5A83">
        <w:rPr>
          <w:lang w:eastAsia="en-AU"/>
        </w:rPr>
        <w:t xml:space="preserve"> </w:t>
      </w:r>
      <w:r>
        <w:rPr>
          <w:lang w:eastAsia="en-AU"/>
        </w:rPr>
        <w:t xml:space="preserve">for </w:t>
      </w:r>
      <w:r w:rsidRPr="000F5A83">
        <w:rPr>
          <w:lang w:eastAsia="en-AU"/>
        </w:rPr>
        <w:t>adopt</w:t>
      </w:r>
      <w:r>
        <w:rPr>
          <w:lang w:eastAsia="en-AU"/>
        </w:rPr>
        <w:t>ion of a similar policy</w:t>
      </w:r>
      <w:r w:rsidRPr="000F5A83">
        <w:rPr>
          <w:lang w:eastAsia="en-AU"/>
        </w:rPr>
        <w:t>.</w:t>
      </w:r>
    </w:p>
    <w:p w:rsidR="008E7846" w:rsidRPr="002E238E" w:rsidRDefault="008E7846" w:rsidP="008E7846">
      <w:pPr>
        <w:pStyle w:val="Heading3"/>
      </w:pPr>
      <w:bookmarkStart w:id="78" w:name="_Toc247691532"/>
      <w:bookmarkStart w:id="79" w:name="_Toc314842516"/>
      <w:bookmarkStart w:id="80" w:name="_Toc456784910"/>
      <w:bookmarkEnd w:id="53"/>
      <w:bookmarkEnd w:id="74"/>
      <w:bookmarkEnd w:id="75"/>
      <w:r>
        <w:t>Outcome</w:t>
      </w:r>
      <w:bookmarkEnd w:id="78"/>
      <w:bookmarkEnd w:id="79"/>
      <w:bookmarkEnd w:id="80"/>
    </w:p>
    <w:p w:rsidR="00D23139" w:rsidRDefault="00A0661B" w:rsidP="00D23139">
      <w:bookmarkStart w:id="81" w:name="_Toc247691533"/>
      <w:bookmarkStart w:id="82" w:name="_Toc314842517"/>
      <w:r>
        <w:t>The sponsor withdrew this application before the TGA had reached a decision.</w:t>
      </w:r>
    </w:p>
    <w:bookmarkEnd w:id="81"/>
    <w:bookmarkEnd w:id="82"/>
    <w:p w:rsidR="00291957" w:rsidRDefault="00291957" w:rsidP="00291957">
      <w:pPr>
        <w:rPr>
          <w:lang w:eastAsia="ja-JP"/>
        </w:rPr>
      </w:pPr>
    </w:p>
    <w:p w:rsidR="00C80137" w:rsidRPr="001D043B" w:rsidRDefault="00C80137" w:rsidP="003A7F6C">
      <w:pPr>
        <w:pStyle w:val="TableTitle"/>
        <w:sectPr w:rsidR="00C80137" w:rsidRPr="001D043B" w:rsidSect="00B452CE">
          <w:headerReference w:type="even" r:id="rId16"/>
          <w:headerReference w:type="default" r:id="rId17"/>
          <w:headerReference w:type="first" r:id="rId18"/>
          <w:footerReference w:type="first" r:id="rId19"/>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rsidTr="00A05FA4">
        <w:trPr>
          <w:trHeight w:hRule="exact" w:val="704"/>
        </w:trPr>
        <w:tc>
          <w:tcPr>
            <w:tcW w:w="9175" w:type="dxa"/>
          </w:tcPr>
          <w:p w:rsidR="001C32CD" w:rsidRPr="00487162" w:rsidRDefault="001C32CD" w:rsidP="00A05FA4">
            <w:pPr>
              <w:pStyle w:val="TGASignoff"/>
            </w:pPr>
            <w:r w:rsidRPr="00487162">
              <w:lastRenderedPageBreak/>
              <w:t>Therapeutic Goods Administration</w:t>
            </w:r>
          </w:p>
        </w:tc>
      </w:tr>
      <w:tr w:rsidR="001C32CD" w:rsidRPr="004C239D" w:rsidTr="00A05FA4">
        <w:trPr>
          <w:trHeight w:val="1221"/>
        </w:trPr>
        <w:tc>
          <w:tcPr>
            <w:tcW w:w="9175" w:type="dxa"/>
            <w:tcMar>
              <w:top w:w="28" w:type="dxa"/>
            </w:tcMar>
          </w:tcPr>
          <w:p w:rsidR="001C32CD" w:rsidRPr="00487162" w:rsidRDefault="001C32CD" w:rsidP="00A05FA4">
            <w:pPr>
              <w:pStyle w:val="Address"/>
            </w:pPr>
            <w:r w:rsidRPr="00487162">
              <w:t>PO Box 100 Woden ACT 2606 Australia</w:t>
            </w:r>
          </w:p>
          <w:p w:rsidR="001C32CD" w:rsidRPr="00487162" w:rsidRDefault="001C32CD" w:rsidP="00A05FA4">
            <w:pPr>
              <w:pStyle w:val="Address"/>
            </w:pPr>
            <w:r w:rsidRPr="00487162">
              <w:t xml:space="preserve">Email: </w:t>
            </w:r>
            <w:hyperlink r:id="rId20" w:history="1">
              <w:r w:rsidRPr="004C239D">
                <w:rPr>
                  <w:rStyle w:val="Hyperlink"/>
                </w:rPr>
                <w:t>info@tga.gov.au</w:t>
              </w:r>
            </w:hyperlink>
            <w:r w:rsidRPr="00487162">
              <w:t xml:space="preserve">  Phone: 1800 020 653  Fax: 02 6232 8605</w:t>
            </w:r>
          </w:p>
          <w:p w:rsidR="001C32CD" w:rsidRPr="004C239D" w:rsidRDefault="005A3AE1" w:rsidP="00A05FA4">
            <w:pPr>
              <w:pStyle w:val="Address"/>
              <w:spacing w:line="260" w:lineRule="atLeast"/>
              <w:rPr>
                <w:b/>
                <w:color w:val="0000FF"/>
                <w:u w:val="single"/>
              </w:rPr>
            </w:pPr>
            <w:hyperlink r:id="rId21" w:history="1">
              <w:r w:rsidR="007C6B9B" w:rsidRPr="007C6B9B">
                <w:rPr>
                  <w:rStyle w:val="Hyperlink"/>
                  <w:b/>
                </w:rPr>
                <w:t>https://www.tga.gov.au</w:t>
              </w:r>
            </w:hyperlink>
          </w:p>
        </w:tc>
      </w:tr>
    </w:tbl>
    <w:p w:rsidR="00774E1D" w:rsidRPr="008A5E0B" w:rsidRDefault="00774E1D" w:rsidP="004C239D"/>
    <w:sectPr w:rsidR="00774E1D" w:rsidRPr="008A5E0B" w:rsidSect="001C32CD">
      <w:headerReference w:type="even" r:id="rId22"/>
      <w:headerReference w:type="default" r:id="rId23"/>
      <w:footerReference w:type="default" r:id="rId24"/>
      <w:headerReference w:type="first" r:id="rId25"/>
      <w:footerReference w:type="first" r:id="rId26"/>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BB6" w:rsidRDefault="00DE6BB6" w:rsidP="00C40A36">
      <w:pPr>
        <w:spacing w:after="0"/>
      </w:pPr>
      <w:r>
        <w:separator/>
      </w:r>
    </w:p>
  </w:endnote>
  <w:endnote w:type="continuationSeparator" w:id="0">
    <w:p w:rsidR="00DE6BB6" w:rsidRDefault="00DE6BB6"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DE6BB6" w:rsidRPr="00487162" w:rsidTr="00DB750B">
      <w:trPr>
        <w:trHeight w:val="269"/>
      </w:trPr>
      <w:tc>
        <w:tcPr>
          <w:tcW w:w="7371" w:type="dxa"/>
          <w:tcMar>
            <w:top w:w="142" w:type="dxa"/>
            <w:bottom w:w="0" w:type="dxa"/>
          </w:tcMar>
        </w:tcPr>
        <w:p w:rsidR="00DE6BB6" w:rsidRPr="004552E6" w:rsidRDefault="00DE6BB6" w:rsidP="004552E6">
          <w:pPr>
            <w:rPr>
              <w:rFonts w:asciiTheme="minorHAnsi" w:hAnsiTheme="minorHAnsi"/>
              <w:sz w:val="17"/>
              <w:szCs w:val="17"/>
            </w:rPr>
          </w:pPr>
          <w:r w:rsidRPr="004552E6">
            <w:rPr>
              <w:rFonts w:asciiTheme="minorHAnsi" w:hAnsiTheme="minorHAnsi"/>
              <w:sz w:val="17"/>
              <w:szCs w:val="17"/>
            </w:rPr>
            <w:t xml:space="preserve">AusPAR </w:t>
          </w:r>
          <w:proofErr w:type="spellStart"/>
          <w:r w:rsidRPr="004552E6">
            <w:rPr>
              <w:rFonts w:asciiTheme="minorHAnsi" w:hAnsiTheme="minorHAnsi"/>
              <w:sz w:val="17"/>
              <w:szCs w:val="17"/>
            </w:rPr>
            <w:t>Gliclazide</w:t>
          </w:r>
          <w:proofErr w:type="spellEnd"/>
          <w:r w:rsidRPr="004552E6">
            <w:rPr>
              <w:rFonts w:asciiTheme="minorHAnsi" w:hAnsiTheme="minorHAnsi"/>
              <w:sz w:val="17"/>
              <w:szCs w:val="17"/>
            </w:rPr>
            <w:t xml:space="preserve"> </w:t>
          </w:r>
          <w:proofErr w:type="spellStart"/>
          <w:r w:rsidRPr="004552E6">
            <w:rPr>
              <w:sz w:val="17"/>
              <w:szCs w:val="17"/>
            </w:rPr>
            <w:t>Gliclazide</w:t>
          </w:r>
          <w:proofErr w:type="spellEnd"/>
          <w:r w:rsidRPr="004552E6">
            <w:rPr>
              <w:sz w:val="17"/>
              <w:szCs w:val="17"/>
            </w:rPr>
            <w:t xml:space="preserve"> </w:t>
          </w:r>
          <w:proofErr w:type="spellStart"/>
          <w:r w:rsidRPr="004552E6">
            <w:rPr>
              <w:sz w:val="17"/>
              <w:szCs w:val="17"/>
            </w:rPr>
            <w:t>Gppl</w:t>
          </w:r>
          <w:proofErr w:type="spellEnd"/>
          <w:r w:rsidRPr="004552E6">
            <w:rPr>
              <w:sz w:val="17"/>
              <w:szCs w:val="17"/>
            </w:rPr>
            <w:t xml:space="preserve"> MR 30/ </w:t>
          </w:r>
          <w:proofErr w:type="spellStart"/>
          <w:r w:rsidRPr="004552E6">
            <w:rPr>
              <w:sz w:val="17"/>
              <w:szCs w:val="17"/>
            </w:rPr>
            <w:t>Gliclazide</w:t>
          </w:r>
          <w:proofErr w:type="spellEnd"/>
          <w:r w:rsidRPr="004552E6">
            <w:rPr>
              <w:sz w:val="17"/>
              <w:szCs w:val="17"/>
            </w:rPr>
            <w:t xml:space="preserve"> </w:t>
          </w:r>
          <w:proofErr w:type="spellStart"/>
          <w:r w:rsidRPr="004552E6">
            <w:rPr>
              <w:sz w:val="17"/>
              <w:szCs w:val="17"/>
            </w:rPr>
            <w:t>Gxp</w:t>
          </w:r>
          <w:proofErr w:type="spellEnd"/>
          <w:r w:rsidRPr="004552E6">
            <w:rPr>
              <w:sz w:val="17"/>
              <w:szCs w:val="17"/>
            </w:rPr>
            <w:t xml:space="preserve"> MR 60</w:t>
          </w:r>
          <w:r>
            <w:rPr>
              <w:sz w:val="17"/>
              <w:szCs w:val="17"/>
            </w:rPr>
            <w:t>/</w:t>
          </w:r>
          <w:proofErr w:type="spellStart"/>
          <w:r w:rsidRPr="004552E6">
            <w:rPr>
              <w:sz w:val="17"/>
              <w:szCs w:val="17"/>
            </w:rPr>
            <w:t>Gliclazide</w:t>
          </w:r>
          <w:proofErr w:type="spellEnd"/>
          <w:r w:rsidRPr="004552E6">
            <w:rPr>
              <w:sz w:val="17"/>
              <w:szCs w:val="17"/>
            </w:rPr>
            <w:t xml:space="preserve"> </w:t>
          </w:r>
          <w:proofErr w:type="spellStart"/>
          <w:r w:rsidRPr="004552E6">
            <w:rPr>
              <w:sz w:val="17"/>
              <w:szCs w:val="17"/>
            </w:rPr>
            <w:t>Genpar</w:t>
          </w:r>
          <w:proofErr w:type="spellEnd"/>
          <w:r w:rsidRPr="004552E6">
            <w:rPr>
              <w:sz w:val="17"/>
              <w:szCs w:val="17"/>
            </w:rPr>
            <w:t xml:space="preserve"> MR 60 </w:t>
          </w:r>
          <w:r w:rsidRPr="004552E6">
            <w:rPr>
              <w:rFonts w:asciiTheme="minorHAnsi" w:hAnsiTheme="minorHAnsi"/>
              <w:sz w:val="17"/>
              <w:szCs w:val="17"/>
            </w:rPr>
            <w:t xml:space="preserve">Generic Partners </w:t>
          </w:r>
          <w:r w:rsidRPr="004552E6">
            <w:rPr>
              <w:rFonts w:asciiTheme="minorHAnsi" w:eastAsiaTheme="minorHAnsi" w:hAnsiTheme="minorHAnsi" w:cs="Calibri"/>
              <w:sz w:val="17"/>
              <w:szCs w:val="17"/>
            </w:rPr>
            <w:t>PM-2015-00426-1-5</w:t>
          </w:r>
          <w:r>
            <w:rPr>
              <w:rFonts w:asciiTheme="minorHAnsi" w:eastAsiaTheme="minorHAnsi" w:hAnsiTheme="minorHAnsi" w:cs="Calibri"/>
              <w:sz w:val="17"/>
              <w:szCs w:val="17"/>
            </w:rPr>
            <w:t xml:space="preserve"> </w:t>
          </w:r>
          <w:r w:rsidRPr="004552E6">
            <w:rPr>
              <w:rFonts w:asciiTheme="minorHAnsi" w:hAnsiTheme="minorHAnsi"/>
              <w:sz w:val="17"/>
              <w:szCs w:val="17"/>
            </w:rPr>
            <w:t>Final 19 July 2016</w:t>
          </w:r>
        </w:p>
      </w:tc>
      <w:tc>
        <w:tcPr>
          <w:tcW w:w="1490" w:type="dxa"/>
          <w:tcMar>
            <w:top w:w="142" w:type="dxa"/>
            <w:bottom w:w="0" w:type="dxa"/>
          </w:tcMar>
        </w:tcPr>
        <w:p w:rsidR="00DE6BB6" w:rsidRPr="00487162" w:rsidRDefault="00DE6BB6" w:rsidP="00DB750B">
          <w:pPr>
            <w:pStyle w:val="Footer"/>
            <w:jc w:val="right"/>
          </w:pPr>
          <w:r w:rsidRPr="00487162">
            <w:t xml:space="preserve">Page </w:t>
          </w:r>
          <w:r>
            <w:fldChar w:fldCharType="begin"/>
          </w:r>
          <w:r>
            <w:instrText xml:space="preserve"> PAGE  \* Arabic </w:instrText>
          </w:r>
          <w:r>
            <w:fldChar w:fldCharType="separate"/>
          </w:r>
          <w:r w:rsidR="005A3AE1">
            <w:rPr>
              <w:noProof/>
            </w:rPr>
            <w:t>3</w:t>
          </w:r>
          <w:r>
            <w:fldChar w:fldCharType="end"/>
          </w:r>
          <w:r w:rsidRPr="00487162">
            <w:t xml:space="preserve"> of </w:t>
          </w:r>
          <w:r w:rsidR="005A3AE1">
            <w:fldChar w:fldCharType="begin"/>
          </w:r>
          <w:r w:rsidR="005A3AE1">
            <w:instrText xml:space="preserve"> NUMPAGES  \* Arabic </w:instrText>
          </w:r>
          <w:r w:rsidR="005A3AE1">
            <w:fldChar w:fldCharType="separate"/>
          </w:r>
          <w:r w:rsidR="005A3AE1">
            <w:rPr>
              <w:noProof/>
            </w:rPr>
            <w:t>35</w:t>
          </w:r>
          <w:r w:rsidR="005A3AE1">
            <w:rPr>
              <w:noProof/>
            </w:rPr>
            <w:fldChar w:fldCharType="end"/>
          </w:r>
        </w:p>
      </w:tc>
    </w:tr>
  </w:tbl>
  <w:p w:rsidR="00DE6BB6" w:rsidRDefault="00DE6BB6" w:rsidP="003D1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DE6BB6" w:rsidRPr="00487162" w:rsidTr="00E45619">
      <w:trPr>
        <w:trHeight w:val="269"/>
      </w:trPr>
      <w:tc>
        <w:tcPr>
          <w:tcW w:w="4519" w:type="dxa"/>
          <w:tcBorders>
            <w:top w:val="single" w:sz="4" w:space="0" w:color="auto"/>
          </w:tcBorders>
          <w:tcMar>
            <w:top w:w="142" w:type="dxa"/>
            <w:bottom w:w="0" w:type="dxa"/>
          </w:tcMar>
        </w:tcPr>
        <w:p w:rsidR="00DE6BB6" w:rsidRPr="00487162" w:rsidRDefault="00DE6BB6" w:rsidP="00FE1DEE">
          <w:pPr>
            <w:pStyle w:val="Footer"/>
          </w:pPr>
          <w:r w:rsidRPr="00487162">
            <w:t>Document title, Part #, Section # - Section title</w:t>
          </w:r>
        </w:p>
        <w:p w:rsidR="00DE6BB6" w:rsidRPr="00487162" w:rsidRDefault="00DE6BB6" w:rsidP="00FE1DEE">
          <w:pPr>
            <w:pStyle w:val="Footer"/>
          </w:pPr>
          <w:r w:rsidRPr="00487162">
            <w:t>V1.0 October 2010</w:t>
          </w:r>
        </w:p>
      </w:tc>
      <w:tc>
        <w:tcPr>
          <w:tcW w:w="4342" w:type="dxa"/>
          <w:tcBorders>
            <w:top w:val="single" w:sz="4" w:space="0" w:color="auto"/>
          </w:tcBorders>
          <w:tcMar>
            <w:top w:w="142" w:type="dxa"/>
            <w:bottom w:w="0" w:type="dxa"/>
          </w:tcMar>
        </w:tcPr>
        <w:p w:rsidR="00DE6BB6" w:rsidRPr="00487162" w:rsidRDefault="00DE6BB6"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r w:rsidR="005A3AE1">
            <w:fldChar w:fldCharType="begin"/>
          </w:r>
          <w:r w:rsidR="005A3AE1">
            <w:instrText xml:space="preserve"> NUMPAGES  </w:instrText>
          </w:r>
          <w:r w:rsidR="005A3AE1">
            <w:fldChar w:fldCharType="separate"/>
          </w:r>
          <w:r>
            <w:rPr>
              <w:noProof/>
            </w:rPr>
            <w:t>35</w:t>
          </w:r>
          <w:r w:rsidR="005A3AE1">
            <w:rPr>
              <w:noProof/>
            </w:rPr>
            <w:fldChar w:fldCharType="end"/>
          </w:r>
        </w:p>
      </w:tc>
    </w:tr>
  </w:tbl>
  <w:p w:rsidR="00DE6BB6" w:rsidRDefault="00DE6B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BB6" w:rsidRPr="001C32CD" w:rsidRDefault="00DE6BB6" w:rsidP="001C32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DE6BB6" w:rsidTr="0010601F">
      <w:trPr>
        <w:trHeight w:val="108"/>
      </w:trPr>
      <w:tc>
        <w:tcPr>
          <w:tcW w:w="8875" w:type="dxa"/>
          <w:gridSpan w:val="2"/>
          <w:tcBorders>
            <w:bottom w:val="single" w:sz="4" w:space="0" w:color="auto"/>
          </w:tcBorders>
          <w:tcMar>
            <w:right w:w="284" w:type="dxa"/>
          </w:tcMar>
        </w:tcPr>
        <w:p w:rsidR="00DE6BB6" w:rsidRDefault="00DE6BB6" w:rsidP="006E08B3">
          <w:pPr>
            <w:pStyle w:val="Heading3"/>
          </w:pPr>
          <w:r>
            <w:t>Copyright</w:t>
          </w:r>
        </w:p>
        <w:p w:rsidR="00DE6BB6" w:rsidRDefault="00DE6BB6" w:rsidP="006E08B3">
          <w:r>
            <w:rPr>
              <w:rFonts w:cs="Arial"/>
            </w:rPr>
            <w:t>©</w:t>
          </w:r>
          <w:r>
            <w:t xml:space="preserve"> Commonwealth of Australia [add year]</w:t>
          </w:r>
        </w:p>
        <w:p w:rsidR="00DE6BB6" w:rsidRDefault="00DE6BB6" w:rsidP="006E08B3"/>
        <w:p w:rsidR="00DE6BB6" w:rsidRDefault="00DE6BB6"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DE6BB6" w:rsidRDefault="00DE6BB6" w:rsidP="006E08B3"/>
        <w:p w:rsidR="00DE6BB6" w:rsidRDefault="00DE6BB6" w:rsidP="006E08B3">
          <w:pPr>
            <w:pStyle w:val="Heading3"/>
          </w:pPr>
          <w:r>
            <w:t>Confidentiality</w:t>
          </w:r>
        </w:p>
        <w:p w:rsidR="00DE6BB6" w:rsidRDefault="00DE6BB6"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DE6BB6" w:rsidRDefault="00DE6BB6" w:rsidP="006E08B3"/>
        <w:p w:rsidR="00DE6BB6" w:rsidRDefault="00DE6BB6" w:rsidP="006E08B3">
          <w:r>
            <w:t>For submission made by individuals, all personal details, other than your name, will be removed from your submission before it is published on the TGA’s Internet site.</w:t>
          </w:r>
        </w:p>
        <w:p w:rsidR="00DE6BB6" w:rsidRDefault="00DE6BB6" w:rsidP="006E08B3"/>
        <w:p w:rsidR="00DE6BB6" w:rsidRDefault="00DE6BB6"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DE6BB6" w:rsidTr="0010601F">
      <w:trPr>
        <w:trHeight w:val="417"/>
      </w:trPr>
      <w:tc>
        <w:tcPr>
          <w:tcW w:w="4519" w:type="dxa"/>
          <w:tcBorders>
            <w:top w:val="single" w:sz="4" w:space="0" w:color="auto"/>
          </w:tcBorders>
          <w:tcMar>
            <w:top w:w="142" w:type="dxa"/>
            <w:bottom w:w="0" w:type="dxa"/>
          </w:tcMar>
        </w:tcPr>
        <w:p w:rsidR="00DE6BB6" w:rsidRDefault="00DE6BB6" w:rsidP="006E08B3">
          <w:r>
            <w:t>Document title, Part #, Section # - Section title</w:t>
          </w:r>
        </w:p>
        <w:p w:rsidR="00DE6BB6" w:rsidRDefault="00DE6BB6" w:rsidP="006E08B3">
          <w:r>
            <w:t>V1.0 October 2010</w:t>
          </w:r>
        </w:p>
      </w:tc>
      <w:tc>
        <w:tcPr>
          <w:tcW w:w="4356" w:type="dxa"/>
          <w:tcBorders>
            <w:top w:val="single" w:sz="4" w:space="0" w:color="auto"/>
          </w:tcBorders>
          <w:tcMar>
            <w:top w:w="142" w:type="dxa"/>
            <w:bottom w:w="0" w:type="dxa"/>
          </w:tcMar>
        </w:tcPr>
        <w:p w:rsidR="00DE6BB6" w:rsidRDefault="00DE6BB6"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sidR="005A3AE1">
            <w:fldChar w:fldCharType="begin"/>
          </w:r>
          <w:r w:rsidR="005A3AE1">
            <w:instrText xml:space="preserve"> NUMPAGES  \* Arabic </w:instrText>
          </w:r>
          <w:r w:rsidR="005A3AE1">
            <w:fldChar w:fldCharType="separate"/>
          </w:r>
          <w:r>
            <w:rPr>
              <w:noProof/>
            </w:rPr>
            <w:t>35</w:t>
          </w:r>
          <w:r w:rsidR="005A3AE1">
            <w:rPr>
              <w:noProof/>
            </w:rPr>
            <w:fldChar w:fldCharType="end"/>
          </w:r>
          <w:r>
            <w:t xml:space="preserve">  </w:t>
          </w:r>
        </w:p>
      </w:tc>
    </w:tr>
  </w:tbl>
  <w:p w:rsidR="00DE6BB6" w:rsidRDefault="00DE6B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BB6" w:rsidRDefault="00DE6BB6" w:rsidP="00C40A36">
      <w:pPr>
        <w:spacing w:after="0"/>
      </w:pPr>
      <w:r>
        <w:separator/>
      </w:r>
    </w:p>
  </w:footnote>
  <w:footnote w:type="continuationSeparator" w:id="0">
    <w:p w:rsidR="00DE6BB6" w:rsidRDefault="00DE6BB6" w:rsidP="00C40A36">
      <w:pPr>
        <w:spacing w:after="0"/>
      </w:pPr>
      <w:r>
        <w:continuationSeparator/>
      </w:r>
    </w:p>
  </w:footnote>
  <w:footnote w:id="1">
    <w:p w:rsidR="00DE6BB6" w:rsidRDefault="00DE6BB6" w:rsidP="00DE6BB6">
      <w:pPr>
        <w:pStyle w:val="FootnoteText"/>
      </w:pPr>
      <w:r>
        <w:rPr>
          <w:rStyle w:val="FootnoteReference"/>
        </w:rPr>
        <w:footnoteRef/>
      </w:r>
      <w:r>
        <w:t xml:space="preserve"> MR=modified release</w:t>
      </w:r>
    </w:p>
  </w:footnote>
  <w:footnote w:id="2">
    <w:p w:rsidR="00DE6BB6" w:rsidRPr="00432284" w:rsidRDefault="00DE6BB6" w:rsidP="00DE6BB6">
      <w:pPr>
        <w:pStyle w:val="FootnoteText"/>
      </w:pPr>
      <w:r>
        <w:rPr>
          <w:rStyle w:val="FootnoteReference"/>
        </w:rPr>
        <w:footnoteRef/>
      </w:r>
      <w:r>
        <w:t xml:space="preserve"> </w:t>
      </w:r>
      <w:proofErr w:type="spellStart"/>
      <w:r w:rsidRPr="00432284">
        <w:t>Gliclazide</w:t>
      </w:r>
      <w:proofErr w:type="spellEnd"/>
      <w:r w:rsidRPr="00432284">
        <w:t xml:space="preserve"> 30 mg modified release tablets are available in Australia in other brands.</w:t>
      </w:r>
    </w:p>
  </w:footnote>
  <w:footnote w:id="3">
    <w:p w:rsidR="00DE6BB6" w:rsidRPr="00333B2C" w:rsidRDefault="00DE6BB6" w:rsidP="00746A09">
      <w:pPr>
        <w:pStyle w:val="FootnoteText"/>
        <w:rPr>
          <w:lang w:eastAsia="en-AU"/>
        </w:rPr>
      </w:pPr>
      <w:r>
        <w:rPr>
          <w:rStyle w:val="FootnoteReference"/>
        </w:rPr>
        <w:footnoteRef/>
      </w:r>
      <w:r w:rsidRPr="00207B99">
        <w:t>T</w:t>
      </w:r>
      <w:r w:rsidRPr="00333B2C">
        <w:rPr>
          <w:lang w:eastAsia="en-AU"/>
        </w:rPr>
        <w:t xml:space="preserve">he Australian Repatriation system is based primarily on the principle of compensation to veterans and eligible dependants for injury or death related to war service. In certain cases, treatment is also provided for accepted injuries or conditions that are not service-related or have occurred as a result of other than war service. Through the </w:t>
      </w:r>
      <w:r w:rsidRPr="00333B2C">
        <w:rPr>
          <w:i/>
          <w:iCs/>
          <w:lang w:eastAsia="en-AU"/>
        </w:rPr>
        <w:t>Veterans' Entitlements Act 1986</w:t>
      </w:r>
      <w:r w:rsidRPr="00333B2C">
        <w:rPr>
          <w:lang w:eastAsia="en-AU"/>
        </w:rPr>
        <w:t xml:space="preserve"> the Department of Veterans' Affairs provides programs of compensation, income support and treatment for eligible veterans and their dependants. One of the defined benefits for eligible veterans is the Repatriation Pharmaceutical Benefits Scheme. This range of medications and dressings is more comprehensive than is available through the Pharmaceutical Benefits Scheme.</w:t>
      </w:r>
    </w:p>
  </w:footnote>
  <w:footnote w:id="4">
    <w:p w:rsidR="00DE6BB6" w:rsidRDefault="00DE6BB6" w:rsidP="00746A09">
      <w:pPr>
        <w:pStyle w:val="FootnoteText"/>
      </w:pPr>
      <w:r>
        <w:rPr>
          <w:rStyle w:val="FootnoteReference"/>
        </w:rPr>
        <w:footnoteRef/>
      </w:r>
      <w:r>
        <w:t xml:space="preserve"> FDA, MAPP 5223.2, Scoring configuration of generic drug products, updated 2012</w:t>
      </w:r>
    </w:p>
  </w:footnote>
  <w:footnote w:id="5">
    <w:p w:rsidR="00DE6BB6" w:rsidRPr="00A20D14" w:rsidRDefault="00DE6BB6">
      <w:pPr>
        <w:pStyle w:val="FootnoteText"/>
        <w:rPr>
          <w:rFonts w:asciiTheme="minorHAnsi" w:hAnsiTheme="minorHAnsi"/>
          <w:szCs w:val="18"/>
          <w:lang w:val="en-US"/>
        </w:rPr>
      </w:pPr>
      <w:r w:rsidRPr="00A20D14">
        <w:rPr>
          <w:rStyle w:val="FootnoteReference"/>
          <w:rFonts w:asciiTheme="minorHAnsi" w:hAnsiTheme="minorHAnsi"/>
          <w:szCs w:val="18"/>
        </w:rPr>
        <w:footnoteRef/>
      </w:r>
      <w:r w:rsidRPr="00A20D14">
        <w:rPr>
          <w:rFonts w:asciiTheme="minorHAnsi" w:hAnsiTheme="minorHAnsi"/>
          <w:szCs w:val="18"/>
        </w:rPr>
        <w:t xml:space="preserve"> </w:t>
      </w:r>
      <w:r w:rsidRPr="00A20D14">
        <w:rPr>
          <w:rFonts w:asciiTheme="minorHAnsi" w:eastAsiaTheme="minorHAnsi" w:hAnsiTheme="minorHAnsi" w:cs="Calibri"/>
          <w:szCs w:val="18"/>
        </w:rPr>
        <w:t>https://www.medicines.org.uk/emc/medicine/28358</w:t>
      </w:r>
    </w:p>
  </w:footnote>
  <w:footnote w:id="6">
    <w:p w:rsidR="00DE6BB6" w:rsidRPr="00A20D14" w:rsidRDefault="00DE6BB6">
      <w:pPr>
        <w:pStyle w:val="FootnoteText"/>
        <w:rPr>
          <w:rFonts w:asciiTheme="minorHAnsi" w:hAnsiTheme="minorHAnsi"/>
          <w:szCs w:val="18"/>
          <w:lang w:val="en-US"/>
        </w:rPr>
      </w:pPr>
      <w:r w:rsidRPr="00A20D14">
        <w:rPr>
          <w:rStyle w:val="FootnoteReference"/>
          <w:rFonts w:asciiTheme="minorHAnsi" w:hAnsiTheme="minorHAnsi"/>
          <w:szCs w:val="18"/>
        </w:rPr>
        <w:footnoteRef/>
      </w:r>
      <w:r w:rsidRPr="00A20D14">
        <w:rPr>
          <w:rFonts w:asciiTheme="minorHAnsi" w:eastAsiaTheme="minorHAnsi" w:hAnsiTheme="minorHAnsi" w:cs="Calibri"/>
          <w:szCs w:val="18"/>
        </w:rPr>
        <w:t>http://www.fda.gov/downloads/AdvisoryCommittees/CommitteesMeetingMaterials/Drugs/AdvisoryCommitteeforPharmaceuticalScienceandClinicalPharmacology/UCM315770.pdf</w:t>
      </w:r>
    </w:p>
  </w:footnote>
  <w:footnote w:id="7">
    <w:p w:rsidR="00DE6BB6" w:rsidRDefault="00DE6BB6">
      <w:pPr>
        <w:pStyle w:val="FootnoteText"/>
      </w:pPr>
      <w:r>
        <w:rPr>
          <w:rStyle w:val="FootnoteReference"/>
        </w:rPr>
        <w:footnoteRef/>
      </w:r>
      <w:r>
        <w:t xml:space="preserve"> </w:t>
      </w:r>
      <w:proofErr w:type="spellStart"/>
      <w:r>
        <w:t>Quinzler</w:t>
      </w:r>
      <w:proofErr w:type="spellEnd"/>
      <w:r>
        <w:t xml:space="preserve"> R, et al. </w:t>
      </w:r>
      <w:proofErr w:type="gramStart"/>
      <w:r>
        <w:t>The frequency of inappropriate tablet splitting in primary care.</w:t>
      </w:r>
      <w:proofErr w:type="gramEnd"/>
      <w:r>
        <w:t xml:space="preserve"> </w:t>
      </w:r>
      <w:proofErr w:type="spellStart"/>
      <w:r>
        <w:t>Eur</w:t>
      </w:r>
      <w:proofErr w:type="spellEnd"/>
      <w:r>
        <w:t xml:space="preserve"> J </w:t>
      </w:r>
      <w:proofErr w:type="spellStart"/>
      <w:r>
        <w:t>Clin</w:t>
      </w:r>
      <w:proofErr w:type="spellEnd"/>
      <w:r>
        <w:t xml:space="preserve"> </w:t>
      </w:r>
      <w:proofErr w:type="spellStart"/>
      <w:r>
        <w:t>Pharmacol</w:t>
      </w:r>
      <w:proofErr w:type="spellEnd"/>
      <w:r>
        <w:t>. 2006</w:t>
      </w:r>
      <w:proofErr w:type="gramStart"/>
      <w:r>
        <w:t>;62</w:t>
      </w:r>
      <w:proofErr w:type="gramEnd"/>
      <w:r>
        <w:t>(12):1065-73.</w:t>
      </w:r>
    </w:p>
  </w:footnote>
  <w:footnote w:id="8">
    <w:p w:rsidR="00DE6BB6" w:rsidRDefault="00DE6BB6">
      <w:pPr>
        <w:pStyle w:val="FootnoteText"/>
      </w:pPr>
      <w:r>
        <w:rPr>
          <w:rStyle w:val="FootnoteReference"/>
        </w:rPr>
        <w:footnoteRef/>
      </w:r>
      <w:r>
        <w:t xml:space="preserve"> </w:t>
      </w:r>
      <w:proofErr w:type="spellStart"/>
      <w:r w:rsidRPr="00491793">
        <w:t>Quinzler</w:t>
      </w:r>
      <w:proofErr w:type="spellEnd"/>
      <w:r w:rsidRPr="00491793">
        <w:t xml:space="preserve"> R, et al. </w:t>
      </w:r>
      <w:proofErr w:type="gramStart"/>
      <w:r w:rsidRPr="00491793">
        <w:t>The frequency of inappropriate tablet splitting in primary care.</w:t>
      </w:r>
      <w:proofErr w:type="gramEnd"/>
      <w:r w:rsidRPr="00491793">
        <w:t xml:space="preserve"> </w:t>
      </w:r>
      <w:proofErr w:type="spellStart"/>
      <w:r w:rsidRPr="00491793">
        <w:t>Eur</w:t>
      </w:r>
      <w:proofErr w:type="spellEnd"/>
      <w:r w:rsidRPr="00491793">
        <w:t xml:space="preserve"> J </w:t>
      </w:r>
      <w:proofErr w:type="spellStart"/>
      <w:r w:rsidRPr="00491793">
        <w:t>Clin</w:t>
      </w:r>
      <w:proofErr w:type="spellEnd"/>
      <w:r w:rsidRPr="00491793">
        <w:t xml:space="preserve"> </w:t>
      </w:r>
      <w:proofErr w:type="spellStart"/>
      <w:r w:rsidRPr="00491793">
        <w:t>Pharmacol</w:t>
      </w:r>
      <w:proofErr w:type="spellEnd"/>
      <w:r w:rsidRPr="00491793">
        <w:t>. 2006;62(12):1065-73</w:t>
      </w:r>
    </w:p>
  </w:footnote>
  <w:footnote w:id="9">
    <w:p w:rsidR="00DE6BB6" w:rsidRPr="00985178" w:rsidRDefault="00DE6BB6" w:rsidP="007323EE">
      <w:pPr>
        <w:spacing w:before="0" w:after="0" w:line="240" w:lineRule="auto"/>
        <w:rPr>
          <w:sz w:val="18"/>
          <w:szCs w:val="18"/>
        </w:rPr>
      </w:pPr>
      <w:r w:rsidRPr="00985178">
        <w:rPr>
          <w:rStyle w:val="FootnoteReference"/>
          <w:sz w:val="18"/>
          <w:szCs w:val="18"/>
        </w:rPr>
        <w:footnoteRef/>
      </w:r>
      <w:proofErr w:type="spellStart"/>
      <w:r w:rsidRPr="00985178">
        <w:rPr>
          <w:sz w:val="18"/>
          <w:szCs w:val="18"/>
        </w:rPr>
        <w:t>Quinzler</w:t>
      </w:r>
      <w:proofErr w:type="spellEnd"/>
      <w:r w:rsidRPr="00985178">
        <w:rPr>
          <w:sz w:val="18"/>
          <w:szCs w:val="18"/>
        </w:rPr>
        <w:t xml:space="preserve"> R, et al. </w:t>
      </w:r>
      <w:proofErr w:type="gramStart"/>
      <w:r w:rsidRPr="00985178">
        <w:rPr>
          <w:sz w:val="18"/>
          <w:szCs w:val="18"/>
        </w:rPr>
        <w:t>The frequency</w:t>
      </w:r>
      <w:r w:rsidRPr="00985178">
        <w:rPr>
          <w:spacing w:val="-5"/>
          <w:sz w:val="18"/>
          <w:szCs w:val="18"/>
        </w:rPr>
        <w:t xml:space="preserve"> </w:t>
      </w:r>
      <w:r w:rsidRPr="00985178">
        <w:rPr>
          <w:sz w:val="18"/>
          <w:szCs w:val="18"/>
        </w:rPr>
        <w:t>of inappropriate tablet splitting</w:t>
      </w:r>
      <w:r w:rsidRPr="00985178">
        <w:rPr>
          <w:spacing w:val="-3"/>
          <w:sz w:val="18"/>
          <w:szCs w:val="18"/>
        </w:rPr>
        <w:t xml:space="preserve"> </w:t>
      </w:r>
      <w:r w:rsidRPr="00985178">
        <w:rPr>
          <w:sz w:val="18"/>
          <w:szCs w:val="18"/>
        </w:rPr>
        <w:t>in primary</w:t>
      </w:r>
      <w:r w:rsidRPr="00985178">
        <w:rPr>
          <w:spacing w:val="-3"/>
          <w:sz w:val="18"/>
          <w:szCs w:val="18"/>
        </w:rPr>
        <w:t xml:space="preserve"> </w:t>
      </w:r>
      <w:r w:rsidRPr="00985178">
        <w:rPr>
          <w:sz w:val="18"/>
          <w:szCs w:val="18"/>
        </w:rPr>
        <w:t>care.</w:t>
      </w:r>
      <w:proofErr w:type="gramEnd"/>
      <w:r w:rsidRPr="00985178">
        <w:rPr>
          <w:spacing w:val="2"/>
          <w:sz w:val="18"/>
          <w:szCs w:val="18"/>
        </w:rPr>
        <w:t xml:space="preserve"> </w:t>
      </w:r>
      <w:proofErr w:type="spellStart"/>
      <w:r w:rsidRPr="00985178">
        <w:rPr>
          <w:sz w:val="18"/>
          <w:szCs w:val="18"/>
        </w:rPr>
        <w:t>Eur</w:t>
      </w:r>
      <w:proofErr w:type="spellEnd"/>
      <w:r w:rsidRPr="00985178">
        <w:rPr>
          <w:sz w:val="18"/>
          <w:szCs w:val="18"/>
        </w:rPr>
        <w:t xml:space="preserve"> J</w:t>
      </w:r>
      <w:r w:rsidRPr="00985178">
        <w:rPr>
          <w:spacing w:val="2"/>
          <w:sz w:val="18"/>
          <w:szCs w:val="18"/>
        </w:rPr>
        <w:t xml:space="preserve"> </w:t>
      </w:r>
      <w:proofErr w:type="spellStart"/>
      <w:r w:rsidRPr="00985178">
        <w:rPr>
          <w:sz w:val="18"/>
          <w:szCs w:val="18"/>
        </w:rPr>
        <w:t>Clin</w:t>
      </w:r>
      <w:proofErr w:type="spellEnd"/>
      <w:r w:rsidRPr="00985178">
        <w:rPr>
          <w:spacing w:val="59"/>
          <w:sz w:val="18"/>
          <w:szCs w:val="18"/>
        </w:rPr>
        <w:t xml:space="preserve"> </w:t>
      </w:r>
      <w:proofErr w:type="spellStart"/>
      <w:r w:rsidRPr="00985178">
        <w:rPr>
          <w:sz w:val="18"/>
          <w:szCs w:val="18"/>
        </w:rPr>
        <w:t>Pharmacol</w:t>
      </w:r>
      <w:proofErr w:type="spellEnd"/>
      <w:r w:rsidRPr="00985178">
        <w:rPr>
          <w:sz w:val="18"/>
          <w:szCs w:val="18"/>
        </w:rPr>
        <w:t>. 2006; 62(12):1065-73.).</w:t>
      </w:r>
    </w:p>
  </w:footnote>
  <w:footnote w:id="10">
    <w:p w:rsidR="00DE6BB6" w:rsidRPr="004552E6" w:rsidRDefault="00DE6BB6" w:rsidP="001671F4">
      <w:pPr>
        <w:spacing w:before="0" w:after="0" w:line="240" w:lineRule="auto"/>
        <w:rPr>
          <w:color w:val="000000"/>
          <w:sz w:val="18"/>
          <w:szCs w:val="18"/>
        </w:rPr>
      </w:pPr>
      <w:r w:rsidRPr="004552E6">
        <w:rPr>
          <w:rStyle w:val="FootnoteReference"/>
          <w:sz w:val="18"/>
          <w:szCs w:val="18"/>
        </w:rPr>
        <w:footnoteRef/>
      </w:r>
      <w:proofErr w:type="gramStart"/>
      <w:r w:rsidRPr="004552E6">
        <w:rPr>
          <w:sz w:val="18"/>
          <w:szCs w:val="18"/>
        </w:rPr>
        <w:t>The Pharmaceutical Society</w:t>
      </w:r>
      <w:r w:rsidRPr="004552E6">
        <w:rPr>
          <w:spacing w:val="-5"/>
          <w:sz w:val="18"/>
          <w:szCs w:val="18"/>
        </w:rPr>
        <w:t xml:space="preserve"> </w:t>
      </w:r>
      <w:r w:rsidRPr="004552E6">
        <w:rPr>
          <w:sz w:val="18"/>
          <w:szCs w:val="18"/>
        </w:rPr>
        <w:t>of</w:t>
      </w:r>
      <w:r w:rsidRPr="004552E6">
        <w:rPr>
          <w:spacing w:val="1"/>
          <w:sz w:val="18"/>
          <w:szCs w:val="18"/>
        </w:rPr>
        <w:t xml:space="preserve"> </w:t>
      </w:r>
      <w:r w:rsidRPr="004552E6">
        <w:rPr>
          <w:sz w:val="18"/>
          <w:szCs w:val="18"/>
        </w:rPr>
        <w:t>Australia (PSA) Professional Practice Standards version 4</w:t>
      </w:r>
      <w:r w:rsidRPr="004552E6">
        <w:rPr>
          <w:spacing w:val="99"/>
          <w:sz w:val="18"/>
          <w:szCs w:val="18"/>
        </w:rPr>
        <w:t xml:space="preserve"> </w:t>
      </w:r>
      <w:r w:rsidRPr="004552E6">
        <w:rPr>
          <w:sz w:val="18"/>
          <w:szCs w:val="18"/>
        </w:rPr>
        <w:t>2010.</w:t>
      </w:r>
      <w:proofErr w:type="gramEnd"/>
      <w:r w:rsidRPr="004552E6">
        <w:rPr>
          <w:sz w:val="18"/>
          <w:szCs w:val="18"/>
        </w:rPr>
        <w:t xml:space="preserve">  https://</w:t>
      </w:r>
      <w:hyperlink r:id="rId1" w:history="1">
        <w:r w:rsidRPr="004552E6">
          <w:rPr>
            <w:rStyle w:val="Hyperlink"/>
            <w:color w:val="auto"/>
            <w:spacing w:val="-1"/>
            <w:sz w:val="18"/>
            <w:szCs w:val="18"/>
            <w:u w:val="none"/>
          </w:rPr>
          <w:t>www.psa.org.au/download/standards/professional-practice-standards-v4.pdf.</w:t>
        </w:r>
      </w:hyperlink>
      <w:r w:rsidRPr="004552E6">
        <w:rPr>
          <w:spacing w:val="123"/>
          <w:sz w:val="18"/>
          <w:szCs w:val="18"/>
        </w:rPr>
        <w:t xml:space="preserve"> </w:t>
      </w:r>
      <w:proofErr w:type="gramStart"/>
      <w:r w:rsidRPr="004552E6">
        <w:rPr>
          <w:sz w:val="18"/>
          <w:szCs w:val="18"/>
        </w:rPr>
        <w:t>Accessed 14 January</w:t>
      </w:r>
      <w:r w:rsidRPr="004552E6">
        <w:rPr>
          <w:spacing w:val="-5"/>
          <w:sz w:val="18"/>
          <w:szCs w:val="18"/>
        </w:rPr>
        <w:t xml:space="preserve"> </w:t>
      </w:r>
      <w:r w:rsidRPr="004552E6">
        <w:rPr>
          <w:sz w:val="18"/>
          <w:szCs w:val="18"/>
        </w:rPr>
        <w:t>2016.</w:t>
      </w:r>
      <w:proofErr w:type="gramEnd"/>
    </w:p>
  </w:footnote>
  <w:footnote w:id="11">
    <w:p w:rsidR="00DE6BB6" w:rsidRPr="004552E6" w:rsidRDefault="00DE6BB6" w:rsidP="001671F4">
      <w:pPr>
        <w:spacing w:before="0" w:after="0" w:line="240" w:lineRule="auto"/>
        <w:rPr>
          <w:sz w:val="18"/>
          <w:szCs w:val="18"/>
        </w:rPr>
      </w:pPr>
      <w:r w:rsidRPr="004552E6">
        <w:rPr>
          <w:rStyle w:val="FootnoteReference"/>
          <w:sz w:val="18"/>
          <w:szCs w:val="18"/>
        </w:rPr>
        <w:footnoteRef/>
      </w:r>
      <w:proofErr w:type="gramStart"/>
      <w:r w:rsidRPr="004552E6">
        <w:rPr>
          <w:sz w:val="18"/>
          <w:szCs w:val="18"/>
        </w:rPr>
        <w:t>The Pharmaceutical Society</w:t>
      </w:r>
      <w:r w:rsidRPr="004552E6">
        <w:rPr>
          <w:spacing w:val="-5"/>
          <w:sz w:val="18"/>
          <w:szCs w:val="18"/>
        </w:rPr>
        <w:t xml:space="preserve"> </w:t>
      </w:r>
      <w:r w:rsidRPr="004552E6">
        <w:rPr>
          <w:sz w:val="18"/>
          <w:szCs w:val="18"/>
        </w:rPr>
        <w:t>of</w:t>
      </w:r>
      <w:r w:rsidRPr="004552E6">
        <w:rPr>
          <w:spacing w:val="1"/>
          <w:sz w:val="18"/>
          <w:szCs w:val="18"/>
        </w:rPr>
        <w:t xml:space="preserve"> </w:t>
      </w:r>
      <w:r w:rsidRPr="004552E6">
        <w:rPr>
          <w:sz w:val="18"/>
          <w:szCs w:val="18"/>
        </w:rPr>
        <w:t>Australia Dispensing</w:t>
      </w:r>
      <w:r w:rsidRPr="004552E6">
        <w:rPr>
          <w:spacing w:val="-3"/>
          <w:sz w:val="18"/>
          <w:szCs w:val="18"/>
        </w:rPr>
        <w:t xml:space="preserve"> </w:t>
      </w:r>
      <w:r w:rsidRPr="004552E6">
        <w:rPr>
          <w:sz w:val="18"/>
          <w:szCs w:val="18"/>
        </w:rPr>
        <w:t>Practice Guidelines.</w:t>
      </w:r>
      <w:proofErr w:type="gramEnd"/>
      <w:r w:rsidRPr="004552E6">
        <w:rPr>
          <w:sz w:val="18"/>
          <w:szCs w:val="18"/>
        </w:rPr>
        <w:t xml:space="preserve">  </w:t>
      </w:r>
      <w:proofErr w:type="gramStart"/>
      <w:r w:rsidRPr="004552E6">
        <w:rPr>
          <w:sz w:val="18"/>
          <w:szCs w:val="18"/>
        </w:rPr>
        <w:t>https://</w:t>
      </w:r>
      <w:hyperlink r:id="rId2" w:history="1">
        <w:r w:rsidRPr="004552E6">
          <w:rPr>
            <w:rStyle w:val="Hyperlink"/>
            <w:color w:val="auto"/>
            <w:spacing w:val="-1"/>
            <w:sz w:val="18"/>
            <w:szCs w:val="18"/>
            <w:u w:val="none"/>
          </w:rPr>
          <w:t>www.psa.org.au/download/guidelines/member-only-guidelines/dispensing-practice-</w:t>
        </w:r>
      </w:hyperlink>
      <w:r w:rsidRPr="004552E6">
        <w:rPr>
          <w:spacing w:val="125"/>
          <w:sz w:val="18"/>
          <w:szCs w:val="18"/>
        </w:rPr>
        <w:t xml:space="preserve"> </w:t>
      </w:r>
      <w:r w:rsidRPr="004552E6">
        <w:rPr>
          <w:sz w:val="18"/>
          <w:szCs w:val="18"/>
        </w:rPr>
        <w:t>guidelines.pdf.</w:t>
      </w:r>
      <w:proofErr w:type="gramEnd"/>
      <w:r w:rsidRPr="004552E6">
        <w:rPr>
          <w:sz w:val="18"/>
          <w:szCs w:val="18"/>
        </w:rPr>
        <w:t xml:space="preserve"> </w:t>
      </w:r>
      <w:r w:rsidRPr="004552E6">
        <w:rPr>
          <w:spacing w:val="2"/>
          <w:sz w:val="18"/>
          <w:szCs w:val="18"/>
        </w:rPr>
        <w:t xml:space="preserve"> </w:t>
      </w:r>
      <w:proofErr w:type="gramStart"/>
      <w:r w:rsidRPr="004552E6">
        <w:rPr>
          <w:sz w:val="18"/>
          <w:szCs w:val="18"/>
        </w:rPr>
        <w:t>Accessed</w:t>
      </w:r>
      <w:r w:rsidRPr="004552E6">
        <w:rPr>
          <w:spacing w:val="2"/>
          <w:sz w:val="18"/>
          <w:szCs w:val="18"/>
        </w:rPr>
        <w:t xml:space="preserve"> </w:t>
      </w:r>
      <w:r w:rsidRPr="004552E6">
        <w:rPr>
          <w:sz w:val="18"/>
          <w:szCs w:val="18"/>
        </w:rPr>
        <w:t>14 January</w:t>
      </w:r>
      <w:r w:rsidRPr="004552E6">
        <w:rPr>
          <w:spacing w:val="-5"/>
          <w:sz w:val="18"/>
          <w:szCs w:val="18"/>
        </w:rPr>
        <w:t xml:space="preserve"> </w:t>
      </w:r>
      <w:r w:rsidRPr="004552E6">
        <w:rPr>
          <w:sz w:val="18"/>
          <w:szCs w:val="18"/>
        </w:rPr>
        <w:t>2016.</w:t>
      </w:r>
      <w:proofErr w:type="gramEnd"/>
    </w:p>
  </w:footnote>
  <w:footnote w:id="12">
    <w:p w:rsidR="00DE6BB6" w:rsidRPr="007323EE" w:rsidRDefault="00DE6BB6" w:rsidP="007323EE">
      <w:pPr>
        <w:spacing w:before="0" w:after="0" w:line="240" w:lineRule="auto"/>
        <w:rPr>
          <w:sz w:val="18"/>
          <w:szCs w:val="18"/>
        </w:rPr>
      </w:pPr>
      <w:r w:rsidRPr="007323EE">
        <w:rPr>
          <w:rStyle w:val="FootnoteReference"/>
          <w:sz w:val="18"/>
          <w:szCs w:val="18"/>
        </w:rPr>
        <w:footnoteRef/>
      </w:r>
      <w:r w:rsidRPr="007323EE">
        <w:rPr>
          <w:sz w:val="18"/>
          <w:szCs w:val="18"/>
        </w:rPr>
        <w:t>Frey</w:t>
      </w:r>
      <w:r w:rsidRPr="007323EE">
        <w:rPr>
          <w:spacing w:val="-3"/>
          <w:sz w:val="18"/>
          <w:szCs w:val="18"/>
        </w:rPr>
        <w:t xml:space="preserve"> </w:t>
      </w:r>
      <w:r w:rsidRPr="007323EE">
        <w:rPr>
          <w:sz w:val="18"/>
          <w:szCs w:val="18"/>
        </w:rPr>
        <w:t>N,</w:t>
      </w:r>
      <w:r w:rsidRPr="007323EE">
        <w:rPr>
          <w:spacing w:val="2"/>
          <w:sz w:val="18"/>
          <w:szCs w:val="18"/>
        </w:rPr>
        <w:t xml:space="preserve"> </w:t>
      </w:r>
      <w:proofErr w:type="spellStart"/>
      <w:r w:rsidRPr="007323EE">
        <w:rPr>
          <w:sz w:val="18"/>
          <w:szCs w:val="18"/>
        </w:rPr>
        <w:t>Laveille</w:t>
      </w:r>
      <w:proofErr w:type="spellEnd"/>
      <w:r w:rsidRPr="007323EE">
        <w:rPr>
          <w:sz w:val="18"/>
          <w:szCs w:val="18"/>
        </w:rPr>
        <w:t xml:space="preserve"> C, </w:t>
      </w:r>
      <w:proofErr w:type="spellStart"/>
      <w:r w:rsidRPr="007323EE">
        <w:rPr>
          <w:sz w:val="18"/>
          <w:szCs w:val="18"/>
        </w:rPr>
        <w:t>Paraire</w:t>
      </w:r>
      <w:proofErr w:type="spellEnd"/>
      <w:r w:rsidRPr="007323EE">
        <w:rPr>
          <w:sz w:val="18"/>
          <w:szCs w:val="18"/>
        </w:rPr>
        <w:t xml:space="preserve"> M et al.</w:t>
      </w:r>
      <w:r w:rsidRPr="007323EE">
        <w:rPr>
          <w:spacing w:val="60"/>
          <w:sz w:val="18"/>
          <w:szCs w:val="18"/>
        </w:rPr>
        <w:t xml:space="preserve"> </w:t>
      </w:r>
      <w:r w:rsidRPr="007323EE">
        <w:rPr>
          <w:sz w:val="18"/>
          <w:szCs w:val="18"/>
        </w:rPr>
        <w:t>Population PKPD modelling</w:t>
      </w:r>
      <w:r w:rsidRPr="007323EE">
        <w:rPr>
          <w:spacing w:val="-3"/>
          <w:sz w:val="18"/>
          <w:szCs w:val="18"/>
        </w:rPr>
        <w:t xml:space="preserve"> </w:t>
      </w:r>
      <w:r w:rsidRPr="007323EE">
        <w:rPr>
          <w:sz w:val="18"/>
          <w:szCs w:val="18"/>
        </w:rPr>
        <w:t>of the long-term</w:t>
      </w:r>
      <w:r w:rsidRPr="007323EE">
        <w:rPr>
          <w:spacing w:val="79"/>
          <w:sz w:val="18"/>
          <w:szCs w:val="18"/>
        </w:rPr>
        <w:t xml:space="preserve"> </w:t>
      </w:r>
      <w:r w:rsidRPr="007323EE">
        <w:rPr>
          <w:sz w:val="18"/>
          <w:szCs w:val="18"/>
        </w:rPr>
        <w:t>hypoglycaemic effect of</w:t>
      </w:r>
      <w:r w:rsidRPr="007323EE">
        <w:rPr>
          <w:spacing w:val="1"/>
          <w:sz w:val="18"/>
          <w:szCs w:val="18"/>
        </w:rPr>
        <w:t xml:space="preserve"> </w:t>
      </w:r>
      <w:proofErr w:type="spellStart"/>
      <w:r w:rsidRPr="007323EE">
        <w:rPr>
          <w:sz w:val="18"/>
          <w:szCs w:val="18"/>
        </w:rPr>
        <w:t>gliclazide</w:t>
      </w:r>
      <w:proofErr w:type="spellEnd"/>
      <w:r w:rsidRPr="007323EE">
        <w:rPr>
          <w:spacing w:val="1"/>
          <w:sz w:val="18"/>
          <w:szCs w:val="18"/>
        </w:rPr>
        <w:t xml:space="preserve"> </w:t>
      </w:r>
      <w:r w:rsidRPr="007323EE">
        <w:rPr>
          <w:sz w:val="18"/>
          <w:szCs w:val="18"/>
        </w:rPr>
        <w:t>given as</w:t>
      </w:r>
      <w:r w:rsidRPr="007323EE">
        <w:rPr>
          <w:spacing w:val="2"/>
          <w:sz w:val="18"/>
          <w:szCs w:val="18"/>
        </w:rPr>
        <w:t xml:space="preserve"> </w:t>
      </w:r>
      <w:r w:rsidRPr="007323EE">
        <w:rPr>
          <w:sz w:val="18"/>
          <w:szCs w:val="18"/>
        </w:rPr>
        <w:t>a once-a-day</w:t>
      </w:r>
      <w:r w:rsidRPr="007323EE">
        <w:rPr>
          <w:spacing w:val="-5"/>
          <w:sz w:val="18"/>
          <w:szCs w:val="18"/>
        </w:rPr>
        <w:t xml:space="preserve"> </w:t>
      </w:r>
      <w:r w:rsidRPr="007323EE">
        <w:rPr>
          <w:sz w:val="18"/>
          <w:szCs w:val="18"/>
        </w:rPr>
        <w:t>modified release</w:t>
      </w:r>
      <w:r w:rsidRPr="007323EE">
        <w:rPr>
          <w:spacing w:val="1"/>
          <w:sz w:val="18"/>
          <w:szCs w:val="18"/>
        </w:rPr>
        <w:t xml:space="preserve"> </w:t>
      </w:r>
      <w:r w:rsidRPr="007323EE">
        <w:rPr>
          <w:sz w:val="18"/>
          <w:szCs w:val="18"/>
        </w:rPr>
        <w:t>(MR)</w:t>
      </w:r>
      <w:r w:rsidRPr="007323EE">
        <w:rPr>
          <w:spacing w:val="75"/>
          <w:sz w:val="18"/>
          <w:szCs w:val="18"/>
        </w:rPr>
        <w:t xml:space="preserve"> </w:t>
      </w:r>
      <w:r w:rsidRPr="007323EE">
        <w:rPr>
          <w:sz w:val="18"/>
          <w:szCs w:val="18"/>
        </w:rPr>
        <w:t>formulation.  British Journal of Clinical Pharmacology</w:t>
      </w:r>
      <w:r w:rsidRPr="007323EE">
        <w:rPr>
          <w:spacing w:val="-5"/>
          <w:sz w:val="18"/>
          <w:szCs w:val="18"/>
        </w:rPr>
        <w:t xml:space="preserve"> </w:t>
      </w:r>
      <w:r w:rsidRPr="007323EE">
        <w:rPr>
          <w:sz w:val="18"/>
          <w:szCs w:val="18"/>
        </w:rPr>
        <w:t>2003; 55: 147-157.</w:t>
      </w:r>
    </w:p>
  </w:footnote>
  <w:footnote w:id="13">
    <w:p w:rsidR="00DE6BB6" w:rsidRPr="007323EE" w:rsidRDefault="00DE6BB6" w:rsidP="007323EE">
      <w:pPr>
        <w:spacing w:before="0" w:after="0" w:line="240" w:lineRule="auto"/>
        <w:rPr>
          <w:sz w:val="18"/>
          <w:szCs w:val="18"/>
        </w:rPr>
      </w:pPr>
      <w:r w:rsidRPr="007323EE">
        <w:rPr>
          <w:rStyle w:val="FootnoteReference"/>
          <w:sz w:val="18"/>
          <w:szCs w:val="18"/>
        </w:rPr>
        <w:footnoteRef/>
      </w:r>
      <w:r w:rsidRPr="007323EE">
        <w:rPr>
          <w:sz w:val="18"/>
          <w:szCs w:val="18"/>
        </w:rPr>
        <w:t>Davis TME, Daly</w:t>
      </w:r>
      <w:r w:rsidRPr="007323EE">
        <w:rPr>
          <w:spacing w:val="-5"/>
          <w:sz w:val="18"/>
          <w:szCs w:val="18"/>
        </w:rPr>
        <w:t xml:space="preserve"> </w:t>
      </w:r>
      <w:r w:rsidRPr="007323EE">
        <w:rPr>
          <w:sz w:val="18"/>
          <w:szCs w:val="18"/>
        </w:rPr>
        <w:t>F, Walsh JP et al.</w:t>
      </w:r>
      <w:r w:rsidRPr="007323EE">
        <w:rPr>
          <w:spacing w:val="60"/>
          <w:sz w:val="18"/>
          <w:szCs w:val="18"/>
        </w:rPr>
        <w:t xml:space="preserve"> </w:t>
      </w:r>
      <w:r w:rsidRPr="007323EE">
        <w:rPr>
          <w:sz w:val="18"/>
          <w:szCs w:val="18"/>
        </w:rPr>
        <w:t>Pharmacokinetics and pharmacodynamics of</w:t>
      </w:r>
      <w:r w:rsidRPr="007323EE">
        <w:rPr>
          <w:spacing w:val="77"/>
          <w:sz w:val="18"/>
          <w:szCs w:val="18"/>
        </w:rPr>
        <w:t xml:space="preserve"> </w:t>
      </w:r>
      <w:proofErr w:type="spellStart"/>
      <w:r w:rsidRPr="007323EE">
        <w:rPr>
          <w:sz w:val="18"/>
          <w:szCs w:val="18"/>
        </w:rPr>
        <w:t>gliclazide</w:t>
      </w:r>
      <w:proofErr w:type="spellEnd"/>
      <w:r w:rsidRPr="007323EE">
        <w:rPr>
          <w:sz w:val="18"/>
          <w:szCs w:val="18"/>
        </w:rPr>
        <w:t xml:space="preserve"> in Caucasians</w:t>
      </w:r>
      <w:r w:rsidRPr="007323EE">
        <w:rPr>
          <w:spacing w:val="2"/>
          <w:sz w:val="18"/>
          <w:szCs w:val="18"/>
        </w:rPr>
        <w:t xml:space="preserve"> </w:t>
      </w:r>
      <w:r w:rsidRPr="007323EE">
        <w:rPr>
          <w:sz w:val="18"/>
          <w:szCs w:val="18"/>
        </w:rPr>
        <w:t>and Australian Aborigines with type 2 diabetes.  British Journal of</w:t>
      </w:r>
      <w:r w:rsidRPr="007323EE">
        <w:rPr>
          <w:spacing w:val="89"/>
          <w:sz w:val="18"/>
          <w:szCs w:val="18"/>
        </w:rPr>
        <w:t xml:space="preserve"> </w:t>
      </w:r>
      <w:r w:rsidRPr="007323EE">
        <w:rPr>
          <w:sz w:val="18"/>
          <w:szCs w:val="18"/>
        </w:rPr>
        <w:t>Clinical Pharmacology</w:t>
      </w:r>
      <w:r w:rsidRPr="007323EE">
        <w:rPr>
          <w:spacing w:val="-5"/>
          <w:sz w:val="18"/>
          <w:szCs w:val="18"/>
        </w:rPr>
        <w:t xml:space="preserve"> </w:t>
      </w:r>
      <w:r w:rsidRPr="007323EE">
        <w:rPr>
          <w:sz w:val="18"/>
          <w:szCs w:val="18"/>
        </w:rPr>
        <w:t>2000; 49: 223-230.</w:t>
      </w:r>
    </w:p>
  </w:footnote>
  <w:footnote w:id="14">
    <w:p w:rsidR="00DE6BB6" w:rsidRPr="007323EE" w:rsidRDefault="00DE6BB6" w:rsidP="00304EC6">
      <w:pPr>
        <w:pStyle w:val="FootnoteText"/>
      </w:pPr>
      <w:r w:rsidRPr="007323EE">
        <w:rPr>
          <w:rStyle w:val="FootnoteReference"/>
          <w:szCs w:val="18"/>
        </w:rPr>
        <w:footnoteRef/>
      </w:r>
      <w:proofErr w:type="spellStart"/>
      <w:r w:rsidRPr="007323EE">
        <w:t>Shiba</w:t>
      </w:r>
      <w:proofErr w:type="spellEnd"/>
      <w:r w:rsidRPr="007323EE">
        <w:t xml:space="preserve"> T, </w:t>
      </w:r>
      <w:proofErr w:type="spellStart"/>
      <w:r w:rsidRPr="007323EE">
        <w:t>Kajinuma</w:t>
      </w:r>
      <w:proofErr w:type="spellEnd"/>
      <w:r w:rsidRPr="007323EE">
        <w:t xml:space="preserve"> H, Suzuki K et al.</w:t>
      </w:r>
      <w:r w:rsidRPr="007323EE">
        <w:rPr>
          <w:spacing w:val="60"/>
        </w:rPr>
        <w:t xml:space="preserve"> </w:t>
      </w:r>
      <w:r w:rsidRPr="007323EE">
        <w:t xml:space="preserve">Serum </w:t>
      </w:r>
      <w:proofErr w:type="spellStart"/>
      <w:r w:rsidRPr="007323EE">
        <w:t>gliclazide</w:t>
      </w:r>
      <w:proofErr w:type="spellEnd"/>
      <w:r w:rsidRPr="007323EE">
        <w:t xml:space="preserve"> concentration in diabetic patients.</w:t>
      </w:r>
      <w:r w:rsidRPr="007323EE">
        <w:rPr>
          <w:spacing w:val="93"/>
        </w:rPr>
        <w:t xml:space="preserve"> </w:t>
      </w:r>
      <w:proofErr w:type="gramStart"/>
      <w:r w:rsidRPr="007323EE">
        <w:t>Diabetes Research</w:t>
      </w:r>
      <w:r w:rsidRPr="007323EE">
        <w:rPr>
          <w:spacing w:val="2"/>
        </w:rPr>
        <w:t xml:space="preserve"> </w:t>
      </w:r>
      <w:r w:rsidRPr="007323EE">
        <w:t>and Clinical Practice 1986; 2:</w:t>
      </w:r>
      <w:r w:rsidRPr="007323EE">
        <w:rPr>
          <w:spacing w:val="2"/>
        </w:rPr>
        <w:t xml:space="preserve"> </w:t>
      </w:r>
      <w:r w:rsidRPr="007323EE">
        <w:t>301-306.</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BB6" w:rsidRDefault="00DE6BB6"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BB6" w:rsidRDefault="00DE6BB6">
    <w:pPr>
      <w:rPr>
        <w:noProof/>
        <w:lang w:eastAsia="en-AU"/>
      </w:rPr>
    </w:pPr>
    <w:r w:rsidRPr="00347824">
      <w:rPr>
        <w:noProof/>
        <w:lang w:eastAsia="en-AU"/>
      </w:rPr>
      <w:drawing>
        <wp:anchor distT="0" distB="0" distL="114300" distR="114300" simplePos="0" relativeHeight="251659264" behindDoc="1" locked="0" layoutInCell="1" allowOverlap="1" wp14:anchorId="13B7482D" wp14:editId="7958AD00">
          <wp:simplePos x="0" y="0"/>
          <wp:positionH relativeFrom="column">
            <wp:posOffset>-1089660</wp:posOffset>
          </wp:positionH>
          <wp:positionV relativeFrom="paragraph">
            <wp:posOffset>-585470</wp:posOffset>
          </wp:positionV>
          <wp:extent cx="7572375" cy="10706100"/>
          <wp:effectExtent l="19050" t="0" r="0" b="0"/>
          <wp:wrapNone/>
          <wp:docPr id="21"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rsidR="00DE6BB6" w:rsidRDefault="00DE6BB6" w:rsidP="00593AD1">
    <w:pPr>
      <w:pStyle w:val="HeaderNoLine"/>
    </w:pPr>
    <w:r>
      <w:rPr>
        <w:noProof/>
        <w:lang w:eastAsia="en-AU"/>
      </w:rPr>
      <w:drawing>
        <wp:inline distT="0" distB="0" distL="0" distR="0" wp14:anchorId="59F1E437" wp14:editId="2FCCFE8E">
          <wp:extent cx="5400675" cy="7639050"/>
          <wp:effectExtent l="0" t="0" r="9525" b="0"/>
          <wp:docPr id="22" name="Picture 22"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76390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BB6" w:rsidRDefault="00DE6BB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BB6" w:rsidRDefault="00DE6BB6">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BB6" w:rsidRDefault="00DE6BB6">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BB6" w:rsidRDefault="00DE6BB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BB6" w:rsidRDefault="00DE6BB6" w:rsidP="004C239D">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BB6" w:rsidRDefault="00DE6BB6" w:rsidP="006E08B3">
    <w:r>
      <w:t>Therapeutic Goods Administration</w:t>
    </w:r>
  </w:p>
  <w:p w:rsidR="00DE6BB6" w:rsidRDefault="00DE6BB6"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3"/>
    <w:multiLevelType w:val="multilevel"/>
    <w:tmpl w:val="00000886"/>
    <w:lvl w:ilvl="0">
      <w:start w:val="1"/>
      <w:numFmt w:val="decimal"/>
      <w:lvlText w:val="%1."/>
      <w:lvlJc w:val="left"/>
      <w:pPr>
        <w:ind w:left="120" w:hanging="362"/>
      </w:pPr>
      <w:rPr>
        <w:rFonts w:ascii="Arial" w:hAnsi="Arial" w:cs="Arial"/>
        <w:b w:val="0"/>
        <w:bCs w:val="0"/>
        <w:spacing w:val="-1"/>
        <w:w w:val="101"/>
        <w:sz w:val="23"/>
        <w:szCs w:val="23"/>
      </w:rPr>
    </w:lvl>
    <w:lvl w:ilvl="1">
      <w:start w:val="1"/>
      <w:numFmt w:val="decimal"/>
      <w:lvlText w:val="%2."/>
      <w:lvlJc w:val="left"/>
      <w:pPr>
        <w:ind w:left="820" w:hanging="351"/>
      </w:pPr>
      <w:rPr>
        <w:rFonts w:ascii="Calibri" w:hAnsi="Calibri" w:cs="Calibri"/>
        <w:b w:val="0"/>
        <w:bCs w:val="0"/>
        <w:spacing w:val="1"/>
        <w:w w:val="101"/>
        <w:sz w:val="21"/>
        <w:szCs w:val="21"/>
      </w:rPr>
    </w:lvl>
    <w:lvl w:ilvl="2">
      <w:start w:val="1"/>
      <w:numFmt w:val="decimal"/>
      <w:lvlText w:val="%3."/>
      <w:lvlJc w:val="left"/>
      <w:pPr>
        <w:ind w:left="501" w:hanging="360"/>
      </w:pPr>
      <w:rPr>
        <w:rFonts w:ascii="Calibri" w:hAnsi="Calibri" w:cs="Calibri"/>
        <w:b/>
        <w:bCs/>
        <w:i/>
        <w:iCs/>
        <w:w w:val="99"/>
        <w:sz w:val="24"/>
        <w:szCs w:val="24"/>
      </w:rPr>
    </w:lvl>
    <w:lvl w:ilvl="3">
      <w:numFmt w:val="bullet"/>
      <w:lvlText w:val="•"/>
      <w:lvlJc w:val="left"/>
      <w:pPr>
        <w:ind w:left="960" w:hanging="360"/>
      </w:pPr>
    </w:lvl>
    <w:lvl w:ilvl="4">
      <w:numFmt w:val="bullet"/>
      <w:lvlText w:val="•"/>
      <w:lvlJc w:val="left"/>
      <w:pPr>
        <w:ind w:left="2178" w:hanging="360"/>
      </w:pPr>
    </w:lvl>
    <w:lvl w:ilvl="5">
      <w:numFmt w:val="bullet"/>
      <w:lvlText w:val="•"/>
      <w:lvlJc w:val="left"/>
      <w:pPr>
        <w:ind w:left="3396" w:hanging="360"/>
      </w:pPr>
    </w:lvl>
    <w:lvl w:ilvl="6">
      <w:numFmt w:val="bullet"/>
      <w:lvlText w:val="•"/>
      <w:lvlJc w:val="left"/>
      <w:pPr>
        <w:ind w:left="4614" w:hanging="360"/>
      </w:pPr>
    </w:lvl>
    <w:lvl w:ilvl="7">
      <w:numFmt w:val="bullet"/>
      <w:lvlText w:val="•"/>
      <w:lvlJc w:val="left"/>
      <w:pPr>
        <w:ind w:left="5832" w:hanging="360"/>
      </w:pPr>
    </w:lvl>
    <w:lvl w:ilvl="8">
      <w:numFmt w:val="bullet"/>
      <w:lvlText w:val="•"/>
      <w:lvlJc w:val="left"/>
      <w:pPr>
        <w:ind w:left="7050" w:hanging="360"/>
      </w:pPr>
    </w:lvl>
  </w:abstractNum>
  <w:abstractNum w:abstractNumId="1">
    <w:nsid w:val="00000406"/>
    <w:multiLevelType w:val="multilevel"/>
    <w:tmpl w:val="00000889"/>
    <w:lvl w:ilvl="0">
      <w:start w:val="1"/>
      <w:numFmt w:val="decimal"/>
      <w:lvlText w:val="%1."/>
      <w:lvlJc w:val="left"/>
      <w:pPr>
        <w:ind w:left="240" w:hanging="209"/>
      </w:pPr>
      <w:rPr>
        <w:rFonts w:ascii="Calibri" w:hAnsi="Calibri" w:cs="Calibri"/>
        <w:b w:val="0"/>
        <w:bCs w:val="0"/>
        <w:i/>
        <w:iCs/>
        <w:sz w:val="21"/>
        <w:szCs w:val="21"/>
      </w:rPr>
    </w:lvl>
    <w:lvl w:ilvl="1">
      <w:start w:val="1"/>
      <w:numFmt w:val="decimal"/>
      <w:lvlText w:val="%2."/>
      <w:lvlJc w:val="left"/>
      <w:pPr>
        <w:ind w:left="1027" w:hanging="360"/>
      </w:pPr>
      <w:rPr>
        <w:rFonts w:ascii="Calibri" w:hAnsi="Calibri" w:cs="Calibri"/>
        <w:b/>
        <w:bCs/>
        <w:i/>
        <w:iCs/>
        <w:w w:val="99"/>
        <w:sz w:val="24"/>
        <w:szCs w:val="24"/>
      </w:rPr>
    </w:lvl>
    <w:lvl w:ilvl="2">
      <w:numFmt w:val="bullet"/>
      <w:lvlText w:val="•"/>
      <w:lvlJc w:val="left"/>
      <w:pPr>
        <w:ind w:left="1967" w:hanging="360"/>
      </w:pPr>
    </w:lvl>
    <w:lvl w:ilvl="3">
      <w:numFmt w:val="bullet"/>
      <w:lvlText w:val="•"/>
      <w:lvlJc w:val="left"/>
      <w:pPr>
        <w:ind w:left="2907" w:hanging="360"/>
      </w:pPr>
    </w:lvl>
    <w:lvl w:ilvl="4">
      <w:numFmt w:val="bullet"/>
      <w:lvlText w:val="•"/>
      <w:lvlJc w:val="left"/>
      <w:pPr>
        <w:ind w:left="3846" w:hanging="360"/>
      </w:pPr>
    </w:lvl>
    <w:lvl w:ilvl="5">
      <w:numFmt w:val="bullet"/>
      <w:lvlText w:val="•"/>
      <w:lvlJc w:val="left"/>
      <w:pPr>
        <w:ind w:left="4786" w:hanging="360"/>
      </w:pPr>
    </w:lvl>
    <w:lvl w:ilvl="6">
      <w:numFmt w:val="bullet"/>
      <w:lvlText w:val="•"/>
      <w:lvlJc w:val="left"/>
      <w:pPr>
        <w:ind w:left="5726" w:hanging="360"/>
      </w:pPr>
    </w:lvl>
    <w:lvl w:ilvl="7">
      <w:numFmt w:val="bullet"/>
      <w:lvlText w:val="•"/>
      <w:lvlJc w:val="left"/>
      <w:pPr>
        <w:ind w:left="6666" w:hanging="360"/>
      </w:pPr>
    </w:lvl>
    <w:lvl w:ilvl="8">
      <w:numFmt w:val="bullet"/>
      <w:lvlText w:val="•"/>
      <w:lvlJc w:val="left"/>
      <w:pPr>
        <w:ind w:left="7606" w:hanging="360"/>
      </w:pPr>
    </w:lvl>
  </w:abstractNum>
  <w:abstractNum w:abstractNumId="2">
    <w:nsid w:val="00000407"/>
    <w:multiLevelType w:val="multilevel"/>
    <w:tmpl w:val="0000088A"/>
    <w:lvl w:ilvl="0">
      <w:numFmt w:val="bullet"/>
      <w:lvlText w:val="-"/>
      <w:lvlJc w:val="left"/>
      <w:pPr>
        <w:ind w:left="960" w:hanging="360"/>
      </w:pPr>
      <w:rPr>
        <w:rFonts w:ascii="Calibri" w:hAnsi="Calibri" w:cs="Calibri"/>
        <w:b w:val="0"/>
        <w:bCs w:val="0"/>
        <w:sz w:val="24"/>
        <w:szCs w:val="24"/>
      </w:rPr>
    </w:lvl>
    <w:lvl w:ilvl="1">
      <w:numFmt w:val="bullet"/>
      <w:lvlText w:val="•"/>
      <w:lvlJc w:val="left"/>
      <w:pPr>
        <w:ind w:left="1812" w:hanging="360"/>
      </w:pPr>
    </w:lvl>
    <w:lvl w:ilvl="2">
      <w:numFmt w:val="bullet"/>
      <w:lvlText w:val="•"/>
      <w:lvlJc w:val="left"/>
      <w:pPr>
        <w:ind w:left="2665" w:hanging="360"/>
      </w:pPr>
    </w:lvl>
    <w:lvl w:ilvl="3">
      <w:numFmt w:val="bullet"/>
      <w:lvlText w:val="•"/>
      <w:lvlJc w:val="left"/>
      <w:pPr>
        <w:ind w:left="3517" w:hanging="360"/>
      </w:pPr>
    </w:lvl>
    <w:lvl w:ilvl="4">
      <w:numFmt w:val="bullet"/>
      <w:lvlText w:val="•"/>
      <w:lvlJc w:val="left"/>
      <w:pPr>
        <w:ind w:left="4370" w:hanging="360"/>
      </w:pPr>
    </w:lvl>
    <w:lvl w:ilvl="5">
      <w:numFmt w:val="bullet"/>
      <w:lvlText w:val="•"/>
      <w:lvlJc w:val="left"/>
      <w:pPr>
        <w:ind w:left="5223" w:hanging="360"/>
      </w:pPr>
    </w:lvl>
    <w:lvl w:ilvl="6">
      <w:numFmt w:val="bullet"/>
      <w:lvlText w:val="•"/>
      <w:lvlJc w:val="left"/>
      <w:pPr>
        <w:ind w:left="6075" w:hanging="360"/>
      </w:pPr>
    </w:lvl>
    <w:lvl w:ilvl="7">
      <w:numFmt w:val="bullet"/>
      <w:lvlText w:val="•"/>
      <w:lvlJc w:val="left"/>
      <w:pPr>
        <w:ind w:left="6928" w:hanging="360"/>
      </w:pPr>
    </w:lvl>
    <w:lvl w:ilvl="8">
      <w:numFmt w:val="bullet"/>
      <w:lvlText w:val="•"/>
      <w:lvlJc w:val="left"/>
      <w:pPr>
        <w:ind w:left="7781" w:hanging="360"/>
      </w:pPr>
    </w:lvl>
  </w:abstractNum>
  <w:abstractNum w:abstractNumId="3">
    <w:nsid w:val="00000408"/>
    <w:multiLevelType w:val="multilevel"/>
    <w:tmpl w:val="0000088B"/>
    <w:lvl w:ilvl="0">
      <w:start w:val="1"/>
      <w:numFmt w:val="decimal"/>
      <w:lvlText w:val="%1."/>
      <w:lvlJc w:val="left"/>
      <w:pPr>
        <w:ind w:left="961" w:hanging="361"/>
      </w:pPr>
      <w:rPr>
        <w:rFonts w:ascii="Calibri" w:hAnsi="Calibri" w:cs="Calibri"/>
        <w:b w:val="0"/>
        <w:bCs w:val="0"/>
        <w:sz w:val="22"/>
        <w:szCs w:val="22"/>
      </w:rPr>
    </w:lvl>
    <w:lvl w:ilvl="1">
      <w:start w:val="1"/>
      <w:numFmt w:val="lowerLetter"/>
      <w:lvlText w:val="%2."/>
      <w:lvlJc w:val="left"/>
      <w:pPr>
        <w:ind w:left="1372" w:hanging="360"/>
      </w:pPr>
      <w:rPr>
        <w:rFonts w:ascii="Calibri" w:hAnsi="Calibri" w:cs="Calibri"/>
        <w:b w:val="0"/>
        <w:bCs w:val="0"/>
        <w:spacing w:val="-1"/>
        <w:sz w:val="22"/>
        <w:szCs w:val="22"/>
      </w:rPr>
    </w:lvl>
    <w:lvl w:ilvl="2">
      <w:numFmt w:val="bullet"/>
      <w:lvlText w:val="•"/>
      <w:lvlJc w:val="left"/>
      <w:pPr>
        <w:ind w:left="1372" w:hanging="360"/>
      </w:pPr>
    </w:lvl>
    <w:lvl w:ilvl="3">
      <w:numFmt w:val="bullet"/>
      <w:lvlText w:val="•"/>
      <w:lvlJc w:val="left"/>
      <w:pPr>
        <w:ind w:left="2386" w:hanging="360"/>
      </w:pPr>
    </w:lvl>
    <w:lvl w:ilvl="4">
      <w:numFmt w:val="bullet"/>
      <w:lvlText w:val="•"/>
      <w:lvlJc w:val="left"/>
      <w:pPr>
        <w:ind w:left="3401" w:hanging="360"/>
      </w:pPr>
    </w:lvl>
    <w:lvl w:ilvl="5">
      <w:numFmt w:val="bullet"/>
      <w:lvlText w:val="•"/>
      <w:lvlJc w:val="left"/>
      <w:pPr>
        <w:ind w:left="4415" w:hanging="360"/>
      </w:pPr>
    </w:lvl>
    <w:lvl w:ilvl="6">
      <w:numFmt w:val="bullet"/>
      <w:lvlText w:val="•"/>
      <w:lvlJc w:val="left"/>
      <w:pPr>
        <w:ind w:left="5429" w:hanging="360"/>
      </w:pPr>
    </w:lvl>
    <w:lvl w:ilvl="7">
      <w:numFmt w:val="bullet"/>
      <w:lvlText w:val="•"/>
      <w:lvlJc w:val="left"/>
      <w:pPr>
        <w:ind w:left="6443" w:hanging="360"/>
      </w:pPr>
    </w:lvl>
    <w:lvl w:ilvl="8">
      <w:numFmt w:val="bullet"/>
      <w:lvlText w:val="•"/>
      <w:lvlJc w:val="left"/>
      <w:pPr>
        <w:ind w:left="7457" w:hanging="360"/>
      </w:pPr>
    </w:lvl>
  </w:abstractNum>
  <w:abstractNum w:abstractNumId="4">
    <w:nsid w:val="00000409"/>
    <w:multiLevelType w:val="multilevel"/>
    <w:tmpl w:val="0000088C"/>
    <w:lvl w:ilvl="0">
      <w:start w:val="1"/>
      <w:numFmt w:val="decimal"/>
      <w:lvlText w:val="%1."/>
      <w:lvlJc w:val="left"/>
      <w:pPr>
        <w:ind w:left="116" w:hanging="236"/>
      </w:pPr>
      <w:rPr>
        <w:rFonts w:ascii="Calibri" w:hAnsi="Calibri" w:cs="Calibri"/>
        <w:b/>
        <w:bCs/>
        <w:i/>
        <w:iCs/>
        <w:spacing w:val="-2"/>
        <w:w w:val="99"/>
        <w:sz w:val="24"/>
        <w:szCs w:val="24"/>
      </w:rPr>
    </w:lvl>
    <w:lvl w:ilvl="1">
      <w:numFmt w:val="bullet"/>
      <w:lvlText w:val="•"/>
      <w:lvlJc w:val="left"/>
      <w:pPr>
        <w:ind w:left="1088" w:hanging="236"/>
      </w:pPr>
    </w:lvl>
    <w:lvl w:ilvl="2">
      <w:numFmt w:val="bullet"/>
      <w:lvlText w:val="•"/>
      <w:lvlJc w:val="left"/>
      <w:pPr>
        <w:ind w:left="2060" w:hanging="236"/>
      </w:pPr>
    </w:lvl>
    <w:lvl w:ilvl="3">
      <w:numFmt w:val="bullet"/>
      <w:lvlText w:val="•"/>
      <w:lvlJc w:val="left"/>
      <w:pPr>
        <w:ind w:left="3033" w:hanging="236"/>
      </w:pPr>
    </w:lvl>
    <w:lvl w:ilvl="4">
      <w:numFmt w:val="bullet"/>
      <w:lvlText w:val="•"/>
      <w:lvlJc w:val="left"/>
      <w:pPr>
        <w:ind w:left="4005" w:hanging="236"/>
      </w:pPr>
    </w:lvl>
    <w:lvl w:ilvl="5">
      <w:numFmt w:val="bullet"/>
      <w:lvlText w:val="•"/>
      <w:lvlJc w:val="left"/>
      <w:pPr>
        <w:ind w:left="4978" w:hanging="236"/>
      </w:pPr>
    </w:lvl>
    <w:lvl w:ilvl="6">
      <w:numFmt w:val="bullet"/>
      <w:lvlText w:val="•"/>
      <w:lvlJc w:val="left"/>
      <w:pPr>
        <w:ind w:left="5950" w:hanging="236"/>
      </w:pPr>
    </w:lvl>
    <w:lvl w:ilvl="7">
      <w:numFmt w:val="bullet"/>
      <w:lvlText w:val="•"/>
      <w:lvlJc w:val="left"/>
      <w:pPr>
        <w:ind w:left="6922" w:hanging="236"/>
      </w:pPr>
    </w:lvl>
    <w:lvl w:ilvl="8">
      <w:numFmt w:val="bullet"/>
      <w:lvlText w:val="•"/>
      <w:lvlJc w:val="left"/>
      <w:pPr>
        <w:ind w:left="7895" w:hanging="236"/>
      </w:pPr>
    </w:lvl>
  </w:abstractNum>
  <w:abstractNum w:abstractNumId="5">
    <w:nsid w:val="0E451763"/>
    <w:multiLevelType w:val="multilevel"/>
    <w:tmpl w:val="00000886"/>
    <w:lvl w:ilvl="0">
      <w:start w:val="1"/>
      <w:numFmt w:val="decimal"/>
      <w:lvlText w:val="%1."/>
      <w:lvlJc w:val="left"/>
      <w:pPr>
        <w:ind w:left="120" w:hanging="362"/>
      </w:pPr>
      <w:rPr>
        <w:rFonts w:ascii="Arial" w:hAnsi="Arial" w:cs="Arial"/>
        <w:b w:val="0"/>
        <w:bCs w:val="0"/>
        <w:spacing w:val="-1"/>
        <w:w w:val="101"/>
        <w:sz w:val="23"/>
        <w:szCs w:val="23"/>
      </w:rPr>
    </w:lvl>
    <w:lvl w:ilvl="1">
      <w:start w:val="1"/>
      <w:numFmt w:val="decimal"/>
      <w:lvlText w:val="%2."/>
      <w:lvlJc w:val="left"/>
      <w:pPr>
        <w:ind w:left="820" w:hanging="351"/>
      </w:pPr>
      <w:rPr>
        <w:rFonts w:ascii="Calibri" w:hAnsi="Calibri" w:cs="Calibri"/>
        <w:b w:val="0"/>
        <w:bCs w:val="0"/>
        <w:spacing w:val="1"/>
        <w:w w:val="101"/>
        <w:sz w:val="21"/>
        <w:szCs w:val="21"/>
      </w:rPr>
    </w:lvl>
    <w:lvl w:ilvl="2">
      <w:start w:val="1"/>
      <w:numFmt w:val="decimal"/>
      <w:lvlText w:val="%3."/>
      <w:lvlJc w:val="left"/>
      <w:pPr>
        <w:ind w:left="501" w:hanging="360"/>
      </w:pPr>
      <w:rPr>
        <w:rFonts w:ascii="Calibri" w:hAnsi="Calibri" w:cs="Calibri"/>
        <w:b/>
        <w:bCs/>
        <w:i/>
        <w:iCs/>
        <w:w w:val="99"/>
        <w:sz w:val="24"/>
        <w:szCs w:val="24"/>
      </w:rPr>
    </w:lvl>
    <w:lvl w:ilvl="3">
      <w:numFmt w:val="bullet"/>
      <w:lvlText w:val="•"/>
      <w:lvlJc w:val="left"/>
      <w:pPr>
        <w:ind w:left="960" w:hanging="360"/>
      </w:pPr>
    </w:lvl>
    <w:lvl w:ilvl="4">
      <w:numFmt w:val="bullet"/>
      <w:lvlText w:val="•"/>
      <w:lvlJc w:val="left"/>
      <w:pPr>
        <w:ind w:left="2178" w:hanging="360"/>
      </w:pPr>
    </w:lvl>
    <w:lvl w:ilvl="5">
      <w:numFmt w:val="bullet"/>
      <w:lvlText w:val="•"/>
      <w:lvlJc w:val="left"/>
      <w:pPr>
        <w:ind w:left="3396" w:hanging="360"/>
      </w:pPr>
    </w:lvl>
    <w:lvl w:ilvl="6">
      <w:numFmt w:val="bullet"/>
      <w:lvlText w:val="•"/>
      <w:lvlJc w:val="left"/>
      <w:pPr>
        <w:ind w:left="4614" w:hanging="360"/>
      </w:pPr>
    </w:lvl>
    <w:lvl w:ilvl="7">
      <w:numFmt w:val="bullet"/>
      <w:lvlText w:val="•"/>
      <w:lvlJc w:val="left"/>
      <w:pPr>
        <w:ind w:left="5832" w:hanging="360"/>
      </w:pPr>
    </w:lvl>
    <w:lvl w:ilvl="8">
      <w:numFmt w:val="bullet"/>
      <w:lvlText w:val="•"/>
      <w:lvlJc w:val="left"/>
      <w:pPr>
        <w:ind w:left="7050" w:hanging="360"/>
      </w:pPr>
    </w:lvl>
  </w:abstractNum>
  <w:abstractNum w:abstractNumId="6">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nsid w:val="55CA7257"/>
    <w:multiLevelType w:val="multilevel"/>
    <w:tmpl w:val="00000889"/>
    <w:lvl w:ilvl="0">
      <w:start w:val="1"/>
      <w:numFmt w:val="decimal"/>
      <w:lvlText w:val="%1."/>
      <w:lvlJc w:val="left"/>
      <w:pPr>
        <w:ind w:left="240" w:hanging="209"/>
      </w:pPr>
      <w:rPr>
        <w:rFonts w:ascii="Calibri" w:hAnsi="Calibri" w:cs="Calibri"/>
        <w:b w:val="0"/>
        <w:bCs w:val="0"/>
        <w:i/>
        <w:iCs/>
        <w:sz w:val="21"/>
        <w:szCs w:val="21"/>
      </w:rPr>
    </w:lvl>
    <w:lvl w:ilvl="1">
      <w:start w:val="1"/>
      <w:numFmt w:val="decimal"/>
      <w:lvlText w:val="%2."/>
      <w:lvlJc w:val="left"/>
      <w:pPr>
        <w:ind w:left="1027" w:hanging="360"/>
      </w:pPr>
      <w:rPr>
        <w:rFonts w:ascii="Calibri" w:hAnsi="Calibri" w:cs="Calibri"/>
        <w:b/>
        <w:bCs/>
        <w:i/>
        <w:iCs/>
        <w:w w:val="99"/>
        <w:sz w:val="24"/>
        <w:szCs w:val="24"/>
      </w:rPr>
    </w:lvl>
    <w:lvl w:ilvl="2">
      <w:numFmt w:val="bullet"/>
      <w:lvlText w:val="•"/>
      <w:lvlJc w:val="left"/>
      <w:pPr>
        <w:ind w:left="1967" w:hanging="360"/>
      </w:pPr>
    </w:lvl>
    <w:lvl w:ilvl="3">
      <w:numFmt w:val="bullet"/>
      <w:lvlText w:val="•"/>
      <w:lvlJc w:val="left"/>
      <w:pPr>
        <w:ind w:left="2907" w:hanging="360"/>
      </w:pPr>
    </w:lvl>
    <w:lvl w:ilvl="4">
      <w:numFmt w:val="bullet"/>
      <w:lvlText w:val="•"/>
      <w:lvlJc w:val="left"/>
      <w:pPr>
        <w:ind w:left="3846" w:hanging="360"/>
      </w:pPr>
    </w:lvl>
    <w:lvl w:ilvl="5">
      <w:numFmt w:val="bullet"/>
      <w:lvlText w:val="•"/>
      <w:lvlJc w:val="left"/>
      <w:pPr>
        <w:ind w:left="4786" w:hanging="360"/>
      </w:pPr>
    </w:lvl>
    <w:lvl w:ilvl="6">
      <w:numFmt w:val="bullet"/>
      <w:lvlText w:val="•"/>
      <w:lvlJc w:val="left"/>
      <w:pPr>
        <w:ind w:left="5726" w:hanging="360"/>
      </w:pPr>
    </w:lvl>
    <w:lvl w:ilvl="7">
      <w:numFmt w:val="bullet"/>
      <w:lvlText w:val="•"/>
      <w:lvlJc w:val="left"/>
      <w:pPr>
        <w:ind w:left="6666" w:hanging="360"/>
      </w:pPr>
    </w:lvl>
    <w:lvl w:ilvl="8">
      <w:numFmt w:val="bullet"/>
      <w:lvlText w:val="•"/>
      <w:lvlJc w:val="left"/>
      <w:pPr>
        <w:ind w:left="7606" w:hanging="360"/>
      </w:pPr>
    </w:lvl>
  </w:abstractNum>
  <w:num w:numId="1">
    <w:abstractNumId w:val="7"/>
  </w:num>
  <w:num w:numId="2">
    <w:abstractNumId w:val="6"/>
  </w:num>
  <w:num w:numId="3">
    <w:abstractNumId w:val="7"/>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1"/>
  </w:num>
  <w:num w:numId="10">
    <w:abstractNumId w:val="2"/>
  </w:num>
  <w:num w:numId="11">
    <w:abstractNumId w:val="8"/>
  </w:num>
  <w:num w:numId="12">
    <w:abstractNumId w:val="3"/>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16D"/>
    <w:rsid w:val="000015B2"/>
    <w:rsid w:val="00002031"/>
    <w:rsid w:val="00004734"/>
    <w:rsid w:val="00006B22"/>
    <w:rsid w:val="0001276A"/>
    <w:rsid w:val="000246AE"/>
    <w:rsid w:val="00025C67"/>
    <w:rsid w:val="00044772"/>
    <w:rsid w:val="0005559E"/>
    <w:rsid w:val="00057EF3"/>
    <w:rsid w:val="000604D6"/>
    <w:rsid w:val="000734D8"/>
    <w:rsid w:val="000765A7"/>
    <w:rsid w:val="00077775"/>
    <w:rsid w:val="00087CED"/>
    <w:rsid w:val="00090471"/>
    <w:rsid w:val="00096AA7"/>
    <w:rsid w:val="000A3AED"/>
    <w:rsid w:val="000B3532"/>
    <w:rsid w:val="000B3A75"/>
    <w:rsid w:val="000C00C2"/>
    <w:rsid w:val="000C690F"/>
    <w:rsid w:val="000D1295"/>
    <w:rsid w:val="000D391B"/>
    <w:rsid w:val="000D3D6D"/>
    <w:rsid w:val="000D4FC7"/>
    <w:rsid w:val="000E6196"/>
    <w:rsid w:val="000F4869"/>
    <w:rsid w:val="000F5B42"/>
    <w:rsid w:val="000F6E6F"/>
    <w:rsid w:val="0010601F"/>
    <w:rsid w:val="0010788A"/>
    <w:rsid w:val="00107A31"/>
    <w:rsid w:val="00110EA5"/>
    <w:rsid w:val="00112F56"/>
    <w:rsid w:val="00125318"/>
    <w:rsid w:val="001305A2"/>
    <w:rsid w:val="00133238"/>
    <w:rsid w:val="00133A1B"/>
    <w:rsid w:val="0014197B"/>
    <w:rsid w:val="001447CD"/>
    <w:rsid w:val="001516B1"/>
    <w:rsid w:val="00154EBB"/>
    <w:rsid w:val="00156316"/>
    <w:rsid w:val="00161181"/>
    <w:rsid w:val="00162D14"/>
    <w:rsid w:val="00165389"/>
    <w:rsid w:val="001671F4"/>
    <w:rsid w:val="0017693F"/>
    <w:rsid w:val="0018110E"/>
    <w:rsid w:val="00181684"/>
    <w:rsid w:val="001843C6"/>
    <w:rsid w:val="001850E0"/>
    <w:rsid w:val="00191CF8"/>
    <w:rsid w:val="001A2158"/>
    <w:rsid w:val="001A525F"/>
    <w:rsid w:val="001A6135"/>
    <w:rsid w:val="001B09F9"/>
    <w:rsid w:val="001B1B7E"/>
    <w:rsid w:val="001B2309"/>
    <w:rsid w:val="001B5C90"/>
    <w:rsid w:val="001B6448"/>
    <w:rsid w:val="001C32CD"/>
    <w:rsid w:val="001D2984"/>
    <w:rsid w:val="001E07CF"/>
    <w:rsid w:val="001E59F1"/>
    <w:rsid w:val="001F2CEE"/>
    <w:rsid w:val="001F49EB"/>
    <w:rsid w:val="001F6CBA"/>
    <w:rsid w:val="00201D4E"/>
    <w:rsid w:val="002076C9"/>
    <w:rsid w:val="00207B99"/>
    <w:rsid w:val="00220B8A"/>
    <w:rsid w:val="002257F3"/>
    <w:rsid w:val="00233456"/>
    <w:rsid w:val="002339A5"/>
    <w:rsid w:val="00257848"/>
    <w:rsid w:val="0027084A"/>
    <w:rsid w:val="00286434"/>
    <w:rsid w:val="00286C59"/>
    <w:rsid w:val="00291957"/>
    <w:rsid w:val="002942D1"/>
    <w:rsid w:val="0029501A"/>
    <w:rsid w:val="002A00D3"/>
    <w:rsid w:val="002A3721"/>
    <w:rsid w:val="002B1638"/>
    <w:rsid w:val="002B3624"/>
    <w:rsid w:val="002B7759"/>
    <w:rsid w:val="002D0952"/>
    <w:rsid w:val="002E40B3"/>
    <w:rsid w:val="002E44B7"/>
    <w:rsid w:val="002E4C9A"/>
    <w:rsid w:val="002F11F8"/>
    <w:rsid w:val="002F3F56"/>
    <w:rsid w:val="002F44B5"/>
    <w:rsid w:val="00304EC6"/>
    <w:rsid w:val="00311AC0"/>
    <w:rsid w:val="003176FC"/>
    <w:rsid w:val="0032583B"/>
    <w:rsid w:val="00326B5B"/>
    <w:rsid w:val="00327883"/>
    <w:rsid w:val="00333B2C"/>
    <w:rsid w:val="00334434"/>
    <w:rsid w:val="00335504"/>
    <w:rsid w:val="00340C18"/>
    <w:rsid w:val="00341F7B"/>
    <w:rsid w:val="003442FD"/>
    <w:rsid w:val="00347824"/>
    <w:rsid w:val="00350567"/>
    <w:rsid w:val="003521E8"/>
    <w:rsid w:val="00370CE3"/>
    <w:rsid w:val="003728F3"/>
    <w:rsid w:val="0037496E"/>
    <w:rsid w:val="00383221"/>
    <w:rsid w:val="003854C9"/>
    <w:rsid w:val="00386150"/>
    <w:rsid w:val="003874CE"/>
    <w:rsid w:val="00390900"/>
    <w:rsid w:val="003A616D"/>
    <w:rsid w:val="003A6AB1"/>
    <w:rsid w:val="003A7F6C"/>
    <w:rsid w:val="003B25E2"/>
    <w:rsid w:val="003B4D60"/>
    <w:rsid w:val="003B7E39"/>
    <w:rsid w:val="003C58DC"/>
    <w:rsid w:val="003D1E62"/>
    <w:rsid w:val="003D39CA"/>
    <w:rsid w:val="003E0B99"/>
    <w:rsid w:val="003E2486"/>
    <w:rsid w:val="003E2812"/>
    <w:rsid w:val="003E3208"/>
    <w:rsid w:val="003F0B04"/>
    <w:rsid w:val="0040134E"/>
    <w:rsid w:val="00432284"/>
    <w:rsid w:val="004334C7"/>
    <w:rsid w:val="00440A2D"/>
    <w:rsid w:val="00441C3F"/>
    <w:rsid w:val="004552E6"/>
    <w:rsid w:val="004564A7"/>
    <w:rsid w:val="004617BF"/>
    <w:rsid w:val="00463658"/>
    <w:rsid w:val="004637A0"/>
    <w:rsid w:val="00470B6D"/>
    <w:rsid w:val="004722CC"/>
    <w:rsid w:val="00491793"/>
    <w:rsid w:val="004936E4"/>
    <w:rsid w:val="00494E60"/>
    <w:rsid w:val="00497487"/>
    <w:rsid w:val="004A3290"/>
    <w:rsid w:val="004A6189"/>
    <w:rsid w:val="004A7390"/>
    <w:rsid w:val="004B7B76"/>
    <w:rsid w:val="004C239D"/>
    <w:rsid w:val="004C2DCA"/>
    <w:rsid w:val="004C61D2"/>
    <w:rsid w:val="004F0C4A"/>
    <w:rsid w:val="004F0F38"/>
    <w:rsid w:val="004F47D6"/>
    <w:rsid w:val="00501921"/>
    <w:rsid w:val="00530354"/>
    <w:rsid w:val="0053625B"/>
    <w:rsid w:val="005434C6"/>
    <w:rsid w:val="00543B39"/>
    <w:rsid w:val="00546154"/>
    <w:rsid w:val="00550096"/>
    <w:rsid w:val="00555280"/>
    <w:rsid w:val="00557FF9"/>
    <w:rsid w:val="00562327"/>
    <w:rsid w:val="0056249E"/>
    <w:rsid w:val="005711D5"/>
    <w:rsid w:val="00576378"/>
    <w:rsid w:val="00577130"/>
    <w:rsid w:val="00577945"/>
    <w:rsid w:val="00577E38"/>
    <w:rsid w:val="00585322"/>
    <w:rsid w:val="005857C6"/>
    <w:rsid w:val="0059297C"/>
    <w:rsid w:val="00592F6E"/>
    <w:rsid w:val="00593AD1"/>
    <w:rsid w:val="005A3AE1"/>
    <w:rsid w:val="005A68B6"/>
    <w:rsid w:val="005C5570"/>
    <w:rsid w:val="005C79A4"/>
    <w:rsid w:val="005D5442"/>
    <w:rsid w:val="005E1824"/>
    <w:rsid w:val="005E2B5D"/>
    <w:rsid w:val="00603F32"/>
    <w:rsid w:val="00605AD4"/>
    <w:rsid w:val="00625A6E"/>
    <w:rsid w:val="00632398"/>
    <w:rsid w:val="00636B99"/>
    <w:rsid w:val="00640FC3"/>
    <w:rsid w:val="00642020"/>
    <w:rsid w:val="0065337B"/>
    <w:rsid w:val="0065419D"/>
    <w:rsid w:val="006604D8"/>
    <w:rsid w:val="00664A5B"/>
    <w:rsid w:val="0066735C"/>
    <w:rsid w:val="006763D2"/>
    <w:rsid w:val="00680C08"/>
    <w:rsid w:val="006916A0"/>
    <w:rsid w:val="006931B1"/>
    <w:rsid w:val="006A15C0"/>
    <w:rsid w:val="006A4D19"/>
    <w:rsid w:val="006B74FC"/>
    <w:rsid w:val="006C3E2A"/>
    <w:rsid w:val="006C451B"/>
    <w:rsid w:val="006C642F"/>
    <w:rsid w:val="006D03E5"/>
    <w:rsid w:val="006D5D3E"/>
    <w:rsid w:val="006E08B3"/>
    <w:rsid w:val="006E098A"/>
    <w:rsid w:val="006F17AC"/>
    <w:rsid w:val="006F25B8"/>
    <w:rsid w:val="006F572E"/>
    <w:rsid w:val="007046D6"/>
    <w:rsid w:val="00705DB0"/>
    <w:rsid w:val="00722B57"/>
    <w:rsid w:val="00730F8A"/>
    <w:rsid w:val="007323EE"/>
    <w:rsid w:val="00735A8C"/>
    <w:rsid w:val="0074253D"/>
    <w:rsid w:val="0074429B"/>
    <w:rsid w:val="00746A09"/>
    <w:rsid w:val="00750E58"/>
    <w:rsid w:val="007615BC"/>
    <w:rsid w:val="00762F05"/>
    <w:rsid w:val="007652FF"/>
    <w:rsid w:val="0076728C"/>
    <w:rsid w:val="00770CAC"/>
    <w:rsid w:val="00770EF1"/>
    <w:rsid w:val="00773EF7"/>
    <w:rsid w:val="00774E1D"/>
    <w:rsid w:val="007765D8"/>
    <w:rsid w:val="0077675A"/>
    <w:rsid w:val="00780355"/>
    <w:rsid w:val="007819FD"/>
    <w:rsid w:val="00785717"/>
    <w:rsid w:val="00785721"/>
    <w:rsid w:val="00793A59"/>
    <w:rsid w:val="007A2F76"/>
    <w:rsid w:val="007B41D2"/>
    <w:rsid w:val="007B6132"/>
    <w:rsid w:val="007B6E9F"/>
    <w:rsid w:val="007C1216"/>
    <w:rsid w:val="007C1AF7"/>
    <w:rsid w:val="007C6B9B"/>
    <w:rsid w:val="007D2FD4"/>
    <w:rsid w:val="00805D27"/>
    <w:rsid w:val="00806DCB"/>
    <w:rsid w:val="00821776"/>
    <w:rsid w:val="00830D0B"/>
    <w:rsid w:val="008321F5"/>
    <w:rsid w:val="00832369"/>
    <w:rsid w:val="00834660"/>
    <w:rsid w:val="00836BC2"/>
    <w:rsid w:val="0085156D"/>
    <w:rsid w:val="00855D16"/>
    <w:rsid w:val="0085641B"/>
    <w:rsid w:val="00857136"/>
    <w:rsid w:val="00875A6B"/>
    <w:rsid w:val="00885B11"/>
    <w:rsid w:val="00886D15"/>
    <w:rsid w:val="00887DD8"/>
    <w:rsid w:val="00891BA9"/>
    <w:rsid w:val="00892403"/>
    <w:rsid w:val="00896018"/>
    <w:rsid w:val="008960DD"/>
    <w:rsid w:val="0089635C"/>
    <w:rsid w:val="008A2B9D"/>
    <w:rsid w:val="008A39E4"/>
    <w:rsid w:val="008A3D9F"/>
    <w:rsid w:val="008A5E0B"/>
    <w:rsid w:val="008A6D59"/>
    <w:rsid w:val="008B4B03"/>
    <w:rsid w:val="008B596F"/>
    <w:rsid w:val="008C159F"/>
    <w:rsid w:val="008C1623"/>
    <w:rsid w:val="008C1850"/>
    <w:rsid w:val="008C51A9"/>
    <w:rsid w:val="008C5757"/>
    <w:rsid w:val="008E7846"/>
    <w:rsid w:val="008F02E5"/>
    <w:rsid w:val="008F1CCC"/>
    <w:rsid w:val="008F2967"/>
    <w:rsid w:val="008F6943"/>
    <w:rsid w:val="00902A21"/>
    <w:rsid w:val="00920330"/>
    <w:rsid w:val="009219D7"/>
    <w:rsid w:val="00922D53"/>
    <w:rsid w:val="00923B70"/>
    <w:rsid w:val="00924482"/>
    <w:rsid w:val="00930237"/>
    <w:rsid w:val="00937C17"/>
    <w:rsid w:val="00940A89"/>
    <w:rsid w:val="00944B2A"/>
    <w:rsid w:val="00946EA5"/>
    <w:rsid w:val="00963C08"/>
    <w:rsid w:val="009752A5"/>
    <w:rsid w:val="00985178"/>
    <w:rsid w:val="0098585A"/>
    <w:rsid w:val="009A4CED"/>
    <w:rsid w:val="009A690D"/>
    <w:rsid w:val="009B1D12"/>
    <w:rsid w:val="009B416B"/>
    <w:rsid w:val="009C4BD5"/>
    <w:rsid w:val="009D7B77"/>
    <w:rsid w:val="009E0BB0"/>
    <w:rsid w:val="009E3FBB"/>
    <w:rsid w:val="009F7353"/>
    <w:rsid w:val="00A02133"/>
    <w:rsid w:val="00A04F85"/>
    <w:rsid w:val="00A05FA4"/>
    <w:rsid w:val="00A0661B"/>
    <w:rsid w:val="00A102E4"/>
    <w:rsid w:val="00A12C42"/>
    <w:rsid w:val="00A14DF7"/>
    <w:rsid w:val="00A20D14"/>
    <w:rsid w:val="00A3246D"/>
    <w:rsid w:val="00A36FA7"/>
    <w:rsid w:val="00A44DDB"/>
    <w:rsid w:val="00A475B7"/>
    <w:rsid w:val="00A47AF7"/>
    <w:rsid w:val="00A47C3E"/>
    <w:rsid w:val="00A50226"/>
    <w:rsid w:val="00A60BAD"/>
    <w:rsid w:val="00A80B5B"/>
    <w:rsid w:val="00A84E36"/>
    <w:rsid w:val="00A9386E"/>
    <w:rsid w:val="00A964D1"/>
    <w:rsid w:val="00AA0ED0"/>
    <w:rsid w:val="00AC2B40"/>
    <w:rsid w:val="00AC2BB2"/>
    <w:rsid w:val="00AC2C3C"/>
    <w:rsid w:val="00AC3D09"/>
    <w:rsid w:val="00AC512D"/>
    <w:rsid w:val="00AC526E"/>
    <w:rsid w:val="00AD0083"/>
    <w:rsid w:val="00AD3935"/>
    <w:rsid w:val="00AE65EB"/>
    <w:rsid w:val="00AE67A7"/>
    <w:rsid w:val="00AF1D94"/>
    <w:rsid w:val="00AF60C5"/>
    <w:rsid w:val="00B009C6"/>
    <w:rsid w:val="00B01548"/>
    <w:rsid w:val="00B06F52"/>
    <w:rsid w:val="00B13EBD"/>
    <w:rsid w:val="00B15FAF"/>
    <w:rsid w:val="00B21D29"/>
    <w:rsid w:val="00B25034"/>
    <w:rsid w:val="00B33588"/>
    <w:rsid w:val="00B33863"/>
    <w:rsid w:val="00B37D17"/>
    <w:rsid w:val="00B4175E"/>
    <w:rsid w:val="00B43000"/>
    <w:rsid w:val="00B452CE"/>
    <w:rsid w:val="00B54C25"/>
    <w:rsid w:val="00B76B91"/>
    <w:rsid w:val="00B77EB1"/>
    <w:rsid w:val="00B811C6"/>
    <w:rsid w:val="00B855B0"/>
    <w:rsid w:val="00B92E08"/>
    <w:rsid w:val="00BC622A"/>
    <w:rsid w:val="00BD4572"/>
    <w:rsid w:val="00BE0A78"/>
    <w:rsid w:val="00BE79F0"/>
    <w:rsid w:val="00BF046D"/>
    <w:rsid w:val="00BF1190"/>
    <w:rsid w:val="00BF5D04"/>
    <w:rsid w:val="00C009AA"/>
    <w:rsid w:val="00C1164D"/>
    <w:rsid w:val="00C16861"/>
    <w:rsid w:val="00C346AB"/>
    <w:rsid w:val="00C404A6"/>
    <w:rsid w:val="00C40A36"/>
    <w:rsid w:val="00C43D1A"/>
    <w:rsid w:val="00C44419"/>
    <w:rsid w:val="00C45E7B"/>
    <w:rsid w:val="00C471B1"/>
    <w:rsid w:val="00C6316B"/>
    <w:rsid w:val="00C634A9"/>
    <w:rsid w:val="00C64586"/>
    <w:rsid w:val="00C647FE"/>
    <w:rsid w:val="00C70D53"/>
    <w:rsid w:val="00C73D0B"/>
    <w:rsid w:val="00C772FF"/>
    <w:rsid w:val="00C80137"/>
    <w:rsid w:val="00C801AF"/>
    <w:rsid w:val="00C80256"/>
    <w:rsid w:val="00C94CD4"/>
    <w:rsid w:val="00C9747E"/>
    <w:rsid w:val="00CB6BC0"/>
    <w:rsid w:val="00CC1B7C"/>
    <w:rsid w:val="00CC727F"/>
    <w:rsid w:val="00CF00B9"/>
    <w:rsid w:val="00CF15C3"/>
    <w:rsid w:val="00CF2B6F"/>
    <w:rsid w:val="00CF2F3E"/>
    <w:rsid w:val="00CF58B6"/>
    <w:rsid w:val="00D0062D"/>
    <w:rsid w:val="00D017ED"/>
    <w:rsid w:val="00D040D3"/>
    <w:rsid w:val="00D04C65"/>
    <w:rsid w:val="00D10DE7"/>
    <w:rsid w:val="00D201D2"/>
    <w:rsid w:val="00D224FE"/>
    <w:rsid w:val="00D23060"/>
    <w:rsid w:val="00D23139"/>
    <w:rsid w:val="00D23D66"/>
    <w:rsid w:val="00D2572B"/>
    <w:rsid w:val="00D25EDA"/>
    <w:rsid w:val="00D3487E"/>
    <w:rsid w:val="00D425BB"/>
    <w:rsid w:val="00D6493E"/>
    <w:rsid w:val="00D7195D"/>
    <w:rsid w:val="00D7301E"/>
    <w:rsid w:val="00D83AE1"/>
    <w:rsid w:val="00D855D4"/>
    <w:rsid w:val="00D902C9"/>
    <w:rsid w:val="00D92B40"/>
    <w:rsid w:val="00D93466"/>
    <w:rsid w:val="00DA1124"/>
    <w:rsid w:val="00DB6124"/>
    <w:rsid w:val="00DB750B"/>
    <w:rsid w:val="00DB75B7"/>
    <w:rsid w:val="00DC6E02"/>
    <w:rsid w:val="00DD28CD"/>
    <w:rsid w:val="00DE02AE"/>
    <w:rsid w:val="00DE6BB6"/>
    <w:rsid w:val="00DF1D7F"/>
    <w:rsid w:val="00DF4BE4"/>
    <w:rsid w:val="00E02FB4"/>
    <w:rsid w:val="00E13FC7"/>
    <w:rsid w:val="00E20571"/>
    <w:rsid w:val="00E235F7"/>
    <w:rsid w:val="00E23659"/>
    <w:rsid w:val="00E239D4"/>
    <w:rsid w:val="00E26130"/>
    <w:rsid w:val="00E40B22"/>
    <w:rsid w:val="00E44ED1"/>
    <w:rsid w:val="00E45619"/>
    <w:rsid w:val="00E4588F"/>
    <w:rsid w:val="00E46DA3"/>
    <w:rsid w:val="00E51BB1"/>
    <w:rsid w:val="00E624A5"/>
    <w:rsid w:val="00E64BA4"/>
    <w:rsid w:val="00E7344E"/>
    <w:rsid w:val="00E82665"/>
    <w:rsid w:val="00E82DD6"/>
    <w:rsid w:val="00E84761"/>
    <w:rsid w:val="00EA1D6C"/>
    <w:rsid w:val="00EB0798"/>
    <w:rsid w:val="00EB40AD"/>
    <w:rsid w:val="00EB586E"/>
    <w:rsid w:val="00EB5FC8"/>
    <w:rsid w:val="00EC463D"/>
    <w:rsid w:val="00EC7A85"/>
    <w:rsid w:val="00ED2922"/>
    <w:rsid w:val="00ED3CAD"/>
    <w:rsid w:val="00ED5A41"/>
    <w:rsid w:val="00EE1DE8"/>
    <w:rsid w:val="00EE27C2"/>
    <w:rsid w:val="00EF4BAD"/>
    <w:rsid w:val="00EF59DC"/>
    <w:rsid w:val="00F033EC"/>
    <w:rsid w:val="00F04F68"/>
    <w:rsid w:val="00F12670"/>
    <w:rsid w:val="00F14B27"/>
    <w:rsid w:val="00F3148D"/>
    <w:rsid w:val="00F3254A"/>
    <w:rsid w:val="00F325C5"/>
    <w:rsid w:val="00F32FE0"/>
    <w:rsid w:val="00F35298"/>
    <w:rsid w:val="00F47333"/>
    <w:rsid w:val="00F47E37"/>
    <w:rsid w:val="00F53C07"/>
    <w:rsid w:val="00F54B65"/>
    <w:rsid w:val="00F640B6"/>
    <w:rsid w:val="00F66DF2"/>
    <w:rsid w:val="00F80E40"/>
    <w:rsid w:val="00F848D9"/>
    <w:rsid w:val="00FA5B82"/>
    <w:rsid w:val="00FA639E"/>
    <w:rsid w:val="00FC1FCA"/>
    <w:rsid w:val="00FC25E4"/>
    <w:rsid w:val="00FC4EF7"/>
    <w:rsid w:val="00FD0824"/>
    <w:rsid w:val="00FD119B"/>
    <w:rsid w:val="00FD1EDC"/>
    <w:rsid w:val="00FD4719"/>
    <w:rsid w:val="00FE1DEE"/>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lsdException w:name="heading 7" w:uiPriority="9"/>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Body Text" w:uiPriority="1" w:qFormat="1"/>
    <w:lsdException w:name="Subtitle" w:semiHidden="0" w:uiPriority="11" w:unhideWhenUsed="0"/>
    <w:lsdException w:name="Date" w:semiHidden="0" w:unhideWhenUsed="0"/>
    <w:lsdException w:name="Strong" w:semiHidden="0" w:uiPriority="22" w:unhideWhenUsed="0"/>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DE6BB6"/>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3"/>
      </w:numPr>
    </w:pPr>
  </w:style>
  <w:style w:type="paragraph" w:styleId="ListBullet2">
    <w:name w:val="List Bullet 2"/>
    <w:basedOn w:val="Normal"/>
    <w:uiPriority w:val="2"/>
    <w:qFormat/>
    <w:rsid w:val="004C2DCA"/>
    <w:pPr>
      <w:numPr>
        <w:ilvl w:val="1"/>
        <w:numId w:val="3"/>
      </w:numPr>
    </w:pPr>
  </w:style>
  <w:style w:type="paragraph" w:styleId="ListBullet3">
    <w:name w:val="List Bullet 3"/>
    <w:basedOn w:val="Normal"/>
    <w:uiPriority w:val="2"/>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4"/>
      </w:numPr>
    </w:pPr>
  </w:style>
  <w:style w:type="paragraph" w:customStyle="1" w:styleId="Numberbullet2">
    <w:name w:val="Number bullet 2"/>
    <w:basedOn w:val="ListBullet2"/>
    <w:qFormat/>
    <w:rsid w:val="004C2DCA"/>
    <w:pPr>
      <w:numPr>
        <w:numId w:val="4"/>
      </w:numPr>
    </w:pPr>
  </w:style>
  <w:style w:type="paragraph" w:customStyle="1" w:styleId="Numberbullet3">
    <w:name w:val="Number bullet 3"/>
    <w:basedOn w:val="ListBullet3"/>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DE6BB6"/>
    <w:pPr>
      <w:framePr w:hSpace="180" w:wrap="around" w:vAnchor="page" w:hAnchor="text" w:y="3316"/>
      <w:numPr>
        <w:ilvl w:val="1"/>
      </w:numPr>
      <w:spacing w:after="360"/>
      <w:ind w:left="170"/>
    </w:pPr>
    <w:rPr>
      <w:rFonts w:ascii="Arial" w:eastAsia="Times New Roman" w:hAnsi="Arial"/>
      <w:bCs/>
      <w:iCs/>
      <w:color w:val="FFFFFF" w:themeColor="background1"/>
      <w:sz w:val="40"/>
      <w:szCs w:val="24"/>
    </w:rPr>
  </w:style>
  <w:style w:type="character" w:customStyle="1" w:styleId="SubtitleChar">
    <w:name w:val="Subtitle Char"/>
    <w:basedOn w:val="DefaultParagraphFont"/>
    <w:link w:val="Subtitle"/>
    <w:uiPriority w:val="11"/>
    <w:rsid w:val="00DE6BB6"/>
    <w:rPr>
      <w:rFonts w:ascii="Arial" w:eastAsia="Times New Roman" w:hAnsi="Arial" w:cs="Times New Roman"/>
      <w:bCs/>
      <w:iCs/>
      <w:color w:val="FFFFFF" w:themeColor="background1"/>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styleId="ListParagraph">
    <w:name w:val="List Paragraph"/>
    <w:basedOn w:val="Normal"/>
    <w:uiPriority w:val="34"/>
    <w:qFormat/>
    <w:rsid w:val="00B43000"/>
    <w:pPr>
      <w:spacing w:before="0" w:after="0" w:line="240" w:lineRule="auto"/>
      <w:ind w:left="720"/>
      <w:contextualSpacing/>
    </w:pPr>
    <w:rPr>
      <w:rFonts w:ascii="Times New Roman" w:eastAsiaTheme="minorHAnsi" w:hAnsi="Times New Roman"/>
      <w:sz w:val="24"/>
      <w:szCs w:val="24"/>
    </w:rPr>
  </w:style>
  <w:style w:type="paragraph" w:customStyle="1" w:styleId="mine">
    <w:name w:val="mine"/>
    <w:basedOn w:val="Normal"/>
    <w:next w:val="Normal"/>
    <w:qFormat/>
    <w:rsid w:val="00B43000"/>
    <w:pPr>
      <w:widowControl w:val="0"/>
      <w:adjustRightInd w:val="0"/>
      <w:snapToGrid w:val="0"/>
      <w:spacing w:before="0" w:after="0" w:line="240" w:lineRule="auto"/>
      <w:contextualSpacing/>
    </w:pPr>
    <w:rPr>
      <w:rFonts w:ascii="Times New Roman" w:eastAsia="MS Mincho" w:hAnsi="Times New Roman"/>
      <w:sz w:val="24"/>
      <w:szCs w:val="21"/>
      <w:lang w:eastAsia="en-AU"/>
    </w:rPr>
  </w:style>
  <w:style w:type="paragraph" w:customStyle="1" w:styleId="Default">
    <w:name w:val="Default"/>
    <w:rsid w:val="00B43000"/>
    <w:pPr>
      <w:autoSpaceDE w:val="0"/>
      <w:autoSpaceDN w:val="0"/>
      <w:adjustRightInd w:val="0"/>
      <w:spacing w:after="0" w:line="240" w:lineRule="auto"/>
    </w:pPr>
    <w:rPr>
      <w:rFonts w:ascii="Verdana" w:hAnsi="Verdana" w:cs="Verdana"/>
      <w:color w:val="000000"/>
      <w:sz w:val="24"/>
      <w:szCs w:val="24"/>
    </w:rPr>
  </w:style>
  <w:style w:type="character" w:customStyle="1" w:styleId="NoSpacingChar">
    <w:name w:val="No Spacing Char"/>
    <w:basedOn w:val="DefaultParagraphFont"/>
    <w:link w:val="NoSpacing"/>
    <w:uiPriority w:val="1"/>
    <w:locked/>
    <w:rsid w:val="00B43000"/>
    <w:rPr>
      <w:rFonts w:ascii="Times New Roman" w:hAnsi="Times New Roman"/>
    </w:rPr>
  </w:style>
  <w:style w:type="paragraph" w:styleId="NoSpacing">
    <w:name w:val="No Spacing"/>
    <w:link w:val="NoSpacingChar"/>
    <w:uiPriority w:val="1"/>
    <w:qFormat/>
    <w:rsid w:val="00B43000"/>
    <w:pPr>
      <w:spacing w:after="0" w:line="240" w:lineRule="auto"/>
    </w:pPr>
    <w:rPr>
      <w:rFonts w:ascii="Times New Roman" w:hAnsi="Times New Roman"/>
    </w:rPr>
  </w:style>
  <w:style w:type="paragraph" w:customStyle="1" w:styleId="table">
    <w:name w:val="table"/>
    <w:basedOn w:val="Normal"/>
    <w:qFormat/>
    <w:rsid w:val="00944B2A"/>
    <w:pPr>
      <w:adjustRightInd w:val="0"/>
      <w:snapToGrid w:val="0"/>
      <w:spacing w:before="0" w:after="0" w:line="240" w:lineRule="auto"/>
    </w:pPr>
    <w:rPr>
      <w:rFonts w:ascii="Times New Roman" w:eastAsia="MS Mincho" w:hAnsi="Times New Roman"/>
      <w:sz w:val="18"/>
      <w:szCs w:val="20"/>
      <w:lang w:eastAsia="ja-JP"/>
    </w:rPr>
  </w:style>
  <w:style w:type="character" w:customStyle="1" w:styleId="A-Head3Char">
    <w:name w:val="A-Head 3 Char"/>
    <w:link w:val="A-Head3"/>
    <w:locked/>
    <w:rsid w:val="00A0661B"/>
    <w:rPr>
      <w:rFonts w:ascii="Arial" w:hAnsi="Arial" w:cs="Arial"/>
      <w:b/>
      <w:sz w:val="28"/>
    </w:rPr>
  </w:style>
  <w:style w:type="paragraph" w:customStyle="1" w:styleId="A-Head3">
    <w:name w:val="A-Head 3"/>
    <w:basedOn w:val="Normal"/>
    <w:link w:val="A-Head3Char"/>
    <w:rsid w:val="00A0661B"/>
    <w:pPr>
      <w:widowControl w:val="0"/>
      <w:tabs>
        <w:tab w:val="left" w:pos="851"/>
      </w:tabs>
      <w:spacing w:after="60" w:line="240" w:lineRule="auto"/>
      <w:ind w:left="1418" w:right="-108" w:hanging="1418"/>
    </w:pPr>
    <w:rPr>
      <w:rFonts w:ascii="Arial" w:eastAsiaTheme="minorHAnsi" w:hAnsi="Arial" w:cs="Arial"/>
      <w:b/>
      <w:sz w:val="28"/>
    </w:rPr>
  </w:style>
  <w:style w:type="paragraph" w:styleId="NormalWeb">
    <w:name w:val="Normal (Web)"/>
    <w:basedOn w:val="Normal"/>
    <w:semiHidden/>
    <w:unhideWhenUsed/>
    <w:rsid w:val="00A0661B"/>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A-Head4">
    <w:name w:val="A-Head 4"/>
    <w:basedOn w:val="Normal"/>
    <w:rsid w:val="00A0661B"/>
    <w:pPr>
      <w:tabs>
        <w:tab w:val="left" w:pos="1418"/>
      </w:tabs>
      <w:spacing w:after="60" w:line="240" w:lineRule="auto"/>
    </w:pPr>
    <w:rPr>
      <w:rFonts w:ascii="Arial" w:eastAsia="Times New Roman" w:hAnsi="Arial"/>
      <w:b/>
      <w:sz w:val="26"/>
      <w:szCs w:val="20"/>
      <w:lang w:eastAsia="en-AU"/>
    </w:rPr>
  </w:style>
  <w:style w:type="character" w:customStyle="1" w:styleId="A-Head2Char">
    <w:name w:val="A-Head 2 Char"/>
    <w:link w:val="A-Head2"/>
    <w:locked/>
    <w:rsid w:val="00A0661B"/>
    <w:rPr>
      <w:rFonts w:ascii="Arial" w:hAnsi="Arial" w:cs="Arial"/>
      <w:b/>
      <w:sz w:val="32"/>
    </w:rPr>
  </w:style>
  <w:style w:type="paragraph" w:customStyle="1" w:styleId="A-Head2">
    <w:name w:val="A-Head 2"/>
    <w:basedOn w:val="Normal"/>
    <w:link w:val="A-Head2Char"/>
    <w:rsid w:val="00A0661B"/>
    <w:pPr>
      <w:tabs>
        <w:tab w:val="left" w:pos="1134"/>
      </w:tabs>
      <w:spacing w:before="240" w:after="60" w:line="240" w:lineRule="auto"/>
      <w:ind w:right="-108"/>
    </w:pPr>
    <w:rPr>
      <w:rFonts w:ascii="Arial" w:eastAsiaTheme="minorHAnsi" w:hAnsi="Arial" w:cs="Arial"/>
      <w:b/>
      <w:sz w:val="32"/>
    </w:rPr>
  </w:style>
  <w:style w:type="paragraph" w:styleId="Index1">
    <w:name w:val="index 1"/>
    <w:basedOn w:val="Normal"/>
    <w:next w:val="Normal"/>
    <w:autoRedefine/>
    <w:semiHidden/>
    <w:unhideWhenUsed/>
    <w:rsid w:val="00A0661B"/>
    <w:pPr>
      <w:spacing w:before="60" w:after="60" w:line="240" w:lineRule="auto"/>
    </w:pPr>
    <w:rPr>
      <w:rFonts w:ascii="Times New Roman" w:eastAsia="Times New Roman" w:hAnsi="Times New Roman"/>
      <w:sz w:val="24"/>
      <w:szCs w:val="20"/>
      <w:lang w:eastAsia="en-AU"/>
    </w:rPr>
  </w:style>
  <w:style w:type="paragraph" w:customStyle="1" w:styleId="A-Head1">
    <w:name w:val="A-Head 1"/>
    <w:basedOn w:val="Normal"/>
    <w:rsid w:val="00A0661B"/>
    <w:pPr>
      <w:tabs>
        <w:tab w:val="left" w:pos="567"/>
      </w:tabs>
      <w:spacing w:before="60" w:after="240" w:line="240" w:lineRule="auto"/>
      <w:ind w:left="567" w:hanging="567"/>
    </w:pPr>
    <w:rPr>
      <w:rFonts w:ascii="Arial" w:eastAsia="Times New Roman" w:hAnsi="Arial"/>
      <w:b/>
      <w:sz w:val="36"/>
      <w:szCs w:val="20"/>
      <w:lang w:eastAsia="en-AU"/>
    </w:rPr>
  </w:style>
  <w:style w:type="paragraph" w:styleId="BodyText">
    <w:name w:val="Body Text"/>
    <w:basedOn w:val="Normal"/>
    <w:link w:val="BodyTextChar"/>
    <w:uiPriority w:val="1"/>
    <w:unhideWhenUsed/>
    <w:qFormat/>
    <w:rsid w:val="00A0661B"/>
    <w:pPr>
      <w:widowControl w:val="0"/>
      <w:autoSpaceDE w:val="0"/>
      <w:autoSpaceDN w:val="0"/>
      <w:adjustRightInd w:val="0"/>
      <w:spacing w:before="0" w:after="0" w:line="240" w:lineRule="auto"/>
      <w:ind w:left="667" w:hanging="360"/>
    </w:pPr>
    <w:rPr>
      <w:rFonts w:ascii="Times New Roman" w:eastAsiaTheme="minorEastAsia" w:hAnsi="Times New Roman"/>
      <w:sz w:val="24"/>
      <w:szCs w:val="24"/>
      <w:lang w:eastAsia="en-AU"/>
    </w:rPr>
  </w:style>
  <w:style w:type="character" w:customStyle="1" w:styleId="BodyTextChar">
    <w:name w:val="Body Text Char"/>
    <w:basedOn w:val="DefaultParagraphFont"/>
    <w:link w:val="BodyText"/>
    <w:uiPriority w:val="1"/>
    <w:rsid w:val="00A0661B"/>
    <w:rPr>
      <w:rFonts w:ascii="Times New Roman" w:eastAsiaTheme="minorEastAsia" w:hAnsi="Times New Roman" w:cs="Times New Roman"/>
      <w:sz w:val="24"/>
      <w:szCs w:val="24"/>
      <w:lang w:eastAsia="en-AU"/>
    </w:rPr>
  </w:style>
  <w:style w:type="paragraph" w:customStyle="1" w:styleId="TableParagraph">
    <w:name w:val="Table Paragraph"/>
    <w:basedOn w:val="Normal"/>
    <w:uiPriority w:val="1"/>
    <w:qFormat/>
    <w:rsid w:val="00A0661B"/>
    <w:pPr>
      <w:widowControl w:val="0"/>
      <w:autoSpaceDE w:val="0"/>
      <w:autoSpaceDN w:val="0"/>
      <w:adjustRightInd w:val="0"/>
      <w:spacing w:before="0" w:after="0" w:line="240" w:lineRule="auto"/>
    </w:pPr>
    <w:rPr>
      <w:rFonts w:ascii="Times New Roman" w:eastAsiaTheme="minorEastAsia" w:hAnsi="Times New Roman"/>
      <w:sz w:val="24"/>
      <w:szCs w:val="24"/>
      <w:lang w:eastAsia="en-AU"/>
    </w:rPr>
  </w:style>
  <w:style w:type="character" w:styleId="Emphasis">
    <w:name w:val="Emphasis"/>
    <w:basedOn w:val="DefaultParagraphFont"/>
    <w:uiPriority w:val="20"/>
    <w:qFormat/>
    <w:rsid w:val="00191CF8"/>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lsdException w:name="heading 7" w:uiPriority="9"/>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Body Text" w:uiPriority="1" w:qFormat="1"/>
    <w:lsdException w:name="Subtitle" w:semiHidden="0" w:uiPriority="11" w:unhideWhenUsed="0"/>
    <w:lsdException w:name="Date" w:semiHidden="0" w:unhideWhenUsed="0"/>
    <w:lsdException w:name="Strong" w:semiHidden="0" w:uiPriority="22" w:unhideWhenUsed="0"/>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DE6BB6"/>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3"/>
      </w:numPr>
    </w:pPr>
  </w:style>
  <w:style w:type="paragraph" w:styleId="ListBullet2">
    <w:name w:val="List Bullet 2"/>
    <w:basedOn w:val="Normal"/>
    <w:uiPriority w:val="2"/>
    <w:qFormat/>
    <w:rsid w:val="004C2DCA"/>
    <w:pPr>
      <w:numPr>
        <w:ilvl w:val="1"/>
        <w:numId w:val="3"/>
      </w:numPr>
    </w:pPr>
  </w:style>
  <w:style w:type="paragraph" w:styleId="ListBullet3">
    <w:name w:val="List Bullet 3"/>
    <w:basedOn w:val="Normal"/>
    <w:uiPriority w:val="2"/>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4"/>
      </w:numPr>
    </w:pPr>
  </w:style>
  <w:style w:type="paragraph" w:customStyle="1" w:styleId="Numberbullet2">
    <w:name w:val="Number bullet 2"/>
    <w:basedOn w:val="ListBullet2"/>
    <w:qFormat/>
    <w:rsid w:val="004C2DCA"/>
    <w:pPr>
      <w:numPr>
        <w:numId w:val="4"/>
      </w:numPr>
    </w:pPr>
  </w:style>
  <w:style w:type="paragraph" w:customStyle="1" w:styleId="Numberbullet3">
    <w:name w:val="Number bullet 3"/>
    <w:basedOn w:val="ListBullet3"/>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DE6BB6"/>
    <w:pPr>
      <w:framePr w:hSpace="180" w:wrap="around" w:vAnchor="page" w:hAnchor="text" w:y="3316"/>
      <w:numPr>
        <w:ilvl w:val="1"/>
      </w:numPr>
      <w:spacing w:after="360"/>
      <w:ind w:left="170"/>
    </w:pPr>
    <w:rPr>
      <w:rFonts w:ascii="Arial" w:eastAsia="Times New Roman" w:hAnsi="Arial"/>
      <w:bCs/>
      <w:iCs/>
      <w:color w:val="FFFFFF" w:themeColor="background1"/>
      <w:sz w:val="40"/>
      <w:szCs w:val="24"/>
    </w:rPr>
  </w:style>
  <w:style w:type="character" w:customStyle="1" w:styleId="SubtitleChar">
    <w:name w:val="Subtitle Char"/>
    <w:basedOn w:val="DefaultParagraphFont"/>
    <w:link w:val="Subtitle"/>
    <w:uiPriority w:val="11"/>
    <w:rsid w:val="00DE6BB6"/>
    <w:rPr>
      <w:rFonts w:ascii="Arial" w:eastAsia="Times New Roman" w:hAnsi="Arial" w:cs="Times New Roman"/>
      <w:bCs/>
      <w:iCs/>
      <w:color w:val="FFFFFF" w:themeColor="background1"/>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styleId="ListParagraph">
    <w:name w:val="List Paragraph"/>
    <w:basedOn w:val="Normal"/>
    <w:uiPriority w:val="34"/>
    <w:qFormat/>
    <w:rsid w:val="00B43000"/>
    <w:pPr>
      <w:spacing w:before="0" w:after="0" w:line="240" w:lineRule="auto"/>
      <w:ind w:left="720"/>
      <w:contextualSpacing/>
    </w:pPr>
    <w:rPr>
      <w:rFonts w:ascii="Times New Roman" w:eastAsiaTheme="minorHAnsi" w:hAnsi="Times New Roman"/>
      <w:sz w:val="24"/>
      <w:szCs w:val="24"/>
    </w:rPr>
  </w:style>
  <w:style w:type="paragraph" w:customStyle="1" w:styleId="mine">
    <w:name w:val="mine"/>
    <w:basedOn w:val="Normal"/>
    <w:next w:val="Normal"/>
    <w:qFormat/>
    <w:rsid w:val="00B43000"/>
    <w:pPr>
      <w:widowControl w:val="0"/>
      <w:adjustRightInd w:val="0"/>
      <w:snapToGrid w:val="0"/>
      <w:spacing w:before="0" w:after="0" w:line="240" w:lineRule="auto"/>
      <w:contextualSpacing/>
    </w:pPr>
    <w:rPr>
      <w:rFonts w:ascii="Times New Roman" w:eastAsia="MS Mincho" w:hAnsi="Times New Roman"/>
      <w:sz w:val="24"/>
      <w:szCs w:val="21"/>
      <w:lang w:eastAsia="en-AU"/>
    </w:rPr>
  </w:style>
  <w:style w:type="paragraph" w:customStyle="1" w:styleId="Default">
    <w:name w:val="Default"/>
    <w:rsid w:val="00B43000"/>
    <w:pPr>
      <w:autoSpaceDE w:val="0"/>
      <w:autoSpaceDN w:val="0"/>
      <w:adjustRightInd w:val="0"/>
      <w:spacing w:after="0" w:line="240" w:lineRule="auto"/>
    </w:pPr>
    <w:rPr>
      <w:rFonts w:ascii="Verdana" w:hAnsi="Verdana" w:cs="Verdana"/>
      <w:color w:val="000000"/>
      <w:sz w:val="24"/>
      <w:szCs w:val="24"/>
    </w:rPr>
  </w:style>
  <w:style w:type="character" w:customStyle="1" w:styleId="NoSpacingChar">
    <w:name w:val="No Spacing Char"/>
    <w:basedOn w:val="DefaultParagraphFont"/>
    <w:link w:val="NoSpacing"/>
    <w:uiPriority w:val="1"/>
    <w:locked/>
    <w:rsid w:val="00B43000"/>
    <w:rPr>
      <w:rFonts w:ascii="Times New Roman" w:hAnsi="Times New Roman"/>
    </w:rPr>
  </w:style>
  <w:style w:type="paragraph" w:styleId="NoSpacing">
    <w:name w:val="No Spacing"/>
    <w:link w:val="NoSpacingChar"/>
    <w:uiPriority w:val="1"/>
    <w:qFormat/>
    <w:rsid w:val="00B43000"/>
    <w:pPr>
      <w:spacing w:after="0" w:line="240" w:lineRule="auto"/>
    </w:pPr>
    <w:rPr>
      <w:rFonts w:ascii="Times New Roman" w:hAnsi="Times New Roman"/>
    </w:rPr>
  </w:style>
  <w:style w:type="paragraph" w:customStyle="1" w:styleId="table">
    <w:name w:val="table"/>
    <w:basedOn w:val="Normal"/>
    <w:qFormat/>
    <w:rsid w:val="00944B2A"/>
    <w:pPr>
      <w:adjustRightInd w:val="0"/>
      <w:snapToGrid w:val="0"/>
      <w:spacing w:before="0" w:after="0" w:line="240" w:lineRule="auto"/>
    </w:pPr>
    <w:rPr>
      <w:rFonts w:ascii="Times New Roman" w:eastAsia="MS Mincho" w:hAnsi="Times New Roman"/>
      <w:sz w:val="18"/>
      <w:szCs w:val="20"/>
      <w:lang w:eastAsia="ja-JP"/>
    </w:rPr>
  </w:style>
  <w:style w:type="character" w:customStyle="1" w:styleId="A-Head3Char">
    <w:name w:val="A-Head 3 Char"/>
    <w:link w:val="A-Head3"/>
    <w:locked/>
    <w:rsid w:val="00A0661B"/>
    <w:rPr>
      <w:rFonts w:ascii="Arial" w:hAnsi="Arial" w:cs="Arial"/>
      <w:b/>
      <w:sz w:val="28"/>
    </w:rPr>
  </w:style>
  <w:style w:type="paragraph" w:customStyle="1" w:styleId="A-Head3">
    <w:name w:val="A-Head 3"/>
    <w:basedOn w:val="Normal"/>
    <w:link w:val="A-Head3Char"/>
    <w:rsid w:val="00A0661B"/>
    <w:pPr>
      <w:widowControl w:val="0"/>
      <w:tabs>
        <w:tab w:val="left" w:pos="851"/>
      </w:tabs>
      <w:spacing w:after="60" w:line="240" w:lineRule="auto"/>
      <w:ind w:left="1418" w:right="-108" w:hanging="1418"/>
    </w:pPr>
    <w:rPr>
      <w:rFonts w:ascii="Arial" w:eastAsiaTheme="minorHAnsi" w:hAnsi="Arial" w:cs="Arial"/>
      <w:b/>
      <w:sz w:val="28"/>
    </w:rPr>
  </w:style>
  <w:style w:type="paragraph" w:styleId="NormalWeb">
    <w:name w:val="Normal (Web)"/>
    <w:basedOn w:val="Normal"/>
    <w:semiHidden/>
    <w:unhideWhenUsed/>
    <w:rsid w:val="00A0661B"/>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A-Head4">
    <w:name w:val="A-Head 4"/>
    <w:basedOn w:val="Normal"/>
    <w:rsid w:val="00A0661B"/>
    <w:pPr>
      <w:tabs>
        <w:tab w:val="left" w:pos="1418"/>
      </w:tabs>
      <w:spacing w:after="60" w:line="240" w:lineRule="auto"/>
    </w:pPr>
    <w:rPr>
      <w:rFonts w:ascii="Arial" w:eastAsia="Times New Roman" w:hAnsi="Arial"/>
      <w:b/>
      <w:sz w:val="26"/>
      <w:szCs w:val="20"/>
      <w:lang w:eastAsia="en-AU"/>
    </w:rPr>
  </w:style>
  <w:style w:type="character" w:customStyle="1" w:styleId="A-Head2Char">
    <w:name w:val="A-Head 2 Char"/>
    <w:link w:val="A-Head2"/>
    <w:locked/>
    <w:rsid w:val="00A0661B"/>
    <w:rPr>
      <w:rFonts w:ascii="Arial" w:hAnsi="Arial" w:cs="Arial"/>
      <w:b/>
      <w:sz w:val="32"/>
    </w:rPr>
  </w:style>
  <w:style w:type="paragraph" w:customStyle="1" w:styleId="A-Head2">
    <w:name w:val="A-Head 2"/>
    <w:basedOn w:val="Normal"/>
    <w:link w:val="A-Head2Char"/>
    <w:rsid w:val="00A0661B"/>
    <w:pPr>
      <w:tabs>
        <w:tab w:val="left" w:pos="1134"/>
      </w:tabs>
      <w:spacing w:before="240" w:after="60" w:line="240" w:lineRule="auto"/>
      <w:ind w:right="-108"/>
    </w:pPr>
    <w:rPr>
      <w:rFonts w:ascii="Arial" w:eastAsiaTheme="minorHAnsi" w:hAnsi="Arial" w:cs="Arial"/>
      <w:b/>
      <w:sz w:val="32"/>
    </w:rPr>
  </w:style>
  <w:style w:type="paragraph" w:styleId="Index1">
    <w:name w:val="index 1"/>
    <w:basedOn w:val="Normal"/>
    <w:next w:val="Normal"/>
    <w:autoRedefine/>
    <w:semiHidden/>
    <w:unhideWhenUsed/>
    <w:rsid w:val="00A0661B"/>
    <w:pPr>
      <w:spacing w:before="60" w:after="60" w:line="240" w:lineRule="auto"/>
    </w:pPr>
    <w:rPr>
      <w:rFonts w:ascii="Times New Roman" w:eastAsia="Times New Roman" w:hAnsi="Times New Roman"/>
      <w:sz w:val="24"/>
      <w:szCs w:val="20"/>
      <w:lang w:eastAsia="en-AU"/>
    </w:rPr>
  </w:style>
  <w:style w:type="paragraph" w:customStyle="1" w:styleId="A-Head1">
    <w:name w:val="A-Head 1"/>
    <w:basedOn w:val="Normal"/>
    <w:rsid w:val="00A0661B"/>
    <w:pPr>
      <w:tabs>
        <w:tab w:val="left" w:pos="567"/>
      </w:tabs>
      <w:spacing w:before="60" w:after="240" w:line="240" w:lineRule="auto"/>
      <w:ind w:left="567" w:hanging="567"/>
    </w:pPr>
    <w:rPr>
      <w:rFonts w:ascii="Arial" w:eastAsia="Times New Roman" w:hAnsi="Arial"/>
      <w:b/>
      <w:sz w:val="36"/>
      <w:szCs w:val="20"/>
      <w:lang w:eastAsia="en-AU"/>
    </w:rPr>
  </w:style>
  <w:style w:type="paragraph" w:styleId="BodyText">
    <w:name w:val="Body Text"/>
    <w:basedOn w:val="Normal"/>
    <w:link w:val="BodyTextChar"/>
    <w:uiPriority w:val="1"/>
    <w:unhideWhenUsed/>
    <w:qFormat/>
    <w:rsid w:val="00A0661B"/>
    <w:pPr>
      <w:widowControl w:val="0"/>
      <w:autoSpaceDE w:val="0"/>
      <w:autoSpaceDN w:val="0"/>
      <w:adjustRightInd w:val="0"/>
      <w:spacing w:before="0" w:after="0" w:line="240" w:lineRule="auto"/>
      <w:ind w:left="667" w:hanging="360"/>
    </w:pPr>
    <w:rPr>
      <w:rFonts w:ascii="Times New Roman" w:eastAsiaTheme="minorEastAsia" w:hAnsi="Times New Roman"/>
      <w:sz w:val="24"/>
      <w:szCs w:val="24"/>
      <w:lang w:eastAsia="en-AU"/>
    </w:rPr>
  </w:style>
  <w:style w:type="character" w:customStyle="1" w:styleId="BodyTextChar">
    <w:name w:val="Body Text Char"/>
    <w:basedOn w:val="DefaultParagraphFont"/>
    <w:link w:val="BodyText"/>
    <w:uiPriority w:val="1"/>
    <w:rsid w:val="00A0661B"/>
    <w:rPr>
      <w:rFonts w:ascii="Times New Roman" w:eastAsiaTheme="minorEastAsia" w:hAnsi="Times New Roman" w:cs="Times New Roman"/>
      <w:sz w:val="24"/>
      <w:szCs w:val="24"/>
      <w:lang w:eastAsia="en-AU"/>
    </w:rPr>
  </w:style>
  <w:style w:type="paragraph" w:customStyle="1" w:styleId="TableParagraph">
    <w:name w:val="Table Paragraph"/>
    <w:basedOn w:val="Normal"/>
    <w:uiPriority w:val="1"/>
    <w:qFormat/>
    <w:rsid w:val="00A0661B"/>
    <w:pPr>
      <w:widowControl w:val="0"/>
      <w:autoSpaceDE w:val="0"/>
      <w:autoSpaceDN w:val="0"/>
      <w:adjustRightInd w:val="0"/>
      <w:spacing w:before="0" w:after="0" w:line="240" w:lineRule="auto"/>
    </w:pPr>
    <w:rPr>
      <w:rFonts w:ascii="Times New Roman" w:eastAsiaTheme="minorEastAsia" w:hAnsi="Times New Roman"/>
      <w:sz w:val="24"/>
      <w:szCs w:val="24"/>
      <w:lang w:eastAsia="en-AU"/>
    </w:rPr>
  </w:style>
  <w:style w:type="character" w:styleId="Emphasis">
    <w:name w:val="Emphasis"/>
    <w:basedOn w:val="DefaultParagraphFont"/>
    <w:uiPriority w:val="20"/>
    <w:qFormat/>
    <w:rsid w:val="00191CF8"/>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218">
      <w:bodyDiv w:val="1"/>
      <w:marLeft w:val="0"/>
      <w:marRight w:val="0"/>
      <w:marTop w:val="0"/>
      <w:marBottom w:val="0"/>
      <w:divBdr>
        <w:top w:val="none" w:sz="0" w:space="0" w:color="auto"/>
        <w:left w:val="none" w:sz="0" w:space="0" w:color="auto"/>
        <w:bottom w:val="none" w:sz="0" w:space="0" w:color="auto"/>
        <w:right w:val="none" w:sz="0" w:space="0" w:color="auto"/>
      </w:divBdr>
    </w:div>
    <w:div w:id="72048808">
      <w:bodyDiv w:val="1"/>
      <w:marLeft w:val="0"/>
      <w:marRight w:val="0"/>
      <w:marTop w:val="0"/>
      <w:marBottom w:val="0"/>
      <w:divBdr>
        <w:top w:val="none" w:sz="0" w:space="0" w:color="auto"/>
        <w:left w:val="none" w:sz="0" w:space="0" w:color="auto"/>
        <w:bottom w:val="none" w:sz="0" w:space="0" w:color="auto"/>
        <w:right w:val="none" w:sz="0" w:space="0" w:color="auto"/>
      </w:divBdr>
    </w:div>
    <w:div w:id="205875061">
      <w:bodyDiv w:val="1"/>
      <w:marLeft w:val="0"/>
      <w:marRight w:val="0"/>
      <w:marTop w:val="0"/>
      <w:marBottom w:val="0"/>
      <w:divBdr>
        <w:top w:val="none" w:sz="0" w:space="0" w:color="auto"/>
        <w:left w:val="none" w:sz="0" w:space="0" w:color="auto"/>
        <w:bottom w:val="none" w:sz="0" w:space="0" w:color="auto"/>
        <w:right w:val="none" w:sz="0" w:space="0" w:color="auto"/>
      </w:divBdr>
    </w:div>
    <w:div w:id="350108829">
      <w:bodyDiv w:val="1"/>
      <w:marLeft w:val="0"/>
      <w:marRight w:val="0"/>
      <w:marTop w:val="0"/>
      <w:marBottom w:val="0"/>
      <w:divBdr>
        <w:top w:val="none" w:sz="0" w:space="0" w:color="auto"/>
        <w:left w:val="none" w:sz="0" w:space="0" w:color="auto"/>
        <w:bottom w:val="none" w:sz="0" w:space="0" w:color="auto"/>
        <w:right w:val="none" w:sz="0" w:space="0" w:color="auto"/>
      </w:divBdr>
    </w:div>
    <w:div w:id="450824074">
      <w:bodyDiv w:val="1"/>
      <w:marLeft w:val="0"/>
      <w:marRight w:val="0"/>
      <w:marTop w:val="0"/>
      <w:marBottom w:val="0"/>
      <w:divBdr>
        <w:top w:val="none" w:sz="0" w:space="0" w:color="auto"/>
        <w:left w:val="none" w:sz="0" w:space="0" w:color="auto"/>
        <w:bottom w:val="none" w:sz="0" w:space="0" w:color="auto"/>
        <w:right w:val="none" w:sz="0" w:space="0" w:color="auto"/>
      </w:divBdr>
    </w:div>
    <w:div w:id="455410553">
      <w:bodyDiv w:val="1"/>
      <w:marLeft w:val="0"/>
      <w:marRight w:val="0"/>
      <w:marTop w:val="0"/>
      <w:marBottom w:val="0"/>
      <w:divBdr>
        <w:top w:val="none" w:sz="0" w:space="0" w:color="auto"/>
        <w:left w:val="none" w:sz="0" w:space="0" w:color="auto"/>
        <w:bottom w:val="none" w:sz="0" w:space="0" w:color="auto"/>
        <w:right w:val="none" w:sz="0" w:space="0" w:color="auto"/>
      </w:divBdr>
    </w:div>
    <w:div w:id="496726877">
      <w:bodyDiv w:val="1"/>
      <w:marLeft w:val="0"/>
      <w:marRight w:val="0"/>
      <w:marTop w:val="0"/>
      <w:marBottom w:val="0"/>
      <w:divBdr>
        <w:top w:val="none" w:sz="0" w:space="0" w:color="auto"/>
        <w:left w:val="none" w:sz="0" w:space="0" w:color="auto"/>
        <w:bottom w:val="none" w:sz="0" w:space="0" w:color="auto"/>
        <w:right w:val="none" w:sz="0" w:space="0" w:color="auto"/>
      </w:divBdr>
    </w:div>
    <w:div w:id="553127832">
      <w:bodyDiv w:val="1"/>
      <w:marLeft w:val="0"/>
      <w:marRight w:val="0"/>
      <w:marTop w:val="0"/>
      <w:marBottom w:val="0"/>
      <w:divBdr>
        <w:top w:val="none" w:sz="0" w:space="0" w:color="auto"/>
        <w:left w:val="none" w:sz="0" w:space="0" w:color="auto"/>
        <w:bottom w:val="none" w:sz="0" w:space="0" w:color="auto"/>
        <w:right w:val="none" w:sz="0" w:space="0" w:color="auto"/>
      </w:divBdr>
    </w:div>
    <w:div w:id="618486453">
      <w:bodyDiv w:val="1"/>
      <w:marLeft w:val="0"/>
      <w:marRight w:val="0"/>
      <w:marTop w:val="0"/>
      <w:marBottom w:val="0"/>
      <w:divBdr>
        <w:top w:val="none" w:sz="0" w:space="0" w:color="auto"/>
        <w:left w:val="none" w:sz="0" w:space="0" w:color="auto"/>
        <w:bottom w:val="none" w:sz="0" w:space="0" w:color="auto"/>
        <w:right w:val="none" w:sz="0" w:space="0" w:color="auto"/>
      </w:divBdr>
    </w:div>
    <w:div w:id="647824221">
      <w:bodyDiv w:val="1"/>
      <w:marLeft w:val="0"/>
      <w:marRight w:val="0"/>
      <w:marTop w:val="0"/>
      <w:marBottom w:val="0"/>
      <w:divBdr>
        <w:top w:val="none" w:sz="0" w:space="0" w:color="auto"/>
        <w:left w:val="none" w:sz="0" w:space="0" w:color="auto"/>
        <w:bottom w:val="none" w:sz="0" w:space="0" w:color="auto"/>
        <w:right w:val="none" w:sz="0" w:space="0" w:color="auto"/>
      </w:divBdr>
    </w:div>
    <w:div w:id="726342398">
      <w:bodyDiv w:val="1"/>
      <w:marLeft w:val="0"/>
      <w:marRight w:val="0"/>
      <w:marTop w:val="0"/>
      <w:marBottom w:val="0"/>
      <w:divBdr>
        <w:top w:val="none" w:sz="0" w:space="0" w:color="auto"/>
        <w:left w:val="none" w:sz="0" w:space="0" w:color="auto"/>
        <w:bottom w:val="none" w:sz="0" w:space="0" w:color="auto"/>
        <w:right w:val="none" w:sz="0" w:space="0" w:color="auto"/>
      </w:divBdr>
    </w:div>
    <w:div w:id="737360092">
      <w:bodyDiv w:val="1"/>
      <w:marLeft w:val="0"/>
      <w:marRight w:val="0"/>
      <w:marTop w:val="0"/>
      <w:marBottom w:val="0"/>
      <w:divBdr>
        <w:top w:val="none" w:sz="0" w:space="0" w:color="auto"/>
        <w:left w:val="none" w:sz="0" w:space="0" w:color="auto"/>
        <w:bottom w:val="none" w:sz="0" w:space="0" w:color="auto"/>
        <w:right w:val="none" w:sz="0" w:space="0" w:color="auto"/>
      </w:divBdr>
    </w:div>
    <w:div w:id="949975226">
      <w:bodyDiv w:val="1"/>
      <w:marLeft w:val="0"/>
      <w:marRight w:val="0"/>
      <w:marTop w:val="0"/>
      <w:marBottom w:val="0"/>
      <w:divBdr>
        <w:top w:val="none" w:sz="0" w:space="0" w:color="auto"/>
        <w:left w:val="none" w:sz="0" w:space="0" w:color="auto"/>
        <w:bottom w:val="none" w:sz="0" w:space="0" w:color="auto"/>
        <w:right w:val="none" w:sz="0" w:space="0" w:color="auto"/>
      </w:divBdr>
      <w:divsChild>
        <w:div w:id="1566261517">
          <w:marLeft w:val="0"/>
          <w:marRight w:val="0"/>
          <w:marTop w:val="0"/>
          <w:marBottom w:val="0"/>
          <w:divBdr>
            <w:top w:val="none" w:sz="0" w:space="0" w:color="auto"/>
            <w:left w:val="none" w:sz="0" w:space="0" w:color="auto"/>
            <w:bottom w:val="none" w:sz="0" w:space="0" w:color="auto"/>
            <w:right w:val="none" w:sz="0" w:space="0" w:color="auto"/>
          </w:divBdr>
          <w:divsChild>
            <w:div w:id="663315152">
              <w:marLeft w:val="0"/>
              <w:marRight w:val="0"/>
              <w:marTop w:val="0"/>
              <w:marBottom w:val="0"/>
              <w:divBdr>
                <w:top w:val="none" w:sz="0" w:space="0" w:color="auto"/>
                <w:left w:val="none" w:sz="0" w:space="0" w:color="auto"/>
                <w:bottom w:val="none" w:sz="0" w:space="0" w:color="auto"/>
                <w:right w:val="none" w:sz="0" w:space="0" w:color="auto"/>
              </w:divBdr>
              <w:divsChild>
                <w:div w:id="964232960">
                  <w:marLeft w:val="0"/>
                  <w:marRight w:val="0"/>
                  <w:marTop w:val="0"/>
                  <w:marBottom w:val="0"/>
                  <w:divBdr>
                    <w:top w:val="none" w:sz="0" w:space="0" w:color="auto"/>
                    <w:left w:val="none" w:sz="0" w:space="0" w:color="auto"/>
                    <w:bottom w:val="none" w:sz="0" w:space="0" w:color="auto"/>
                    <w:right w:val="none" w:sz="0" w:space="0" w:color="auto"/>
                  </w:divBdr>
                  <w:divsChild>
                    <w:div w:id="6713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356993">
      <w:bodyDiv w:val="1"/>
      <w:marLeft w:val="0"/>
      <w:marRight w:val="0"/>
      <w:marTop w:val="0"/>
      <w:marBottom w:val="0"/>
      <w:divBdr>
        <w:top w:val="none" w:sz="0" w:space="0" w:color="auto"/>
        <w:left w:val="none" w:sz="0" w:space="0" w:color="auto"/>
        <w:bottom w:val="none" w:sz="0" w:space="0" w:color="auto"/>
        <w:right w:val="none" w:sz="0" w:space="0" w:color="auto"/>
      </w:divBdr>
    </w:div>
    <w:div w:id="1228491574">
      <w:bodyDiv w:val="1"/>
      <w:marLeft w:val="0"/>
      <w:marRight w:val="0"/>
      <w:marTop w:val="0"/>
      <w:marBottom w:val="0"/>
      <w:divBdr>
        <w:top w:val="none" w:sz="0" w:space="0" w:color="auto"/>
        <w:left w:val="none" w:sz="0" w:space="0" w:color="auto"/>
        <w:bottom w:val="none" w:sz="0" w:space="0" w:color="auto"/>
        <w:right w:val="none" w:sz="0" w:space="0" w:color="auto"/>
      </w:divBdr>
    </w:div>
    <w:div w:id="1236356812">
      <w:bodyDiv w:val="1"/>
      <w:marLeft w:val="0"/>
      <w:marRight w:val="0"/>
      <w:marTop w:val="0"/>
      <w:marBottom w:val="0"/>
      <w:divBdr>
        <w:top w:val="none" w:sz="0" w:space="0" w:color="auto"/>
        <w:left w:val="none" w:sz="0" w:space="0" w:color="auto"/>
        <w:bottom w:val="none" w:sz="0" w:space="0" w:color="auto"/>
        <w:right w:val="none" w:sz="0" w:space="0" w:color="auto"/>
      </w:divBdr>
    </w:div>
    <w:div w:id="1270311210">
      <w:bodyDiv w:val="1"/>
      <w:marLeft w:val="0"/>
      <w:marRight w:val="0"/>
      <w:marTop w:val="0"/>
      <w:marBottom w:val="0"/>
      <w:divBdr>
        <w:top w:val="none" w:sz="0" w:space="0" w:color="auto"/>
        <w:left w:val="none" w:sz="0" w:space="0" w:color="auto"/>
        <w:bottom w:val="none" w:sz="0" w:space="0" w:color="auto"/>
        <w:right w:val="none" w:sz="0" w:space="0" w:color="auto"/>
      </w:divBdr>
    </w:div>
    <w:div w:id="1318342829">
      <w:bodyDiv w:val="1"/>
      <w:marLeft w:val="0"/>
      <w:marRight w:val="0"/>
      <w:marTop w:val="0"/>
      <w:marBottom w:val="0"/>
      <w:divBdr>
        <w:top w:val="none" w:sz="0" w:space="0" w:color="auto"/>
        <w:left w:val="none" w:sz="0" w:space="0" w:color="auto"/>
        <w:bottom w:val="none" w:sz="0" w:space="0" w:color="auto"/>
        <w:right w:val="none" w:sz="0" w:space="0" w:color="auto"/>
      </w:divBdr>
    </w:div>
    <w:div w:id="1355308001">
      <w:bodyDiv w:val="1"/>
      <w:marLeft w:val="0"/>
      <w:marRight w:val="0"/>
      <w:marTop w:val="0"/>
      <w:marBottom w:val="0"/>
      <w:divBdr>
        <w:top w:val="none" w:sz="0" w:space="0" w:color="auto"/>
        <w:left w:val="none" w:sz="0" w:space="0" w:color="auto"/>
        <w:bottom w:val="none" w:sz="0" w:space="0" w:color="auto"/>
        <w:right w:val="none" w:sz="0" w:space="0" w:color="auto"/>
      </w:divBdr>
    </w:div>
    <w:div w:id="1360624836">
      <w:bodyDiv w:val="1"/>
      <w:marLeft w:val="0"/>
      <w:marRight w:val="0"/>
      <w:marTop w:val="0"/>
      <w:marBottom w:val="0"/>
      <w:divBdr>
        <w:top w:val="none" w:sz="0" w:space="0" w:color="auto"/>
        <w:left w:val="none" w:sz="0" w:space="0" w:color="auto"/>
        <w:bottom w:val="none" w:sz="0" w:space="0" w:color="auto"/>
        <w:right w:val="none" w:sz="0" w:space="0" w:color="auto"/>
      </w:divBdr>
    </w:div>
    <w:div w:id="1366061295">
      <w:bodyDiv w:val="1"/>
      <w:marLeft w:val="0"/>
      <w:marRight w:val="0"/>
      <w:marTop w:val="0"/>
      <w:marBottom w:val="0"/>
      <w:divBdr>
        <w:top w:val="none" w:sz="0" w:space="0" w:color="auto"/>
        <w:left w:val="none" w:sz="0" w:space="0" w:color="auto"/>
        <w:bottom w:val="none" w:sz="0" w:space="0" w:color="auto"/>
        <w:right w:val="none" w:sz="0" w:space="0" w:color="auto"/>
      </w:divBdr>
    </w:div>
    <w:div w:id="1381203173">
      <w:bodyDiv w:val="1"/>
      <w:marLeft w:val="0"/>
      <w:marRight w:val="0"/>
      <w:marTop w:val="0"/>
      <w:marBottom w:val="0"/>
      <w:divBdr>
        <w:top w:val="none" w:sz="0" w:space="0" w:color="auto"/>
        <w:left w:val="none" w:sz="0" w:space="0" w:color="auto"/>
        <w:bottom w:val="none" w:sz="0" w:space="0" w:color="auto"/>
        <w:right w:val="none" w:sz="0" w:space="0" w:color="auto"/>
      </w:divBdr>
    </w:div>
    <w:div w:id="1438675645">
      <w:bodyDiv w:val="1"/>
      <w:marLeft w:val="0"/>
      <w:marRight w:val="0"/>
      <w:marTop w:val="0"/>
      <w:marBottom w:val="0"/>
      <w:divBdr>
        <w:top w:val="none" w:sz="0" w:space="0" w:color="auto"/>
        <w:left w:val="none" w:sz="0" w:space="0" w:color="auto"/>
        <w:bottom w:val="none" w:sz="0" w:space="0" w:color="auto"/>
        <w:right w:val="none" w:sz="0" w:space="0" w:color="auto"/>
      </w:divBdr>
    </w:div>
    <w:div w:id="1466005881">
      <w:bodyDiv w:val="1"/>
      <w:marLeft w:val="0"/>
      <w:marRight w:val="0"/>
      <w:marTop w:val="0"/>
      <w:marBottom w:val="0"/>
      <w:divBdr>
        <w:top w:val="none" w:sz="0" w:space="0" w:color="auto"/>
        <w:left w:val="none" w:sz="0" w:space="0" w:color="auto"/>
        <w:bottom w:val="none" w:sz="0" w:space="0" w:color="auto"/>
        <w:right w:val="none" w:sz="0" w:space="0" w:color="auto"/>
      </w:divBdr>
    </w:div>
    <w:div w:id="1545023231">
      <w:bodyDiv w:val="1"/>
      <w:marLeft w:val="0"/>
      <w:marRight w:val="0"/>
      <w:marTop w:val="0"/>
      <w:marBottom w:val="0"/>
      <w:divBdr>
        <w:top w:val="none" w:sz="0" w:space="0" w:color="auto"/>
        <w:left w:val="none" w:sz="0" w:space="0" w:color="auto"/>
        <w:bottom w:val="none" w:sz="0" w:space="0" w:color="auto"/>
        <w:right w:val="none" w:sz="0" w:space="0" w:color="auto"/>
      </w:divBdr>
    </w:div>
    <w:div w:id="1548224123">
      <w:bodyDiv w:val="1"/>
      <w:marLeft w:val="0"/>
      <w:marRight w:val="0"/>
      <w:marTop w:val="0"/>
      <w:marBottom w:val="0"/>
      <w:divBdr>
        <w:top w:val="none" w:sz="0" w:space="0" w:color="auto"/>
        <w:left w:val="none" w:sz="0" w:space="0" w:color="auto"/>
        <w:bottom w:val="none" w:sz="0" w:space="0" w:color="auto"/>
        <w:right w:val="none" w:sz="0" w:space="0" w:color="auto"/>
      </w:divBdr>
    </w:div>
    <w:div w:id="1593514564">
      <w:bodyDiv w:val="1"/>
      <w:marLeft w:val="0"/>
      <w:marRight w:val="0"/>
      <w:marTop w:val="0"/>
      <w:marBottom w:val="0"/>
      <w:divBdr>
        <w:top w:val="none" w:sz="0" w:space="0" w:color="auto"/>
        <w:left w:val="none" w:sz="0" w:space="0" w:color="auto"/>
        <w:bottom w:val="none" w:sz="0" w:space="0" w:color="auto"/>
        <w:right w:val="none" w:sz="0" w:space="0" w:color="auto"/>
      </w:divBdr>
    </w:div>
    <w:div w:id="1614941453">
      <w:bodyDiv w:val="1"/>
      <w:marLeft w:val="0"/>
      <w:marRight w:val="0"/>
      <w:marTop w:val="0"/>
      <w:marBottom w:val="0"/>
      <w:divBdr>
        <w:top w:val="none" w:sz="0" w:space="0" w:color="auto"/>
        <w:left w:val="none" w:sz="0" w:space="0" w:color="auto"/>
        <w:bottom w:val="none" w:sz="0" w:space="0" w:color="auto"/>
        <w:right w:val="none" w:sz="0" w:space="0" w:color="auto"/>
      </w:divBdr>
    </w:div>
    <w:div w:id="1820221507">
      <w:bodyDiv w:val="1"/>
      <w:marLeft w:val="0"/>
      <w:marRight w:val="0"/>
      <w:marTop w:val="0"/>
      <w:marBottom w:val="0"/>
      <w:divBdr>
        <w:top w:val="none" w:sz="0" w:space="0" w:color="auto"/>
        <w:left w:val="none" w:sz="0" w:space="0" w:color="auto"/>
        <w:bottom w:val="none" w:sz="0" w:space="0" w:color="auto"/>
        <w:right w:val="none" w:sz="0" w:space="0" w:color="auto"/>
      </w:divBdr>
    </w:div>
    <w:div w:id="1827742108">
      <w:bodyDiv w:val="1"/>
      <w:marLeft w:val="0"/>
      <w:marRight w:val="0"/>
      <w:marTop w:val="0"/>
      <w:marBottom w:val="0"/>
      <w:divBdr>
        <w:top w:val="none" w:sz="0" w:space="0" w:color="auto"/>
        <w:left w:val="none" w:sz="0" w:space="0" w:color="auto"/>
        <w:bottom w:val="none" w:sz="0" w:space="0" w:color="auto"/>
        <w:right w:val="none" w:sz="0" w:space="0" w:color="auto"/>
      </w:divBdr>
    </w:div>
    <w:div w:id="1842308580">
      <w:bodyDiv w:val="1"/>
      <w:marLeft w:val="0"/>
      <w:marRight w:val="0"/>
      <w:marTop w:val="0"/>
      <w:marBottom w:val="0"/>
      <w:divBdr>
        <w:top w:val="none" w:sz="0" w:space="0" w:color="auto"/>
        <w:left w:val="none" w:sz="0" w:space="0" w:color="auto"/>
        <w:bottom w:val="none" w:sz="0" w:space="0" w:color="auto"/>
        <w:right w:val="none" w:sz="0" w:space="0" w:color="auto"/>
      </w:divBdr>
    </w:div>
    <w:div w:id="1863518769">
      <w:bodyDiv w:val="1"/>
      <w:marLeft w:val="0"/>
      <w:marRight w:val="0"/>
      <w:marTop w:val="0"/>
      <w:marBottom w:val="0"/>
      <w:divBdr>
        <w:top w:val="none" w:sz="0" w:space="0" w:color="auto"/>
        <w:left w:val="none" w:sz="0" w:space="0" w:color="auto"/>
        <w:bottom w:val="none" w:sz="0" w:space="0" w:color="auto"/>
        <w:right w:val="none" w:sz="0" w:space="0" w:color="auto"/>
      </w:divBdr>
    </w:div>
    <w:div w:id="1905527208">
      <w:bodyDiv w:val="1"/>
      <w:marLeft w:val="0"/>
      <w:marRight w:val="0"/>
      <w:marTop w:val="0"/>
      <w:marBottom w:val="0"/>
      <w:divBdr>
        <w:top w:val="none" w:sz="0" w:space="0" w:color="auto"/>
        <w:left w:val="none" w:sz="0" w:space="0" w:color="auto"/>
        <w:bottom w:val="none" w:sz="0" w:space="0" w:color="auto"/>
        <w:right w:val="none" w:sz="0" w:space="0" w:color="auto"/>
      </w:divBdr>
    </w:div>
    <w:div w:id="1969847488">
      <w:bodyDiv w:val="1"/>
      <w:marLeft w:val="0"/>
      <w:marRight w:val="0"/>
      <w:marTop w:val="0"/>
      <w:marBottom w:val="0"/>
      <w:divBdr>
        <w:top w:val="none" w:sz="0" w:space="0" w:color="auto"/>
        <w:left w:val="none" w:sz="0" w:space="0" w:color="auto"/>
        <w:bottom w:val="none" w:sz="0" w:space="0" w:color="auto"/>
        <w:right w:val="none" w:sz="0" w:space="0" w:color="auto"/>
      </w:divBdr>
    </w:div>
    <w:div w:id="197571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tga.gov.a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info@tga.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pbs.gov.au/info/browse/statistics" TargetMode="Externa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yperlink" Target="mailto:tga.copyright@tga.gov.a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tga.gov.au" TargetMode="External"/><Relationship Id="rId14" Type="http://schemas.openxmlformats.org/officeDocument/2006/relationships/image" Target="media/image3.emf"/><Relationship Id="rId22" Type="http://schemas.openxmlformats.org/officeDocument/2006/relationships/header" Target="header6.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sa.org.au/download/guidelines/member-only-guidelines/dispensing-practice-" TargetMode="External"/><Relationship Id="rId1" Type="http://schemas.openxmlformats.org/officeDocument/2006/relationships/hyperlink" Target="http://www.psa.org.au/download/standards/professional-practice-standards-v4.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ann\AppData\Local\Hewlett-Packard\HP%20TRIM\TEMP\HPTRIM.7152\R12%20926607%20%20AusPAR%20-%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FA2D5-B4E0-4F01-93D4-6270A05CE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 926607  AusPAR - template</Template>
  <TotalTime>27</TotalTime>
  <Pages>35</Pages>
  <Words>15131</Words>
  <Characters>71877</Characters>
  <Application>Microsoft Office Word</Application>
  <DocSecurity>0</DocSecurity>
  <Lines>5529</Lines>
  <Paragraphs>3346</Paragraphs>
  <ScaleCrop>false</ScaleCrop>
  <HeadingPairs>
    <vt:vector size="2" baseType="variant">
      <vt:variant>
        <vt:lpstr>Title</vt:lpstr>
      </vt:variant>
      <vt:variant>
        <vt:i4>1</vt:i4>
      </vt:variant>
    </vt:vector>
  </HeadingPairs>
  <TitlesOfParts>
    <vt:vector size="1" baseType="lpstr">
      <vt:lpstr>Australian public assessment for Gliclazide</vt:lpstr>
    </vt:vector>
  </TitlesOfParts>
  <Company/>
  <LinksUpToDate>false</LinksUpToDate>
  <CharactersWithSpaces>83662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for Gliclazide</dc:title>
  <dc:subject>prescription medicines</dc:subject>
  <dc:creator>Therapeutic Goods Administration</dc:creator>
  <cp:keywords>AusPARs</cp:keywords>
  <cp:lastModifiedBy>Lack, Janet</cp:lastModifiedBy>
  <cp:revision>4</cp:revision>
  <cp:lastPrinted>2016-07-05T02:58:00Z</cp:lastPrinted>
  <dcterms:created xsi:type="dcterms:W3CDTF">2016-07-19T23:19:00Z</dcterms:created>
  <dcterms:modified xsi:type="dcterms:W3CDTF">2016-07-20T03:32:00Z</dcterms:modified>
  <cp:category/>
</cp:coreProperties>
</file>