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4"/>
      </w:tblGrid>
      <w:tr w:rsidR="008E7846" w:rsidRPr="00487162" w:rsidTr="00937428">
        <w:trPr>
          <w:trHeight w:val="1575"/>
        </w:trPr>
        <w:tc>
          <w:tcPr>
            <w:tcW w:w="8314" w:type="dxa"/>
            <w:tcBorders>
              <w:top w:val="nil"/>
              <w:left w:val="nil"/>
              <w:bottom w:val="nil"/>
              <w:right w:val="nil"/>
            </w:tcBorders>
          </w:tcPr>
          <w:p w:rsidR="008E7846" w:rsidRPr="0017078F" w:rsidRDefault="00937428" w:rsidP="0017078F">
            <w:pPr>
              <w:rPr>
                <w:rFonts w:ascii="Arial" w:hAnsi="Arial" w:cs="Arial"/>
                <w:b/>
                <w:color w:val="002C47"/>
                <w:sz w:val="36"/>
                <w:szCs w:val="36"/>
              </w:rPr>
            </w:pPr>
            <w:r>
              <w:rPr>
                <w:rFonts w:ascii="Arial" w:hAnsi="Arial" w:cs="Arial"/>
                <w:b/>
                <w:color w:val="002C47"/>
                <w:sz w:val="36"/>
                <w:szCs w:val="36"/>
              </w:rPr>
              <w:t>Date of CER: 26 November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937428">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proofErr w:type="spellStart"/>
            <w:r w:rsidR="00937428">
              <w:rPr>
                <w:color w:val="FFFFFF" w:themeColor="background1"/>
              </w:rPr>
              <w:t>golimumab</w:t>
            </w:r>
            <w:proofErr w:type="spellEnd"/>
            <w:r w:rsidR="00937428">
              <w:rPr>
                <w:color w:val="FFFFFF" w:themeColor="background1"/>
              </w:rPr>
              <w:t xml:space="preserve"> (</w:t>
            </w:r>
            <w:proofErr w:type="spellStart"/>
            <w:r w:rsidR="00937428">
              <w:rPr>
                <w:color w:val="FFFFFF" w:themeColor="background1"/>
              </w:rPr>
              <w:t>rmc</w:t>
            </w:r>
            <w:proofErr w:type="spellEnd"/>
            <w:r w:rsidR="00937428">
              <w:rPr>
                <w:color w:val="FFFFFF" w:themeColor="background1"/>
              </w:rPr>
              <w:t>)</w:t>
            </w:r>
          </w:p>
        </w:tc>
      </w:tr>
      <w:tr w:rsidR="00E07F15" w:rsidRPr="00B64760" w:rsidTr="00E07F15">
        <w:tc>
          <w:tcPr>
            <w:tcW w:w="9079" w:type="dxa"/>
          </w:tcPr>
          <w:p w:rsidR="00E07F15" w:rsidRPr="008E7846" w:rsidRDefault="00E07F15" w:rsidP="00937428">
            <w:pPr>
              <w:pStyle w:val="Subtitle"/>
              <w:rPr>
                <w:color w:val="FFFFFF" w:themeColor="background1"/>
              </w:rPr>
            </w:pPr>
            <w:r w:rsidRPr="008E7846">
              <w:rPr>
                <w:color w:val="FFFFFF" w:themeColor="background1"/>
              </w:rPr>
              <w:t xml:space="preserve">Proprietary Product Name: </w:t>
            </w:r>
            <w:proofErr w:type="spellStart"/>
            <w:r w:rsidR="00937428">
              <w:rPr>
                <w:color w:val="FFFFFF" w:themeColor="background1"/>
              </w:rPr>
              <w:t>Simponi</w:t>
            </w:r>
            <w:proofErr w:type="spellEnd"/>
          </w:p>
        </w:tc>
      </w:tr>
      <w:tr w:rsidR="00E07F15" w:rsidRPr="00B64760" w:rsidTr="00E07F15">
        <w:trPr>
          <w:trHeight w:val="486"/>
        </w:trPr>
        <w:tc>
          <w:tcPr>
            <w:tcW w:w="9079" w:type="dxa"/>
          </w:tcPr>
          <w:p w:rsidR="00E07F15" w:rsidRPr="008E7846" w:rsidRDefault="00E07F15" w:rsidP="00937428">
            <w:pPr>
              <w:pStyle w:val="Subtitle"/>
              <w:rPr>
                <w:color w:val="FFFFFF" w:themeColor="background1"/>
              </w:rPr>
            </w:pPr>
            <w:r w:rsidRPr="008E7846">
              <w:rPr>
                <w:color w:val="FFFFFF" w:themeColor="background1"/>
              </w:rPr>
              <w:t xml:space="preserve">Sponsor: </w:t>
            </w:r>
            <w:r w:rsidR="00937428">
              <w:rPr>
                <w:color w:val="FFFFFF" w:themeColor="background1"/>
              </w:rPr>
              <w:t>Janssen-</w:t>
            </w:r>
            <w:proofErr w:type="spellStart"/>
            <w:r w:rsidR="00937428">
              <w:rPr>
                <w:color w:val="FFFFFF" w:themeColor="background1"/>
              </w:rPr>
              <w:t>Cilag</w:t>
            </w:r>
            <w:proofErr w:type="spellEnd"/>
            <w:r w:rsidR="00937428">
              <w:rPr>
                <w:color w:val="FFFFFF" w:themeColor="background1"/>
              </w:rPr>
              <w:t xml:space="preserve"> Pty Ltd</w:t>
            </w:r>
          </w:p>
        </w:tc>
      </w:tr>
    </w:tbl>
    <w:p w:rsidR="008E7846" w:rsidRDefault="008E7846" w:rsidP="008E7846">
      <w:pPr>
        <w:pStyle w:val="NonTOCHeading2"/>
      </w:pPr>
      <w:r>
        <w:br w:type="page"/>
      </w:r>
      <w:bookmarkStart w:id="0" w:name="_GoBack"/>
      <w:bookmarkEnd w:id="0"/>
    </w:p>
    <w:p w:rsidR="008E7846" w:rsidRPr="001F6CBA" w:rsidRDefault="008E7846" w:rsidP="008E7846">
      <w:pPr>
        <w:pStyle w:val="NonTOCHeading2"/>
      </w:pPr>
      <w:r w:rsidRPr="001F6CBA">
        <w:lastRenderedPageBreak/>
        <w:t>About the Therapeutic Goods Administration (TGA)</w:t>
      </w:r>
    </w:p>
    <w:p w:rsidR="008E7846" w:rsidRDefault="008E7846" w:rsidP="00163A4C">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163A4C">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163A4C">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163A4C">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163A4C">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7E6E27" w:rsidRPr="00607888">
          <w:rPr>
            <w:rStyle w:val="Hyperlink"/>
          </w:rPr>
          <w:t>http://www.tga.gov.au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B1425E" w:rsidRPr="00B1425E">
          <w:rPr>
            <w:rStyle w:val="Hyperlink"/>
          </w:rPr>
          <w:t>http://www.tga.gov.au/hp/information-medicines-pi.htm</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1B5D98">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1" w:name="_Toc196046425" w:displacedByCustomXml="next"/>
    <w:bookmarkStart w:id="2"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227C75"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0694730" w:history="1">
            <w:r w:rsidR="00227C75" w:rsidRPr="009F2644">
              <w:rPr>
                <w:rStyle w:val="Hyperlink"/>
                <w:noProof/>
              </w:rPr>
              <w:t>List of abbreviations</w:t>
            </w:r>
            <w:r w:rsidR="00227C75">
              <w:rPr>
                <w:noProof/>
                <w:webHidden/>
              </w:rPr>
              <w:tab/>
            </w:r>
            <w:r w:rsidR="00227C75">
              <w:rPr>
                <w:noProof/>
                <w:webHidden/>
              </w:rPr>
              <w:fldChar w:fldCharType="begin"/>
            </w:r>
            <w:r w:rsidR="00227C75">
              <w:rPr>
                <w:noProof/>
                <w:webHidden/>
              </w:rPr>
              <w:instrText xml:space="preserve"> PAGEREF _Toc390694730 \h </w:instrText>
            </w:r>
            <w:r w:rsidR="00227C75">
              <w:rPr>
                <w:noProof/>
                <w:webHidden/>
              </w:rPr>
            </w:r>
            <w:r w:rsidR="00227C75">
              <w:rPr>
                <w:noProof/>
                <w:webHidden/>
              </w:rPr>
              <w:fldChar w:fldCharType="separate"/>
            </w:r>
            <w:r w:rsidR="00227C75">
              <w:rPr>
                <w:noProof/>
                <w:webHidden/>
              </w:rPr>
              <w:t>5</w:t>
            </w:r>
            <w:r w:rsidR="00227C75">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31" w:history="1">
            <w:r w:rsidRPr="009F2644">
              <w:rPr>
                <w:rStyle w:val="Hyperlink"/>
                <w:noProof/>
                <w:lang w:eastAsia="en-AU"/>
              </w:rPr>
              <w:t>1.</w:t>
            </w:r>
            <w:r>
              <w:rPr>
                <w:rFonts w:asciiTheme="minorHAnsi" w:eastAsiaTheme="minorEastAsia" w:hAnsiTheme="minorHAnsi" w:cstheme="minorBidi"/>
                <w:b w:val="0"/>
                <w:noProof/>
                <w:sz w:val="22"/>
                <w:lang w:eastAsia="en-AU"/>
              </w:rPr>
              <w:tab/>
            </w:r>
            <w:r w:rsidRPr="009F2644">
              <w:rPr>
                <w:rStyle w:val="Hyperlink"/>
                <w:noProof/>
                <w:lang w:eastAsia="en-AU"/>
              </w:rPr>
              <w:t>Clinical rationale</w:t>
            </w:r>
            <w:r>
              <w:rPr>
                <w:noProof/>
                <w:webHidden/>
              </w:rPr>
              <w:tab/>
            </w:r>
            <w:r>
              <w:rPr>
                <w:noProof/>
                <w:webHidden/>
              </w:rPr>
              <w:fldChar w:fldCharType="begin"/>
            </w:r>
            <w:r>
              <w:rPr>
                <w:noProof/>
                <w:webHidden/>
              </w:rPr>
              <w:instrText xml:space="preserve"> PAGEREF _Toc390694731 \h </w:instrText>
            </w:r>
            <w:r>
              <w:rPr>
                <w:noProof/>
                <w:webHidden/>
              </w:rPr>
            </w:r>
            <w:r>
              <w:rPr>
                <w:noProof/>
                <w:webHidden/>
              </w:rPr>
              <w:fldChar w:fldCharType="separate"/>
            </w:r>
            <w:r>
              <w:rPr>
                <w:noProof/>
                <w:webHidden/>
              </w:rPr>
              <w:t>5</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32" w:history="1">
            <w:r w:rsidRPr="009F2644">
              <w:rPr>
                <w:rStyle w:val="Hyperlink"/>
                <w:noProof/>
              </w:rPr>
              <w:t>1.1.</w:t>
            </w:r>
            <w:r>
              <w:rPr>
                <w:rFonts w:asciiTheme="minorHAnsi" w:eastAsiaTheme="minorEastAsia" w:hAnsiTheme="minorHAnsi" w:cstheme="minorBidi"/>
                <w:noProof/>
                <w:lang w:eastAsia="en-AU"/>
              </w:rPr>
              <w:tab/>
            </w:r>
            <w:r w:rsidRPr="009F2644">
              <w:rPr>
                <w:rStyle w:val="Hyperlink"/>
                <w:noProof/>
              </w:rPr>
              <w:t>Guidance</w:t>
            </w:r>
            <w:r>
              <w:rPr>
                <w:noProof/>
                <w:webHidden/>
              </w:rPr>
              <w:tab/>
            </w:r>
            <w:r>
              <w:rPr>
                <w:noProof/>
                <w:webHidden/>
              </w:rPr>
              <w:fldChar w:fldCharType="begin"/>
            </w:r>
            <w:r>
              <w:rPr>
                <w:noProof/>
                <w:webHidden/>
              </w:rPr>
              <w:instrText xml:space="preserve"> PAGEREF _Toc390694732 \h </w:instrText>
            </w:r>
            <w:r>
              <w:rPr>
                <w:noProof/>
                <w:webHidden/>
              </w:rPr>
            </w:r>
            <w:r>
              <w:rPr>
                <w:noProof/>
                <w:webHidden/>
              </w:rPr>
              <w:fldChar w:fldCharType="separate"/>
            </w:r>
            <w:r>
              <w:rPr>
                <w:noProof/>
                <w:webHidden/>
              </w:rPr>
              <w:t>5</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33" w:history="1">
            <w:r w:rsidRPr="009F2644">
              <w:rPr>
                <w:rStyle w:val="Hyperlink"/>
                <w:noProof/>
              </w:rPr>
              <w:t>1.2.</w:t>
            </w:r>
            <w:r>
              <w:rPr>
                <w:rFonts w:asciiTheme="minorHAnsi" w:eastAsiaTheme="minorEastAsia" w:hAnsiTheme="minorHAnsi" w:cstheme="minorBidi"/>
                <w:noProof/>
                <w:lang w:eastAsia="en-AU"/>
              </w:rPr>
              <w:tab/>
            </w:r>
            <w:r w:rsidRPr="009F2644">
              <w:rPr>
                <w:rStyle w:val="Hyperlink"/>
                <w:noProof/>
              </w:rPr>
              <w:t>Regulatory background</w:t>
            </w:r>
            <w:r>
              <w:rPr>
                <w:noProof/>
                <w:webHidden/>
              </w:rPr>
              <w:tab/>
            </w:r>
            <w:r>
              <w:rPr>
                <w:noProof/>
                <w:webHidden/>
              </w:rPr>
              <w:fldChar w:fldCharType="begin"/>
            </w:r>
            <w:r>
              <w:rPr>
                <w:noProof/>
                <w:webHidden/>
              </w:rPr>
              <w:instrText xml:space="preserve"> PAGEREF _Toc390694733 \h </w:instrText>
            </w:r>
            <w:r>
              <w:rPr>
                <w:noProof/>
                <w:webHidden/>
              </w:rPr>
            </w:r>
            <w:r>
              <w:rPr>
                <w:noProof/>
                <w:webHidden/>
              </w:rPr>
              <w:fldChar w:fldCharType="separate"/>
            </w:r>
            <w:r>
              <w:rPr>
                <w:noProof/>
                <w:webHidden/>
              </w:rPr>
              <w:t>5</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34" w:history="1">
            <w:r w:rsidRPr="009F2644">
              <w:rPr>
                <w:rStyle w:val="Hyperlink"/>
                <w:noProof/>
                <w:lang w:eastAsia="en-AU"/>
              </w:rPr>
              <w:t>2.</w:t>
            </w:r>
            <w:r>
              <w:rPr>
                <w:rFonts w:asciiTheme="minorHAnsi" w:eastAsiaTheme="minorEastAsia" w:hAnsiTheme="minorHAnsi" w:cstheme="minorBidi"/>
                <w:b w:val="0"/>
                <w:noProof/>
                <w:sz w:val="22"/>
                <w:lang w:eastAsia="en-AU"/>
              </w:rPr>
              <w:tab/>
            </w:r>
            <w:r w:rsidRPr="009F2644">
              <w:rPr>
                <w:rStyle w:val="Hyperlink"/>
                <w:noProof/>
                <w:lang w:eastAsia="en-AU"/>
              </w:rPr>
              <w:t xml:space="preserve">Contents of the clinical </w:t>
            </w:r>
            <w:r w:rsidRPr="009F2644">
              <w:rPr>
                <w:rStyle w:val="Hyperlink"/>
                <w:noProof/>
              </w:rPr>
              <w:t>dossier</w:t>
            </w:r>
            <w:r>
              <w:rPr>
                <w:noProof/>
                <w:webHidden/>
              </w:rPr>
              <w:tab/>
            </w:r>
            <w:r>
              <w:rPr>
                <w:noProof/>
                <w:webHidden/>
              </w:rPr>
              <w:fldChar w:fldCharType="begin"/>
            </w:r>
            <w:r>
              <w:rPr>
                <w:noProof/>
                <w:webHidden/>
              </w:rPr>
              <w:instrText xml:space="preserve"> PAGEREF _Toc390694734 \h </w:instrText>
            </w:r>
            <w:r>
              <w:rPr>
                <w:noProof/>
                <w:webHidden/>
              </w:rPr>
            </w:r>
            <w:r>
              <w:rPr>
                <w:noProof/>
                <w:webHidden/>
              </w:rPr>
              <w:fldChar w:fldCharType="separate"/>
            </w:r>
            <w:r>
              <w:rPr>
                <w:noProof/>
                <w:webHidden/>
              </w:rPr>
              <w:t>6</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35" w:history="1">
            <w:r w:rsidRPr="009F2644">
              <w:rPr>
                <w:rStyle w:val="Hyperlink"/>
                <w:noProof/>
              </w:rPr>
              <w:t>2.1.</w:t>
            </w:r>
            <w:r>
              <w:rPr>
                <w:rFonts w:asciiTheme="minorHAnsi" w:eastAsiaTheme="minorEastAsia" w:hAnsiTheme="minorHAnsi" w:cstheme="minorBidi"/>
                <w:noProof/>
                <w:lang w:eastAsia="en-AU"/>
              </w:rPr>
              <w:tab/>
            </w:r>
            <w:r w:rsidRPr="009F2644">
              <w:rPr>
                <w:rStyle w:val="Hyperlink"/>
                <w:noProof/>
              </w:rPr>
              <w:t>Scope of the clinical dossier</w:t>
            </w:r>
            <w:r>
              <w:rPr>
                <w:noProof/>
                <w:webHidden/>
              </w:rPr>
              <w:tab/>
            </w:r>
            <w:r>
              <w:rPr>
                <w:noProof/>
                <w:webHidden/>
              </w:rPr>
              <w:fldChar w:fldCharType="begin"/>
            </w:r>
            <w:r>
              <w:rPr>
                <w:noProof/>
                <w:webHidden/>
              </w:rPr>
              <w:instrText xml:space="preserve"> PAGEREF _Toc390694735 \h </w:instrText>
            </w:r>
            <w:r>
              <w:rPr>
                <w:noProof/>
                <w:webHidden/>
              </w:rPr>
            </w:r>
            <w:r>
              <w:rPr>
                <w:noProof/>
                <w:webHidden/>
              </w:rPr>
              <w:fldChar w:fldCharType="separate"/>
            </w:r>
            <w:r>
              <w:rPr>
                <w:noProof/>
                <w:webHidden/>
              </w:rPr>
              <w:t>6</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36" w:history="1">
            <w:r w:rsidRPr="009F2644">
              <w:rPr>
                <w:rStyle w:val="Hyperlink"/>
                <w:noProof/>
              </w:rPr>
              <w:t>2.2.</w:t>
            </w:r>
            <w:r>
              <w:rPr>
                <w:rFonts w:asciiTheme="minorHAnsi" w:eastAsiaTheme="minorEastAsia" w:hAnsiTheme="minorHAnsi" w:cstheme="minorBidi"/>
                <w:noProof/>
                <w:lang w:eastAsia="en-AU"/>
              </w:rPr>
              <w:tab/>
            </w:r>
            <w:r w:rsidRPr="009F2644">
              <w:rPr>
                <w:rStyle w:val="Hyperlink"/>
                <w:noProof/>
              </w:rPr>
              <w:t>Paediatric data</w:t>
            </w:r>
            <w:r>
              <w:rPr>
                <w:noProof/>
                <w:webHidden/>
              </w:rPr>
              <w:tab/>
            </w:r>
            <w:r>
              <w:rPr>
                <w:noProof/>
                <w:webHidden/>
              </w:rPr>
              <w:fldChar w:fldCharType="begin"/>
            </w:r>
            <w:r>
              <w:rPr>
                <w:noProof/>
                <w:webHidden/>
              </w:rPr>
              <w:instrText xml:space="preserve"> PAGEREF _Toc390694736 \h </w:instrText>
            </w:r>
            <w:r>
              <w:rPr>
                <w:noProof/>
                <w:webHidden/>
              </w:rPr>
            </w:r>
            <w:r>
              <w:rPr>
                <w:noProof/>
                <w:webHidden/>
              </w:rPr>
              <w:fldChar w:fldCharType="separate"/>
            </w:r>
            <w:r>
              <w:rPr>
                <w:noProof/>
                <w:webHidden/>
              </w:rPr>
              <w:t>7</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37" w:history="1">
            <w:r w:rsidRPr="009F2644">
              <w:rPr>
                <w:rStyle w:val="Hyperlink"/>
                <w:noProof/>
              </w:rPr>
              <w:t>2.3.</w:t>
            </w:r>
            <w:r>
              <w:rPr>
                <w:rFonts w:asciiTheme="minorHAnsi" w:eastAsiaTheme="minorEastAsia" w:hAnsiTheme="minorHAnsi" w:cstheme="minorBidi"/>
                <w:noProof/>
                <w:lang w:eastAsia="en-AU"/>
              </w:rPr>
              <w:tab/>
            </w:r>
            <w:r w:rsidRPr="009F2644">
              <w:rPr>
                <w:rStyle w:val="Hyperlink"/>
                <w:noProof/>
              </w:rPr>
              <w:t>Good clinical practice</w:t>
            </w:r>
            <w:r>
              <w:rPr>
                <w:noProof/>
                <w:webHidden/>
              </w:rPr>
              <w:tab/>
            </w:r>
            <w:r>
              <w:rPr>
                <w:noProof/>
                <w:webHidden/>
              </w:rPr>
              <w:fldChar w:fldCharType="begin"/>
            </w:r>
            <w:r>
              <w:rPr>
                <w:noProof/>
                <w:webHidden/>
              </w:rPr>
              <w:instrText xml:space="preserve"> PAGEREF _Toc390694737 \h </w:instrText>
            </w:r>
            <w:r>
              <w:rPr>
                <w:noProof/>
                <w:webHidden/>
              </w:rPr>
            </w:r>
            <w:r>
              <w:rPr>
                <w:noProof/>
                <w:webHidden/>
              </w:rPr>
              <w:fldChar w:fldCharType="separate"/>
            </w:r>
            <w:r>
              <w:rPr>
                <w:noProof/>
                <w:webHidden/>
              </w:rPr>
              <w:t>7</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38" w:history="1">
            <w:r w:rsidRPr="009F2644">
              <w:rPr>
                <w:rStyle w:val="Hyperlink"/>
                <w:noProof/>
              </w:rPr>
              <w:t>3.</w:t>
            </w:r>
            <w:r>
              <w:rPr>
                <w:rFonts w:asciiTheme="minorHAnsi" w:eastAsiaTheme="minorEastAsia" w:hAnsiTheme="minorHAnsi" w:cstheme="minorBidi"/>
                <w:b w:val="0"/>
                <w:noProof/>
                <w:sz w:val="22"/>
                <w:lang w:eastAsia="en-AU"/>
              </w:rPr>
              <w:tab/>
            </w:r>
            <w:r w:rsidRPr="009F2644">
              <w:rPr>
                <w:rStyle w:val="Hyperlink"/>
                <w:noProof/>
              </w:rPr>
              <w:t>Pharmacokinetics</w:t>
            </w:r>
            <w:r>
              <w:rPr>
                <w:noProof/>
                <w:webHidden/>
              </w:rPr>
              <w:tab/>
            </w:r>
            <w:r>
              <w:rPr>
                <w:noProof/>
                <w:webHidden/>
              </w:rPr>
              <w:fldChar w:fldCharType="begin"/>
            </w:r>
            <w:r>
              <w:rPr>
                <w:noProof/>
                <w:webHidden/>
              </w:rPr>
              <w:instrText xml:space="preserve"> PAGEREF _Toc390694738 \h </w:instrText>
            </w:r>
            <w:r>
              <w:rPr>
                <w:noProof/>
                <w:webHidden/>
              </w:rPr>
            </w:r>
            <w:r>
              <w:rPr>
                <w:noProof/>
                <w:webHidden/>
              </w:rPr>
              <w:fldChar w:fldCharType="separate"/>
            </w:r>
            <w:r>
              <w:rPr>
                <w:noProof/>
                <w:webHidden/>
              </w:rPr>
              <w:t>7</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39" w:history="1">
            <w:r w:rsidRPr="009F2644">
              <w:rPr>
                <w:rStyle w:val="Hyperlink"/>
                <w:noProof/>
              </w:rPr>
              <w:t>3.1.</w:t>
            </w:r>
            <w:r>
              <w:rPr>
                <w:rFonts w:asciiTheme="minorHAnsi" w:eastAsiaTheme="minorEastAsia" w:hAnsiTheme="minorHAnsi" w:cstheme="minorBidi"/>
                <w:noProof/>
                <w:lang w:eastAsia="en-AU"/>
              </w:rPr>
              <w:tab/>
            </w:r>
            <w:r w:rsidRPr="009F2644">
              <w:rPr>
                <w:rStyle w:val="Hyperlink"/>
                <w:noProof/>
              </w:rPr>
              <w:t>Studies providing pharmacokinetic data</w:t>
            </w:r>
            <w:r>
              <w:rPr>
                <w:noProof/>
                <w:webHidden/>
              </w:rPr>
              <w:tab/>
            </w:r>
            <w:r>
              <w:rPr>
                <w:noProof/>
                <w:webHidden/>
              </w:rPr>
              <w:fldChar w:fldCharType="begin"/>
            </w:r>
            <w:r>
              <w:rPr>
                <w:noProof/>
                <w:webHidden/>
              </w:rPr>
              <w:instrText xml:space="preserve"> PAGEREF _Toc390694739 \h </w:instrText>
            </w:r>
            <w:r>
              <w:rPr>
                <w:noProof/>
                <w:webHidden/>
              </w:rPr>
            </w:r>
            <w:r>
              <w:rPr>
                <w:noProof/>
                <w:webHidden/>
              </w:rPr>
              <w:fldChar w:fldCharType="separate"/>
            </w:r>
            <w:r>
              <w:rPr>
                <w:noProof/>
                <w:webHidden/>
              </w:rPr>
              <w:t>7</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40" w:history="1">
            <w:r w:rsidRPr="009F2644">
              <w:rPr>
                <w:rStyle w:val="Hyperlink"/>
                <w:noProof/>
              </w:rPr>
              <w:t>3.2.</w:t>
            </w:r>
            <w:r>
              <w:rPr>
                <w:rFonts w:asciiTheme="minorHAnsi" w:eastAsiaTheme="minorEastAsia" w:hAnsiTheme="minorHAnsi" w:cstheme="minorBidi"/>
                <w:noProof/>
                <w:lang w:eastAsia="en-AU"/>
              </w:rPr>
              <w:tab/>
            </w:r>
            <w:r w:rsidRPr="009F2644">
              <w:rPr>
                <w:rStyle w:val="Hyperlink"/>
                <w:noProof/>
              </w:rPr>
              <w:t>Population PK study</w:t>
            </w:r>
            <w:r>
              <w:rPr>
                <w:noProof/>
                <w:webHidden/>
              </w:rPr>
              <w:tab/>
            </w:r>
            <w:r>
              <w:rPr>
                <w:noProof/>
                <w:webHidden/>
              </w:rPr>
              <w:fldChar w:fldCharType="begin"/>
            </w:r>
            <w:r>
              <w:rPr>
                <w:noProof/>
                <w:webHidden/>
              </w:rPr>
              <w:instrText xml:space="preserve"> PAGEREF _Toc390694740 \h </w:instrText>
            </w:r>
            <w:r>
              <w:rPr>
                <w:noProof/>
                <w:webHidden/>
              </w:rPr>
            </w:r>
            <w:r>
              <w:rPr>
                <w:noProof/>
                <w:webHidden/>
              </w:rPr>
              <w:fldChar w:fldCharType="separate"/>
            </w:r>
            <w:r>
              <w:rPr>
                <w:noProof/>
                <w:webHidden/>
              </w:rPr>
              <w:t>7</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41" w:history="1">
            <w:r w:rsidRPr="009F2644">
              <w:rPr>
                <w:rStyle w:val="Hyperlink"/>
                <w:noProof/>
              </w:rPr>
              <w:t>3.3.</w:t>
            </w:r>
            <w:r>
              <w:rPr>
                <w:rFonts w:asciiTheme="minorHAnsi" w:eastAsiaTheme="minorEastAsia" w:hAnsiTheme="minorHAnsi" w:cstheme="minorBidi"/>
                <w:noProof/>
                <w:lang w:eastAsia="en-AU"/>
              </w:rPr>
              <w:tab/>
            </w:r>
            <w:r w:rsidRPr="009F2644">
              <w:rPr>
                <w:rStyle w:val="Hyperlink"/>
                <w:noProof/>
              </w:rPr>
              <w:t>Comparisons of pharmacokinetics</w:t>
            </w:r>
            <w:r>
              <w:rPr>
                <w:noProof/>
                <w:webHidden/>
              </w:rPr>
              <w:tab/>
            </w:r>
            <w:r>
              <w:rPr>
                <w:noProof/>
                <w:webHidden/>
              </w:rPr>
              <w:fldChar w:fldCharType="begin"/>
            </w:r>
            <w:r>
              <w:rPr>
                <w:noProof/>
                <w:webHidden/>
              </w:rPr>
              <w:instrText xml:space="preserve"> PAGEREF _Toc390694741 \h </w:instrText>
            </w:r>
            <w:r>
              <w:rPr>
                <w:noProof/>
                <w:webHidden/>
              </w:rPr>
            </w:r>
            <w:r>
              <w:rPr>
                <w:noProof/>
                <w:webHidden/>
              </w:rPr>
              <w:fldChar w:fldCharType="separate"/>
            </w:r>
            <w:r>
              <w:rPr>
                <w:noProof/>
                <w:webHidden/>
              </w:rPr>
              <w:t>11</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42" w:history="1">
            <w:r w:rsidRPr="009F2644">
              <w:rPr>
                <w:rStyle w:val="Hyperlink"/>
                <w:noProof/>
              </w:rPr>
              <w:t>3.4.</w:t>
            </w:r>
            <w:r>
              <w:rPr>
                <w:rFonts w:asciiTheme="minorHAnsi" w:eastAsiaTheme="minorEastAsia" w:hAnsiTheme="minorHAnsi" w:cstheme="minorBidi"/>
                <w:noProof/>
                <w:lang w:eastAsia="en-AU"/>
              </w:rPr>
              <w:tab/>
            </w:r>
            <w:r w:rsidRPr="009F2644">
              <w:rPr>
                <w:rStyle w:val="Hyperlink"/>
                <w:noProof/>
              </w:rPr>
              <w:t>Evaluator’s overall conclusions on pharmacokinetics</w:t>
            </w:r>
            <w:r>
              <w:rPr>
                <w:noProof/>
                <w:webHidden/>
              </w:rPr>
              <w:tab/>
            </w:r>
            <w:r>
              <w:rPr>
                <w:noProof/>
                <w:webHidden/>
              </w:rPr>
              <w:fldChar w:fldCharType="begin"/>
            </w:r>
            <w:r>
              <w:rPr>
                <w:noProof/>
                <w:webHidden/>
              </w:rPr>
              <w:instrText xml:space="preserve"> PAGEREF _Toc390694742 \h </w:instrText>
            </w:r>
            <w:r>
              <w:rPr>
                <w:noProof/>
                <w:webHidden/>
              </w:rPr>
            </w:r>
            <w:r>
              <w:rPr>
                <w:noProof/>
                <w:webHidden/>
              </w:rPr>
              <w:fldChar w:fldCharType="separate"/>
            </w:r>
            <w:r>
              <w:rPr>
                <w:noProof/>
                <w:webHidden/>
              </w:rPr>
              <w:t>12</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43" w:history="1">
            <w:r w:rsidRPr="009F2644">
              <w:rPr>
                <w:rStyle w:val="Hyperlink"/>
                <w:noProof/>
              </w:rPr>
              <w:t>4.</w:t>
            </w:r>
            <w:r>
              <w:rPr>
                <w:rFonts w:asciiTheme="minorHAnsi" w:eastAsiaTheme="minorEastAsia" w:hAnsiTheme="minorHAnsi" w:cstheme="minorBidi"/>
                <w:b w:val="0"/>
                <w:noProof/>
                <w:sz w:val="22"/>
                <w:lang w:eastAsia="en-AU"/>
              </w:rPr>
              <w:tab/>
            </w:r>
            <w:r w:rsidRPr="009F2644">
              <w:rPr>
                <w:rStyle w:val="Hyperlink"/>
                <w:noProof/>
              </w:rPr>
              <w:t>Pharmacodynamics</w:t>
            </w:r>
            <w:r>
              <w:rPr>
                <w:noProof/>
                <w:webHidden/>
              </w:rPr>
              <w:tab/>
            </w:r>
            <w:r>
              <w:rPr>
                <w:noProof/>
                <w:webHidden/>
              </w:rPr>
              <w:fldChar w:fldCharType="begin"/>
            </w:r>
            <w:r>
              <w:rPr>
                <w:noProof/>
                <w:webHidden/>
              </w:rPr>
              <w:instrText xml:space="preserve"> PAGEREF _Toc390694743 \h </w:instrText>
            </w:r>
            <w:r>
              <w:rPr>
                <w:noProof/>
                <w:webHidden/>
              </w:rPr>
            </w:r>
            <w:r>
              <w:rPr>
                <w:noProof/>
                <w:webHidden/>
              </w:rPr>
              <w:fldChar w:fldCharType="separate"/>
            </w:r>
            <w:r>
              <w:rPr>
                <w:noProof/>
                <w:webHidden/>
              </w:rPr>
              <w:t>12</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44" w:history="1">
            <w:r w:rsidRPr="009F2644">
              <w:rPr>
                <w:rStyle w:val="Hyperlink"/>
                <w:noProof/>
              </w:rPr>
              <w:t>5.</w:t>
            </w:r>
            <w:r>
              <w:rPr>
                <w:rFonts w:asciiTheme="minorHAnsi" w:eastAsiaTheme="minorEastAsia" w:hAnsiTheme="minorHAnsi" w:cstheme="minorBidi"/>
                <w:b w:val="0"/>
                <w:noProof/>
                <w:sz w:val="22"/>
                <w:lang w:eastAsia="en-AU"/>
              </w:rPr>
              <w:tab/>
            </w:r>
            <w:r w:rsidRPr="009F2644">
              <w:rPr>
                <w:rStyle w:val="Hyperlink"/>
                <w:noProof/>
              </w:rPr>
              <w:t>Studies providing pharmacodynamic data</w:t>
            </w:r>
            <w:r>
              <w:rPr>
                <w:noProof/>
                <w:webHidden/>
              </w:rPr>
              <w:tab/>
            </w:r>
            <w:r>
              <w:rPr>
                <w:noProof/>
                <w:webHidden/>
              </w:rPr>
              <w:fldChar w:fldCharType="begin"/>
            </w:r>
            <w:r>
              <w:rPr>
                <w:noProof/>
                <w:webHidden/>
              </w:rPr>
              <w:instrText xml:space="preserve"> PAGEREF _Toc390694744 \h </w:instrText>
            </w:r>
            <w:r>
              <w:rPr>
                <w:noProof/>
                <w:webHidden/>
              </w:rPr>
            </w:r>
            <w:r>
              <w:rPr>
                <w:noProof/>
                <w:webHidden/>
              </w:rPr>
              <w:fldChar w:fldCharType="separate"/>
            </w:r>
            <w:r>
              <w:rPr>
                <w:noProof/>
                <w:webHidden/>
              </w:rPr>
              <w:t>12</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45" w:history="1">
            <w:r w:rsidRPr="009F2644">
              <w:rPr>
                <w:rStyle w:val="Hyperlink"/>
                <w:noProof/>
              </w:rPr>
              <w:t>6.</w:t>
            </w:r>
            <w:r>
              <w:rPr>
                <w:rFonts w:asciiTheme="minorHAnsi" w:eastAsiaTheme="minorEastAsia" w:hAnsiTheme="minorHAnsi" w:cstheme="minorBidi"/>
                <w:b w:val="0"/>
                <w:noProof/>
                <w:sz w:val="22"/>
                <w:lang w:eastAsia="en-AU"/>
              </w:rPr>
              <w:tab/>
            </w:r>
            <w:r w:rsidRPr="009F2644">
              <w:rPr>
                <w:rStyle w:val="Hyperlink"/>
                <w:noProof/>
              </w:rPr>
              <w:t>Dosage selection for the pivotal studies</w:t>
            </w:r>
            <w:r>
              <w:rPr>
                <w:noProof/>
                <w:webHidden/>
              </w:rPr>
              <w:tab/>
            </w:r>
            <w:r>
              <w:rPr>
                <w:noProof/>
                <w:webHidden/>
              </w:rPr>
              <w:fldChar w:fldCharType="begin"/>
            </w:r>
            <w:r>
              <w:rPr>
                <w:noProof/>
                <w:webHidden/>
              </w:rPr>
              <w:instrText xml:space="preserve"> PAGEREF _Toc390694745 \h </w:instrText>
            </w:r>
            <w:r>
              <w:rPr>
                <w:noProof/>
                <w:webHidden/>
              </w:rPr>
            </w:r>
            <w:r>
              <w:rPr>
                <w:noProof/>
                <w:webHidden/>
              </w:rPr>
              <w:fldChar w:fldCharType="separate"/>
            </w:r>
            <w:r>
              <w:rPr>
                <w:noProof/>
                <w:webHidden/>
              </w:rPr>
              <w:t>13</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46" w:history="1">
            <w:r w:rsidRPr="009F2644">
              <w:rPr>
                <w:rStyle w:val="Hyperlink"/>
                <w:noProof/>
              </w:rPr>
              <w:t>7.</w:t>
            </w:r>
            <w:r>
              <w:rPr>
                <w:rFonts w:asciiTheme="minorHAnsi" w:eastAsiaTheme="minorEastAsia" w:hAnsiTheme="minorHAnsi" w:cstheme="minorBidi"/>
                <w:b w:val="0"/>
                <w:noProof/>
                <w:sz w:val="22"/>
                <w:lang w:eastAsia="en-AU"/>
              </w:rPr>
              <w:tab/>
            </w:r>
            <w:r w:rsidRPr="009F2644">
              <w:rPr>
                <w:rStyle w:val="Hyperlink"/>
                <w:noProof/>
              </w:rPr>
              <w:t>Clinical efficacy</w:t>
            </w:r>
            <w:r>
              <w:rPr>
                <w:noProof/>
                <w:webHidden/>
              </w:rPr>
              <w:tab/>
            </w:r>
            <w:r>
              <w:rPr>
                <w:noProof/>
                <w:webHidden/>
              </w:rPr>
              <w:fldChar w:fldCharType="begin"/>
            </w:r>
            <w:r>
              <w:rPr>
                <w:noProof/>
                <w:webHidden/>
              </w:rPr>
              <w:instrText xml:space="preserve"> PAGEREF _Toc390694746 \h </w:instrText>
            </w:r>
            <w:r>
              <w:rPr>
                <w:noProof/>
                <w:webHidden/>
              </w:rPr>
            </w:r>
            <w:r>
              <w:rPr>
                <w:noProof/>
                <w:webHidden/>
              </w:rPr>
              <w:fldChar w:fldCharType="separate"/>
            </w:r>
            <w:r>
              <w:rPr>
                <w:noProof/>
                <w:webHidden/>
              </w:rPr>
              <w:t>13</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47" w:history="1">
            <w:r w:rsidRPr="009F2644">
              <w:rPr>
                <w:rStyle w:val="Hyperlink"/>
                <w:noProof/>
              </w:rPr>
              <w:t>7.1.</w:t>
            </w:r>
            <w:r>
              <w:rPr>
                <w:rFonts w:asciiTheme="minorHAnsi" w:eastAsiaTheme="minorEastAsia" w:hAnsiTheme="minorHAnsi" w:cstheme="minorBidi"/>
                <w:noProof/>
                <w:lang w:eastAsia="en-AU"/>
              </w:rPr>
              <w:tab/>
            </w:r>
            <w:r w:rsidRPr="009F2644">
              <w:rPr>
                <w:rStyle w:val="Hyperlink"/>
                <w:noProof/>
              </w:rPr>
              <w:t>For: The treatment of moderately to severely active ulcerative colitis in adult patients who have had an inadequate response to conventional therapy</w:t>
            </w:r>
            <w:r>
              <w:rPr>
                <w:noProof/>
                <w:webHidden/>
              </w:rPr>
              <w:tab/>
            </w:r>
            <w:r>
              <w:rPr>
                <w:noProof/>
                <w:webHidden/>
              </w:rPr>
              <w:fldChar w:fldCharType="begin"/>
            </w:r>
            <w:r>
              <w:rPr>
                <w:noProof/>
                <w:webHidden/>
              </w:rPr>
              <w:instrText xml:space="preserve"> PAGEREF _Toc390694747 \h </w:instrText>
            </w:r>
            <w:r>
              <w:rPr>
                <w:noProof/>
                <w:webHidden/>
              </w:rPr>
            </w:r>
            <w:r>
              <w:rPr>
                <w:noProof/>
                <w:webHidden/>
              </w:rPr>
              <w:fldChar w:fldCharType="separate"/>
            </w:r>
            <w:r>
              <w:rPr>
                <w:noProof/>
                <w:webHidden/>
              </w:rPr>
              <w:t>13</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48" w:history="1">
            <w:r w:rsidRPr="009F2644">
              <w:rPr>
                <w:rStyle w:val="Hyperlink"/>
                <w:noProof/>
              </w:rPr>
              <w:t>8.</w:t>
            </w:r>
            <w:r>
              <w:rPr>
                <w:rFonts w:asciiTheme="minorHAnsi" w:eastAsiaTheme="minorEastAsia" w:hAnsiTheme="minorHAnsi" w:cstheme="minorBidi"/>
                <w:b w:val="0"/>
                <w:noProof/>
                <w:sz w:val="22"/>
                <w:lang w:eastAsia="en-AU"/>
              </w:rPr>
              <w:tab/>
            </w:r>
            <w:r w:rsidRPr="009F2644">
              <w:rPr>
                <w:rStyle w:val="Hyperlink"/>
                <w:noProof/>
              </w:rPr>
              <w:t>Clinical safety</w:t>
            </w:r>
            <w:r>
              <w:rPr>
                <w:noProof/>
                <w:webHidden/>
              </w:rPr>
              <w:tab/>
            </w:r>
            <w:r>
              <w:rPr>
                <w:noProof/>
                <w:webHidden/>
              </w:rPr>
              <w:fldChar w:fldCharType="begin"/>
            </w:r>
            <w:r>
              <w:rPr>
                <w:noProof/>
                <w:webHidden/>
              </w:rPr>
              <w:instrText xml:space="preserve"> PAGEREF _Toc390694748 \h </w:instrText>
            </w:r>
            <w:r>
              <w:rPr>
                <w:noProof/>
                <w:webHidden/>
              </w:rPr>
            </w:r>
            <w:r>
              <w:rPr>
                <w:noProof/>
                <w:webHidden/>
              </w:rPr>
              <w:fldChar w:fldCharType="separate"/>
            </w:r>
            <w:r>
              <w:rPr>
                <w:noProof/>
                <w:webHidden/>
              </w:rPr>
              <w:t>32</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49" w:history="1">
            <w:r w:rsidRPr="009F2644">
              <w:rPr>
                <w:rStyle w:val="Hyperlink"/>
                <w:noProof/>
              </w:rPr>
              <w:t>8.1.</w:t>
            </w:r>
            <w:r>
              <w:rPr>
                <w:rFonts w:asciiTheme="minorHAnsi" w:eastAsiaTheme="minorEastAsia" w:hAnsiTheme="minorHAnsi" w:cstheme="minorBidi"/>
                <w:noProof/>
                <w:lang w:eastAsia="en-AU"/>
              </w:rPr>
              <w:tab/>
            </w:r>
            <w:r w:rsidRPr="009F2644">
              <w:rPr>
                <w:rStyle w:val="Hyperlink"/>
                <w:noProof/>
              </w:rPr>
              <w:t>Studies providing evaluable safety data</w:t>
            </w:r>
            <w:r>
              <w:rPr>
                <w:noProof/>
                <w:webHidden/>
              </w:rPr>
              <w:tab/>
            </w:r>
            <w:r>
              <w:rPr>
                <w:noProof/>
                <w:webHidden/>
              </w:rPr>
              <w:fldChar w:fldCharType="begin"/>
            </w:r>
            <w:r>
              <w:rPr>
                <w:noProof/>
                <w:webHidden/>
              </w:rPr>
              <w:instrText xml:space="preserve"> PAGEREF _Toc390694749 \h </w:instrText>
            </w:r>
            <w:r>
              <w:rPr>
                <w:noProof/>
                <w:webHidden/>
              </w:rPr>
            </w:r>
            <w:r>
              <w:rPr>
                <w:noProof/>
                <w:webHidden/>
              </w:rPr>
              <w:fldChar w:fldCharType="separate"/>
            </w:r>
            <w:r>
              <w:rPr>
                <w:noProof/>
                <w:webHidden/>
              </w:rPr>
              <w:t>32</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50" w:history="1">
            <w:r w:rsidRPr="009F2644">
              <w:rPr>
                <w:rStyle w:val="Hyperlink"/>
                <w:noProof/>
              </w:rPr>
              <w:t>8.2.</w:t>
            </w:r>
            <w:r>
              <w:rPr>
                <w:rFonts w:asciiTheme="minorHAnsi" w:eastAsiaTheme="minorEastAsia" w:hAnsiTheme="minorHAnsi" w:cstheme="minorBidi"/>
                <w:noProof/>
                <w:lang w:eastAsia="en-AU"/>
              </w:rPr>
              <w:tab/>
            </w:r>
            <w:r w:rsidRPr="009F2644">
              <w:rPr>
                <w:rStyle w:val="Hyperlink"/>
                <w:noProof/>
              </w:rPr>
              <w:t>Patient exposure</w:t>
            </w:r>
            <w:r>
              <w:rPr>
                <w:noProof/>
                <w:webHidden/>
              </w:rPr>
              <w:tab/>
            </w:r>
            <w:r>
              <w:rPr>
                <w:noProof/>
                <w:webHidden/>
              </w:rPr>
              <w:fldChar w:fldCharType="begin"/>
            </w:r>
            <w:r>
              <w:rPr>
                <w:noProof/>
                <w:webHidden/>
              </w:rPr>
              <w:instrText xml:space="preserve"> PAGEREF _Toc390694750 \h </w:instrText>
            </w:r>
            <w:r>
              <w:rPr>
                <w:noProof/>
                <w:webHidden/>
              </w:rPr>
            </w:r>
            <w:r>
              <w:rPr>
                <w:noProof/>
                <w:webHidden/>
              </w:rPr>
              <w:fldChar w:fldCharType="separate"/>
            </w:r>
            <w:r>
              <w:rPr>
                <w:noProof/>
                <w:webHidden/>
              </w:rPr>
              <w:t>32</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51" w:history="1">
            <w:r w:rsidRPr="009F2644">
              <w:rPr>
                <w:rStyle w:val="Hyperlink"/>
                <w:noProof/>
              </w:rPr>
              <w:t>8.3.</w:t>
            </w:r>
            <w:r>
              <w:rPr>
                <w:rFonts w:asciiTheme="minorHAnsi" w:eastAsiaTheme="minorEastAsia" w:hAnsiTheme="minorHAnsi" w:cstheme="minorBidi"/>
                <w:noProof/>
                <w:lang w:eastAsia="en-AU"/>
              </w:rPr>
              <w:tab/>
            </w:r>
            <w:r w:rsidRPr="009F2644">
              <w:rPr>
                <w:rStyle w:val="Hyperlink"/>
                <w:noProof/>
              </w:rPr>
              <w:t>Adverse events</w:t>
            </w:r>
            <w:r>
              <w:rPr>
                <w:noProof/>
                <w:webHidden/>
              </w:rPr>
              <w:tab/>
            </w:r>
            <w:r>
              <w:rPr>
                <w:noProof/>
                <w:webHidden/>
              </w:rPr>
              <w:fldChar w:fldCharType="begin"/>
            </w:r>
            <w:r>
              <w:rPr>
                <w:noProof/>
                <w:webHidden/>
              </w:rPr>
              <w:instrText xml:space="preserve"> PAGEREF _Toc390694751 \h </w:instrText>
            </w:r>
            <w:r>
              <w:rPr>
                <w:noProof/>
                <w:webHidden/>
              </w:rPr>
            </w:r>
            <w:r>
              <w:rPr>
                <w:noProof/>
                <w:webHidden/>
              </w:rPr>
              <w:fldChar w:fldCharType="separate"/>
            </w:r>
            <w:r>
              <w:rPr>
                <w:noProof/>
                <w:webHidden/>
              </w:rPr>
              <w:t>32</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52" w:history="1">
            <w:r w:rsidRPr="009F2644">
              <w:rPr>
                <w:rStyle w:val="Hyperlink"/>
                <w:noProof/>
              </w:rPr>
              <w:t>8.4.</w:t>
            </w:r>
            <w:r>
              <w:rPr>
                <w:rFonts w:asciiTheme="minorHAnsi" w:eastAsiaTheme="minorEastAsia" w:hAnsiTheme="minorHAnsi" w:cstheme="minorBidi"/>
                <w:noProof/>
                <w:lang w:eastAsia="en-AU"/>
              </w:rPr>
              <w:tab/>
            </w:r>
            <w:r w:rsidRPr="009F2644">
              <w:rPr>
                <w:rStyle w:val="Hyperlink"/>
                <w:noProof/>
              </w:rPr>
              <w:t>Evaluator’s overall conclusions on clinical safety</w:t>
            </w:r>
            <w:r>
              <w:rPr>
                <w:noProof/>
                <w:webHidden/>
              </w:rPr>
              <w:tab/>
            </w:r>
            <w:r>
              <w:rPr>
                <w:noProof/>
                <w:webHidden/>
              </w:rPr>
              <w:fldChar w:fldCharType="begin"/>
            </w:r>
            <w:r>
              <w:rPr>
                <w:noProof/>
                <w:webHidden/>
              </w:rPr>
              <w:instrText xml:space="preserve"> PAGEREF _Toc390694752 \h </w:instrText>
            </w:r>
            <w:r>
              <w:rPr>
                <w:noProof/>
                <w:webHidden/>
              </w:rPr>
            </w:r>
            <w:r>
              <w:rPr>
                <w:noProof/>
                <w:webHidden/>
              </w:rPr>
              <w:fldChar w:fldCharType="separate"/>
            </w:r>
            <w:r>
              <w:rPr>
                <w:noProof/>
                <w:webHidden/>
              </w:rPr>
              <w:t>39</w:t>
            </w:r>
            <w:r>
              <w:rPr>
                <w:noProof/>
                <w:webHidden/>
              </w:rPr>
              <w:fldChar w:fldCharType="end"/>
            </w:r>
          </w:hyperlink>
        </w:p>
        <w:p w:rsidR="00227C75" w:rsidRDefault="00227C75">
          <w:pPr>
            <w:pStyle w:val="TOC2"/>
            <w:tabs>
              <w:tab w:val="left" w:pos="1100"/>
            </w:tabs>
            <w:rPr>
              <w:rFonts w:asciiTheme="minorHAnsi" w:eastAsiaTheme="minorEastAsia" w:hAnsiTheme="minorHAnsi" w:cstheme="minorBidi"/>
              <w:b w:val="0"/>
              <w:noProof/>
              <w:sz w:val="22"/>
              <w:lang w:eastAsia="en-AU"/>
            </w:rPr>
          </w:pPr>
          <w:hyperlink w:anchor="_Toc390694753" w:history="1">
            <w:r w:rsidRPr="009F2644">
              <w:rPr>
                <w:rStyle w:val="Hyperlink"/>
                <w:noProof/>
              </w:rPr>
              <w:t>9.</w:t>
            </w:r>
            <w:r>
              <w:rPr>
                <w:rFonts w:asciiTheme="minorHAnsi" w:eastAsiaTheme="minorEastAsia" w:hAnsiTheme="minorHAnsi" w:cstheme="minorBidi"/>
                <w:b w:val="0"/>
                <w:noProof/>
                <w:sz w:val="22"/>
                <w:lang w:eastAsia="en-AU"/>
              </w:rPr>
              <w:tab/>
            </w:r>
            <w:r w:rsidRPr="009F2644">
              <w:rPr>
                <w:rStyle w:val="Hyperlink"/>
                <w:noProof/>
              </w:rPr>
              <w:t>First round benefit-risk assessment</w:t>
            </w:r>
            <w:r>
              <w:rPr>
                <w:noProof/>
                <w:webHidden/>
              </w:rPr>
              <w:tab/>
            </w:r>
            <w:r>
              <w:rPr>
                <w:noProof/>
                <w:webHidden/>
              </w:rPr>
              <w:fldChar w:fldCharType="begin"/>
            </w:r>
            <w:r>
              <w:rPr>
                <w:noProof/>
                <w:webHidden/>
              </w:rPr>
              <w:instrText xml:space="preserve"> PAGEREF _Toc390694753 \h </w:instrText>
            </w:r>
            <w:r>
              <w:rPr>
                <w:noProof/>
                <w:webHidden/>
              </w:rPr>
            </w:r>
            <w:r>
              <w:rPr>
                <w:noProof/>
                <w:webHidden/>
              </w:rPr>
              <w:fldChar w:fldCharType="separate"/>
            </w:r>
            <w:r>
              <w:rPr>
                <w:noProof/>
                <w:webHidden/>
              </w:rPr>
              <w:t>39</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54" w:history="1">
            <w:r w:rsidRPr="009F2644">
              <w:rPr>
                <w:rStyle w:val="Hyperlink"/>
                <w:noProof/>
              </w:rPr>
              <w:t>9.1.</w:t>
            </w:r>
            <w:r>
              <w:rPr>
                <w:rFonts w:asciiTheme="minorHAnsi" w:eastAsiaTheme="minorEastAsia" w:hAnsiTheme="minorHAnsi" w:cstheme="minorBidi"/>
                <w:noProof/>
                <w:lang w:eastAsia="en-AU"/>
              </w:rPr>
              <w:tab/>
            </w:r>
            <w:r w:rsidRPr="009F2644">
              <w:rPr>
                <w:rStyle w:val="Hyperlink"/>
                <w:noProof/>
              </w:rPr>
              <w:t>First round assessment of benefits</w:t>
            </w:r>
            <w:r>
              <w:rPr>
                <w:noProof/>
                <w:webHidden/>
              </w:rPr>
              <w:tab/>
            </w:r>
            <w:r>
              <w:rPr>
                <w:noProof/>
                <w:webHidden/>
              </w:rPr>
              <w:fldChar w:fldCharType="begin"/>
            </w:r>
            <w:r>
              <w:rPr>
                <w:noProof/>
                <w:webHidden/>
              </w:rPr>
              <w:instrText xml:space="preserve"> PAGEREF _Toc390694754 \h </w:instrText>
            </w:r>
            <w:r>
              <w:rPr>
                <w:noProof/>
                <w:webHidden/>
              </w:rPr>
            </w:r>
            <w:r>
              <w:rPr>
                <w:noProof/>
                <w:webHidden/>
              </w:rPr>
              <w:fldChar w:fldCharType="separate"/>
            </w:r>
            <w:r>
              <w:rPr>
                <w:noProof/>
                <w:webHidden/>
              </w:rPr>
              <w:t>39</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55" w:history="1">
            <w:r w:rsidRPr="009F2644">
              <w:rPr>
                <w:rStyle w:val="Hyperlink"/>
                <w:noProof/>
              </w:rPr>
              <w:t>9.2.</w:t>
            </w:r>
            <w:r>
              <w:rPr>
                <w:rFonts w:asciiTheme="minorHAnsi" w:eastAsiaTheme="minorEastAsia" w:hAnsiTheme="minorHAnsi" w:cstheme="minorBidi"/>
                <w:noProof/>
                <w:lang w:eastAsia="en-AU"/>
              </w:rPr>
              <w:tab/>
            </w:r>
            <w:r w:rsidRPr="009F2644">
              <w:rPr>
                <w:rStyle w:val="Hyperlink"/>
                <w:noProof/>
              </w:rPr>
              <w:t>First round assessment of risks</w:t>
            </w:r>
            <w:r>
              <w:rPr>
                <w:noProof/>
                <w:webHidden/>
              </w:rPr>
              <w:tab/>
            </w:r>
            <w:r>
              <w:rPr>
                <w:noProof/>
                <w:webHidden/>
              </w:rPr>
              <w:fldChar w:fldCharType="begin"/>
            </w:r>
            <w:r>
              <w:rPr>
                <w:noProof/>
                <w:webHidden/>
              </w:rPr>
              <w:instrText xml:space="preserve"> PAGEREF _Toc390694755 \h </w:instrText>
            </w:r>
            <w:r>
              <w:rPr>
                <w:noProof/>
                <w:webHidden/>
              </w:rPr>
            </w:r>
            <w:r>
              <w:rPr>
                <w:noProof/>
                <w:webHidden/>
              </w:rPr>
              <w:fldChar w:fldCharType="separate"/>
            </w:r>
            <w:r>
              <w:rPr>
                <w:noProof/>
                <w:webHidden/>
              </w:rPr>
              <w:t>39</w:t>
            </w:r>
            <w:r>
              <w:rPr>
                <w:noProof/>
                <w:webHidden/>
              </w:rPr>
              <w:fldChar w:fldCharType="end"/>
            </w:r>
          </w:hyperlink>
        </w:p>
        <w:p w:rsidR="00227C75" w:rsidRDefault="00227C75">
          <w:pPr>
            <w:pStyle w:val="TOC3"/>
            <w:tabs>
              <w:tab w:val="left" w:pos="1760"/>
            </w:tabs>
            <w:rPr>
              <w:rFonts w:asciiTheme="minorHAnsi" w:eastAsiaTheme="minorEastAsia" w:hAnsiTheme="minorHAnsi" w:cstheme="minorBidi"/>
              <w:noProof/>
              <w:lang w:eastAsia="en-AU"/>
            </w:rPr>
          </w:pPr>
          <w:hyperlink w:anchor="_Toc390694756" w:history="1">
            <w:r w:rsidRPr="009F2644">
              <w:rPr>
                <w:rStyle w:val="Hyperlink"/>
                <w:noProof/>
              </w:rPr>
              <w:t>9.3.</w:t>
            </w:r>
            <w:r>
              <w:rPr>
                <w:rFonts w:asciiTheme="minorHAnsi" w:eastAsiaTheme="minorEastAsia" w:hAnsiTheme="minorHAnsi" w:cstheme="minorBidi"/>
                <w:noProof/>
                <w:lang w:eastAsia="en-AU"/>
              </w:rPr>
              <w:tab/>
            </w:r>
            <w:r w:rsidRPr="009F2644">
              <w:rPr>
                <w:rStyle w:val="Hyperlink"/>
                <w:noProof/>
              </w:rPr>
              <w:t>First round assessment of benefit-risk balance</w:t>
            </w:r>
            <w:r>
              <w:rPr>
                <w:noProof/>
                <w:webHidden/>
              </w:rPr>
              <w:tab/>
            </w:r>
            <w:r>
              <w:rPr>
                <w:noProof/>
                <w:webHidden/>
              </w:rPr>
              <w:fldChar w:fldCharType="begin"/>
            </w:r>
            <w:r>
              <w:rPr>
                <w:noProof/>
                <w:webHidden/>
              </w:rPr>
              <w:instrText xml:space="preserve"> PAGEREF _Toc390694756 \h </w:instrText>
            </w:r>
            <w:r>
              <w:rPr>
                <w:noProof/>
                <w:webHidden/>
              </w:rPr>
            </w:r>
            <w:r>
              <w:rPr>
                <w:noProof/>
                <w:webHidden/>
              </w:rPr>
              <w:fldChar w:fldCharType="separate"/>
            </w:r>
            <w:r>
              <w:rPr>
                <w:noProof/>
                <w:webHidden/>
              </w:rPr>
              <w:t>39</w:t>
            </w:r>
            <w:r>
              <w:rPr>
                <w:noProof/>
                <w:webHidden/>
              </w:rPr>
              <w:fldChar w:fldCharType="end"/>
            </w:r>
          </w:hyperlink>
        </w:p>
        <w:p w:rsidR="00227C75" w:rsidRDefault="00227C75">
          <w:pPr>
            <w:pStyle w:val="TOC2"/>
            <w:tabs>
              <w:tab w:val="left" w:pos="1320"/>
            </w:tabs>
            <w:rPr>
              <w:rFonts w:asciiTheme="minorHAnsi" w:eastAsiaTheme="minorEastAsia" w:hAnsiTheme="minorHAnsi" w:cstheme="minorBidi"/>
              <w:b w:val="0"/>
              <w:noProof/>
              <w:sz w:val="22"/>
              <w:lang w:eastAsia="en-AU"/>
            </w:rPr>
          </w:pPr>
          <w:hyperlink w:anchor="_Toc390694757" w:history="1">
            <w:r w:rsidRPr="009F2644">
              <w:rPr>
                <w:rStyle w:val="Hyperlink"/>
                <w:noProof/>
              </w:rPr>
              <w:t>10.</w:t>
            </w:r>
            <w:r>
              <w:rPr>
                <w:rFonts w:asciiTheme="minorHAnsi" w:eastAsiaTheme="minorEastAsia" w:hAnsiTheme="minorHAnsi" w:cstheme="minorBidi"/>
                <w:b w:val="0"/>
                <w:noProof/>
                <w:sz w:val="22"/>
                <w:lang w:eastAsia="en-AU"/>
              </w:rPr>
              <w:tab/>
            </w:r>
            <w:r w:rsidRPr="009F2644">
              <w:rPr>
                <w:rStyle w:val="Hyperlink"/>
                <w:noProof/>
              </w:rPr>
              <w:t>First round recommendation regarding authorisation</w:t>
            </w:r>
            <w:r>
              <w:rPr>
                <w:noProof/>
                <w:webHidden/>
              </w:rPr>
              <w:tab/>
            </w:r>
            <w:r>
              <w:rPr>
                <w:noProof/>
                <w:webHidden/>
              </w:rPr>
              <w:fldChar w:fldCharType="begin"/>
            </w:r>
            <w:r>
              <w:rPr>
                <w:noProof/>
                <w:webHidden/>
              </w:rPr>
              <w:instrText xml:space="preserve"> PAGEREF _Toc390694757 \h </w:instrText>
            </w:r>
            <w:r>
              <w:rPr>
                <w:noProof/>
                <w:webHidden/>
              </w:rPr>
            </w:r>
            <w:r>
              <w:rPr>
                <w:noProof/>
                <w:webHidden/>
              </w:rPr>
              <w:fldChar w:fldCharType="separate"/>
            </w:r>
            <w:r>
              <w:rPr>
                <w:noProof/>
                <w:webHidden/>
              </w:rPr>
              <w:t>39</w:t>
            </w:r>
            <w:r>
              <w:rPr>
                <w:noProof/>
                <w:webHidden/>
              </w:rPr>
              <w:fldChar w:fldCharType="end"/>
            </w:r>
          </w:hyperlink>
        </w:p>
        <w:p w:rsidR="00227C75" w:rsidRDefault="00227C75">
          <w:pPr>
            <w:pStyle w:val="TOC2"/>
            <w:tabs>
              <w:tab w:val="left" w:pos="1320"/>
            </w:tabs>
            <w:rPr>
              <w:rFonts w:asciiTheme="minorHAnsi" w:eastAsiaTheme="minorEastAsia" w:hAnsiTheme="minorHAnsi" w:cstheme="minorBidi"/>
              <w:b w:val="0"/>
              <w:noProof/>
              <w:sz w:val="22"/>
              <w:lang w:eastAsia="en-AU"/>
            </w:rPr>
          </w:pPr>
          <w:hyperlink w:anchor="_Toc390694758" w:history="1">
            <w:r w:rsidRPr="009F2644">
              <w:rPr>
                <w:rStyle w:val="Hyperlink"/>
                <w:noProof/>
              </w:rPr>
              <w:t>11.</w:t>
            </w:r>
            <w:r>
              <w:rPr>
                <w:rFonts w:asciiTheme="minorHAnsi" w:eastAsiaTheme="minorEastAsia" w:hAnsiTheme="minorHAnsi" w:cstheme="minorBidi"/>
                <w:b w:val="0"/>
                <w:noProof/>
                <w:sz w:val="22"/>
                <w:lang w:eastAsia="en-AU"/>
              </w:rPr>
              <w:tab/>
            </w:r>
            <w:r w:rsidRPr="009F2644">
              <w:rPr>
                <w:rStyle w:val="Hyperlink"/>
                <w:noProof/>
              </w:rPr>
              <w:t>Clinical questions</w:t>
            </w:r>
            <w:r>
              <w:rPr>
                <w:noProof/>
                <w:webHidden/>
              </w:rPr>
              <w:tab/>
            </w:r>
            <w:r>
              <w:rPr>
                <w:noProof/>
                <w:webHidden/>
              </w:rPr>
              <w:fldChar w:fldCharType="begin"/>
            </w:r>
            <w:r>
              <w:rPr>
                <w:noProof/>
                <w:webHidden/>
              </w:rPr>
              <w:instrText xml:space="preserve"> PAGEREF _Toc390694758 \h </w:instrText>
            </w:r>
            <w:r>
              <w:rPr>
                <w:noProof/>
                <w:webHidden/>
              </w:rPr>
            </w:r>
            <w:r>
              <w:rPr>
                <w:noProof/>
                <w:webHidden/>
              </w:rPr>
              <w:fldChar w:fldCharType="separate"/>
            </w:r>
            <w:r>
              <w:rPr>
                <w:noProof/>
                <w:webHidden/>
              </w:rPr>
              <w:t>40</w:t>
            </w:r>
            <w:r>
              <w:rPr>
                <w:noProof/>
                <w:webHidden/>
              </w:rPr>
              <w:fldChar w:fldCharType="end"/>
            </w:r>
          </w:hyperlink>
        </w:p>
        <w:p w:rsidR="00227C75" w:rsidRDefault="00227C75">
          <w:pPr>
            <w:pStyle w:val="TOC2"/>
            <w:tabs>
              <w:tab w:val="left" w:pos="1320"/>
            </w:tabs>
            <w:rPr>
              <w:rFonts w:asciiTheme="minorHAnsi" w:eastAsiaTheme="minorEastAsia" w:hAnsiTheme="minorHAnsi" w:cstheme="minorBidi"/>
              <w:b w:val="0"/>
              <w:noProof/>
              <w:sz w:val="22"/>
              <w:lang w:eastAsia="en-AU"/>
            </w:rPr>
          </w:pPr>
          <w:hyperlink w:anchor="_Toc390694759" w:history="1">
            <w:r w:rsidRPr="009F2644">
              <w:rPr>
                <w:rStyle w:val="Hyperlink"/>
                <w:noProof/>
              </w:rPr>
              <w:t>12.</w:t>
            </w:r>
            <w:r>
              <w:rPr>
                <w:rFonts w:asciiTheme="minorHAnsi" w:eastAsiaTheme="minorEastAsia" w:hAnsiTheme="minorHAnsi" w:cstheme="minorBidi"/>
                <w:b w:val="0"/>
                <w:noProof/>
                <w:sz w:val="22"/>
                <w:lang w:eastAsia="en-AU"/>
              </w:rPr>
              <w:tab/>
            </w:r>
            <w:r w:rsidRPr="009F2644">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_Toc390694759 \h </w:instrText>
            </w:r>
            <w:r>
              <w:rPr>
                <w:noProof/>
                <w:webHidden/>
              </w:rPr>
            </w:r>
            <w:r>
              <w:rPr>
                <w:noProof/>
                <w:webHidden/>
              </w:rPr>
              <w:fldChar w:fldCharType="separate"/>
            </w:r>
            <w:r>
              <w:rPr>
                <w:noProof/>
                <w:webHidden/>
              </w:rPr>
              <w:t>40</w:t>
            </w:r>
            <w:r>
              <w:rPr>
                <w:noProof/>
                <w:webHidden/>
              </w:rPr>
              <w:fldChar w:fldCharType="end"/>
            </w:r>
          </w:hyperlink>
        </w:p>
        <w:p w:rsidR="00227C75" w:rsidRDefault="00227C75">
          <w:pPr>
            <w:pStyle w:val="TOC2"/>
            <w:tabs>
              <w:tab w:val="left" w:pos="1320"/>
            </w:tabs>
            <w:rPr>
              <w:rFonts w:asciiTheme="minorHAnsi" w:eastAsiaTheme="minorEastAsia" w:hAnsiTheme="minorHAnsi" w:cstheme="minorBidi"/>
              <w:b w:val="0"/>
              <w:noProof/>
              <w:sz w:val="22"/>
              <w:lang w:eastAsia="en-AU"/>
            </w:rPr>
          </w:pPr>
          <w:hyperlink w:anchor="_Toc390694760" w:history="1">
            <w:r w:rsidRPr="009F2644">
              <w:rPr>
                <w:rStyle w:val="Hyperlink"/>
                <w:noProof/>
              </w:rPr>
              <w:t>13.</w:t>
            </w:r>
            <w:r>
              <w:rPr>
                <w:rFonts w:asciiTheme="minorHAnsi" w:eastAsiaTheme="minorEastAsia" w:hAnsiTheme="minorHAnsi" w:cstheme="minorBidi"/>
                <w:b w:val="0"/>
                <w:noProof/>
                <w:sz w:val="22"/>
                <w:lang w:eastAsia="en-AU"/>
              </w:rPr>
              <w:tab/>
            </w:r>
            <w:r w:rsidRPr="009F2644">
              <w:rPr>
                <w:rStyle w:val="Hyperlink"/>
                <w:noProof/>
              </w:rPr>
              <w:t>Second round benefit-risk assessment</w:t>
            </w:r>
            <w:r>
              <w:rPr>
                <w:noProof/>
                <w:webHidden/>
              </w:rPr>
              <w:tab/>
            </w:r>
            <w:r>
              <w:rPr>
                <w:noProof/>
                <w:webHidden/>
              </w:rPr>
              <w:fldChar w:fldCharType="begin"/>
            </w:r>
            <w:r>
              <w:rPr>
                <w:noProof/>
                <w:webHidden/>
              </w:rPr>
              <w:instrText xml:space="preserve"> PAGEREF _Toc390694760 \h </w:instrText>
            </w:r>
            <w:r>
              <w:rPr>
                <w:noProof/>
                <w:webHidden/>
              </w:rPr>
            </w:r>
            <w:r>
              <w:rPr>
                <w:noProof/>
                <w:webHidden/>
              </w:rPr>
              <w:fldChar w:fldCharType="separate"/>
            </w:r>
            <w:r>
              <w:rPr>
                <w:noProof/>
                <w:webHidden/>
              </w:rPr>
              <w:t>40</w:t>
            </w:r>
            <w:r>
              <w:rPr>
                <w:noProof/>
                <w:webHidden/>
              </w:rPr>
              <w:fldChar w:fldCharType="end"/>
            </w:r>
          </w:hyperlink>
        </w:p>
        <w:p w:rsidR="00227C75" w:rsidRDefault="00227C75">
          <w:pPr>
            <w:pStyle w:val="TOC2"/>
            <w:tabs>
              <w:tab w:val="left" w:pos="1320"/>
            </w:tabs>
            <w:rPr>
              <w:rFonts w:asciiTheme="minorHAnsi" w:eastAsiaTheme="minorEastAsia" w:hAnsiTheme="minorHAnsi" w:cstheme="minorBidi"/>
              <w:b w:val="0"/>
              <w:noProof/>
              <w:sz w:val="22"/>
              <w:lang w:eastAsia="en-AU"/>
            </w:rPr>
          </w:pPr>
          <w:hyperlink w:anchor="_Toc390694761" w:history="1">
            <w:r w:rsidRPr="009F2644">
              <w:rPr>
                <w:rStyle w:val="Hyperlink"/>
                <w:noProof/>
              </w:rPr>
              <w:t>14.</w:t>
            </w:r>
            <w:r>
              <w:rPr>
                <w:rFonts w:asciiTheme="minorHAnsi" w:eastAsiaTheme="minorEastAsia" w:hAnsiTheme="minorHAnsi" w:cstheme="minorBidi"/>
                <w:b w:val="0"/>
                <w:noProof/>
                <w:sz w:val="22"/>
                <w:lang w:eastAsia="en-AU"/>
              </w:rPr>
              <w:tab/>
            </w:r>
            <w:r w:rsidRPr="009F2644">
              <w:rPr>
                <w:rStyle w:val="Hyperlink"/>
                <w:noProof/>
              </w:rPr>
              <w:t>Second round recommendation regarding authorisation</w:t>
            </w:r>
            <w:r>
              <w:rPr>
                <w:noProof/>
                <w:webHidden/>
              </w:rPr>
              <w:tab/>
            </w:r>
            <w:r>
              <w:rPr>
                <w:noProof/>
                <w:webHidden/>
              </w:rPr>
              <w:fldChar w:fldCharType="begin"/>
            </w:r>
            <w:r>
              <w:rPr>
                <w:noProof/>
                <w:webHidden/>
              </w:rPr>
              <w:instrText xml:space="preserve"> PAGEREF _Toc390694761 \h </w:instrText>
            </w:r>
            <w:r>
              <w:rPr>
                <w:noProof/>
                <w:webHidden/>
              </w:rPr>
            </w:r>
            <w:r>
              <w:rPr>
                <w:noProof/>
                <w:webHidden/>
              </w:rPr>
              <w:fldChar w:fldCharType="separate"/>
            </w:r>
            <w:r>
              <w:rPr>
                <w:noProof/>
                <w:webHidden/>
              </w:rPr>
              <w:t>40</w:t>
            </w:r>
            <w:r>
              <w:rPr>
                <w:noProof/>
                <w:webHidden/>
              </w:rPr>
              <w:fldChar w:fldCharType="end"/>
            </w:r>
          </w:hyperlink>
        </w:p>
        <w:p w:rsidR="003A7F6C" w:rsidRPr="00B811C6" w:rsidRDefault="00227C75" w:rsidP="00227C75">
          <w:pPr>
            <w:pStyle w:val="TOC2"/>
            <w:tabs>
              <w:tab w:val="left" w:pos="1320"/>
            </w:tabs>
          </w:pPr>
          <w:hyperlink w:anchor="_Toc390694762" w:history="1">
            <w:r w:rsidRPr="009F2644">
              <w:rPr>
                <w:rStyle w:val="Hyperlink"/>
                <w:noProof/>
              </w:rPr>
              <w:t>15.</w:t>
            </w:r>
            <w:r>
              <w:rPr>
                <w:rFonts w:asciiTheme="minorHAnsi" w:eastAsiaTheme="minorEastAsia" w:hAnsiTheme="minorHAnsi" w:cstheme="minorBidi"/>
                <w:b w:val="0"/>
                <w:noProof/>
                <w:sz w:val="22"/>
                <w:lang w:eastAsia="en-AU"/>
              </w:rPr>
              <w:tab/>
            </w:r>
            <w:r w:rsidRPr="009F2644">
              <w:rPr>
                <w:rStyle w:val="Hyperlink"/>
                <w:noProof/>
              </w:rPr>
              <w:t>References</w:t>
            </w:r>
            <w:r>
              <w:rPr>
                <w:noProof/>
                <w:webHidden/>
              </w:rPr>
              <w:tab/>
            </w:r>
            <w:r>
              <w:rPr>
                <w:noProof/>
                <w:webHidden/>
              </w:rPr>
              <w:fldChar w:fldCharType="begin"/>
            </w:r>
            <w:r>
              <w:rPr>
                <w:noProof/>
                <w:webHidden/>
              </w:rPr>
              <w:instrText xml:space="preserve"> PAGEREF _Toc390694762 \h </w:instrText>
            </w:r>
            <w:r>
              <w:rPr>
                <w:noProof/>
                <w:webHidden/>
              </w:rPr>
            </w:r>
            <w:r>
              <w:rPr>
                <w:noProof/>
                <w:webHidden/>
              </w:rPr>
              <w:fldChar w:fldCharType="separate"/>
            </w:r>
            <w:r>
              <w:rPr>
                <w:noProof/>
                <w:webHidden/>
              </w:rPr>
              <w:t>41</w:t>
            </w:r>
            <w:r>
              <w:rPr>
                <w:noProof/>
                <w:webHidden/>
              </w:rPr>
              <w:fldChar w:fldCharType="end"/>
            </w:r>
          </w:hyperlink>
          <w:r w:rsidR="004F4AF5">
            <w:fldChar w:fldCharType="end"/>
          </w:r>
        </w:p>
      </w:sdtContent>
    </w:sdt>
    <w:bookmarkStart w:id="3" w:name="_Toc314842482" w:displacedByCustomXml="prev"/>
    <w:p w:rsidR="00C844A8" w:rsidRDefault="00C844A8">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586F98">
      <w:pPr>
        <w:pStyle w:val="Heading2"/>
        <w:numPr>
          <w:ilvl w:val="0"/>
          <w:numId w:val="0"/>
        </w:numPr>
      </w:pPr>
      <w:bookmarkStart w:id="7" w:name="_Toc390694730"/>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90"/>
        <w:gridCol w:w="6911"/>
      </w:tblGrid>
      <w:tr w:rsidR="00586F98" w:rsidTr="009374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Default="00586F98" w:rsidP="000A63AF">
            <w:r>
              <w:t>Abbreviation</w:t>
            </w:r>
          </w:p>
        </w:tc>
        <w:tc>
          <w:tcPr>
            <w:tcW w:w="6911" w:type="dxa"/>
          </w:tcPr>
          <w:p w:rsidR="00586F98" w:rsidRDefault="00586F98" w:rsidP="000A63AF">
            <w:pPr>
              <w:cnfStyle w:val="100000000000" w:firstRow="1" w:lastRow="0" w:firstColumn="0" w:lastColumn="0" w:oddVBand="0" w:evenVBand="0" w:oddHBand="0" w:evenHBand="0" w:firstRowFirstColumn="0" w:firstRowLastColumn="0" w:lastRowFirstColumn="0" w:lastRowLastColumn="0"/>
            </w:pPr>
            <w:r>
              <w:t>Meaning</w:t>
            </w:r>
          </w:p>
        </w:tc>
      </w:tr>
      <w:tr w:rsidR="00586F98" w:rsidTr="00937428">
        <w:tc>
          <w:tcPr>
            <w:cnfStyle w:val="001000000000" w:firstRow="0" w:lastRow="0" w:firstColumn="1" w:lastColumn="0" w:oddVBand="0" w:evenVBand="0" w:oddHBand="0" w:evenHBand="0" w:firstRowFirstColumn="0" w:firstRowLastColumn="0" w:lastRowFirstColumn="0" w:lastRowLastColumn="0"/>
            <w:tcW w:w="1890" w:type="dxa"/>
          </w:tcPr>
          <w:p w:rsidR="00586F98" w:rsidRDefault="00937428" w:rsidP="000A63AF">
            <w:r>
              <w:t>CRP</w:t>
            </w:r>
          </w:p>
        </w:tc>
        <w:tc>
          <w:tcPr>
            <w:tcW w:w="6911" w:type="dxa"/>
          </w:tcPr>
          <w:p w:rsidR="00586F98" w:rsidRDefault="00937428" w:rsidP="000A63AF">
            <w:pPr>
              <w:cnfStyle w:val="000000000000" w:firstRow="0" w:lastRow="0" w:firstColumn="0" w:lastColumn="0" w:oddVBand="0" w:evenVBand="0" w:oddHBand="0" w:evenHBand="0" w:firstRowFirstColumn="0" w:firstRowLastColumn="0" w:lastRowFirstColumn="0" w:lastRowLastColumn="0"/>
            </w:pPr>
            <w:r>
              <w:t>C-reactive protein</w:t>
            </w:r>
          </w:p>
        </w:tc>
      </w:tr>
    </w:tbl>
    <w:p w:rsidR="00586F98" w:rsidRDefault="00586F98" w:rsidP="003A416C">
      <w:pPr>
        <w:pStyle w:val="Heading2"/>
        <w:rPr>
          <w:lang w:eastAsia="en-AU"/>
        </w:rPr>
      </w:pPr>
      <w:bookmarkStart w:id="8" w:name="_Toc351718900"/>
      <w:bookmarkStart w:id="9" w:name="_Toc355338635"/>
      <w:bookmarkStart w:id="10" w:name="_Toc390694731"/>
      <w:r>
        <w:rPr>
          <w:lang w:eastAsia="en-AU"/>
        </w:rPr>
        <w:t>Clinical rationale</w:t>
      </w:r>
      <w:bookmarkEnd w:id="10"/>
    </w:p>
    <w:p w:rsidR="00937428" w:rsidRPr="00937428" w:rsidRDefault="00937428" w:rsidP="003A416C">
      <w:r w:rsidRPr="00937428">
        <w:t>The purpose of this submission is to support a new therapeutic indication for the treatment of moderately to severely active ulcerative colitis in adult patients who have had an inadequate response to conventional therapy including corticosteroids and 6-mercaptopurine (6-MP) or azathioprine (AZA), or who are intolerant to or have medical contra</w:t>
      </w:r>
      <w:r w:rsidR="003A416C">
        <w:t>indications for such therapies.</w:t>
      </w:r>
    </w:p>
    <w:p w:rsidR="00937428" w:rsidRPr="00937428" w:rsidRDefault="00937428" w:rsidP="003A416C">
      <w:r w:rsidRPr="00937428">
        <w:t>Ulcerative colitis (UC) is a chronic inflammatory bowel disorder of unknown aetiology. The overall estimate of the prevalence of ulcerative colitis is approximately 730,000 people in North America and 1 million people in Europe.</w:t>
      </w:r>
    </w:p>
    <w:p w:rsidR="00937428" w:rsidRPr="00937428" w:rsidRDefault="00937428" w:rsidP="003A416C">
      <w:r w:rsidRPr="00937428">
        <w:t>The sponsor argues:</w:t>
      </w:r>
    </w:p>
    <w:p w:rsidR="00937428" w:rsidRPr="003A416C" w:rsidRDefault="00937428" w:rsidP="003A416C">
      <w:pPr>
        <w:ind w:left="720"/>
        <w:rPr>
          <w:i/>
        </w:rPr>
      </w:pPr>
      <w:r w:rsidRPr="003A416C">
        <w:rPr>
          <w:i/>
        </w:rPr>
        <w:t>‘There is unmet therapeutic need for patients with ulcerative colitis, since many do not respond to or are intolerant of conventional therapies, or demonstrate corticosteroid dependence. Among patients with ulcerative colitis who respond to corticosteroids, long-term use is not recommended due to its toxicity’</w:t>
      </w:r>
      <w:r w:rsidR="003A416C">
        <w:rPr>
          <w:i/>
        </w:rPr>
        <w:t>.</w:t>
      </w:r>
    </w:p>
    <w:p w:rsidR="00937428" w:rsidRPr="00937428" w:rsidRDefault="00937428" w:rsidP="003A416C">
      <w:r w:rsidRPr="00937428">
        <w:t xml:space="preserve">And further that, since the biologic anti-TNF agents infliximab and </w:t>
      </w:r>
      <w:proofErr w:type="spellStart"/>
      <w:r w:rsidRPr="00937428">
        <w:t>adalimumab</w:t>
      </w:r>
      <w:proofErr w:type="spellEnd"/>
      <w:r w:rsidRPr="00937428">
        <w:t xml:space="preserve"> are globally approved for use in patients with moderately to severely active</w:t>
      </w:r>
      <w:r w:rsidR="003A416C">
        <w:t xml:space="preserve"> ulcerative colitis. </w:t>
      </w:r>
      <w:proofErr w:type="spellStart"/>
      <w:r w:rsidR="003A416C">
        <w:t>Golimumab</w:t>
      </w:r>
      <w:proofErr w:type="spellEnd"/>
      <w:r w:rsidR="003A416C">
        <w:t>:</w:t>
      </w:r>
    </w:p>
    <w:p w:rsidR="00937428" w:rsidRPr="003A416C" w:rsidRDefault="00937428" w:rsidP="003A416C">
      <w:pPr>
        <w:ind w:left="709"/>
        <w:rPr>
          <w:i/>
        </w:rPr>
      </w:pPr>
      <w:r w:rsidRPr="003A416C">
        <w:rPr>
          <w:i/>
        </w:rPr>
        <w:t>‘</w:t>
      </w:r>
      <w:proofErr w:type="gramStart"/>
      <w:r w:rsidRPr="003A416C">
        <w:rPr>
          <w:i/>
        </w:rPr>
        <w:t>provides</w:t>
      </w:r>
      <w:proofErr w:type="gramEnd"/>
      <w:r w:rsidRPr="003A416C">
        <w:rPr>
          <w:i/>
        </w:rPr>
        <w:t xml:space="preserve"> a convenient, alternative treatment option for patients with ulcerative colitis who have not responded to conventional therapy.’</w:t>
      </w:r>
    </w:p>
    <w:p w:rsidR="00937428" w:rsidRDefault="00937428" w:rsidP="003A416C">
      <w:pPr>
        <w:pStyle w:val="Heading3"/>
      </w:pPr>
      <w:bookmarkStart w:id="11" w:name="_Toc390694732"/>
      <w:r>
        <w:t>Guidance</w:t>
      </w:r>
      <w:bookmarkEnd w:id="11"/>
    </w:p>
    <w:p w:rsidR="00937428" w:rsidRDefault="00937428" w:rsidP="003A416C">
      <w:pPr>
        <w:pStyle w:val="ListBullet"/>
        <w:rPr>
          <w:lang w:eastAsia="ja-JP"/>
        </w:rPr>
      </w:pPr>
      <w:r>
        <w:rPr>
          <w:lang w:eastAsia="ja-JP"/>
        </w:rPr>
        <w:t>CHMP/EWP/</w:t>
      </w:r>
      <w:r w:rsidRPr="003A416C">
        <w:t>18463</w:t>
      </w:r>
      <w:r>
        <w:rPr>
          <w:lang w:eastAsia="ja-JP"/>
        </w:rPr>
        <w:t>/2006 Guideline on the Development of New Medicinal Products for the Treatment of Ulcerative Colitis Effective: 8 April 2009.</w:t>
      </w:r>
    </w:p>
    <w:p w:rsidR="00937428" w:rsidRPr="00937428" w:rsidRDefault="00937428" w:rsidP="003A416C">
      <w:pPr>
        <w:pStyle w:val="ListBullet"/>
        <w:rPr>
          <w:lang w:eastAsia="ja-JP"/>
        </w:rPr>
      </w:pPr>
      <w:r>
        <w:rPr>
          <w:lang w:eastAsia="ja-JP"/>
        </w:rPr>
        <w:t>CPMP/BPWG/283/00 Note for Guidance on the Clinical Investigation of Human Normal Immunoglobulin for Subcutaneous and Intramuscular Use Effective: 12 March 2003.</w:t>
      </w:r>
    </w:p>
    <w:p w:rsidR="00937428" w:rsidRDefault="00937428" w:rsidP="003A416C">
      <w:pPr>
        <w:pStyle w:val="Heading3"/>
      </w:pPr>
      <w:bookmarkStart w:id="12" w:name="_Toc390694733"/>
      <w:r w:rsidRPr="003A416C">
        <w:t>Regulatory</w:t>
      </w:r>
      <w:r>
        <w:t xml:space="preserve"> background</w:t>
      </w:r>
      <w:bookmarkEnd w:id="12"/>
    </w:p>
    <w:p w:rsidR="00937428" w:rsidRDefault="00937428" w:rsidP="003A416C">
      <w:pPr>
        <w:rPr>
          <w:lang w:eastAsia="ja-JP"/>
        </w:rPr>
      </w:pPr>
      <w:r w:rsidRPr="00937428">
        <w:rPr>
          <w:lang w:eastAsia="ja-JP"/>
        </w:rPr>
        <w:t>Date of inclusion on the ARTG</w:t>
      </w:r>
      <w:r>
        <w:rPr>
          <w:lang w:eastAsia="ja-JP"/>
        </w:rPr>
        <w:t>:</w:t>
      </w:r>
      <w:r w:rsidRPr="00937428">
        <w:rPr>
          <w:lang w:eastAsia="ja-JP"/>
        </w:rPr>
        <w:t xml:space="preserve"> 13 November 2009.</w:t>
      </w:r>
    </w:p>
    <w:p w:rsidR="00937428" w:rsidRDefault="00937428" w:rsidP="003A416C">
      <w:pPr>
        <w:rPr>
          <w:lang w:eastAsia="ja-JP"/>
        </w:rPr>
      </w:pPr>
      <w:r>
        <w:rPr>
          <w:lang w:eastAsia="ja-JP"/>
        </w:rPr>
        <w:t xml:space="preserve">The international birth date of </w:t>
      </w:r>
      <w:proofErr w:type="spellStart"/>
      <w:r>
        <w:rPr>
          <w:lang w:eastAsia="ja-JP"/>
        </w:rPr>
        <w:t>Simponi</w:t>
      </w:r>
      <w:proofErr w:type="spellEnd"/>
      <w:r>
        <w:rPr>
          <w:lang w:eastAsia="ja-JP"/>
        </w:rPr>
        <w:t xml:space="preserve"> is 07 April 2009 based on first approval in Canada.</w:t>
      </w:r>
    </w:p>
    <w:p w:rsidR="00937428" w:rsidRDefault="00937428" w:rsidP="003A416C">
      <w:pPr>
        <w:rPr>
          <w:lang w:eastAsia="ja-JP"/>
        </w:rPr>
      </w:pPr>
      <w:r>
        <w:rPr>
          <w:lang w:eastAsia="ja-JP"/>
        </w:rPr>
        <w:t xml:space="preserve">At the time of this submission similar ulcerative colitis applications have been made in EU, </w:t>
      </w:r>
      <w:proofErr w:type="spellStart"/>
      <w:r>
        <w:rPr>
          <w:lang w:eastAsia="ja-JP"/>
        </w:rPr>
        <w:t>USA</w:t>
      </w:r>
      <w:proofErr w:type="gramStart"/>
      <w:r>
        <w:rPr>
          <w:lang w:eastAsia="ja-JP"/>
        </w:rPr>
        <w:t>,Canada</w:t>
      </w:r>
      <w:proofErr w:type="spellEnd"/>
      <w:proofErr w:type="gramEnd"/>
      <w:r>
        <w:rPr>
          <w:lang w:eastAsia="ja-JP"/>
        </w:rPr>
        <w:t xml:space="preserve"> &amp; Switzerland.</w:t>
      </w:r>
    </w:p>
    <w:p w:rsidR="00937428" w:rsidRPr="00937428" w:rsidRDefault="00937428" w:rsidP="003A416C">
      <w:pPr>
        <w:rPr>
          <w:lang w:eastAsia="ja-JP"/>
        </w:rPr>
      </w:pPr>
      <w:r>
        <w:rPr>
          <w:lang w:eastAsia="ja-JP"/>
        </w:rPr>
        <w:t>The 100</w:t>
      </w:r>
      <w:r w:rsidR="00B13311">
        <w:rPr>
          <w:lang w:eastAsia="ja-JP"/>
        </w:rPr>
        <w:t xml:space="preserve"> </w:t>
      </w:r>
      <w:r w:rsidR="00E51565">
        <w:rPr>
          <w:lang w:eastAsia="ja-JP"/>
        </w:rPr>
        <w:t>mg</w:t>
      </w:r>
      <w:r>
        <w:rPr>
          <w:lang w:eastAsia="ja-JP"/>
        </w:rPr>
        <w:t xml:space="preserve"> data set package has been prepared specifically for Australia (separate dossier not required elsewhere).</w:t>
      </w:r>
    </w:p>
    <w:p w:rsidR="00586F98" w:rsidRDefault="00586F98" w:rsidP="003A416C">
      <w:pPr>
        <w:pStyle w:val="Heading2"/>
        <w:rPr>
          <w:lang w:eastAsia="en-AU"/>
        </w:rPr>
      </w:pPr>
      <w:bookmarkStart w:id="13" w:name="_Toc390694734"/>
      <w:r>
        <w:rPr>
          <w:lang w:eastAsia="en-AU"/>
        </w:rPr>
        <w:lastRenderedPageBreak/>
        <w:t xml:space="preserve">Contents of the clinical </w:t>
      </w:r>
      <w:r w:rsidRPr="003A416C">
        <w:t>dossier</w:t>
      </w:r>
      <w:bookmarkEnd w:id="8"/>
      <w:bookmarkEnd w:id="9"/>
      <w:bookmarkEnd w:id="13"/>
    </w:p>
    <w:p w:rsidR="00586F98" w:rsidRDefault="00586F98" w:rsidP="00586F98">
      <w:pPr>
        <w:pStyle w:val="Heading3"/>
      </w:pPr>
      <w:bookmarkStart w:id="14" w:name="_Toc390694735"/>
      <w:r>
        <w:t>Scope of the clinical dossier</w:t>
      </w:r>
      <w:bookmarkEnd w:id="14"/>
    </w:p>
    <w:p w:rsidR="00937428" w:rsidRPr="00937428" w:rsidRDefault="00937428" w:rsidP="003A416C">
      <w:pPr>
        <w:rPr>
          <w:lang w:eastAsia="ja-JP"/>
        </w:rPr>
      </w:pPr>
      <w:r w:rsidRPr="00937428">
        <w:rPr>
          <w:lang w:eastAsia="ja-JP"/>
        </w:rPr>
        <w:t>The submission contained the following clinical information:</w:t>
      </w:r>
    </w:p>
    <w:p w:rsidR="00937428" w:rsidRPr="00937428" w:rsidRDefault="00937428" w:rsidP="003A416C">
      <w:pPr>
        <w:pStyle w:val="ListBullet"/>
        <w:rPr>
          <w:lang w:eastAsia="ja-JP"/>
        </w:rPr>
      </w:pPr>
      <w:r>
        <w:rPr>
          <w:lang w:eastAsia="ja-JP"/>
        </w:rPr>
        <w:t>One</w:t>
      </w:r>
      <w:r w:rsidRPr="00937428">
        <w:rPr>
          <w:lang w:eastAsia="ja-JP"/>
        </w:rPr>
        <w:t xml:space="preserve"> Phase I PK </w:t>
      </w:r>
      <w:r w:rsidR="00B13311">
        <w:rPr>
          <w:lang w:eastAsia="ja-JP"/>
        </w:rPr>
        <w:t>Study</w:t>
      </w:r>
      <w:r w:rsidRPr="00937428">
        <w:rPr>
          <w:lang w:eastAsia="ja-JP"/>
        </w:rPr>
        <w:t xml:space="preserve"> CNTO148NAP1001, of single SC 20</w:t>
      </w:r>
      <w:r w:rsidR="007C1257">
        <w:rPr>
          <w:lang w:eastAsia="ja-JP"/>
        </w:rPr>
        <w:t>0 mg</w:t>
      </w:r>
      <w:r w:rsidRPr="00937428">
        <w:rPr>
          <w:lang w:eastAsia="ja-JP"/>
        </w:rPr>
        <w:t xml:space="preserve"> and 40</w:t>
      </w:r>
      <w:r w:rsidR="007C1257">
        <w:rPr>
          <w:lang w:eastAsia="ja-JP"/>
        </w:rPr>
        <w:t>0 mg</w:t>
      </w:r>
      <w:r w:rsidRPr="00937428">
        <w:rPr>
          <w:lang w:eastAsia="ja-JP"/>
        </w:rPr>
        <w:t xml:space="preserve"> doses in healthy volunteers.</w:t>
      </w:r>
    </w:p>
    <w:p w:rsidR="00937428" w:rsidRPr="00937428" w:rsidRDefault="00937428" w:rsidP="003A416C">
      <w:pPr>
        <w:pStyle w:val="ListBullet"/>
        <w:rPr>
          <w:lang w:eastAsia="ja-JP"/>
        </w:rPr>
      </w:pPr>
      <w:r w:rsidRPr="00937428">
        <w:rPr>
          <w:lang w:eastAsia="ja-JP"/>
        </w:rPr>
        <w:t xml:space="preserve">2 clinical studies (C0524T16 &amp; C0524T17) </w:t>
      </w:r>
      <w:r w:rsidRPr="003A416C">
        <w:t>that</w:t>
      </w:r>
      <w:r w:rsidRPr="00937428">
        <w:rPr>
          <w:lang w:eastAsia="ja-JP"/>
        </w:rPr>
        <w:t xml:space="preserve"> provided PK and PD data.</w:t>
      </w:r>
    </w:p>
    <w:p w:rsidR="00937428" w:rsidRPr="00937428" w:rsidRDefault="00937428" w:rsidP="003A416C">
      <w:pPr>
        <w:pStyle w:val="ListBullet"/>
        <w:rPr>
          <w:lang w:eastAsia="ja-JP"/>
        </w:rPr>
      </w:pPr>
      <w:r w:rsidRPr="00937428">
        <w:rPr>
          <w:lang w:eastAsia="ja-JP"/>
        </w:rPr>
        <w:t>1 population pharmacokinetic analysis.</w:t>
      </w:r>
    </w:p>
    <w:p w:rsidR="00937428" w:rsidRPr="00937428" w:rsidRDefault="00937428" w:rsidP="00937428">
      <w:pPr>
        <w:pStyle w:val="ListBullet"/>
        <w:rPr>
          <w:lang w:eastAsia="ja-JP"/>
        </w:rPr>
      </w:pPr>
      <w:r w:rsidRPr="00937428">
        <w:rPr>
          <w:lang w:eastAsia="ja-JP"/>
        </w:rPr>
        <w:t>3 pivotal efficacy/safety studies in subjects with moderately to severely active ulcerative colitis:</w:t>
      </w:r>
    </w:p>
    <w:p w:rsidR="00937428" w:rsidRPr="00937428" w:rsidRDefault="00937428" w:rsidP="003A416C">
      <w:pPr>
        <w:pStyle w:val="ListBullet2"/>
      </w:pPr>
      <w:r w:rsidRPr="00937428">
        <w:t xml:space="preserve">C0524T16 intravenous 6 week induction study double-blind, placebo </w:t>
      </w:r>
      <w:proofErr w:type="gramStart"/>
      <w:r w:rsidRPr="00937428">
        <w:t>co</w:t>
      </w:r>
      <w:r w:rsidR="003A416C">
        <w:t>ntrolled,</w:t>
      </w:r>
      <w:proofErr w:type="gramEnd"/>
      <w:r w:rsidR="003A416C">
        <w:t xml:space="preserve"> parallel-group study.</w:t>
      </w:r>
    </w:p>
    <w:p w:rsidR="00937428" w:rsidRPr="00937428" w:rsidRDefault="00937428" w:rsidP="003A416C">
      <w:pPr>
        <w:pStyle w:val="ListBullet2"/>
      </w:pPr>
      <w:r w:rsidRPr="00937428">
        <w:t xml:space="preserve">C0524T17 </w:t>
      </w:r>
      <w:r w:rsidRPr="003A416C">
        <w:t>subcutaneous</w:t>
      </w:r>
      <w:r w:rsidRPr="00937428">
        <w:t xml:space="preserve"> (SC) 6 week induction study double-blind, placebo </w:t>
      </w:r>
      <w:proofErr w:type="gramStart"/>
      <w:r w:rsidRPr="00937428">
        <w:t>controlled,</w:t>
      </w:r>
      <w:proofErr w:type="gramEnd"/>
      <w:r w:rsidRPr="00937428">
        <w:t xml:space="preserve"> parallel-group study.</w:t>
      </w:r>
    </w:p>
    <w:p w:rsidR="00937428" w:rsidRPr="00937428" w:rsidRDefault="00937428" w:rsidP="003A416C">
      <w:pPr>
        <w:pStyle w:val="ListBullet2"/>
        <w:numPr>
          <w:ilvl w:val="0"/>
          <w:numId w:val="0"/>
        </w:numPr>
        <w:ind w:left="720"/>
        <w:rPr>
          <w:lang w:eastAsia="ja-JP"/>
        </w:rPr>
      </w:pPr>
      <w:r w:rsidRPr="00937428">
        <w:rPr>
          <w:lang w:eastAsia="ja-JP"/>
        </w:rPr>
        <w:t xml:space="preserve">These studies, to evaluate efficacy and safety, were designed with 2 parts, a Phase </w:t>
      </w:r>
      <w:r>
        <w:rPr>
          <w:lang w:eastAsia="ja-JP"/>
        </w:rPr>
        <w:t>II</w:t>
      </w:r>
      <w:r w:rsidRPr="00937428">
        <w:rPr>
          <w:lang w:eastAsia="ja-JP"/>
        </w:rPr>
        <w:t xml:space="preserve"> dose-finding portion (Part 1) and a Phase </w:t>
      </w:r>
      <w:r>
        <w:rPr>
          <w:lang w:eastAsia="ja-JP"/>
        </w:rPr>
        <w:t>III</w:t>
      </w:r>
      <w:r w:rsidRPr="00937428">
        <w:rPr>
          <w:lang w:eastAsia="ja-JP"/>
        </w:rPr>
        <w:t xml:space="preserve"> dose-confirming portion (Part 2). The Part 1 analyses gave better results for the SC induction regimens than observed with the IV induction regimens, so the enrolment into the IV induction </w:t>
      </w:r>
      <w:r w:rsidR="00B13311">
        <w:rPr>
          <w:lang w:eastAsia="ja-JP"/>
        </w:rPr>
        <w:t>Study</w:t>
      </w:r>
      <w:r w:rsidRPr="00937428">
        <w:rPr>
          <w:lang w:eastAsia="ja-JP"/>
        </w:rPr>
        <w:t xml:space="preserve"> C0524T16 was stopped.</w:t>
      </w:r>
    </w:p>
    <w:p w:rsidR="00937428" w:rsidRPr="00937428" w:rsidRDefault="00937428" w:rsidP="003A416C">
      <w:pPr>
        <w:pStyle w:val="ListBullet"/>
        <w:rPr>
          <w:lang w:eastAsia="ja-JP"/>
        </w:rPr>
      </w:pPr>
      <w:r w:rsidRPr="00937428">
        <w:rPr>
          <w:lang w:eastAsia="ja-JP"/>
        </w:rPr>
        <w:t>Long term (5</w:t>
      </w:r>
      <w:r w:rsidR="00515335">
        <w:rPr>
          <w:lang w:eastAsia="ja-JP"/>
        </w:rPr>
        <w:t>4</w:t>
      </w:r>
      <w:r w:rsidRPr="00937428">
        <w:rPr>
          <w:lang w:eastAsia="ja-JP"/>
        </w:rPr>
        <w:t xml:space="preserve"> week) maintenance study (C0524T18) of efficacy and safety. Subjects who enrolled in C0524T16 and C0524T17 and who completed the Week 6 visit were eligible to enter the maintenance study, C0524T18.</w:t>
      </w:r>
    </w:p>
    <w:p w:rsidR="00937428" w:rsidRPr="00937428" w:rsidRDefault="00937428" w:rsidP="003A416C">
      <w:pPr>
        <w:pStyle w:val="ListBullet"/>
        <w:rPr>
          <w:lang w:eastAsia="ja-JP"/>
        </w:rPr>
      </w:pPr>
      <w:r w:rsidRPr="00937428">
        <w:rPr>
          <w:lang w:eastAsia="ja-JP"/>
        </w:rPr>
        <w:t xml:space="preserve"> A population PK model of </w:t>
      </w:r>
      <w:proofErr w:type="spellStart"/>
      <w:r w:rsidRPr="00937428">
        <w:rPr>
          <w:lang w:eastAsia="ja-JP"/>
        </w:rPr>
        <w:t>golimumab</w:t>
      </w:r>
      <w:proofErr w:type="spellEnd"/>
      <w:r w:rsidRPr="00937428">
        <w:rPr>
          <w:lang w:eastAsia="ja-JP"/>
        </w:rPr>
        <w:t xml:space="preserve"> in subjects with moderately to severely active ulcerative colitis was developed, using PK samples obtained from the ind</w:t>
      </w:r>
      <w:r w:rsidR="003A416C">
        <w:rPr>
          <w:lang w:eastAsia="ja-JP"/>
        </w:rPr>
        <w:t>uction and maintenance studies.</w:t>
      </w:r>
    </w:p>
    <w:p w:rsidR="00937428" w:rsidRPr="00937428" w:rsidRDefault="00937428" w:rsidP="003A416C">
      <w:pPr>
        <w:pStyle w:val="ListBullet"/>
        <w:rPr>
          <w:lang w:eastAsia="ja-JP"/>
        </w:rPr>
      </w:pPr>
      <w:r w:rsidRPr="00937428">
        <w:rPr>
          <w:lang w:eastAsia="ja-JP"/>
        </w:rPr>
        <w:t xml:space="preserve">The submission also </w:t>
      </w:r>
      <w:r w:rsidRPr="003A416C">
        <w:t>referred</w:t>
      </w:r>
      <w:r w:rsidRPr="00937428">
        <w:rPr>
          <w:lang w:eastAsia="ja-JP"/>
        </w:rPr>
        <w:t xml:space="preserve"> to old studies for updating the clinical pharmacology information in the Product Information or for cross-study comparisons with PK data from the </w:t>
      </w:r>
      <w:proofErr w:type="spellStart"/>
      <w:r w:rsidRPr="00937428">
        <w:rPr>
          <w:lang w:eastAsia="ja-JP"/>
        </w:rPr>
        <w:t>golimumab</w:t>
      </w:r>
      <w:proofErr w:type="spellEnd"/>
      <w:r w:rsidRPr="00937428">
        <w:rPr>
          <w:lang w:eastAsia="ja-JP"/>
        </w:rPr>
        <w:t xml:space="preserve"> ulcerative colitis studies:</w:t>
      </w:r>
    </w:p>
    <w:p w:rsidR="00937428" w:rsidRPr="00937428" w:rsidRDefault="00937428" w:rsidP="003A416C">
      <w:pPr>
        <w:pStyle w:val="ListBullet2"/>
      </w:pPr>
      <w:r w:rsidRPr="00937428">
        <w:t xml:space="preserve">C0524T23- Phase I, single blind, partially randomized, two-dose study of Japanese and Caucasians to assess the PK profiles of </w:t>
      </w:r>
      <w:proofErr w:type="spellStart"/>
      <w:r w:rsidRPr="00937428">
        <w:t>golimumab</w:t>
      </w:r>
      <w:proofErr w:type="spellEnd"/>
      <w:r w:rsidRPr="00937428">
        <w:t xml:space="preserve"> following a single SC injection of 50 and 10</w:t>
      </w:r>
      <w:r w:rsidR="007C1257">
        <w:t>0 mg</w:t>
      </w:r>
      <w:r w:rsidR="003A416C">
        <w:t xml:space="preserve"> </w:t>
      </w:r>
      <w:proofErr w:type="spellStart"/>
      <w:r w:rsidR="003A416C">
        <w:t>golimumab</w:t>
      </w:r>
      <w:proofErr w:type="spellEnd"/>
      <w:r w:rsidR="003A416C">
        <w:t>.</w:t>
      </w:r>
    </w:p>
    <w:p w:rsidR="00937428" w:rsidRPr="00937428" w:rsidRDefault="00937428" w:rsidP="003A416C">
      <w:pPr>
        <w:pStyle w:val="ListBullet2"/>
      </w:pPr>
      <w:r w:rsidRPr="00937428">
        <w:t xml:space="preserve">C0524T14 - Phase I </w:t>
      </w:r>
      <w:r w:rsidRPr="003A416C">
        <w:t>randomised</w:t>
      </w:r>
      <w:r w:rsidRPr="00937428">
        <w:t xml:space="preserve">, open label outpatient study to assess the PKs &amp; PDs of </w:t>
      </w:r>
      <w:proofErr w:type="spellStart"/>
      <w:r w:rsidRPr="00937428">
        <w:t>golimumab</w:t>
      </w:r>
      <w:proofErr w:type="spellEnd"/>
      <w:r w:rsidRPr="00937428">
        <w:t xml:space="preserve"> following multiple IV or SC administrations of </w:t>
      </w:r>
      <w:proofErr w:type="spellStart"/>
      <w:r w:rsidRPr="00937428">
        <w:t>golimumab</w:t>
      </w:r>
      <w:proofErr w:type="spellEnd"/>
      <w:r w:rsidRPr="00937428">
        <w:t xml:space="preserve"> in subj</w:t>
      </w:r>
      <w:r w:rsidR="003A416C">
        <w:t>ects with rheumatoid arthritis.</w:t>
      </w:r>
    </w:p>
    <w:p w:rsidR="00937428" w:rsidRPr="00937428" w:rsidRDefault="00937428" w:rsidP="003A416C">
      <w:pPr>
        <w:pStyle w:val="ListBullet2"/>
      </w:pPr>
      <w:r w:rsidRPr="00937428">
        <w:t xml:space="preserve">C0524T15 - Phase I </w:t>
      </w:r>
      <w:r w:rsidRPr="003A416C">
        <w:t>randomised</w:t>
      </w:r>
      <w:r w:rsidRPr="00937428">
        <w:t>, open label parallel study to assess the absolute bioavailability of a single subcutaneous administration of</w:t>
      </w:r>
      <w:r w:rsidR="003A416C">
        <w:t xml:space="preserve"> </w:t>
      </w:r>
      <w:proofErr w:type="spellStart"/>
      <w:r w:rsidR="003A416C">
        <w:t>golimumab</w:t>
      </w:r>
      <w:proofErr w:type="spellEnd"/>
      <w:r w:rsidR="003A416C">
        <w:t xml:space="preserve"> in healthy subjects.</w:t>
      </w:r>
    </w:p>
    <w:p w:rsidR="00937428" w:rsidRPr="00937428" w:rsidRDefault="00937428" w:rsidP="003A416C">
      <w:pPr>
        <w:pStyle w:val="ListBullet"/>
        <w:rPr>
          <w:lang w:eastAsia="ja-JP"/>
        </w:rPr>
      </w:pPr>
      <w:r w:rsidRPr="00937428">
        <w:rPr>
          <w:lang w:eastAsia="ja-JP"/>
        </w:rPr>
        <w:t xml:space="preserve">PSUR: 7 </w:t>
      </w:r>
      <w:r w:rsidRPr="003A416C">
        <w:t>Oct</w:t>
      </w:r>
      <w:r w:rsidR="00C844A8" w:rsidRPr="003A416C">
        <w:t>ober</w:t>
      </w:r>
      <w:r w:rsidRPr="00937428">
        <w:rPr>
          <w:lang w:eastAsia="ja-JP"/>
        </w:rPr>
        <w:t xml:space="preserve"> 2011 to 6 Apr</w:t>
      </w:r>
      <w:r w:rsidR="00C844A8">
        <w:rPr>
          <w:lang w:eastAsia="ja-JP"/>
        </w:rPr>
        <w:t>il</w:t>
      </w:r>
      <w:r w:rsidRPr="00937428">
        <w:rPr>
          <w:lang w:eastAsia="ja-JP"/>
        </w:rPr>
        <w:t xml:space="preserve"> 2012.</w:t>
      </w:r>
    </w:p>
    <w:p w:rsidR="00937428" w:rsidRPr="00937428" w:rsidRDefault="00937428" w:rsidP="003A416C">
      <w:pPr>
        <w:pStyle w:val="ListBullet"/>
        <w:rPr>
          <w:lang w:eastAsia="ja-JP"/>
        </w:rPr>
      </w:pPr>
      <w:r w:rsidRPr="00937428">
        <w:rPr>
          <w:lang w:eastAsia="ja-JP"/>
        </w:rPr>
        <w:t xml:space="preserve">Literature </w:t>
      </w:r>
      <w:r w:rsidRPr="003A416C">
        <w:t>references</w:t>
      </w:r>
      <w:r w:rsidRPr="00937428">
        <w:rPr>
          <w:lang w:eastAsia="ja-JP"/>
        </w:rPr>
        <w:t>.</w:t>
      </w:r>
    </w:p>
    <w:p w:rsidR="00937428" w:rsidRPr="00937428" w:rsidRDefault="00937428" w:rsidP="00937428">
      <w:pPr>
        <w:pStyle w:val="ListBullet"/>
        <w:rPr>
          <w:lang w:eastAsia="ja-JP"/>
        </w:rPr>
      </w:pPr>
      <w:r>
        <w:rPr>
          <w:lang w:eastAsia="ja-JP"/>
        </w:rPr>
        <w:t xml:space="preserve">The sponsor’s </w:t>
      </w:r>
      <w:r w:rsidRPr="00937428">
        <w:rPr>
          <w:lang w:eastAsia="ja-JP"/>
        </w:rPr>
        <w:t>Clinical Overview, Summary of Clinical Efficacy, Summary of Clinical Safety and literature references.</w:t>
      </w:r>
    </w:p>
    <w:p w:rsidR="00586F98" w:rsidRDefault="00586F98" w:rsidP="005963B6">
      <w:pPr>
        <w:pStyle w:val="Heading3"/>
      </w:pPr>
      <w:bookmarkStart w:id="15" w:name="_Toc390694736"/>
      <w:r>
        <w:lastRenderedPageBreak/>
        <w:t xml:space="preserve">Paediatric </w:t>
      </w:r>
      <w:r w:rsidRPr="005963B6">
        <w:t>data</w:t>
      </w:r>
      <w:bookmarkEnd w:id="15"/>
    </w:p>
    <w:p w:rsidR="00937428" w:rsidRPr="00937428" w:rsidRDefault="00937428" w:rsidP="005963B6">
      <w:pPr>
        <w:rPr>
          <w:lang w:eastAsia="ja-JP"/>
        </w:rPr>
      </w:pPr>
      <w:r w:rsidRPr="00937428">
        <w:rPr>
          <w:lang w:eastAsia="ja-JP"/>
        </w:rPr>
        <w:t>The submission included no paediatric data.</w:t>
      </w:r>
    </w:p>
    <w:p w:rsidR="00586F98" w:rsidRDefault="00586F98" w:rsidP="005963B6">
      <w:pPr>
        <w:pStyle w:val="Heading3"/>
      </w:pPr>
      <w:bookmarkStart w:id="16" w:name="_Toc390694737"/>
      <w:r>
        <w:t>Good clinical practice</w:t>
      </w:r>
      <w:bookmarkEnd w:id="16"/>
    </w:p>
    <w:p w:rsidR="00586F98" w:rsidRPr="00586F98" w:rsidRDefault="00937428" w:rsidP="005963B6">
      <w:pPr>
        <w:rPr>
          <w:lang w:eastAsia="ja-JP"/>
        </w:rPr>
      </w:pPr>
      <w:r w:rsidRPr="00937428">
        <w:rPr>
          <w:lang w:eastAsia="ja-JP"/>
        </w:rPr>
        <w:t>All newly submitted studies were conducted in compliance with Good Clinical Prac</w:t>
      </w:r>
      <w:r w:rsidR="005963B6">
        <w:rPr>
          <w:lang w:eastAsia="ja-JP"/>
        </w:rPr>
        <w:t>tice.</w:t>
      </w:r>
    </w:p>
    <w:p w:rsidR="00586F98" w:rsidRDefault="00586F98" w:rsidP="005963B6">
      <w:pPr>
        <w:pStyle w:val="Heading2"/>
      </w:pPr>
      <w:bookmarkStart w:id="17" w:name="_Toc355338639"/>
      <w:bookmarkStart w:id="18" w:name="_Toc390694738"/>
      <w:r>
        <w:t>Pharmacokinetics</w:t>
      </w:r>
      <w:bookmarkEnd w:id="17"/>
      <w:bookmarkEnd w:id="18"/>
    </w:p>
    <w:p w:rsidR="00937428" w:rsidRDefault="00937428" w:rsidP="005963B6">
      <w:pPr>
        <w:pStyle w:val="Heading3"/>
      </w:pPr>
      <w:bookmarkStart w:id="19" w:name="_Ref271017296"/>
      <w:bookmarkStart w:id="20" w:name="_Ref271018924"/>
      <w:bookmarkStart w:id="21" w:name="_Ref271018934"/>
      <w:bookmarkStart w:id="22" w:name="_Toc272414614"/>
      <w:bookmarkStart w:id="23" w:name="_Toc290846238"/>
      <w:bookmarkStart w:id="24" w:name="_Toc290888775"/>
      <w:bookmarkStart w:id="25" w:name="_Toc373241011"/>
      <w:bookmarkStart w:id="26" w:name="_Toc390694739"/>
      <w:r>
        <w:t>Studies</w:t>
      </w:r>
      <w:bookmarkEnd w:id="19"/>
      <w:bookmarkEnd w:id="20"/>
      <w:bookmarkEnd w:id="21"/>
      <w:r>
        <w:t xml:space="preserve"> providing </w:t>
      </w:r>
      <w:r w:rsidRPr="005963B6">
        <w:t>pharmacokinetic</w:t>
      </w:r>
      <w:r>
        <w:t xml:space="preserve"> data</w:t>
      </w:r>
      <w:bookmarkEnd w:id="22"/>
      <w:bookmarkEnd w:id="23"/>
      <w:bookmarkEnd w:id="24"/>
      <w:bookmarkEnd w:id="25"/>
      <w:bookmarkEnd w:id="26"/>
    </w:p>
    <w:p w:rsidR="00937428" w:rsidRDefault="00C21A55" w:rsidP="005963B6">
      <w:r>
        <w:t xml:space="preserve">Table 1 </w:t>
      </w:r>
      <w:r w:rsidR="00937428" w:rsidRPr="00937428">
        <w:t>shows the studies relatin</w:t>
      </w:r>
      <w:r>
        <w:t>g to each pharmacokinetic topic.</w:t>
      </w:r>
    </w:p>
    <w:p w:rsidR="00937428" w:rsidRPr="00C21A55" w:rsidRDefault="00937428" w:rsidP="005963B6">
      <w:pPr>
        <w:pStyle w:val="TableTitle"/>
      </w:pPr>
      <w:bookmarkStart w:id="27" w:name="_Ref272426277"/>
      <w:bookmarkStart w:id="28" w:name="_Toc290888900"/>
      <w:bookmarkStart w:id="29" w:name="_Toc373241089"/>
      <w:proofErr w:type="gramStart"/>
      <w:r w:rsidRPr="00C21A55">
        <w:t xml:space="preserve">Table </w:t>
      </w:r>
      <w:bookmarkEnd w:id="27"/>
      <w:r w:rsidR="00C21A55">
        <w:t>1</w:t>
      </w:r>
      <w:r w:rsidRPr="00C21A55">
        <w:t>.</w:t>
      </w:r>
      <w:proofErr w:type="gramEnd"/>
      <w:r w:rsidRPr="00C21A55">
        <w:t xml:space="preserve"> Submitted </w:t>
      </w:r>
      <w:r w:rsidRPr="005963B6">
        <w:t>pharmacokinetic</w:t>
      </w:r>
      <w:r w:rsidRPr="00C21A55">
        <w:t xml:space="preserve"> studies</w:t>
      </w:r>
      <w:bookmarkEnd w:id="28"/>
      <w:bookmarkEnd w:id="29"/>
    </w:p>
    <w:tbl>
      <w:tblPr>
        <w:tblStyle w:val="TableTGAblue"/>
        <w:tblW w:w="9738" w:type="dxa"/>
        <w:tblLayout w:type="fixed"/>
        <w:tblLook w:val="04A0" w:firstRow="1" w:lastRow="0" w:firstColumn="1" w:lastColumn="0" w:noHBand="0" w:noVBand="1"/>
      </w:tblPr>
      <w:tblGrid>
        <w:gridCol w:w="2093"/>
        <w:gridCol w:w="4536"/>
        <w:gridCol w:w="2410"/>
        <w:gridCol w:w="699"/>
      </w:tblGrid>
      <w:tr w:rsidR="00C21A55" w:rsidRPr="009465B8" w:rsidTr="00596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C21A55" w:rsidRPr="00C844A8" w:rsidRDefault="00C21A55" w:rsidP="005963B6">
            <w:pPr>
              <w:ind w:left="0" w:right="34"/>
            </w:pPr>
            <w:r w:rsidRPr="00C844A8">
              <w:t>PK topic</w:t>
            </w:r>
          </w:p>
        </w:tc>
        <w:tc>
          <w:tcPr>
            <w:tcW w:w="4536" w:type="dxa"/>
          </w:tcPr>
          <w:p w:rsidR="00C21A55" w:rsidRPr="00C844A8" w:rsidRDefault="00C21A55" w:rsidP="00625E8E">
            <w:pPr>
              <w:ind w:left="34" w:right="34"/>
              <w:cnfStyle w:val="100000000000" w:firstRow="1" w:lastRow="0" w:firstColumn="0" w:lastColumn="0" w:oddVBand="0" w:evenVBand="0" w:oddHBand="0" w:evenHBand="0" w:firstRowFirstColumn="0" w:firstRowLastColumn="0" w:lastRowFirstColumn="0" w:lastRowLastColumn="0"/>
            </w:pPr>
            <w:r w:rsidRPr="00C844A8">
              <w:t>Subtopic</w:t>
            </w:r>
          </w:p>
        </w:tc>
        <w:tc>
          <w:tcPr>
            <w:tcW w:w="2410" w:type="dxa"/>
          </w:tcPr>
          <w:p w:rsidR="00C21A55" w:rsidRPr="00C844A8" w:rsidRDefault="00C21A55" w:rsidP="00625E8E">
            <w:pPr>
              <w:ind w:left="34" w:right="34"/>
              <w:cnfStyle w:val="100000000000" w:firstRow="1" w:lastRow="0" w:firstColumn="0" w:lastColumn="0" w:oddVBand="0" w:evenVBand="0" w:oddHBand="0" w:evenHBand="0" w:firstRowFirstColumn="0" w:firstRowLastColumn="0" w:lastRowFirstColumn="0" w:lastRowLastColumn="0"/>
            </w:pPr>
            <w:r w:rsidRPr="00C844A8">
              <w:t>Study ID</w:t>
            </w:r>
          </w:p>
        </w:tc>
        <w:tc>
          <w:tcPr>
            <w:tcW w:w="699" w:type="dxa"/>
          </w:tcPr>
          <w:p w:rsidR="00C21A55" w:rsidRPr="009465B8" w:rsidRDefault="00C21A55" w:rsidP="00625E8E">
            <w:pPr>
              <w:ind w:left="33" w:right="24"/>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9465B8">
              <w:rPr>
                <w:rFonts w:asciiTheme="majorHAnsi" w:hAnsiTheme="majorHAnsi"/>
              </w:rPr>
              <w:t>*</w:t>
            </w:r>
          </w:p>
        </w:tc>
      </w:tr>
      <w:tr w:rsidR="00C21A55" w:rsidRPr="009465B8" w:rsidTr="005963B6">
        <w:tc>
          <w:tcPr>
            <w:cnfStyle w:val="001000000000" w:firstRow="0" w:lastRow="0" w:firstColumn="1" w:lastColumn="0" w:oddVBand="0" w:evenVBand="0" w:oddHBand="0" w:evenHBand="0" w:firstRowFirstColumn="0" w:firstRowLastColumn="0" w:lastRowFirstColumn="0" w:lastRowLastColumn="0"/>
            <w:tcW w:w="2093" w:type="dxa"/>
          </w:tcPr>
          <w:p w:rsidR="00C21A55" w:rsidRPr="00C844A8" w:rsidRDefault="00C21A55" w:rsidP="005963B6">
            <w:pPr>
              <w:ind w:left="0" w:right="34"/>
            </w:pPr>
            <w:r w:rsidRPr="00C844A8">
              <w:t>PK in healthy adults</w:t>
            </w:r>
          </w:p>
        </w:tc>
        <w:tc>
          <w:tcPr>
            <w:tcW w:w="4536" w:type="dxa"/>
          </w:tcPr>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General PK</w:t>
            </w:r>
            <w:r w:rsidRPr="00C844A8">
              <w:tab/>
              <w:t>- Single dose 200 &amp; 40</w:t>
            </w:r>
            <w:r w:rsidR="007C1257" w:rsidRPr="00C844A8">
              <w:t>0 mg</w:t>
            </w:r>
          </w:p>
        </w:tc>
        <w:tc>
          <w:tcPr>
            <w:tcW w:w="2410" w:type="dxa"/>
          </w:tcPr>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Study CNTO148NAP1001</w:t>
            </w:r>
          </w:p>
        </w:tc>
        <w:tc>
          <w:tcPr>
            <w:tcW w:w="699" w:type="dxa"/>
          </w:tcPr>
          <w:p w:rsidR="00C21A55" w:rsidRPr="009465B8" w:rsidRDefault="00C21A55" w:rsidP="00625E8E">
            <w:pPr>
              <w:ind w:left="33" w:right="24"/>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65B8">
              <w:rPr>
                <w:rFonts w:asciiTheme="majorHAnsi" w:hAnsiTheme="majorHAnsi"/>
              </w:rPr>
              <w:t>*</w:t>
            </w:r>
          </w:p>
        </w:tc>
      </w:tr>
      <w:tr w:rsidR="00C21A55" w:rsidRPr="009465B8" w:rsidTr="005963B6">
        <w:trPr>
          <w:trHeight w:val="1205"/>
        </w:trPr>
        <w:tc>
          <w:tcPr>
            <w:cnfStyle w:val="001000000000" w:firstRow="0" w:lastRow="0" w:firstColumn="1" w:lastColumn="0" w:oddVBand="0" w:evenVBand="0" w:oddHBand="0" w:evenHBand="0" w:firstRowFirstColumn="0" w:firstRowLastColumn="0" w:lastRowFirstColumn="0" w:lastRowLastColumn="0"/>
            <w:tcW w:w="2093" w:type="dxa"/>
          </w:tcPr>
          <w:p w:rsidR="00C21A55" w:rsidRPr="00C844A8" w:rsidRDefault="00C21A55" w:rsidP="005963B6">
            <w:pPr>
              <w:ind w:left="0" w:right="34"/>
            </w:pPr>
            <w:r w:rsidRPr="00C844A8">
              <w:t>PK in special populations</w:t>
            </w:r>
          </w:p>
        </w:tc>
        <w:tc>
          <w:tcPr>
            <w:tcW w:w="4536" w:type="dxa"/>
          </w:tcPr>
          <w:p w:rsidR="00C21A55" w:rsidRPr="00C844A8" w:rsidRDefault="005963B6" w:rsidP="00625E8E">
            <w:pPr>
              <w:tabs>
                <w:tab w:val="left" w:pos="2868"/>
              </w:tabs>
              <w:ind w:left="34" w:right="34"/>
              <w:cnfStyle w:val="000000000000" w:firstRow="0" w:lastRow="0" w:firstColumn="0" w:lastColumn="0" w:oddVBand="0" w:evenVBand="0" w:oddHBand="0" w:evenHBand="0" w:firstRowFirstColumn="0" w:firstRowLastColumn="0" w:lastRowFirstColumn="0" w:lastRowLastColumn="0"/>
            </w:pPr>
            <w:r>
              <w:t>Target population§</w:t>
            </w:r>
            <w:r>
              <w:tab/>
            </w:r>
            <w:r w:rsidR="00C21A55" w:rsidRPr="00C844A8">
              <w:t>- Multi-dose</w:t>
            </w:r>
          </w:p>
        </w:tc>
        <w:tc>
          <w:tcPr>
            <w:tcW w:w="2410" w:type="dxa"/>
          </w:tcPr>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Study C0524T16</w:t>
            </w:r>
          </w:p>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Study C0524T17</w:t>
            </w:r>
          </w:p>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Study C0524T18</w:t>
            </w:r>
          </w:p>
        </w:tc>
        <w:tc>
          <w:tcPr>
            <w:tcW w:w="699" w:type="dxa"/>
          </w:tcPr>
          <w:p w:rsidR="00C21A55" w:rsidRPr="009465B8" w:rsidRDefault="00C21A55" w:rsidP="00625E8E">
            <w:pPr>
              <w:ind w:left="33" w:right="24"/>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C21A55" w:rsidRPr="009465B8" w:rsidTr="005963B6">
        <w:tc>
          <w:tcPr>
            <w:cnfStyle w:val="001000000000" w:firstRow="0" w:lastRow="0" w:firstColumn="1" w:lastColumn="0" w:oddVBand="0" w:evenVBand="0" w:oddHBand="0" w:evenHBand="0" w:firstRowFirstColumn="0" w:firstRowLastColumn="0" w:lastRowFirstColumn="0" w:lastRowLastColumn="0"/>
            <w:tcW w:w="2093" w:type="dxa"/>
          </w:tcPr>
          <w:p w:rsidR="00C21A55" w:rsidRPr="00C844A8" w:rsidRDefault="00C21A55" w:rsidP="005963B6">
            <w:pPr>
              <w:ind w:left="0" w:right="34"/>
            </w:pPr>
            <w:r w:rsidRPr="00C844A8">
              <w:t>Population PK analyses</w:t>
            </w:r>
          </w:p>
        </w:tc>
        <w:tc>
          <w:tcPr>
            <w:tcW w:w="4536" w:type="dxa"/>
          </w:tcPr>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Target population</w:t>
            </w:r>
          </w:p>
        </w:tc>
        <w:tc>
          <w:tcPr>
            <w:tcW w:w="2410" w:type="dxa"/>
          </w:tcPr>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POPPK-CNTO148-UC</w:t>
            </w:r>
          </w:p>
        </w:tc>
        <w:tc>
          <w:tcPr>
            <w:tcW w:w="699" w:type="dxa"/>
          </w:tcPr>
          <w:p w:rsidR="00C21A55" w:rsidRPr="009465B8" w:rsidRDefault="00C21A55" w:rsidP="00625E8E">
            <w:pPr>
              <w:ind w:left="33" w:right="24"/>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9465B8">
              <w:rPr>
                <w:rFonts w:asciiTheme="majorHAnsi" w:hAnsiTheme="majorHAnsi"/>
              </w:rPr>
              <w:t>*</w:t>
            </w:r>
          </w:p>
        </w:tc>
      </w:tr>
    </w:tbl>
    <w:p w:rsidR="00937428" w:rsidRPr="00C21A55" w:rsidRDefault="00937428" w:rsidP="00625E8E">
      <w:pPr>
        <w:pStyle w:val="TableDescription"/>
      </w:pPr>
      <w:r w:rsidRPr="00C21A55">
        <w:t>* Indicates the primary aim of the study.</w:t>
      </w:r>
      <w:r w:rsidR="00C21A55" w:rsidRPr="00C21A55">
        <w:t xml:space="preserve"> </w:t>
      </w:r>
      <w:r w:rsidRPr="00C21A55">
        <w:t>§ Subjects who would be eligible to receive the dr</w:t>
      </w:r>
      <w:r w:rsidR="00C21A55" w:rsidRPr="00C21A55">
        <w:t xml:space="preserve">ug if approved for the proposed </w:t>
      </w:r>
      <w:r w:rsidRPr="00C21A55">
        <w:t>indication.</w:t>
      </w:r>
    </w:p>
    <w:p w:rsidR="00937428" w:rsidRDefault="00937428" w:rsidP="00625E8E">
      <w:pPr>
        <w:pStyle w:val="TableTitle"/>
      </w:pPr>
      <w:bookmarkStart w:id="30" w:name="_Toc373241090"/>
      <w:proofErr w:type="gramStart"/>
      <w:r>
        <w:t>Table</w:t>
      </w:r>
      <w:r w:rsidR="00C21A55">
        <w:t xml:space="preserve"> 2</w:t>
      </w:r>
      <w:r>
        <w:t>.</w:t>
      </w:r>
      <w:proofErr w:type="gramEnd"/>
      <w:r>
        <w:t xml:space="preserve"> Previously </w:t>
      </w:r>
      <w:r w:rsidRPr="00625E8E">
        <w:t>submitted</w:t>
      </w:r>
      <w:r>
        <w:t xml:space="preserve"> &amp; evaluated PK studies referred to in this submission</w:t>
      </w:r>
      <w:bookmarkEnd w:id="30"/>
    </w:p>
    <w:tbl>
      <w:tblPr>
        <w:tblStyle w:val="TableTGAblue"/>
        <w:tblW w:w="9180" w:type="dxa"/>
        <w:tblLayout w:type="fixed"/>
        <w:tblLook w:val="04A0" w:firstRow="1" w:lastRow="0" w:firstColumn="1" w:lastColumn="0" w:noHBand="0" w:noVBand="1"/>
      </w:tblPr>
      <w:tblGrid>
        <w:gridCol w:w="1526"/>
        <w:gridCol w:w="4961"/>
        <w:gridCol w:w="1984"/>
        <w:gridCol w:w="709"/>
      </w:tblGrid>
      <w:tr w:rsidR="00C21A55" w:rsidRPr="00C2325C" w:rsidTr="00287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rsidR="00C21A55" w:rsidRPr="00C844A8" w:rsidRDefault="00C21A55" w:rsidP="00625E8E">
            <w:pPr>
              <w:ind w:left="0" w:right="34"/>
            </w:pPr>
            <w:r w:rsidRPr="00C844A8">
              <w:t>PK topic</w:t>
            </w:r>
          </w:p>
        </w:tc>
        <w:tc>
          <w:tcPr>
            <w:tcW w:w="4961" w:type="dxa"/>
          </w:tcPr>
          <w:p w:rsidR="00C21A55" w:rsidRPr="00C844A8" w:rsidRDefault="00C21A55" w:rsidP="00625E8E">
            <w:pPr>
              <w:ind w:left="34" w:right="34"/>
              <w:cnfStyle w:val="100000000000" w:firstRow="1" w:lastRow="0" w:firstColumn="0" w:lastColumn="0" w:oddVBand="0" w:evenVBand="0" w:oddHBand="0" w:evenHBand="0" w:firstRowFirstColumn="0" w:firstRowLastColumn="0" w:lastRowFirstColumn="0" w:lastRowLastColumn="0"/>
            </w:pPr>
            <w:r w:rsidRPr="00C844A8">
              <w:t>Subtopic</w:t>
            </w:r>
          </w:p>
        </w:tc>
        <w:tc>
          <w:tcPr>
            <w:tcW w:w="1984" w:type="dxa"/>
          </w:tcPr>
          <w:p w:rsidR="00C21A55" w:rsidRPr="00C844A8" w:rsidRDefault="00C21A55" w:rsidP="00625E8E">
            <w:pPr>
              <w:ind w:left="34" w:right="33"/>
              <w:cnfStyle w:val="100000000000" w:firstRow="1" w:lastRow="0" w:firstColumn="0" w:lastColumn="0" w:oddVBand="0" w:evenVBand="0" w:oddHBand="0" w:evenHBand="0" w:firstRowFirstColumn="0" w:firstRowLastColumn="0" w:lastRowFirstColumn="0" w:lastRowLastColumn="0"/>
            </w:pPr>
            <w:r w:rsidRPr="00C844A8">
              <w:t>Study ID</w:t>
            </w:r>
          </w:p>
        </w:tc>
        <w:tc>
          <w:tcPr>
            <w:tcW w:w="709" w:type="dxa"/>
          </w:tcPr>
          <w:p w:rsidR="00C21A55" w:rsidRPr="00C2325C" w:rsidRDefault="00C21A55" w:rsidP="00625E8E">
            <w:pPr>
              <w:ind w:left="34" w:right="33"/>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C2325C">
              <w:rPr>
                <w:rFonts w:asciiTheme="majorHAnsi" w:hAnsiTheme="majorHAnsi"/>
              </w:rPr>
              <w:t>*</w:t>
            </w:r>
          </w:p>
        </w:tc>
      </w:tr>
      <w:tr w:rsidR="00C21A55" w:rsidRPr="00C2325C" w:rsidTr="00287613">
        <w:tc>
          <w:tcPr>
            <w:cnfStyle w:val="001000000000" w:firstRow="0" w:lastRow="0" w:firstColumn="1" w:lastColumn="0" w:oddVBand="0" w:evenVBand="0" w:oddHBand="0" w:evenHBand="0" w:firstRowFirstColumn="0" w:firstRowLastColumn="0" w:lastRowFirstColumn="0" w:lastRowLastColumn="0"/>
            <w:tcW w:w="1526" w:type="dxa"/>
            <w:vMerge w:val="restart"/>
          </w:tcPr>
          <w:p w:rsidR="00C21A55" w:rsidRPr="00C844A8" w:rsidRDefault="00C21A55" w:rsidP="00625E8E">
            <w:pPr>
              <w:ind w:left="0" w:right="34"/>
            </w:pPr>
            <w:r w:rsidRPr="00C844A8">
              <w:t>PK in healthy adults</w:t>
            </w:r>
          </w:p>
        </w:tc>
        <w:tc>
          <w:tcPr>
            <w:tcW w:w="4961" w:type="dxa"/>
          </w:tcPr>
          <w:p w:rsidR="00C21A55" w:rsidRPr="00C844A8" w:rsidRDefault="00C21A55" w:rsidP="00625E8E">
            <w:pPr>
              <w:ind w:left="34" w:right="34"/>
              <w:cnfStyle w:val="000000000000" w:firstRow="0" w:lastRow="0" w:firstColumn="0" w:lastColumn="0" w:oddVBand="0" w:evenVBand="0" w:oddHBand="0" w:evenHBand="0" w:firstRowFirstColumn="0" w:firstRowLastColumn="0" w:lastRowFirstColumn="0" w:lastRowLastColumn="0"/>
            </w:pPr>
            <w:r w:rsidRPr="00C844A8">
              <w:t>General PK</w:t>
            </w:r>
            <w:r w:rsidRPr="00C844A8">
              <w:tab/>
              <w:t xml:space="preserve">- Single dose </w:t>
            </w:r>
            <w:r w:rsidR="008C579F">
              <w:t>50 mg and 100 mg</w:t>
            </w:r>
          </w:p>
        </w:tc>
        <w:tc>
          <w:tcPr>
            <w:tcW w:w="1984" w:type="dxa"/>
          </w:tcPr>
          <w:p w:rsidR="00C21A55" w:rsidRPr="00C844A8" w:rsidRDefault="00625E8E" w:rsidP="00625E8E">
            <w:pPr>
              <w:ind w:left="34" w:right="33"/>
              <w:cnfStyle w:val="000000000000" w:firstRow="0" w:lastRow="0" w:firstColumn="0" w:lastColumn="0" w:oddVBand="0" w:evenVBand="0" w:oddHBand="0" w:evenHBand="0" w:firstRowFirstColumn="0" w:firstRowLastColumn="0" w:lastRowFirstColumn="0" w:lastRowLastColumn="0"/>
            </w:pPr>
            <w:r>
              <w:t>Study C0524T23</w:t>
            </w:r>
          </w:p>
        </w:tc>
        <w:tc>
          <w:tcPr>
            <w:tcW w:w="709" w:type="dxa"/>
          </w:tcPr>
          <w:p w:rsidR="00C21A55" w:rsidRPr="00C2325C" w:rsidRDefault="00C21A55" w:rsidP="00625E8E">
            <w:pPr>
              <w:ind w:left="34" w:right="33"/>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2325C">
              <w:rPr>
                <w:rFonts w:asciiTheme="majorHAnsi" w:hAnsiTheme="majorHAnsi"/>
              </w:rPr>
              <w:t>*</w:t>
            </w:r>
          </w:p>
        </w:tc>
      </w:tr>
      <w:tr w:rsidR="00C21A55" w:rsidRPr="00C2325C" w:rsidTr="00287613">
        <w:tc>
          <w:tcPr>
            <w:cnfStyle w:val="001000000000" w:firstRow="0" w:lastRow="0" w:firstColumn="1" w:lastColumn="0" w:oddVBand="0" w:evenVBand="0" w:oddHBand="0" w:evenHBand="0" w:firstRowFirstColumn="0" w:firstRowLastColumn="0" w:lastRowFirstColumn="0" w:lastRowLastColumn="0"/>
            <w:tcW w:w="1526" w:type="dxa"/>
            <w:vMerge/>
          </w:tcPr>
          <w:p w:rsidR="00C21A55" w:rsidRPr="00C844A8" w:rsidRDefault="00C21A55" w:rsidP="00625E8E">
            <w:pPr>
              <w:ind w:left="0" w:right="34"/>
            </w:pPr>
          </w:p>
        </w:tc>
        <w:tc>
          <w:tcPr>
            <w:tcW w:w="4961" w:type="dxa"/>
          </w:tcPr>
          <w:p w:rsidR="00C21A55" w:rsidRPr="00C844A8" w:rsidRDefault="00625E8E" w:rsidP="00625E8E">
            <w:pPr>
              <w:ind w:left="34" w:right="34"/>
              <w:cnfStyle w:val="000000000000" w:firstRow="0" w:lastRow="0" w:firstColumn="0" w:lastColumn="0" w:oddVBand="0" w:evenVBand="0" w:oddHBand="0" w:evenHBand="0" w:firstRowFirstColumn="0" w:firstRowLastColumn="0" w:lastRowFirstColumn="0" w:lastRowLastColumn="0"/>
            </w:pPr>
            <w:r>
              <w:t>Bioavailability</w:t>
            </w:r>
          </w:p>
        </w:tc>
        <w:tc>
          <w:tcPr>
            <w:tcW w:w="1984" w:type="dxa"/>
          </w:tcPr>
          <w:p w:rsidR="00C21A55" w:rsidRPr="00C844A8" w:rsidRDefault="00C21A55" w:rsidP="00625E8E">
            <w:pPr>
              <w:ind w:left="34" w:right="33"/>
              <w:cnfStyle w:val="000000000000" w:firstRow="0" w:lastRow="0" w:firstColumn="0" w:lastColumn="0" w:oddVBand="0" w:evenVBand="0" w:oddHBand="0" w:evenHBand="0" w:firstRowFirstColumn="0" w:firstRowLastColumn="0" w:lastRowFirstColumn="0" w:lastRowLastColumn="0"/>
            </w:pPr>
            <w:r w:rsidRPr="00C844A8">
              <w:t>Study C0524T15</w:t>
            </w:r>
          </w:p>
        </w:tc>
        <w:tc>
          <w:tcPr>
            <w:tcW w:w="709" w:type="dxa"/>
          </w:tcPr>
          <w:p w:rsidR="00C21A55" w:rsidRPr="00C2325C" w:rsidRDefault="00C21A55" w:rsidP="00625E8E">
            <w:pPr>
              <w:ind w:left="34" w:right="33"/>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2325C">
              <w:rPr>
                <w:rFonts w:asciiTheme="majorHAnsi" w:hAnsiTheme="majorHAnsi"/>
              </w:rPr>
              <w:t>*</w:t>
            </w:r>
          </w:p>
        </w:tc>
      </w:tr>
      <w:tr w:rsidR="00C21A55" w:rsidRPr="00C2325C" w:rsidTr="00287613">
        <w:tc>
          <w:tcPr>
            <w:cnfStyle w:val="001000000000" w:firstRow="0" w:lastRow="0" w:firstColumn="1" w:lastColumn="0" w:oddVBand="0" w:evenVBand="0" w:oddHBand="0" w:evenHBand="0" w:firstRowFirstColumn="0" w:firstRowLastColumn="0" w:lastRowFirstColumn="0" w:lastRowLastColumn="0"/>
            <w:tcW w:w="1526" w:type="dxa"/>
            <w:vMerge/>
          </w:tcPr>
          <w:p w:rsidR="00C21A55" w:rsidRPr="00C844A8" w:rsidRDefault="00C21A55" w:rsidP="00625E8E">
            <w:pPr>
              <w:ind w:left="0" w:right="34"/>
            </w:pPr>
          </w:p>
        </w:tc>
        <w:tc>
          <w:tcPr>
            <w:tcW w:w="4961" w:type="dxa"/>
          </w:tcPr>
          <w:p w:rsidR="00C21A55" w:rsidRPr="00C844A8" w:rsidRDefault="00C21A55" w:rsidP="00625E8E">
            <w:pPr>
              <w:ind w:left="1451" w:right="34"/>
              <w:cnfStyle w:val="000000000000" w:firstRow="0" w:lastRow="0" w:firstColumn="0" w:lastColumn="0" w:oddVBand="0" w:evenVBand="0" w:oddHBand="0" w:evenHBand="0" w:firstRowFirstColumn="0" w:firstRowLastColumn="0" w:lastRowFirstColumn="0" w:lastRowLastColumn="0"/>
            </w:pPr>
            <w:r w:rsidRPr="00C844A8">
              <w:t>- Multi-dose</w:t>
            </w:r>
          </w:p>
        </w:tc>
        <w:tc>
          <w:tcPr>
            <w:tcW w:w="1984" w:type="dxa"/>
          </w:tcPr>
          <w:p w:rsidR="00C21A55" w:rsidRPr="00C844A8" w:rsidRDefault="00C21A55" w:rsidP="00625E8E">
            <w:pPr>
              <w:ind w:left="34" w:right="33"/>
              <w:cnfStyle w:val="000000000000" w:firstRow="0" w:lastRow="0" w:firstColumn="0" w:lastColumn="0" w:oddVBand="0" w:evenVBand="0" w:oddHBand="0" w:evenHBand="0" w:firstRowFirstColumn="0" w:firstRowLastColumn="0" w:lastRowFirstColumn="0" w:lastRowLastColumn="0"/>
            </w:pPr>
            <w:r w:rsidRPr="00C844A8">
              <w:t>Study C0524T14</w:t>
            </w:r>
          </w:p>
        </w:tc>
        <w:tc>
          <w:tcPr>
            <w:tcW w:w="709" w:type="dxa"/>
          </w:tcPr>
          <w:p w:rsidR="00C21A55" w:rsidRPr="00C2325C" w:rsidRDefault="00C21A55" w:rsidP="00625E8E">
            <w:pPr>
              <w:ind w:left="34" w:right="33"/>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2325C">
              <w:rPr>
                <w:rFonts w:asciiTheme="majorHAnsi" w:hAnsiTheme="majorHAnsi"/>
              </w:rPr>
              <w:t>*</w:t>
            </w:r>
          </w:p>
        </w:tc>
      </w:tr>
    </w:tbl>
    <w:p w:rsidR="00937428" w:rsidRPr="00C21A55" w:rsidRDefault="00937428" w:rsidP="00625E8E">
      <w:pPr>
        <w:pStyle w:val="TableDescription"/>
      </w:pPr>
      <w:r w:rsidRPr="00C21A55">
        <w:t>* Indicates the primary aim of the study.</w:t>
      </w:r>
    </w:p>
    <w:p w:rsidR="00C21A55" w:rsidRDefault="00937428" w:rsidP="00625E8E">
      <w:r w:rsidRPr="00C21A55">
        <w:t>None of the PK studies had deficiencies that excluded th</w:t>
      </w:r>
      <w:r w:rsidR="00625E8E">
        <w:t>eir results from consideration.</w:t>
      </w:r>
    </w:p>
    <w:p w:rsidR="00937428" w:rsidRDefault="00937428" w:rsidP="00625E8E">
      <w:r w:rsidRPr="00C21A55">
        <w:t>Due to findings of investigator misconduct at site 6706 and site 7257, subject data from these 2 sites were excluded from all efficacy analyses but were included in the demography, PK, immunogenicity, and safety analyses.</w:t>
      </w:r>
    </w:p>
    <w:p w:rsidR="00C21A55" w:rsidRPr="00C21A55" w:rsidRDefault="00C21A55" w:rsidP="00625E8E">
      <w:pPr>
        <w:pStyle w:val="Heading3"/>
      </w:pPr>
      <w:bookmarkStart w:id="31" w:name="_Toc373241012"/>
      <w:bookmarkStart w:id="32" w:name="_Ref269118175"/>
      <w:bookmarkStart w:id="33" w:name="_Toc272414616"/>
      <w:bookmarkStart w:id="34" w:name="_Toc290846239"/>
      <w:bookmarkStart w:id="35" w:name="_Toc290888776"/>
      <w:bookmarkStart w:id="36" w:name="_Toc390694740"/>
      <w:r w:rsidRPr="00C21A55">
        <w:t xml:space="preserve">Population PK </w:t>
      </w:r>
      <w:r w:rsidR="00625E8E">
        <w:t>s</w:t>
      </w:r>
      <w:r w:rsidRPr="00C21A55">
        <w:t>tudy</w:t>
      </w:r>
      <w:bookmarkEnd w:id="31"/>
      <w:bookmarkEnd w:id="36"/>
    </w:p>
    <w:p w:rsidR="00C21A55" w:rsidRPr="00C21A55" w:rsidRDefault="00C21A55" w:rsidP="00625E8E">
      <w:r w:rsidRPr="00C21A55">
        <w:t xml:space="preserve">This was developed using PK samples from Phase </w:t>
      </w:r>
      <w:r>
        <w:t xml:space="preserve">II/III </w:t>
      </w:r>
      <w:r w:rsidRPr="00C21A55">
        <w:t xml:space="preserve">induction studies (C0524T16 and C0524T17) and a Phase </w:t>
      </w:r>
      <w:r>
        <w:t>III</w:t>
      </w:r>
      <w:r w:rsidRPr="00C21A55">
        <w:t xml:space="preserve"> maintenance study (C0524T18) in adult subjects with moderately to severely active ulcerative colitis. Of the 11,280 serum </w:t>
      </w:r>
      <w:proofErr w:type="spellStart"/>
      <w:r w:rsidRPr="00C21A55">
        <w:t>golimumab</w:t>
      </w:r>
      <w:proofErr w:type="spellEnd"/>
      <w:r w:rsidRPr="00C21A55">
        <w:t xml:space="preserve"> concentration samples in the final population PK analysis dataset, 590 samples (5.2%) were BLQ. These samples were </w:t>
      </w:r>
      <w:r w:rsidRPr="00C21A55">
        <w:lastRenderedPageBreak/>
        <w:t>associated with the first BLQ samples within a dosing interval and were set to half of the LLOQ value for the population PK analysis; however, trailing BLQ samples (n</w:t>
      </w:r>
      <w:r w:rsidR="00CF63C9">
        <w:t xml:space="preserve"> </w:t>
      </w:r>
      <w:r w:rsidRPr="00C21A55">
        <w:t>= 572) were excluded from the analysis data set. There were ten outlier samples excluded from the analysis.</w:t>
      </w:r>
    </w:p>
    <w:p w:rsidR="00C21A55" w:rsidRPr="00CF63C9" w:rsidRDefault="00C21A55" w:rsidP="00625E8E">
      <w:r w:rsidRPr="00CF63C9">
        <w:t>The objectives were:</w:t>
      </w:r>
    </w:p>
    <w:p w:rsidR="00C21A55" w:rsidRPr="00CF63C9" w:rsidRDefault="00C21A55" w:rsidP="00625E8E">
      <w:pPr>
        <w:pStyle w:val="ListBullet"/>
      </w:pPr>
      <w:r w:rsidRPr="00CF63C9">
        <w:t xml:space="preserve">To develop a </w:t>
      </w:r>
      <w:r w:rsidRPr="00625E8E">
        <w:t>population</w:t>
      </w:r>
      <w:r w:rsidRPr="00CF63C9">
        <w:t xml:space="preserve"> PK model and quantify population PK parameters including typical values and random variability estimates for </w:t>
      </w:r>
      <w:proofErr w:type="spellStart"/>
      <w:r w:rsidRPr="00CF63C9">
        <w:t>golimumab</w:t>
      </w:r>
      <w:proofErr w:type="spellEnd"/>
      <w:r w:rsidRPr="00CF63C9">
        <w:t xml:space="preserve"> using pooled PK data from three studies in adult subjects with ulcerative colitis.</w:t>
      </w:r>
    </w:p>
    <w:p w:rsidR="00C21A55" w:rsidRPr="00CF63C9" w:rsidRDefault="00C21A55" w:rsidP="00625E8E">
      <w:pPr>
        <w:pStyle w:val="ListBullet"/>
      </w:pPr>
      <w:r w:rsidRPr="00CF63C9">
        <w:t xml:space="preserve">To identify </w:t>
      </w:r>
      <w:r w:rsidRPr="00625E8E">
        <w:t>covariates</w:t>
      </w:r>
      <w:r w:rsidRPr="00CF63C9">
        <w:t xml:space="preserve"> which significantly influence </w:t>
      </w:r>
      <w:proofErr w:type="spellStart"/>
      <w:r w:rsidRPr="00CF63C9">
        <w:t>golimumab</w:t>
      </w:r>
      <w:proofErr w:type="spellEnd"/>
      <w:r w:rsidRPr="00CF63C9">
        <w:t xml:space="preserve"> PKs in subjects with ulcerative </w:t>
      </w:r>
      <w:proofErr w:type="gramStart"/>
      <w:r w:rsidRPr="00CF63C9">
        <w:t>colitis.</w:t>
      </w:r>
      <w:proofErr w:type="gramEnd"/>
    </w:p>
    <w:p w:rsidR="00C21A55" w:rsidRPr="00CF63C9" w:rsidRDefault="00C21A55" w:rsidP="00625E8E">
      <w:pPr>
        <w:pStyle w:val="ListBullet"/>
      </w:pPr>
      <w:r w:rsidRPr="00CF63C9">
        <w:t xml:space="preserve">To evaluate the </w:t>
      </w:r>
      <w:r w:rsidRPr="00625E8E">
        <w:t>performance</w:t>
      </w:r>
      <w:r w:rsidRPr="00CF63C9">
        <w:t xml:space="preserve"> of the final PK model developed for </w:t>
      </w:r>
      <w:proofErr w:type="spellStart"/>
      <w:r w:rsidRPr="00CF63C9">
        <w:t>golimumab</w:t>
      </w:r>
      <w:proofErr w:type="spellEnd"/>
      <w:r w:rsidRPr="00CF63C9">
        <w:t>.</w:t>
      </w:r>
    </w:p>
    <w:p w:rsidR="00CF63C9" w:rsidRDefault="00C21A55" w:rsidP="00625E8E">
      <w:pPr>
        <w:pStyle w:val="Heading4"/>
      </w:pPr>
      <w:r w:rsidRPr="00625E8E">
        <w:t>Deviations</w:t>
      </w:r>
      <w:r w:rsidRPr="00CF63C9">
        <w:t xml:space="preserve"> from the </w:t>
      </w:r>
      <w:r w:rsidR="00625E8E">
        <w:t>d</w:t>
      </w:r>
      <w:r w:rsidRPr="00CF63C9">
        <w:t xml:space="preserve">ata </w:t>
      </w:r>
      <w:r w:rsidR="00625E8E">
        <w:t>a</w:t>
      </w:r>
      <w:r w:rsidRPr="00CF63C9">
        <w:t xml:space="preserve">nalysis </w:t>
      </w:r>
      <w:r w:rsidR="00625E8E">
        <w:t>p</w:t>
      </w:r>
      <w:r w:rsidRPr="00CF63C9">
        <w:t>lan</w:t>
      </w:r>
    </w:p>
    <w:p w:rsidR="00C21A55" w:rsidRPr="00C13047" w:rsidRDefault="00C21A55" w:rsidP="00625E8E">
      <w:r w:rsidRPr="00C13047">
        <w:t>Covariates found to be significant at the 0.005 level (&gt; 7.88 change in objective function [OFV]) were considered for inclusion in the “full model” instead of a 0.05 level as initially planned. Similarly, for the covariate model reduction procedure, covariates found to be significant at the 0.001 level (&gt; 10.83 change in OFV) were considered for inclusion in the “final model” instead of the 0.005 level as initially planned.</w:t>
      </w:r>
    </w:p>
    <w:p w:rsidR="00C21A55" w:rsidRPr="00C13047" w:rsidRDefault="00C21A55" w:rsidP="00625E8E">
      <w:r w:rsidRPr="00C13047">
        <w:t xml:space="preserve">The covariates that were assessed for influence on the PK variability of </w:t>
      </w:r>
      <w:proofErr w:type="spellStart"/>
      <w:r w:rsidRPr="00C13047">
        <w:t>golimumab</w:t>
      </w:r>
      <w:proofErr w:type="spellEnd"/>
      <w:r w:rsidRPr="00C13047">
        <w:t xml:space="preserve"> included all significant covariates identified in previous </w:t>
      </w:r>
      <w:proofErr w:type="spellStart"/>
      <w:r w:rsidRPr="00C13047">
        <w:t>PopPK</w:t>
      </w:r>
      <w:proofErr w:type="spellEnd"/>
      <w:r w:rsidRPr="00C13047">
        <w:t xml:space="preserve"> analyses of </w:t>
      </w:r>
      <w:proofErr w:type="spellStart"/>
      <w:r w:rsidRPr="00C13047">
        <w:t>golimumab</w:t>
      </w:r>
      <w:proofErr w:type="spellEnd"/>
      <w:r w:rsidRPr="00C13047">
        <w:t xml:space="preserve"> including body weight, C-reactive protein, antibody to </w:t>
      </w:r>
      <w:proofErr w:type="spellStart"/>
      <w:r w:rsidRPr="00C13047">
        <w:t>golimumab</w:t>
      </w:r>
      <w:proofErr w:type="spellEnd"/>
      <w:r w:rsidRPr="00C13047">
        <w:t xml:space="preserve"> status, smoking status, and subject’s sex; additional covariates assessed were: body surface area, lean body mass, age, albumin, white blood cell count, estimated creatinine clearance, hepatic enzymes, Mayo score, disease duration, race (Caucasians versus non-Caucasians, and Japanese </w:t>
      </w:r>
      <w:r w:rsidR="00B13311">
        <w:t>versus</w:t>
      </w:r>
      <w:r w:rsidRPr="00C13047">
        <w:t xml:space="preserve"> non- Japanese), and concomitant use of </w:t>
      </w:r>
      <w:proofErr w:type="spellStart"/>
      <w:r w:rsidRPr="00C13047">
        <w:t>immunomodulators</w:t>
      </w:r>
      <w:proofErr w:type="spellEnd"/>
      <w:r w:rsidRPr="00C13047">
        <w:t xml:space="preserve"> (azathioprine/6-mercaptopurine/ or methotrexate, AZA/6-MP or MTX). Subjects with missing covariate data represented less than 3% of the 1227 subjects, and the missing covariates were imputed in the population PK analysis.</w:t>
      </w:r>
    </w:p>
    <w:p w:rsidR="00C21A55" w:rsidRPr="00C13047" w:rsidRDefault="00C21A55" w:rsidP="00625E8E">
      <w:r w:rsidRPr="00C13047">
        <w:t>A two-compartment model was assumed to be a more appropriate structural model. Since IV data was included in analyses, however, a one compartment model was tested to confirm that the current data supported this assumption. The objective function value for the two compartment model (1,107) was 820 points lower than that of the one-compartment model (1,927). Furthermore, the residual error for the two-compartment model (21.4%) was much smaller than that of the one-compartment model (42.6%).</w:t>
      </w:r>
    </w:p>
    <w:p w:rsidR="00C21A55" w:rsidRPr="00C21A55" w:rsidRDefault="00C21A55" w:rsidP="00625E8E">
      <w:pPr>
        <w:pStyle w:val="FigureTitle"/>
        <w:rPr>
          <w:lang w:eastAsia="en-AU"/>
        </w:rPr>
      </w:pPr>
      <w:bookmarkStart w:id="37" w:name="_Toc373241135"/>
      <w:proofErr w:type="gramStart"/>
      <w:r w:rsidRPr="00C21A55">
        <w:rPr>
          <w:lang w:eastAsia="en-AU"/>
        </w:rPr>
        <w:t xml:space="preserve">Figure </w:t>
      </w:r>
      <w:r w:rsidR="00C13047">
        <w:rPr>
          <w:lang w:eastAsia="en-AU"/>
        </w:rPr>
        <w:t>1.</w:t>
      </w:r>
      <w:proofErr w:type="gramEnd"/>
      <w:r w:rsidRPr="00C21A55">
        <w:rPr>
          <w:lang w:eastAsia="en-AU"/>
        </w:rPr>
        <w:t xml:space="preserve"> A Two-Compartment PK Model with a First-</w:t>
      </w:r>
      <w:r w:rsidRPr="00625E8E">
        <w:t>Order</w:t>
      </w:r>
      <w:r w:rsidRPr="00C21A55">
        <w:rPr>
          <w:lang w:eastAsia="en-AU"/>
        </w:rPr>
        <w:t xml:space="preserve"> Absorption Following SC Administration and IV Administration</w:t>
      </w:r>
      <w:bookmarkEnd w:id="37"/>
    </w:p>
    <w:p w:rsidR="00C21A55" w:rsidRPr="00C21A55" w:rsidRDefault="00C21A55" w:rsidP="00625E8E">
      <w:pPr>
        <w:rPr>
          <w:lang w:eastAsia="en-AU"/>
        </w:rPr>
      </w:pPr>
      <w:r w:rsidRPr="00C21A55">
        <w:rPr>
          <w:noProof/>
          <w:lang w:eastAsia="en-AU"/>
        </w:rPr>
        <w:drawing>
          <wp:inline distT="0" distB="0" distL="0" distR="0" wp14:anchorId="2E1E770A" wp14:editId="61C9760D">
            <wp:extent cx="3067024" cy="1960227"/>
            <wp:effectExtent l="0" t="0" r="635" b="2540"/>
            <wp:docPr id="1" name="Picture 49" descr="Figure 1. A Two-Compartment PK Model with a First-Order Absorption Following SC Administration and IV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a:stretch>
                      <a:fillRect/>
                    </a:stretch>
                  </pic:blipFill>
                  <pic:spPr bwMode="auto">
                    <a:xfrm>
                      <a:off x="0" y="0"/>
                      <a:ext cx="3067024" cy="1960227"/>
                    </a:xfrm>
                    <a:prstGeom prst="rect">
                      <a:avLst/>
                    </a:prstGeom>
                    <a:noFill/>
                    <a:ln w="9525">
                      <a:noFill/>
                      <a:miter lim="800000"/>
                      <a:headEnd/>
                      <a:tailEnd/>
                    </a:ln>
                  </pic:spPr>
                </pic:pic>
              </a:graphicData>
            </a:graphic>
          </wp:inline>
        </w:drawing>
      </w:r>
    </w:p>
    <w:p w:rsidR="00B13311" w:rsidRDefault="00C21A55" w:rsidP="00625E8E">
      <w:pPr>
        <w:pStyle w:val="FigureDescription"/>
        <w:rPr>
          <w:lang w:eastAsia="en-AU"/>
        </w:rPr>
      </w:pPr>
      <w:r w:rsidRPr="00C21A55">
        <w:rPr>
          <w:lang w:eastAsia="en-AU"/>
        </w:rPr>
        <w:t xml:space="preserve">CL = clearance, V2 = volume of distribution of the central compartment, Q = inter-compartmental flow rate, V3 = volume of distribution of the peripheral compartment, </w:t>
      </w:r>
      <w:proofErr w:type="spellStart"/>
      <w:r w:rsidRPr="00C21A55">
        <w:rPr>
          <w:lang w:eastAsia="en-AU"/>
        </w:rPr>
        <w:t>Ka</w:t>
      </w:r>
      <w:proofErr w:type="spellEnd"/>
      <w:r w:rsidRPr="00C21A55">
        <w:rPr>
          <w:lang w:eastAsia="en-AU"/>
        </w:rPr>
        <w:t xml:space="preserve"> = absorption rate </w:t>
      </w:r>
      <w:r w:rsidR="00625E8E">
        <w:rPr>
          <w:lang w:eastAsia="en-AU"/>
        </w:rPr>
        <w:t xml:space="preserve">constant, F1 = bioavailability </w:t>
      </w:r>
      <w:r w:rsidRPr="00C21A55">
        <w:rPr>
          <w:lang w:eastAsia="en-AU"/>
        </w:rPr>
        <w:t>Source: Scheme 1</w:t>
      </w:r>
    </w:p>
    <w:p w:rsidR="00C13047" w:rsidRDefault="00C21A55" w:rsidP="00625E8E">
      <w:pPr>
        <w:pStyle w:val="Heading5"/>
        <w:rPr>
          <w:lang w:eastAsia="en-AU"/>
        </w:rPr>
      </w:pPr>
      <w:r w:rsidRPr="00C21A55">
        <w:rPr>
          <w:lang w:eastAsia="en-AU"/>
        </w:rPr>
        <w:lastRenderedPageBreak/>
        <w:t xml:space="preserve">Covariate </w:t>
      </w:r>
      <w:r w:rsidR="00625E8E">
        <w:t>m</w:t>
      </w:r>
      <w:r w:rsidRPr="00625E8E">
        <w:t>odel</w:t>
      </w:r>
      <w:r w:rsidRPr="00C21A55">
        <w:rPr>
          <w:lang w:eastAsia="en-AU"/>
        </w:rPr>
        <w:t xml:space="preserve"> </w:t>
      </w:r>
      <w:r w:rsidR="00625E8E">
        <w:rPr>
          <w:lang w:eastAsia="en-AU"/>
        </w:rPr>
        <w:t>building</w:t>
      </w:r>
    </w:p>
    <w:p w:rsidR="00C21A55" w:rsidRPr="00C13047" w:rsidRDefault="00C21A55" w:rsidP="00625E8E">
      <w:r w:rsidRPr="00C13047">
        <w:t>Initially, covariate-parameter relationships were explored graphically and any correlations between covariates were noted. Scatter plots of individual PK parameters and random effects were plotted against continuous covariates of interest with a non-parametric trend line overlaid on the plots to help identify functional relationships. For categorical covariates, box and whisker plots of the PK parameters were used to identify differences between groups. A trend between a covariate and a PK parameter led to direct assessment in NONMEM.</w:t>
      </w:r>
    </w:p>
    <w:p w:rsidR="00C21A55" w:rsidRPr="00C13047" w:rsidRDefault="00C21A55" w:rsidP="00625E8E">
      <w:r w:rsidRPr="00C13047">
        <w:t>Final covariate model selection was conducted using a stepwise backward elimination procedure starting with the “full” covariate model which was carefully constructed to avoid inclusion of collinear or strongly correlated covariates.</w:t>
      </w:r>
    </w:p>
    <w:p w:rsidR="00C21A55" w:rsidRPr="00C13047" w:rsidRDefault="00C21A55" w:rsidP="00625E8E">
      <w:r w:rsidRPr="00C13047">
        <w:t>A model reduction procedure was performed by deleting one covariate at a time while retaining all other covariates in the model and then comparing the objective functions of the NONMEM runs.</w:t>
      </w:r>
    </w:p>
    <w:p w:rsidR="00C21A55" w:rsidRPr="00C13047" w:rsidRDefault="00C21A55" w:rsidP="00625E8E">
      <w:r w:rsidRPr="00C13047">
        <w:t>In lieu of using the likelihood ratio test for formal hypothesis testing, inferences about clinical relevance of parameters were based on the resulting parameter estimates and measures of estimation precision (standard errors or 95% confidence intervals). Covariates were also evaluated based on the magnitude of the expected effect given the range of covariate values in the dataset. A covariate resulting in a less than 20% change in parameter values was not generally considered clinically relevant within the specified covariate range.</w:t>
      </w:r>
    </w:p>
    <w:p w:rsidR="00C21A55" w:rsidRPr="00C13047" w:rsidRDefault="00C21A55" w:rsidP="00625E8E">
      <w:r w:rsidRPr="00C13047">
        <w:t>Model selection was data driven and was based on various goodness of fit measures, including comparisons based on change in OFV, diagnostic plots, and evaluation of the population estimates of the fixed and random effect parameters. At least 1000 bootstrap replicates were generated by randomly re-sampling the original dataset with replacement.</w:t>
      </w:r>
    </w:p>
    <w:p w:rsidR="00C21A55" w:rsidRPr="00C13047" w:rsidRDefault="00C21A55" w:rsidP="00625E8E">
      <w:r w:rsidRPr="00C13047">
        <w:t>Apart from the effects of body weight on V3 and Q, covariates were tested only on CL and V2 since they were the primary PK parameters of interest. The full model had 10 covariates on CL and 8 covariates on V2 with a condition number of 156.9.</w:t>
      </w:r>
    </w:p>
    <w:p w:rsidR="00C21A55" w:rsidRPr="00C13047" w:rsidRDefault="00C21A55" w:rsidP="00625E8E">
      <w:r w:rsidRPr="00C13047">
        <w:t>Each of the covariate factors was removed from the full model in order to rank their changes in OFV. When a covariate was removed and the increase in OFV was &lt; 10.83, the covariate factor was not considered statistically significant (p &gt; 0.001). The Between-Subject Variability of CL and V2 were reduced by 7.2% and 4.5%, respectively, in the final model. Body weight accounted for the majority (4.5%) of the total decrease in the Between-Subject Variability while serum albumin, immune response, CRP, and alkaline phosphatase accounted for 2.9%, 0.8%, 0.5%, and 0.4% of the decrease in Between-Subject Variability of CL, respectively.</w:t>
      </w:r>
    </w:p>
    <w:p w:rsidR="00C21A55" w:rsidRPr="00C13047" w:rsidRDefault="00C21A55" w:rsidP="00625E8E">
      <w:r w:rsidRPr="00C13047">
        <w:t xml:space="preserve">In the following Table are listed covariates statistically significant (p&lt;0.001) in influencing </w:t>
      </w:r>
      <w:proofErr w:type="spellStart"/>
      <w:r w:rsidRPr="00C13047">
        <w:t>golimumab</w:t>
      </w:r>
      <w:proofErr w:type="spellEnd"/>
      <w:r w:rsidRPr="00C13047">
        <w:t xml:space="preserve"> PK parameters along with the population PK parameter estimates of </w:t>
      </w:r>
      <w:proofErr w:type="spellStart"/>
      <w:r w:rsidRPr="00C13047">
        <w:t>golimumab</w:t>
      </w:r>
      <w:proofErr w:type="spellEnd"/>
      <w:r w:rsidRPr="00C13047">
        <w:t xml:space="preserve"> from the final population PK model. None of the other factors evaluated were found t</w:t>
      </w:r>
      <w:r w:rsidR="00625E8E">
        <w:t>o be statistically significant.</w:t>
      </w:r>
    </w:p>
    <w:p w:rsidR="00C21A55" w:rsidRPr="00C13047" w:rsidRDefault="00C21A55" w:rsidP="00625E8E">
      <w:r w:rsidRPr="00C13047">
        <w:t xml:space="preserve">Between-subject random effects of CL, V2, V3, </w:t>
      </w:r>
      <w:proofErr w:type="spellStart"/>
      <w:r w:rsidRPr="00C13047">
        <w:t>Ka</w:t>
      </w:r>
      <w:proofErr w:type="spellEnd"/>
      <w:r w:rsidRPr="00C13047">
        <w:t xml:space="preserve"> and F1 are </w:t>
      </w:r>
      <w:r w:rsidR="00C13047">
        <w:t xml:space="preserve">approximately </w:t>
      </w:r>
      <w:r w:rsidRPr="00C13047">
        <w:t>normally distributed around zero.</w:t>
      </w:r>
    </w:p>
    <w:p w:rsidR="00C21A55" w:rsidRPr="00C13047" w:rsidRDefault="00C21A55" w:rsidP="00625E8E">
      <w:r w:rsidRPr="00C13047">
        <w:t xml:space="preserve">Both the CL and V2 values exhibited approximately lognormal distribution in the final model. The median terminal elimination half-life of </w:t>
      </w:r>
      <w:proofErr w:type="spellStart"/>
      <w:r w:rsidRPr="00C13047">
        <w:t>golimumab</w:t>
      </w:r>
      <w:proofErr w:type="spellEnd"/>
      <w:r w:rsidRPr="00C13047">
        <w:t xml:space="preserve"> was estimated to be 10.5 days.</w:t>
      </w:r>
    </w:p>
    <w:p w:rsidR="00C21A55" w:rsidRPr="00625E8E" w:rsidRDefault="00C21A55" w:rsidP="00625E8E">
      <w:pPr>
        <w:pStyle w:val="TableTitle"/>
      </w:pPr>
      <w:bookmarkStart w:id="38" w:name="_Toc373241091"/>
      <w:proofErr w:type="gramStart"/>
      <w:r w:rsidRPr="00C21A55">
        <w:rPr>
          <w:lang w:eastAsia="en-AU"/>
        </w:rPr>
        <w:lastRenderedPageBreak/>
        <w:t xml:space="preserve">Table </w:t>
      </w:r>
      <w:r w:rsidR="00C13047">
        <w:rPr>
          <w:lang w:eastAsia="en-AU"/>
        </w:rPr>
        <w:t>3.</w:t>
      </w:r>
      <w:proofErr w:type="gramEnd"/>
      <w:r w:rsidRPr="00C21A55">
        <w:rPr>
          <w:lang w:eastAsia="en-AU"/>
        </w:rPr>
        <w:t xml:space="preserve"> Population PK Parameters of </w:t>
      </w:r>
      <w:proofErr w:type="spellStart"/>
      <w:r w:rsidRPr="00C21A55">
        <w:rPr>
          <w:lang w:eastAsia="en-AU"/>
        </w:rPr>
        <w:t>Golimumab</w:t>
      </w:r>
      <w:proofErr w:type="spellEnd"/>
      <w:r w:rsidRPr="00C21A55">
        <w:rPr>
          <w:lang w:eastAsia="en-AU"/>
        </w:rPr>
        <w:t xml:space="preserve"> from the Final PK Model</w:t>
      </w:r>
      <w:bookmarkEnd w:id="38"/>
    </w:p>
    <w:p w:rsidR="00C21A55" w:rsidRPr="00C21A55" w:rsidRDefault="00C21A55" w:rsidP="00625E8E">
      <w:pPr>
        <w:rPr>
          <w:lang w:eastAsia="en-AU"/>
        </w:rPr>
      </w:pPr>
      <w:r w:rsidRPr="00C21A55">
        <w:rPr>
          <w:noProof/>
          <w:lang w:eastAsia="en-AU"/>
        </w:rPr>
        <w:drawing>
          <wp:inline distT="0" distB="0" distL="0" distR="0" wp14:anchorId="08C2AC24" wp14:editId="2F528545">
            <wp:extent cx="5538407" cy="5771007"/>
            <wp:effectExtent l="0" t="0" r="0" b="0"/>
            <wp:docPr id="2" name="Picture 2" descr="Table 3. Population PK Parameters of Golimumab from the Final PK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538407" cy="5771007"/>
                    </a:xfrm>
                    <a:prstGeom prst="rect">
                      <a:avLst/>
                    </a:prstGeom>
                    <a:noFill/>
                    <a:ln w="9525">
                      <a:noFill/>
                      <a:miter lim="800000"/>
                      <a:headEnd/>
                      <a:tailEnd/>
                    </a:ln>
                  </pic:spPr>
                </pic:pic>
              </a:graphicData>
            </a:graphic>
          </wp:inline>
        </w:drawing>
      </w:r>
    </w:p>
    <w:p w:rsidR="00C21A55" w:rsidRPr="00163001" w:rsidRDefault="00C21A55" w:rsidP="00163001">
      <w:pPr>
        <w:pStyle w:val="TableDescription"/>
      </w:pPr>
      <w:proofErr w:type="gramStart"/>
      <w:r w:rsidRPr="00163001">
        <w:t>a</w:t>
      </w:r>
      <w:proofErr w:type="gramEnd"/>
      <w:r w:rsidRPr="00163001">
        <w:t xml:space="preserve"> CL = clearance; V2 = volume of distribution of the central compartment; V3 = volume of distribution of the peripheral compartment; Q = inter-compartment clearance; </w:t>
      </w:r>
      <w:proofErr w:type="spellStart"/>
      <w:r w:rsidRPr="00163001">
        <w:t>Ka</w:t>
      </w:r>
      <w:proofErr w:type="spellEnd"/>
      <w:r w:rsidRPr="00163001">
        <w:t xml:space="preserve"> = absorption rate constant; F1 = bioavailability after SC administration; WGT = body weight; ALB = albumin; IRP = immune response; ALK = alkaline phosphatase; CRP = C-reactive protein; BSV = between-subject variability, calculated as (variance)1/2*100%</w:t>
      </w:r>
    </w:p>
    <w:p w:rsidR="00C21A55" w:rsidRPr="00163001" w:rsidRDefault="00C21A55" w:rsidP="00163001">
      <w:pPr>
        <w:pStyle w:val="TableDescription"/>
      </w:pPr>
      <w:proofErr w:type="gramStart"/>
      <w:r w:rsidRPr="00163001">
        <w:t>b</w:t>
      </w:r>
      <w:proofErr w:type="gramEnd"/>
      <w:r w:rsidRPr="00163001">
        <w:t xml:space="preserve"> Mean [RSE%] estimates by NONMEM of the original PK dataset</w:t>
      </w:r>
    </w:p>
    <w:p w:rsidR="00C21A55" w:rsidRPr="00163001" w:rsidRDefault="00C21A55" w:rsidP="00163001">
      <w:pPr>
        <w:pStyle w:val="TableDescription"/>
      </w:pPr>
      <w:proofErr w:type="gramStart"/>
      <w:r w:rsidRPr="00163001">
        <w:t>c</w:t>
      </w:r>
      <w:proofErr w:type="gramEnd"/>
      <w:r w:rsidRPr="00163001">
        <w:t xml:space="preserve"> Median [95% CI]: median value and 95% confidence interval calculated from 1035 replicates of re-sampled and successfully converged bootstrapping runs.</w:t>
      </w:r>
    </w:p>
    <w:p w:rsidR="00C21A55" w:rsidRPr="00163001" w:rsidRDefault="00C21A55" w:rsidP="00163001">
      <w:pPr>
        <w:pStyle w:val="TableDescription"/>
      </w:pPr>
      <w:proofErr w:type="gramStart"/>
      <w:r w:rsidRPr="00163001">
        <w:t>d</w:t>
      </w:r>
      <w:proofErr w:type="gramEnd"/>
      <w:r w:rsidRPr="00163001">
        <w:t xml:space="preserve"> </w:t>
      </w:r>
      <w:r w:rsidRPr="00163001">
        <w:drawing>
          <wp:inline distT="0" distB="0" distL="0" distR="0" wp14:anchorId="0BCF77A5" wp14:editId="312DA4AC">
            <wp:extent cx="3905726" cy="275368"/>
            <wp:effectExtent l="0" t="0" r="0" b="0"/>
            <wp:docPr id="3" name="Picture 3" descr="Parameters used on cl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3905726" cy="275368"/>
                    </a:xfrm>
                    <a:prstGeom prst="rect">
                      <a:avLst/>
                    </a:prstGeom>
                    <a:noFill/>
                    <a:ln w="9525">
                      <a:noFill/>
                      <a:miter lim="800000"/>
                      <a:headEnd/>
                      <a:tailEnd/>
                    </a:ln>
                  </pic:spPr>
                </pic:pic>
              </a:graphicData>
            </a:graphic>
          </wp:inline>
        </w:drawing>
      </w:r>
    </w:p>
    <w:p w:rsidR="00C21A55" w:rsidRPr="00163001" w:rsidRDefault="00C21A55" w:rsidP="00163001">
      <w:pPr>
        <w:pStyle w:val="TableDescription"/>
      </w:pPr>
      <w:proofErr w:type="gramStart"/>
      <w:r w:rsidRPr="00163001">
        <w:t>e</w:t>
      </w:r>
      <w:proofErr w:type="gramEnd"/>
      <w:r w:rsidRPr="00163001">
        <w:t xml:space="preserve"> </w:t>
      </w:r>
      <w:r w:rsidRPr="00163001">
        <w:drawing>
          <wp:inline distT="0" distB="0" distL="0" distR="0" wp14:anchorId="3F132902" wp14:editId="5D19195A">
            <wp:extent cx="1331881" cy="258509"/>
            <wp:effectExtent l="0" t="0" r="1905" b="8255"/>
            <wp:docPr id="4" name="Picture 4" descr="Parameters used on volume of distribution of the central com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1331881" cy="258509"/>
                    </a:xfrm>
                    <a:prstGeom prst="rect">
                      <a:avLst/>
                    </a:prstGeom>
                    <a:noFill/>
                    <a:ln w="9525">
                      <a:noFill/>
                      <a:miter lim="800000"/>
                      <a:headEnd/>
                      <a:tailEnd/>
                    </a:ln>
                  </pic:spPr>
                </pic:pic>
              </a:graphicData>
            </a:graphic>
          </wp:inline>
        </w:drawing>
      </w:r>
    </w:p>
    <w:p w:rsidR="00C21A55" w:rsidRPr="00163001" w:rsidRDefault="00C21A55" w:rsidP="00163001">
      <w:pPr>
        <w:pStyle w:val="TableDescription"/>
      </w:pPr>
      <w:proofErr w:type="gramStart"/>
      <w:r w:rsidRPr="00163001">
        <w:t>f</w:t>
      </w:r>
      <w:proofErr w:type="gramEnd"/>
      <w:r w:rsidRPr="00163001">
        <w:t xml:space="preserve"> </w:t>
      </w:r>
      <w:r w:rsidRPr="00163001">
        <w:drawing>
          <wp:inline distT="0" distB="0" distL="0" distR="0" wp14:anchorId="26EE738E" wp14:editId="24D3CA9B">
            <wp:extent cx="1298162" cy="269748"/>
            <wp:effectExtent l="0" t="0" r="0" b="0"/>
            <wp:docPr id="6" name="Picture 6" descr="Parameters used on volume of distribution of the peripheral com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srcRect/>
                    <a:stretch>
                      <a:fillRect/>
                    </a:stretch>
                  </pic:blipFill>
                  <pic:spPr bwMode="auto">
                    <a:xfrm>
                      <a:off x="0" y="0"/>
                      <a:ext cx="1298162" cy="269748"/>
                    </a:xfrm>
                    <a:prstGeom prst="rect">
                      <a:avLst/>
                    </a:prstGeom>
                    <a:noFill/>
                    <a:ln w="9525">
                      <a:noFill/>
                      <a:miter lim="800000"/>
                      <a:headEnd/>
                      <a:tailEnd/>
                    </a:ln>
                  </pic:spPr>
                </pic:pic>
              </a:graphicData>
            </a:graphic>
          </wp:inline>
        </w:drawing>
      </w:r>
    </w:p>
    <w:p w:rsidR="00C21A55" w:rsidRPr="00163001" w:rsidRDefault="00C21A55" w:rsidP="00163001">
      <w:pPr>
        <w:pStyle w:val="TableDescription"/>
      </w:pPr>
      <w:proofErr w:type="gramStart"/>
      <w:r w:rsidRPr="00163001">
        <w:t>g</w:t>
      </w:r>
      <w:proofErr w:type="gramEnd"/>
      <w:r w:rsidRPr="00163001">
        <w:t xml:space="preserve"> </w:t>
      </w:r>
      <w:r w:rsidRPr="00163001">
        <w:drawing>
          <wp:inline distT="0" distB="0" distL="0" distR="0" wp14:anchorId="6C1062BD" wp14:editId="4BA8E2F9">
            <wp:extent cx="1584770" cy="241649"/>
            <wp:effectExtent l="0" t="0" r="0" b="6350"/>
            <wp:docPr id="7" name="Picture 14" descr="Parameters used on inter-compartment clea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1584770" cy="241649"/>
                    </a:xfrm>
                    <a:prstGeom prst="rect">
                      <a:avLst/>
                    </a:prstGeom>
                    <a:noFill/>
                    <a:ln w="9525">
                      <a:noFill/>
                      <a:miter lim="800000"/>
                      <a:headEnd/>
                      <a:tailEnd/>
                    </a:ln>
                  </pic:spPr>
                </pic:pic>
              </a:graphicData>
            </a:graphic>
          </wp:inline>
        </w:drawing>
      </w:r>
    </w:p>
    <w:p w:rsidR="00C21A55" w:rsidRPr="00C21A55" w:rsidRDefault="00C21A55" w:rsidP="00163001">
      <w:pPr>
        <w:pStyle w:val="TableDescription"/>
        <w:rPr>
          <w:rFonts w:eastAsia="Times New Roman"/>
          <w:kern w:val="16"/>
          <w:sz w:val="18"/>
          <w:szCs w:val="18"/>
          <w:lang w:eastAsia="en-AU"/>
        </w:rPr>
      </w:pPr>
      <w:proofErr w:type="gramStart"/>
      <w:r w:rsidRPr="00163001">
        <w:t>h</w:t>
      </w:r>
      <w:proofErr w:type="gramEnd"/>
      <w:r w:rsidRPr="00163001">
        <w:t xml:space="preserve"> The</w:t>
      </w:r>
      <w:r w:rsidRPr="00C21A55">
        <w:rPr>
          <w:lang w:eastAsia="en-AU"/>
        </w:rPr>
        <w:t xml:space="preserve"> magnitude of change in the parameter estimate caused by a continuous covariate was expressed as a range, </w:t>
      </w:r>
      <w:r w:rsidR="003761C2">
        <w:rPr>
          <w:lang w:eastAsia="en-AU"/>
        </w:rPr>
        <w:t>that is</w:t>
      </w:r>
      <w:r w:rsidRPr="00C21A55">
        <w:rPr>
          <w:lang w:eastAsia="en-AU"/>
        </w:rPr>
        <w:t>, % change from the median value when the covariate factor varied from 25th percentile to 75</w:t>
      </w:r>
      <w:r w:rsidRPr="00C21A55">
        <w:rPr>
          <w:vertAlign w:val="superscript"/>
          <w:lang w:eastAsia="en-AU"/>
        </w:rPr>
        <w:t>th</w:t>
      </w:r>
      <w:r w:rsidR="00163001">
        <w:rPr>
          <w:lang w:eastAsia="en-AU"/>
        </w:rPr>
        <w:t xml:space="preserve"> percentile of the population. </w:t>
      </w:r>
      <w:r w:rsidRPr="00C21A55">
        <w:rPr>
          <w:lang w:eastAsia="en-AU"/>
        </w:rPr>
        <w:t>Source: Table 1</w:t>
      </w:r>
      <w:r w:rsidR="00163001">
        <w:rPr>
          <w:lang w:eastAsia="en-AU"/>
        </w:rPr>
        <w:t>.</w:t>
      </w:r>
    </w:p>
    <w:p w:rsidR="00C21A55" w:rsidRPr="00C13047" w:rsidRDefault="00C21A55" w:rsidP="00163001">
      <w:r w:rsidRPr="00C13047">
        <w:lastRenderedPageBreak/>
        <w:t>Due to body weight increase from the 25th percentile (60 kg) to the 75th percentile (84 kg), the change in CL ranged from -11.8% to +16% of the median CL estimate, while the change in V2 ranged from −12.6% to 1</w:t>
      </w:r>
      <w:r w:rsidR="00163001">
        <w:t>7.3% of the median V2 estimate.</w:t>
      </w:r>
    </w:p>
    <w:p w:rsidR="00C21A55" w:rsidRPr="00C13047" w:rsidRDefault="00C21A55" w:rsidP="00163001">
      <w:r w:rsidRPr="00C13047">
        <w:t>Simulation showed that at steady-state after 10</w:t>
      </w:r>
      <w:r w:rsidR="007C1257">
        <w:t>0 mg</w:t>
      </w:r>
      <w:r w:rsidRPr="00C13047">
        <w:t xml:space="preserve"> </w:t>
      </w:r>
      <w:proofErr w:type="spellStart"/>
      <w:r w:rsidRPr="00C13047">
        <w:t>golimumab</w:t>
      </w:r>
      <w:proofErr w:type="spellEnd"/>
      <w:r w:rsidRPr="00C13047">
        <w:t xml:space="preserve"> SC every four weeks, the median AUC in ulcerative colitis </w:t>
      </w:r>
      <w:proofErr w:type="gramStart"/>
      <w:r w:rsidRPr="00C13047">
        <w:t>subjects</w:t>
      </w:r>
      <w:proofErr w:type="gramEnd"/>
      <w:r w:rsidRPr="00C13047">
        <w:t xml:space="preserve"> weight &gt; 100kg was </w:t>
      </w:r>
      <w:r w:rsidR="00C13047">
        <w:t>approximately</w:t>
      </w:r>
      <w:r w:rsidRPr="00C13047">
        <w:t xml:space="preserve"> 33% lower than that in those weighing ≤ 100kg.</w:t>
      </w:r>
    </w:p>
    <w:p w:rsidR="00C21A55" w:rsidRPr="00C13047" w:rsidRDefault="00C21A55" w:rsidP="00163001">
      <w:r w:rsidRPr="00C13047">
        <w:t xml:space="preserve">The effect of Age, Sex, Race &amp; Renal Function (Baseline </w:t>
      </w:r>
      <w:proofErr w:type="spellStart"/>
      <w:r w:rsidRPr="00C13047">
        <w:t>CrCL</w:t>
      </w:r>
      <w:proofErr w:type="spellEnd"/>
      <w:r w:rsidRPr="00C13047">
        <w:t>) on CL and V2 was not significant.</w:t>
      </w:r>
    </w:p>
    <w:p w:rsidR="00C21A55" w:rsidRPr="00C13047" w:rsidRDefault="00C21A55" w:rsidP="00C13047">
      <w:r w:rsidRPr="00C13047">
        <w:t xml:space="preserve">In the 34 subjects (2.8%) who developed immunogenicity against </w:t>
      </w:r>
      <w:proofErr w:type="spellStart"/>
      <w:r w:rsidRPr="00C13047">
        <w:t>golimumab</w:t>
      </w:r>
      <w:proofErr w:type="spellEnd"/>
      <w:r w:rsidRPr="00C13047">
        <w:t xml:space="preserve"> the model-predicted mean CL value for </w:t>
      </w:r>
      <w:proofErr w:type="spellStart"/>
      <w:r w:rsidRPr="00C13047">
        <w:t>golimumab</w:t>
      </w:r>
      <w:proofErr w:type="spellEnd"/>
      <w:r w:rsidRPr="00C13047">
        <w:t xml:space="preserve"> was 24.3% higher.</w:t>
      </w:r>
    </w:p>
    <w:p w:rsidR="00C21A55" w:rsidRPr="00C13047" w:rsidRDefault="00C21A55" w:rsidP="00163001">
      <w:r w:rsidRPr="00C13047">
        <w:t xml:space="preserve">The majority of the subjects appeared to have relatively normal hepatic function. Of baseline alanine aminotransferase, aspartate aminotransferase, total bilirubin and alkaline phosphatase, none had a significant effect on the V2 of </w:t>
      </w:r>
      <w:proofErr w:type="spellStart"/>
      <w:r w:rsidRPr="00C13047">
        <w:t>golimumab</w:t>
      </w:r>
      <w:proofErr w:type="spellEnd"/>
      <w:r w:rsidRPr="00C13047">
        <w:t xml:space="preserve"> and only alkaline phosphatase had an effect on CL </w:t>
      </w:r>
      <w:proofErr w:type="spellStart"/>
      <w:r w:rsidRPr="00C13047">
        <w:t>golimumab</w:t>
      </w:r>
      <w:proofErr w:type="spellEnd"/>
      <w:r w:rsidRPr="00C13047">
        <w:t xml:space="preserve">. The change in CL of </w:t>
      </w:r>
      <w:proofErr w:type="spellStart"/>
      <w:r w:rsidRPr="00C13047">
        <w:t>golimumab</w:t>
      </w:r>
      <w:proofErr w:type="spellEnd"/>
      <w:r w:rsidRPr="00C13047">
        <w:t xml:space="preserve"> due to alkaline phosphatase was negligible ranging from -</w:t>
      </w:r>
      <w:r w:rsidR="00C13047">
        <w:t xml:space="preserve"> </w:t>
      </w:r>
      <w:r w:rsidRPr="00C13047">
        <w:t>1.2% to +</w:t>
      </w:r>
      <w:r w:rsidR="00C13047">
        <w:t xml:space="preserve"> </w:t>
      </w:r>
      <w:r w:rsidRPr="00C13047">
        <w:t>1.4% of the median CL estimate when alkaline phosphatase increased from the 25th percentile (57 IU/L) to the 75th percentile (83 IU/L), respectively.</w:t>
      </w:r>
    </w:p>
    <w:p w:rsidR="00C21A55" w:rsidRPr="00C13047" w:rsidRDefault="00C21A55" w:rsidP="00163001">
      <w:r w:rsidRPr="00C13047">
        <w:t>The change in CL due to albumin ranged from -</w:t>
      </w:r>
      <w:r w:rsidR="00C13047">
        <w:t xml:space="preserve"> </w:t>
      </w:r>
      <w:r w:rsidRPr="00C13047">
        <w:t>7.6% to +</w:t>
      </w:r>
      <w:r w:rsidR="00C13047">
        <w:t xml:space="preserve"> </w:t>
      </w:r>
      <w:r w:rsidRPr="00C13047">
        <w:t>8.9% of the median CL estimate when albumin decreased from the 75th percentile (4.5g/</w:t>
      </w:r>
      <w:proofErr w:type="spellStart"/>
      <w:r w:rsidRPr="00C13047">
        <w:t>dL</w:t>
      </w:r>
      <w:proofErr w:type="spellEnd"/>
      <w:r w:rsidRPr="00C13047">
        <w:t>) to the 25th percentile (3.9g/</w:t>
      </w:r>
      <w:proofErr w:type="spellStart"/>
      <w:r w:rsidRPr="00C13047">
        <w:t>dL</w:t>
      </w:r>
      <w:proofErr w:type="spellEnd"/>
      <w:r w:rsidRPr="00C13047">
        <w:t xml:space="preserve">), respectively, in this patient population. No significant effect on V2 of </w:t>
      </w:r>
      <w:proofErr w:type="spellStart"/>
      <w:r w:rsidRPr="00C13047">
        <w:t>golimumab</w:t>
      </w:r>
      <w:proofErr w:type="spellEnd"/>
      <w:r w:rsidRPr="00C13047">
        <w:t xml:space="preserve"> was found.</w:t>
      </w:r>
    </w:p>
    <w:p w:rsidR="00C21A55" w:rsidRPr="00C13047" w:rsidRDefault="00C21A55" w:rsidP="00163001">
      <w:r w:rsidRPr="00C13047">
        <w:t>The change in CL due to C-reactive protein was minor and ranged from -</w:t>
      </w:r>
      <w:r w:rsidR="00C13047">
        <w:t xml:space="preserve"> </w:t>
      </w:r>
      <w:r w:rsidRPr="00C13047">
        <w:t>3.6% to +</w:t>
      </w:r>
      <w:r w:rsidR="00C13047">
        <w:t xml:space="preserve"> </w:t>
      </w:r>
      <w:r w:rsidRPr="00C13047">
        <w:t>3.3% of the median CL estimate when C-reactive protein increased from the 25th percentile (1.59mg/L) to the 75th percentile (12.8mg/L), respectively, in this patient population. There was no significant effect on V2.</w:t>
      </w:r>
    </w:p>
    <w:p w:rsidR="00C21A55" w:rsidRPr="00C13047" w:rsidRDefault="00C21A55" w:rsidP="00163001">
      <w:r w:rsidRPr="00C13047">
        <w:t xml:space="preserve">The concomitant use of </w:t>
      </w:r>
      <w:proofErr w:type="spellStart"/>
      <w:r w:rsidRPr="00C13047">
        <w:t>immunomodulators</w:t>
      </w:r>
      <w:proofErr w:type="spellEnd"/>
      <w:r w:rsidRPr="00C13047">
        <w:t xml:space="preserve"> had no significant effect on CL and V2 of </w:t>
      </w:r>
      <w:proofErr w:type="spellStart"/>
      <w:r w:rsidRPr="00C13047">
        <w:t>golimumab</w:t>
      </w:r>
      <w:proofErr w:type="spellEnd"/>
      <w:r w:rsidRPr="00C13047">
        <w:t>.</w:t>
      </w:r>
    </w:p>
    <w:p w:rsidR="00C21A55" w:rsidRPr="00C13047" w:rsidRDefault="00C21A55" w:rsidP="00163001">
      <w:r w:rsidRPr="00C13047">
        <w:t xml:space="preserve">PK simulation to assess the carry over effect of different induction doses on serum </w:t>
      </w:r>
      <w:proofErr w:type="spellStart"/>
      <w:r w:rsidRPr="00C13047">
        <w:t>golimumab</w:t>
      </w:r>
      <w:proofErr w:type="spellEnd"/>
      <w:r w:rsidRPr="00C13047">
        <w:t xml:space="preserve"> concentrations during maintenance showed that although systemic </w:t>
      </w:r>
      <w:proofErr w:type="spellStart"/>
      <w:r w:rsidRPr="00C13047">
        <w:t>golimumab</w:t>
      </w:r>
      <w:proofErr w:type="spellEnd"/>
      <w:r w:rsidRPr="00C13047">
        <w:t xml:space="preserve"> exposure during the induction studies (C0524T16 or C0524T17) varied due to differences in induction dose and route of administration, subjects in the maintenance study (C0524T18) reached the same steady state maintenance level within about 8 weeks (approximately 5 half-lives) from when they began receiving the same maintenance dose regimens.</w:t>
      </w:r>
    </w:p>
    <w:p w:rsidR="00C21A55" w:rsidRPr="00C21A55" w:rsidRDefault="00C21A55" w:rsidP="00163001">
      <w:pPr>
        <w:pStyle w:val="Heading3"/>
      </w:pPr>
      <w:bookmarkStart w:id="39" w:name="_Toc373241013"/>
      <w:bookmarkStart w:id="40" w:name="_Toc390694741"/>
      <w:r w:rsidRPr="00C21A55">
        <w:t xml:space="preserve">Comparisons </w:t>
      </w:r>
      <w:r w:rsidRPr="00163001">
        <w:t>of</w:t>
      </w:r>
      <w:r w:rsidRPr="00C21A55">
        <w:t xml:space="preserve"> pharmacokinetics</w:t>
      </w:r>
      <w:bookmarkEnd w:id="32"/>
      <w:bookmarkEnd w:id="33"/>
      <w:bookmarkEnd w:id="34"/>
      <w:bookmarkEnd w:id="35"/>
      <w:bookmarkEnd w:id="39"/>
      <w:bookmarkEnd w:id="40"/>
    </w:p>
    <w:p w:rsidR="00C21A55" w:rsidRPr="00C21A55" w:rsidRDefault="00C21A55" w:rsidP="00163001">
      <w:pPr>
        <w:pStyle w:val="Heading4"/>
      </w:pPr>
      <w:bookmarkStart w:id="41" w:name="_Ref271189106"/>
      <w:bookmarkStart w:id="42" w:name="_Ref271189143"/>
      <w:bookmarkStart w:id="43" w:name="_Toc272414618"/>
      <w:bookmarkStart w:id="44" w:name="_Toc290846241"/>
      <w:bookmarkStart w:id="45" w:name="_Toc290888778"/>
      <w:bookmarkStart w:id="46" w:name="_Toc373241014"/>
      <w:r w:rsidRPr="00C21A55">
        <w:t xml:space="preserve">Ulcerative colitis </w:t>
      </w:r>
      <w:r w:rsidR="00163001" w:rsidRPr="00163001">
        <w:t>p</w:t>
      </w:r>
      <w:r w:rsidRPr="00163001">
        <w:t>harmacokinetics</w:t>
      </w:r>
      <w:r w:rsidRPr="00C21A55">
        <w:t xml:space="preserve"> </w:t>
      </w:r>
      <w:r w:rsidR="00B13311">
        <w:t>versus</w:t>
      </w:r>
      <w:r w:rsidRPr="00C21A55">
        <w:t xml:space="preserve"> healthy subjects</w:t>
      </w:r>
      <w:bookmarkEnd w:id="41"/>
      <w:bookmarkEnd w:id="42"/>
      <w:bookmarkEnd w:id="43"/>
      <w:bookmarkEnd w:id="44"/>
      <w:bookmarkEnd w:id="45"/>
      <w:bookmarkEnd w:id="46"/>
    </w:p>
    <w:p w:rsidR="00C21A55" w:rsidRPr="00C13047" w:rsidRDefault="00C21A55" w:rsidP="00163001">
      <w:r w:rsidRPr="00C13047">
        <w:t xml:space="preserve">From Study C0524T15 using non-compartmental analysis (NCA) with rich data provided the basic PK parameters of </w:t>
      </w:r>
      <w:proofErr w:type="spellStart"/>
      <w:r w:rsidRPr="00C13047">
        <w:t>golimumab</w:t>
      </w:r>
      <w:proofErr w:type="spellEnd"/>
      <w:r w:rsidRPr="00C13047">
        <w:t xml:space="preserve"> following either IV or SC administration in healthy subjects.</w:t>
      </w:r>
    </w:p>
    <w:p w:rsidR="00C21A55" w:rsidRPr="00C13047" w:rsidRDefault="00C21A55" w:rsidP="00163001">
      <w:r w:rsidRPr="00C13047">
        <w:t xml:space="preserve">In ulcerative colitis subjects, </w:t>
      </w:r>
      <w:proofErr w:type="spellStart"/>
      <w:r w:rsidRPr="00C13047">
        <w:t>golimumab</w:t>
      </w:r>
      <w:proofErr w:type="spellEnd"/>
      <w:r w:rsidRPr="00C13047">
        <w:t xml:space="preserve"> CL was estimated to be 0.544 L/day for a 70 kg subject. This estimate is within about 10% of the mean value of </w:t>
      </w:r>
      <w:proofErr w:type="spellStart"/>
      <w:r w:rsidRPr="00C13047">
        <w:t>golimumab</w:t>
      </w:r>
      <w:proofErr w:type="spellEnd"/>
      <w:r w:rsidRPr="00C13047">
        <w:t xml:space="preserve"> CL estimated in C0524T15 following a single IV administration of 10</w:t>
      </w:r>
      <w:r w:rsidR="007C1257">
        <w:t>0 mg</w:t>
      </w:r>
      <w:r w:rsidRPr="00C13047">
        <w:t xml:space="preserve"> </w:t>
      </w:r>
      <w:proofErr w:type="spellStart"/>
      <w:r w:rsidRPr="00C13047">
        <w:t>golimumab</w:t>
      </w:r>
      <w:proofErr w:type="spellEnd"/>
      <w:r w:rsidRPr="00C13047">
        <w:t xml:space="preserve"> (6.86 mL/day/kg or approximately 0.480 L/day for a 70 kg subject).</w:t>
      </w:r>
    </w:p>
    <w:p w:rsidR="00C21A55" w:rsidRPr="00C13047" w:rsidRDefault="00C21A55" w:rsidP="00163001">
      <w:r w:rsidRPr="00C13047">
        <w:t xml:space="preserve">The median terminal elimination half-life of </w:t>
      </w:r>
      <w:proofErr w:type="spellStart"/>
      <w:r w:rsidRPr="00C13047">
        <w:t>golimumab</w:t>
      </w:r>
      <w:proofErr w:type="spellEnd"/>
      <w:r w:rsidRPr="00C13047">
        <w:t xml:space="preserve"> was estimated to be 10.5 days in ulcerative colitis subjects while the median half-life values for </w:t>
      </w:r>
      <w:proofErr w:type="spellStart"/>
      <w:r w:rsidRPr="00C13047">
        <w:t>golimumab</w:t>
      </w:r>
      <w:proofErr w:type="spellEnd"/>
      <w:r w:rsidRPr="00C13047">
        <w:t xml:space="preserve"> in C0524T15 was 10.9 days and 11.8 days following SC administration and </w:t>
      </w:r>
      <w:r w:rsidR="00163001">
        <w:t>IV administration respectively.</w:t>
      </w:r>
    </w:p>
    <w:p w:rsidR="00C21A55" w:rsidRPr="00C13047" w:rsidRDefault="00C21A55" w:rsidP="00C13047">
      <w:r w:rsidRPr="00C13047">
        <w:t xml:space="preserve">The bioavailability of </w:t>
      </w:r>
      <w:proofErr w:type="spellStart"/>
      <w:r w:rsidRPr="00C13047">
        <w:t>golimumab</w:t>
      </w:r>
      <w:proofErr w:type="spellEnd"/>
      <w:r w:rsidRPr="00C13047">
        <w:t xml:space="preserve"> following SC administration in ulcerative colitis subjects was estimated to be 52.2% while the bioavailability </w:t>
      </w:r>
      <w:r w:rsidR="00163001">
        <w:t>estimate in C0524T15 was 51.1%.</w:t>
      </w:r>
    </w:p>
    <w:p w:rsidR="00C21A55" w:rsidRPr="00C21A55" w:rsidRDefault="00C21A55" w:rsidP="00163001">
      <w:pPr>
        <w:pStyle w:val="Heading4"/>
      </w:pPr>
      <w:bookmarkStart w:id="47" w:name="_Toc241374292"/>
      <w:bookmarkStart w:id="48" w:name="_Ref271189131"/>
      <w:bookmarkStart w:id="49" w:name="_Ref271189136"/>
      <w:bookmarkStart w:id="50" w:name="_Toc272414625"/>
      <w:bookmarkStart w:id="51" w:name="_Toc290846248"/>
      <w:bookmarkStart w:id="52" w:name="_Toc290888785"/>
      <w:bookmarkStart w:id="53" w:name="_Toc373241015"/>
      <w:r w:rsidRPr="00C21A55">
        <w:lastRenderedPageBreak/>
        <w:t xml:space="preserve">Ulcerative colitis </w:t>
      </w:r>
      <w:r w:rsidR="00163001" w:rsidRPr="00163001">
        <w:t>p</w:t>
      </w:r>
      <w:r w:rsidRPr="00163001">
        <w:t>harmacokinetics</w:t>
      </w:r>
      <w:r w:rsidRPr="00C21A55">
        <w:t xml:space="preserve"> </w:t>
      </w:r>
      <w:r w:rsidR="00B13311">
        <w:t>versus</w:t>
      </w:r>
      <w:r w:rsidRPr="00C21A55">
        <w:t xml:space="preserve"> </w:t>
      </w:r>
      <w:bookmarkEnd w:id="47"/>
      <w:bookmarkEnd w:id="48"/>
      <w:bookmarkEnd w:id="49"/>
      <w:bookmarkEnd w:id="50"/>
      <w:bookmarkEnd w:id="51"/>
      <w:bookmarkEnd w:id="52"/>
      <w:r w:rsidRPr="00C21A55">
        <w:t>Rheumatoid arthritis</w:t>
      </w:r>
      <w:bookmarkEnd w:id="53"/>
    </w:p>
    <w:p w:rsidR="00C21A55" w:rsidRPr="00C13047" w:rsidRDefault="00C21A55" w:rsidP="00163001">
      <w:bookmarkStart w:id="54" w:name="_Toc241374293"/>
      <w:r w:rsidRPr="00C13047">
        <w:t xml:space="preserve">Study C0524T14 using non-compartmental analysis derived PK parameters the basic PK parameter of </w:t>
      </w:r>
      <w:proofErr w:type="spellStart"/>
      <w:r w:rsidRPr="00C13047">
        <w:t>golimumab</w:t>
      </w:r>
      <w:proofErr w:type="spellEnd"/>
      <w:r w:rsidRPr="00C13047">
        <w:t xml:space="preserve"> and the magnitude of drug-drug interaction between methotrexate and </w:t>
      </w:r>
      <w:proofErr w:type="spellStart"/>
      <w:proofErr w:type="gramStart"/>
      <w:r w:rsidRPr="00C13047">
        <w:t>golimumab</w:t>
      </w:r>
      <w:proofErr w:type="spellEnd"/>
      <w:r w:rsidRPr="00C13047">
        <w:t xml:space="preserve"> following</w:t>
      </w:r>
      <w:proofErr w:type="gramEnd"/>
      <w:r w:rsidRPr="00C13047">
        <w:t xml:space="preserve"> rep</w:t>
      </w:r>
      <w:r w:rsidR="00163001">
        <w:t>eated IV and SC administration.</w:t>
      </w:r>
    </w:p>
    <w:p w:rsidR="00C21A55" w:rsidRPr="00C13047" w:rsidRDefault="00C21A55" w:rsidP="00163001">
      <w:r w:rsidRPr="00C13047">
        <w:t xml:space="preserve">Following the first IV administration of </w:t>
      </w:r>
      <w:proofErr w:type="spellStart"/>
      <w:r w:rsidRPr="00C13047">
        <w:t>golimumab</w:t>
      </w:r>
      <w:proofErr w:type="spellEnd"/>
      <w:r w:rsidRPr="00C13047">
        <w:t xml:space="preserve"> 10</w:t>
      </w:r>
      <w:r w:rsidR="007C1257">
        <w:t>0 mg</w:t>
      </w:r>
      <w:r w:rsidRPr="00C13047">
        <w:t xml:space="preserve"> to subjects with Rheumatoid arthritis in C0524T14, the mean systemic CL of </w:t>
      </w:r>
      <w:proofErr w:type="spellStart"/>
      <w:r w:rsidRPr="00C13047">
        <w:t>golimumab</w:t>
      </w:r>
      <w:proofErr w:type="spellEnd"/>
      <w:r w:rsidRPr="00C13047">
        <w:t xml:space="preserve"> was estimated to be 7.64 mL/kg/day (approximately 0.535L/day for a 70kg subject) which is comparable to the typical value of CL in ulcerative colitis subjects (0.544 L/day).</w:t>
      </w:r>
    </w:p>
    <w:p w:rsidR="00C21A55" w:rsidRPr="00C13047" w:rsidRDefault="00C21A55" w:rsidP="00163001">
      <w:proofErr w:type="spellStart"/>
      <w:r w:rsidRPr="00C13047">
        <w:t>Golimumab</w:t>
      </w:r>
      <w:proofErr w:type="spellEnd"/>
      <w:r w:rsidRPr="00C13047">
        <w:t xml:space="preserve"> t</w:t>
      </w:r>
      <w:r w:rsidRPr="00F94375">
        <w:rPr>
          <w:vertAlign w:val="subscript"/>
        </w:rPr>
        <w:t>1/2</w:t>
      </w:r>
      <w:r w:rsidRPr="00C13047">
        <w:t xml:space="preserve"> was estimated to be 13.72 ± 3.78 days and 13.11 ± 5.01 days following IV and SC administration in Rheumatoid arthritis subjects, respectively, compared to a median half-life of 10.5 days in subjects with ulcerative colitis. Of note, the median t1/2 in Rheumatoid arthritis subjects who did not receive methotrexate was 11.0 days, which was similar to that observed in the</w:t>
      </w:r>
      <w:r w:rsidR="00163001">
        <w:t xml:space="preserve"> ulcerative colitis population.</w:t>
      </w:r>
    </w:p>
    <w:p w:rsidR="00C21A55" w:rsidRPr="00C13047" w:rsidRDefault="00C21A55" w:rsidP="00163001">
      <w:r w:rsidRPr="00C13047">
        <w:t xml:space="preserve">The bioavailability estimate of </w:t>
      </w:r>
      <w:proofErr w:type="spellStart"/>
      <w:r w:rsidRPr="00C13047">
        <w:t>golimumab</w:t>
      </w:r>
      <w:proofErr w:type="spellEnd"/>
      <w:r w:rsidRPr="00C13047">
        <w:t xml:space="preserve"> following SC administration in ulcerative colitis subjects (52.2 %) while in Rheumatoid arthritis subjects it was 53.0%.</w:t>
      </w:r>
    </w:p>
    <w:p w:rsidR="00C21A55" w:rsidRPr="00C21A55" w:rsidRDefault="00C21A55" w:rsidP="00D75222">
      <w:pPr>
        <w:pStyle w:val="Heading3"/>
      </w:pPr>
      <w:bookmarkStart w:id="55" w:name="_Toc241374296"/>
      <w:bookmarkStart w:id="56" w:name="_Ref269982040"/>
      <w:bookmarkStart w:id="57" w:name="_Ref271018704"/>
      <w:bookmarkStart w:id="58" w:name="_Ref271018755"/>
      <w:bookmarkStart w:id="59" w:name="_Toc272414635"/>
      <w:bookmarkStart w:id="60" w:name="_Toc290846258"/>
      <w:bookmarkStart w:id="61" w:name="_Toc290888795"/>
      <w:bookmarkStart w:id="62" w:name="_Toc373241016"/>
      <w:bookmarkStart w:id="63" w:name="_Toc390694742"/>
      <w:bookmarkEnd w:id="54"/>
      <w:r w:rsidRPr="00C21A55">
        <w:t>Eval</w:t>
      </w:r>
      <w:bookmarkStart w:id="64" w:name="Marker"/>
      <w:bookmarkEnd w:id="64"/>
      <w:r w:rsidRPr="00C21A55">
        <w:t xml:space="preserve">uator’s </w:t>
      </w:r>
      <w:r w:rsidRPr="00D75222">
        <w:t>overall</w:t>
      </w:r>
      <w:r w:rsidRPr="00C21A55">
        <w:t xml:space="preserve"> conclusions on pharmacokinetics</w:t>
      </w:r>
      <w:bookmarkEnd w:id="55"/>
      <w:bookmarkEnd w:id="56"/>
      <w:bookmarkEnd w:id="57"/>
      <w:bookmarkEnd w:id="58"/>
      <w:bookmarkEnd w:id="59"/>
      <w:bookmarkEnd w:id="60"/>
      <w:bookmarkEnd w:id="61"/>
      <w:bookmarkEnd w:id="62"/>
      <w:bookmarkEnd w:id="63"/>
    </w:p>
    <w:p w:rsidR="00C21A55" w:rsidRPr="00E53E58" w:rsidRDefault="00C21A55" w:rsidP="00D75222">
      <w:r w:rsidRPr="00E53E58">
        <w:t xml:space="preserve">Overall, the PK characteristics of </w:t>
      </w:r>
      <w:proofErr w:type="spellStart"/>
      <w:r w:rsidRPr="00E53E58">
        <w:t>golimumab</w:t>
      </w:r>
      <w:proofErr w:type="spellEnd"/>
      <w:r w:rsidRPr="00E53E58">
        <w:t xml:space="preserve"> were not greatly different between ulcerative colitis and healthy subjects. The data suggest that the PKs of </w:t>
      </w:r>
      <w:proofErr w:type="spellStart"/>
      <w:r w:rsidRPr="00E53E58">
        <w:t>golimumab</w:t>
      </w:r>
      <w:proofErr w:type="spellEnd"/>
      <w:r w:rsidRPr="00E53E58">
        <w:t xml:space="preserve"> in ulcerative colitis </w:t>
      </w:r>
      <w:proofErr w:type="gramStart"/>
      <w:r w:rsidRPr="00E53E58">
        <w:t>is</w:t>
      </w:r>
      <w:proofErr w:type="gramEnd"/>
      <w:r w:rsidRPr="00E53E58">
        <w:t xml:space="preserve"> generally comparable to those in Rheumatoid arthritis subjects. In particular, the median t</w:t>
      </w:r>
      <w:r w:rsidRPr="00E53E58">
        <w:rPr>
          <w:vertAlign w:val="subscript"/>
        </w:rPr>
        <w:t>1/2</w:t>
      </w:r>
      <w:r w:rsidRPr="00E53E58">
        <w:t xml:space="preserve"> for Rheumatoid arthritis subjects who did not receive methotrexate was similar to that observed in the ulcerative colitis population.</w:t>
      </w:r>
    </w:p>
    <w:p w:rsidR="00586F98" w:rsidRDefault="00586F98" w:rsidP="00D75222">
      <w:pPr>
        <w:pStyle w:val="Heading2"/>
      </w:pPr>
      <w:bookmarkStart w:id="65" w:name="_Toc390694743"/>
      <w:r w:rsidRPr="00D75222">
        <w:t>Pharmacodynamics</w:t>
      </w:r>
      <w:bookmarkEnd w:id="65"/>
    </w:p>
    <w:p w:rsidR="003761C2" w:rsidRDefault="003761C2" w:rsidP="00D42FC5">
      <w:pPr>
        <w:pStyle w:val="Heading2"/>
      </w:pPr>
      <w:bookmarkStart w:id="66" w:name="_Toc272414637"/>
      <w:bookmarkStart w:id="67" w:name="_Toc290846260"/>
      <w:bookmarkStart w:id="68" w:name="_Toc290888797"/>
      <w:bookmarkStart w:id="69" w:name="_Toc373241018"/>
      <w:bookmarkStart w:id="70" w:name="_Toc390694744"/>
      <w:r>
        <w:t xml:space="preserve">Studies providing </w:t>
      </w:r>
      <w:proofErr w:type="spellStart"/>
      <w:r w:rsidRPr="00D42FC5">
        <w:t>pharmacodynamic</w:t>
      </w:r>
      <w:proofErr w:type="spellEnd"/>
      <w:r>
        <w:t xml:space="preserve"> data</w:t>
      </w:r>
      <w:bookmarkEnd w:id="66"/>
      <w:bookmarkEnd w:id="67"/>
      <w:bookmarkEnd w:id="68"/>
      <w:bookmarkEnd w:id="69"/>
      <w:bookmarkEnd w:id="70"/>
    </w:p>
    <w:p w:rsidR="003761C2" w:rsidRPr="003761C2" w:rsidRDefault="003761C2" w:rsidP="00D42FC5">
      <w:r>
        <w:t>Table 4</w:t>
      </w:r>
      <w:r w:rsidRPr="003761C2">
        <w:t xml:space="preserve"> shows the studies relating to each pharmacodynamic topic and the location of each study summary.</w:t>
      </w:r>
    </w:p>
    <w:p w:rsidR="003761C2" w:rsidRPr="00451C41" w:rsidRDefault="003761C2" w:rsidP="00D42FC5">
      <w:pPr>
        <w:pStyle w:val="TableTitle"/>
      </w:pPr>
      <w:bookmarkStart w:id="71" w:name="_Ref269985397"/>
      <w:bookmarkStart w:id="72" w:name="_Toc290888902"/>
      <w:bookmarkStart w:id="73" w:name="_Toc373241092"/>
      <w:proofErr w:type="gramStart"/>
      <w:r w:rsidRPr="00451C41">
        <w:t>Table</w:t>
      </w:r>
      <w:bookmarkEnd w:id="71"/>
      <w:r w:rsidR="00C844A8">
        <w:t xml:space="preserve"> </w:t>
      </w:r>
      <w:r>
        <w:t>4</w:t>
      </w:r>
      <w:r w:rsidRPr="00451C41">
        <w:t>.</w:t>
      </w:r>
      <w:proofErr w:type="gramEnd"/>
      <w:r w:rsidRPr="00451C41">
        <w:t xml:space="preserve"> Submitted </w:t>
      </w:r>
      <w:proofErr w:type="spellStart"/>
      <w:r w:rsidRPr="00451C41">
        <w:t>pharmacodynamic</w:t>
      </w:r>
      <w:proofErr w:type="spellEnd"/>
      <w:r w:rsidRPr="00451C41">
        <w:t xml:space="preserve"> studies</w:t>
      </w:r>
      <w:bookmarkEnd w:id="72"/>
      <w:bookmarkEnd w:id="73"/>
    </w:p>
    <w:tbl>
      <w:tblPr>
        <w:tblStyle w:val="TableTGAblue"/>
        <w:tblW w:w="9210" w:type="dxa"/>
        <w:tblLayout w:type="fixed"/>
        <w:tblLook w:val="04A0" w:firstRow="1" w:lastRow="0" w:firstColumn="1" w:lastColumn="0" w:noHBand="0" w:noVBand="1"/>
      </w:tblPr>
      <w:tblGrid>
        <w:gridCol w:w="2235"/>
        <w:gridCol w:w="4536"/>
        <w:gridCol w:w="2439"/>
      </w:tblGrid>
      <w:tr w:rsidR="00515335" w:rsidRPr="008C2DE6" w:rsidTr="00D42F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515335" w:rsidRPr="003761C2" w:rsidRDefault="00515335" w:rsidP="00D42FC5">
            <w:pPr>
              <w:ind w:left="0" w:right="34"/>
            </w:pPr>
            <w:r w:rsidRPr="003761C2">
              <w:t>PD Topic</w:t>
            </w:r>
          </w:p>
        </w:tc>
        <w:tc>
          <w:tcPr>
            <w:tcW w:w="4536" w:type="dxa"/>
          </w:tcPr>
          <w:p w:rsidR="00515335" w:rsidRPr="003761C2" w:rsidRDefault="00515335" w:rsidP="00D42FC5">
            <w:pPr>
              <w:ind w:left="33" w:right="34"/>
              <w:cnfStyle w:val="100000000000" w:firstRow="1" w:lastRow="0" w:firstColumn="0" w:lastColumn="0" w:oddVBand="0" w:evenVBand="0" w:oddHBand="0" w:evenHBand="0" w:firstRowFirstColumn="0" w:firstRowLastColumn="0" w:lastRowFirstColumn="0" w:lastRowLastColumn="0"/>
            </w:pPr>
            <w:r w:rsidRPr="003761C2">
              <w:t>Subtopic</w:t>
            </w:r>
          </w:p>
        </w:tc>
        <w:tc>
          <w:tcPr>
            <w:tcW w:w="2439" w:type="dxa"/>
          </w:tcPr>
          <w:p w:rsidR="00515335" w:rsidRPr="003761C2" w:rsidRDefault="00515335" w:rsidP="00D42FC5">
            <w:pPr>
              <w:ind w:left="33" w:right="63"/>
              <w:cnfStyle w:val="100000000000" w:firstRow="1" w:lastRow="0" w:firstColumn="0" w:lastColumn="0" w:oddVBand="0" w:evenVBand="0" w:oddHBand="0" w:evenHBand="0" w:firstRowFirstColumn="0" w:firstRowLastColumn="0" w:lastRowFirstColumn="0" w:lastRowLastColumn="0"/>
            </w:pPr>
            <w:r w:rsidRPr="003761C2">
              <w:t>Study ID</w:t>
            </w:r>
          </w:p>
        </w:tc>
      </w:tr>
      <w:tr w:rsidR="00515335" w:rsidRPr="008C2DE6" w:rsidTr="00515335">
        <w:tc>
          <w:tcPr>
            <w:cnfStyle w:val="001000000000" w:firstRow="0" w:lastRow="0" w:firstColumn="1" w:lastColumn="0" w:oddVBand="0" w:evenVBand="0" w:oddHBand="0" w:evenHBand="0" w:firstRowFirstColumn="0" w:firstRowLastColumn="0" w:lastRowFirstColumn="0" w:lastRowLastColumn="0"/>
            <w:tcW w:w="2235" w:type="dxa"/>
            <w:vMerge w:val="restart"/>
          </w:tcPr>
          <w:p w:rsidR="00515335" w:rsidRPr="003761C2" w:rsidRDefault="00515335" w:rsidP="00D42FC5">
            <w:pPr>
              <w:ind w:left="0" w:right="34"/>
            </w:pPr>
            <w:r w:rsidRPr="003761C2">
              <w:t>Secondary Pharmacology</w:t>
            </w:r>
          </w:p>
        </w:tc>
        <w:tc>
          <w:tcPr>
            <w:tcW w:w="4536" w:type="dxa"/>
          </w:tcPr>
          <w:p w:rsidR="00515335" w:rsidRPr="003761C2" w:rsidRDefault="00515335" w:rsidP="00D42FC5">
            <w:pPr>
              <w:ind w:left="33" w:right="34"/>
              <w:cnfStyle w:val="000000000000" w:firstRow="0" w:lastRow="0" w:firstColumn="0" w:lastColumn="0" w:oddVBand="0" w:evenVBand="0" w:oddHBand="0" w:evenHBand="0" w:firstRowFirstColumn="0" w:firstRowLastColumn="0" w:lastRowFirstColumn="0" w:lastRowLastColumn="0"/>
            </w:pPr>
            <w:r w:rsidRPr="003761C2">
              <w:t>Effect on inflammatory markers (serum amyloid A [SAA] and plasminogen activator</w:t>
            </w:r>
            <w:r>
              <w:t xml:space="preserve"> </w:t>
            </w:r>
            <w:r w:rsidRPr="003761C2">
              <w:t>inhibitor-1 [PAI-1]), extracellular matrix remodelling proteins (metalloproteinase -9 [MMP-9])</w:t>
            </w:r>
            <w:r>
              <w:t xml:space="preserve"> </w:t>
            </w:r>
            <w:r w:rsidRPr="003761C2">
              <w:t>and growth factors (hepatocyte growth factor [HGF]), as well as soluble signalling proteins</w:t>
            </w:r>
            <w:r>
              <w:t xml:space="preserve"> </w:t>
            </w:r>
            <w:r w:rsidRPr="003761C2">
              <w:t>(soluble glycoprotein 130 [sgp130]; interleukin-2 receptor-alpha [IL-2Rα], interleukin-6</w:t>
            </w:r>
            <w:r>
              <w:t xml:space="preserve"> </w:t>
            </w:r>
            <w:r w:rsidRPr="003761C2">
              <w:t>receptor 1 [IL-6R1], and soluble tumour necrosis factor receptor 1 [TNFR1]).</w:t>
            </w:r>
          </w:p>
        </w:tc>
        <w:tc>
          <w:tcPr>
            <w:tcW w:w="2439" w:type="dxa"/>
          </w:tcPr>
          <w:p w:rsidR="00515335" w:rsidRPr="003761C2" w:rsidRDefault="00515335" w:rsidP="00D42FC5">
            <w:pPr>
              <w:ind w:left="33" w:right="63"/>
              <w:cnfStyle w:val="000000000000" w:firstRow="0" w:lastRow="0" w:firstColumn="0" w:lastColumn="0" w:oddVBand="0" w:evenVBand="0" w:oddHBand="0" w:evenHBand="0" w:firstRowFirstColumn="0" w:firstRowLastColumn="0" w:lastRowFirstColumn="0" w:lastRowLastColumn="0"/>
            </w:pPr>
            <w:r w:rsidRPr="003761C2">
              <w:t>C05</w:t>
            </w:r>
            <w:r>
              <w:t>24</w:t>
            </w:r>
            <w:r w:rsidRPr="003761C2">
              <w:t>T16</w:t>
            </w:r>
          </w:p>
        </w:tc>
      </w:tr>
      <w:tr w:rsidR="00515335" w:rsidRPr="008C2DE6" w:rsidTr="00515335">
        <w:tc>
          <w:tcPr>
            <w:cnfStyle w:val="001000000000" w:firstRow="0" w:lastRow="0" w:firstColumn="1" w:lastColumn="0" w:oddVBand="0" w:evenVBand="0" w:oddHBand="0" w:evenHBand="0" w:firstRowFirstColumn="0" w:firstRowLastColumn="0" w:lastRowFirstColumn="0" w:lastRowLastColumn="0"/>
            <w:tcW w:w="2235" w:type="dxa"/>
            <w:vMerge/>
          </w:tcPr>
          <w:p w:rsidR="00515335" w:rsidRPr="003761C2" w:rsidRDefault="00515335" w:rsidP="00D42FC5">
            <w:pPr>
              <w:ind w:left="0" w:right="34"/>
            </w:pPr>
          </w:p>
        </w:tc>
        <w:tc>
          <w:tcPr>
            <w:tcW w:w="4536" w:type="dxa"/>
          </w:tcPr>
          <w:p w:rsidR="00515335" w:rsidRPr="003761C2" w:rsidRDefault="00515335" w:rsidP="00D42FC5">
            <w:pPr>
              <w:ind w:left="33" w:right="34"/>
              <w:cnfStyle w:val="000000000000" w:firstRow="0" w:lastRow="0" w:firstColumn="0" w:lastColumn="0" w:oddVBand="0" w:evenVBand="0" w:oddHBand="0" w:evenHBand="0" w:firstRowFirstColumn="0" w:firstRowLastColumn="0" w:lastRowFirstColumn="0" w:lastRowLastColumn="0"/>
            </w:pPr>
            <w:r w:rsidRPr="003761C2">
              <w:t>Microarray analysis of the gene transcript levels in ulcerative colitis colonic biopsies</w:t>
            </w:r>
          </w:p>
        </w:tc>
        <w:tc>
          <w:tcPr>
            <w:tcW w:w="2439" w:type="dxa"/>
          </w:tcPr>
          <w:p w:rsidR="00515335" w:rsidRPr="003761C2" w:rsidRDefault="00515335" w:rsidP="00D42FC5">
            <w:pPr>
              <w:ind w:left="33" w:right="63"/>
              <w:cnfStyle w:val="000000000000" w:firstRow="0" w:lastRow="0" w:firstColumn="0" w:lastColumn="0" w:oddVBand="0" w:evenVBand="0" w:oddHBand="0" w:evenHBand="0" w:firstRowFirstColumn="0" w:firstRowLastColumn="0" w:lastRowFirstColumn="0" w:lastRowLastColumn="0"/>
            </w:pPr>
            <w:r w:rsidRPr="003761C2">
              <w:t>C</w:t>
            </w:r>
            <w:r>
              <w:t>0524</w:t>
            </w:r>
            <w:r w:rsidRPr="003761C2">
              <w:t>T17</w:t>
            </w:r>
          </w:p>
        </w:tc>
      </w:tr>
      <w:tr w:rsidR="00515335" w:rsidRPr="008C2DE6" w:rsidTr="00515335">
        <w:tc>
          <w:tcPr>
            <w:cnfStyle w:val="001000000000" w:firstRow="0" w:lastRow="0" w:firstColumn="1" w:lastColumn="0" w:oddVBand="0" w:evenVBand="0" w:oddHBand="0" w:evenHBand="0" w:firstRowFirstColumn="0" w:firstRowLastColumn="0" w:lastRowFirstColumn="0" w:lastRowLastColumn="0"/>
            <w:tcW w:w="2235" w:type="dxa"/>
            <w:vMerge/>
          </w:tcPr>
          <w:p w:rsidR="00515335" w:rsidRPr="003761C2" w:rsidRDefault="00515335" w:rsidP="00D42FC5">
            <w:pPr>
              <w:ind w:left="0" w:right="34"/>
            </w:pPr>
          </w:p>
        </w:tc>
        <w:tc>
          <w:tcPr>
            <w:tcW w:w="4536" w:type="dxa"/>
          </w:tcPr>
          <w:p w:rsidR="00515335" w:rsidRPr="003761C2" w:rsidRDefault="00515335" w:rsidP="00D42FC5">
            <w:pPr>
              <w:ind w:left="33" w:right="34"/>
              <w:cnfStyle w:val="000000000000" w:firstRow="0" w:lastRow="0" w:firstColumn="0" w:lastColumn="0" w:oddVBand="0" w:evenVBand="0" w:oddHBand="0" w:evenHBand="0" w:firstRowFirstColumn="0" w:firstRowLastColumn="0" w:lastRowFirstColumn="0" w:lastRowLastColumn="0"/>
            </w:pPr>
            <w:r w:rsidRPr="003761C2">
              <w:t xml:space="preserve">Antibodies to </w:t>
            </w:r>
            <w:proofErr w:type="spellStart"/>
            <w:r w:rsidRPr="003761C2">
              <w:t>Golimumab</w:t>
            </w:r>
            <w:proofErr w:type="spellEnd"/>
          </w:p>
        </w:tc>
        <w:tc>
          <w:tcPr>
            <w:tcW w:w="2439" w:type="dxa"/>
          </w:tcPr>
          <w:p w:rsidR="00515335" w:rsidRPr="003761C2" w:rsidRDefault="00515335" w:rsidP="00D42FC5">
            <w:pPr>
              <w:ind w:left="33" w:right="63"/>
              <w:cnfStyle w:val="000000000000" w:firstRow="0" w:lastRow="0" w:firstColumn="0" w:lastColumn="0" w:oddVBand="0" w:evenVBand="0" w:oddHBand="0" w:evenHBand="0" w:firstRowFirstColumn="0" w:firstRowLastColumn="0" w:lastRowFirstColumn="0" w:lastRowLastColumn="0"/>
            </w:pPr>
            <w:r w:rsidRPr="003761C2">
              <w:t>C05</w:t>
            </w:r>
            <w:r>
              <w:t>24</w:t>
            </w:r>
            <w:r w:rsidRPr="003761C2">
              <w:t>T16</w:t>
            </w:r>
          </w:p>
        </w:tc>
      </w:tr>
      <w:tr w:rsidR="00515335" w:rsidRPr="008C2DE6" w:rsidTr="00515335">
        <w:tc>
          <w:tcPr>
            <w:cnfStyle w:val="001000000000" w:firstRow="0" w:lastRow="0" w:firstColumn="1" w:lastColumn="0" w:oddVBand="0" w:evenVBand="0" w:oddHBand="0" w:evenHBand="0" w:firstRowFirstColumn="0" w:firstRowLastColumn="0" w:lastRowFirstColumn="0" w:lastRowLastColumn="0"/>
            <w:tcW w:w="2235" w:type="dxa"/>
            <w:vMerge/>
          </w:tcPr>
          <w:p w:rsidR="00515335" w:rsidRPr="003761C2" w:rsidRDefault="00515335" w:rsidP="00D42FC5">
            <w:pPr>
              <w:ind w:left="0" w:right="34"/>
            </w:pPr>
          </w:p>
        </w:tc>
        <w:tc>
          <w:tcPr>
            <w:tcW w:w="4536" w:type="dxa"/>
          </w:tcPr>
          <w:p w:rsidR="00515335" w:rsidRPr="003761C2" w:rsidRDefault="00515335" w:rsidP="00D42FC5">
            <w:pPr>
              <w:ind w:left="33" w:right="34"/>
              <w:cnfStyle w:val="000000000000" w:firstRow="0" w:lastRow="0" w:firstColumn="0" w:lastColumn="0" w:oddVBand="0" w:evenVBand="0" w:oddHBand="0" w:evenHBand="0" w:firstRowFirstColumn="0" w:firstRowLastColumn="0" w:lastRowFirstColumn="0" w:lastRowLastColumn="0"/>
            </w:pPr>
            <w:r w:rsidRPr="003761C2">
              <w:t xml:space="preserve">Antibodies to </w:t>
            </w:r>
            <w:proofErr w:type="spellStart"/>
            <w:r w:rsidRPr="003761C2">
              <w:t>Golimumab</w:t>
            </w:r>
            <w:proofErr w:type="spellEnd"/>
          </w:p>
        </w:tc>
        <w:tc>
          <w:tcPr>
            <w:tcW w:w="2439" w:type="dxa"/>
          </w:tcPr>
          <w:p w:rsidR="00515335" w:rsidRPr="003761C2" w:rsidRDefault="00515335" w:rsidP="00D42FC5">
            <w:pPr>
              <w:ind w:left="33" w:right="63"/>
              <w:cnfStyle w:val="000000000000" w:firstRow="0" w:lastRow="0" w:firstColumn="0" w:lastColumn="0" w:oddVBand="0" w:evenVBand="0" w:oddHBand="0" w:evenHBand="0" w:firstRowFirstColumn="0" w:firstRowLastColumn="0" w:lastRowFirstColumn="0" w:lastRowLastColumn="0"/>
            </w:pPr>
            <w:r w:rsidRPr="003761C2">
              <w:t>C05</w:t>
            </w:r>
            <w:r>
              <w:t>24</w:t>
            </w:r>
            <w:r w:rsidRPr="003761C2">
              <w:t>T17</w:t>
            </w:r>
          </w:p>
        </w:tc>
      </w:tr>
      <w:tr w:rsidR="00515335" w:rsidRPr="008C2DE6" w:rsidTr="00515335">
        <w:tc>
          <w:tcPr>
            <w:cnfStyle w:val="001000000000" w:firstRow="0" w:lastRow="0" w:firstColumn="1" w:lastColumn="0" w:oddVBand="0" w:evenVBand="0" w:oddHBand="0" w:evenHBand="0" w:firstRowFirstColumn="0" w:firstRowLastColumn="0" w:lastRowFirstColumn="0" w:lastRowLastColumn="0"/>
            <w:tcW w:w="2235" w:type="dxa"/>
            <w:vMerge/>
          </w:tcPr>
          <w:p w:rsidR="00515335" w:rsidRPr="003761C2" w:rsidRDefault="00515335" w:rsidP="00D42FC5">
            <w:pPr>
              <w:ind w:left="0" w:right="34"/>
            </w:pPr>
          </w:p>
        </w:tc>
        <w:tc>
          <w:tcPr>
            <w:tcW w:w="4536" w:type="dxa"/>
          </w:tcPr>
          <w:p w:rsidR="00515335" w:rsidRPr="003761C2" w:rsidRDefault="00515335" w:rsidP="00D42FC5">
            <w:pPr>
              <w:ind w:left="33" w:right="34"/>
              <w:cnfStyle w:val="000000000000" w:firstRow="0" w:lastRow="0" w:firstColumn="0" w:lastColumn="0" w:oddVBand="0" w:evenVBand="0" w:oddHBand="0" w:evenHBand="0" w:firstRowFirstColumn="0" w:firstRowLastColumn="0" w:lastRowFirstColumn="0" w:lastRowLastColumn="0"/>
            </w:pPr>
            <w:r w:rsidRPr="003761C2">
              <w:t xml:space="preserve">Antibodies to </w:t>
            </w:r>
            <w:proofErr w:type="spellStart"/>
            <w:r w:rsidRPr="003761C2">
              <w:t>Golimumab</w:t>
            </w:r>
            <w:proofErr w:type="spellEnd"/>
          </w:p>
          <w:p w:rsidR="00515335" w:rsidRPr="003761C2" w:rsidRDefault="00515335" w:rsidP="00D42FC5">
            <w:pPr>
              <w:ind w:left="33" w:right="34"/>
              <w:cnfStyle w:val="000000000000" w:firstRow="0" w:lastRow="0" w:firstColumn="0" w:lastColumn="0" w:oddVBand="0" w:evenVBand="0" w:oddHBand="0" w:evenHBand="0" w:firstRowFirstColumn="0" w:firstRowLastColumn="0" w:lastRowFirstColumn="0" w:lastRowLastColumn="0"/>
            </w:pPr>
            <w:r w:rsidRPr="003761C2">
              <w:t xml:space="preserve">Neutralizing Antibodies to </w:t>
            </w:r>
            <w:proofErr w:type="spellStart"/>
            <w:r w:rsidRPr="003761C2">
              <w:t>Golimumab</w:t>
            </w:r>
            <w:proofErr w:type="spellEnd"/>
          </w:p>
        </w:tc>
        <w:tc>
          <w:tcPr>
            <w:tcW w:w="2439" w:type="dxa"/>
          </w:tcPr>
          <w:p w:rsidR="00515335" w:rsidRPr="003761C2" w:rsidRDefault="00515335" w:rsidP="00D42FC5">
            <w:pPr>
              <w:ind w:left="33" w:right="63"/>
              <w:cnfStyle w:val="000000000000" w:firstRow="0" w:lastRow="0" w:firstColumn="0" w:lastColumn="0" w:oddVBand="0" w:evenVBand="0" w:oddHBand="0" w:evenHBand="0" w:firstRowFirstColumn="0" w:firstRowLastColumn="0" w:lastRowFirstColumn="0" w:lastRowLastColumn="0"/>
            </w:pPr>
            <w:r w:rsidRPr="003761C2">
              <w:t>C05</w:t>
            </w:r>
            <w:r>
              <w:t>24</w:t>
            </w:r>
            <w:r w:rsidRPr="003761C2">
              <w:t>T18</w:t>
            </w:r>
          </w:p>
        </w:tc>
      </w:tr>
    </w:tbl>
    <w:p w:rsidR="003761C2" w:rsidRPr="003761C2" w:rsidRDefault="003761C2" w:rsidP="00D42FC5">
      <w:pPr>
        <w:pStyle w:val="TableDescription"/>
      </w:pPr>
      <w:r w:rsidRPr="003761C2">
        <w:t>* Indicates the primary aim of the study.</w:t>
      </w:r>
    </w:p>
    <w:p w:rsidR="003761C2" w:rsidRDefault="003761C2" w:rsidP="00D42FC5">
      <w:r w:rsidRPr="003761C2">
        <w:t>None of the pharmacodynamic studies had deficiencies that excluded their results from consideration.</w:t>
      </w:r>
    </w:p>
    <w:p w:rsidR="003761C2" w:rsidRPr="003761C2" w:rsidRDefault="003761C2" w:rsidP="00D42FC5">
      <w:r w:rsidRPr="003761C2">
        <w:t>Due to findings of investigator misconduct at site 6706 and site 7257, subject data from these 2 sites were excluded from all efficacy analyses but were included in the demography, PK, immunogenicity, and safety analyses.</w:t>
      </w:r>
    </w:p>
    <w:p w:rsidR="00586F98" w:rsidRDefault="00C22678" w:rsidP="00D42FC5">
      <w:pPr>
        <w:pStyle w:val="Heading2"/>
      </w:pPr>
      <w:bookmarkStart w:id="74" w:name="_Toc390694745"/>
      <w:r w:rsidRPr="00D42FC5">
        <w:t>Dosage</w:t>
      </w:r>
      <w:r>
        <w:t xml:space="preserve"> selection for the pivotal studies</w:t>
      </w:r>
      <w:bookmarkEnd w:id="74"/>
    </w:p>
    <w:p w:rsidR="00C22678" w:rsidRPr="00586F98" w:rsidRDefault="003761C2" w:rsidP="00D42FC5">
      <w:pPr>
        <w:rPr>
          <w:lang w:eastAsia="ja-JP"/>
        </w:rPr>
      </w:pPr>
      <w:r w:rsidRPr="003761C2">
        <w:rPr>
          <w:lang w:eastAsia="ja-JP"/>
        </w:rPr>
        <w:t xml:space="preserve">The IV and SC </w:t>
      </w:r>
      <w:proofErr w:type="spellStart"/>
      <w:r w:rsidRPr="003761C2">
        <w:rPr>
          <w:lang w:eastAsia="ja-JP"/>
        </w:rPr>
        <w:t>golimumab</w:t>
      </w:r>
      <w:proofErr w:type="spellEnd"/>
      <w:r w:rsidRPr="003761C2">
        <w:rPr>
          <w:lang w:eastAsia="ja-JP"/>
        </w:rPr>
        <w:t xml:space="preserve"> induction doses studied in C0524T16 and C0524T17, along with the SC maintenance dosage studied in C0524T18 were selected based on clinical data of IV infliximab in </w:t>
      </w:r>
      <w:proofErr w:type="spellStart"/>
      <w:r w:rsidRPr="003761C2">
        <w:rPr>
          <w:lang w:eastAsia="ja-JP"/>
        </w:rPr>
        <w:t>Crohn’s</w:t>
      </w:r>
      <w:proofErr w:type="spellEnd"/>
      <w:r w:rsidRPr="003761C2">
        <w:rPr>
          <w:lang w:eastAsia="ja-JP"/>
        </w:rPr>
        <w:t xml:space="preserve"> disease and ulcerative colitis estimates of the potency of </w:t>
      </w:r>
      <w:proofErr w:type="spellStart"/>
      <w:r w:rsidRPr="003761C2">
        <w:rPr>
          <w:lang w:eastAsia="ja-JP"/>
        </w:rPr>
        <w:t>golimumab</w:t>
      </w:r>
      <w:proofErr w:type="spellEnd"/>
      <w:r w:rsidRPr="003761C2">
        <w:rPr>
          <w:lang w:eastAsia="ja-JP"/>
        </w:rPr>
        <w:t xml:space="preserve"> relative to infliximab using clinical data in Rheumatoid arthritis subjects, and data from the use of biologic anti-</w:t>
      </w:r>
      <w:r w:rsidR="00D42FC5">
        <w:rPr>
          <w:lang w:eastAsia="ja-JP"/>
        </w:rPr>
        <w:t xml:space="preserve">TNFα agents in </w:t>
      </w:r>
      <w:proofErr w:type="spellStart"/>
      <w:r w:rsidR="00D42FC5">
        <w:rPr>
          <w:lang w:eastAsia="ja-JP"/>
        </w:rPr>
        <w:t>Crohn’s</w:t>
      </w:r>
      <w:proofErr w:type="spellEnd"/>
      <w:r w:rsidR="00D42FC5">
        <w:rPr>
          <w:lang w:eastAsia="ja-JP"/>
        </w:rPr>
        <w:t xml:space="preserve"> disease.</w:t>
      </w:r>
    </w:p>
    <w:p w:rsidR="00C22678" w:rsidRDefault="00C22678" w:rsidP="00D42FC5">
      <w:pPr>
        <w:pStyle w:val="Heading2"/>
      </w:pPr>
      <w:bookmarkStart w:id="75" w:name="_Toc390694746"/>
      <w:r>
        <w:t>Clinical efficacy</w:t>
      </w:r>
      <w:bookmarkEnd w:id="75"/>
    </w:p>
    <w:p w:rsidR="003761C2" w:rsidRPr="003761C2" w:rsidRDefault="003761C2" w:rsidP="00D42FC5">
      <w:pPr>
        <w:pStyle w:val="Heading3"/>
      </w:pPr>
      <w:bookmarkStart w:id="76" w:name="_Toc373241021"/>
      <w:bookmarkStart w:id="77" w:name="_Ref271199564"/>
      <w:bookmarkStart w:id="78" w:name="_Toc272414651"/>
      <w:bookmarkStart w:id="79" w:name="_Toc290846273"/>
      <w:bookmarkStart w:id="80" w:name="_Toc290888810"/>
      <w:bookmarkStart w:id="81" w:name="_Toc390694747"/>
      <w:r w:rsidRPr="003761C2">
        <w:t xml:space="preserve">For: The treatment of </w:t>
      </w:r>
      <w:r w:rsidRPr="00D42FC5">
        <w:t>moderately</w:t>
      </w:r>
      <w:r w:rsidRPr="003761C2">
        <w:t xml:space="preserve"> to severely active ulcerative colitis in adult patients who have had an inadequate response to conventional therapy</w:t>
      </w:r>
      <w:bookmarkEnd w:id="76"/>
      <w:bookmarkEnd w:id="77"/>
      <w:bookmarkEnd w:id="78"/>
      <w:bookmarkEnd w:id="79"/>
      <w:bookmarkEnd w:id="80"/>
      <w:bookmarkEnd w:id="81"/>
    </w:p>
    <w:p w:rsidR="003761C2" w:rsidRDefault="003761C2" w:rsidP="00D42FC5">
      <w:pPr>
        <w:pStyle w:val="Heading4"/>
      </w:pPr>
      <w:bookmarkStart w:id="82" w:name="_Ref271037274"/>
      <w:bookmarkStart w:id="83" w:name="_Toc272414652"/>
      <w:bookmarkStart w:id="84" w:name="_Toc290846274"/>
      <w:bookmarkStart w:id="85" w:name="_Toc290888811"/>
      <w:bookmarkStart w:id="86" w:name="_Toc373241022"/>
      <w:r>
        <w:t>Pivotal efficacy studies</w:t>
      </w:r>
      <w:bookmarkEnd w:id="82"/>
      <w:bookmarkEnd w:id="83"/>
      <w:bookmarkEnd w:id="84"/>
      <w:bookmarkEnd w:id="85"/>
      <w:bookmarkEnd w:id="86"/>
    </w:p>
    <w:p w:rsidR="003761C2" w:rsidRPr="003761C2" w:rsidRDefault="003761C2" w:rsidP="00D42FC5">
      <w:r w:rsidRPr="003761C2">
        <w:t xml:space="preserve">There was essentially a single pivotal efficacy </w:t>
      </w:r>
      <w:r w:rsidR="00B13311">
        <w:t>Study</w:t>
      </w:r>
      <w:r w:rsidRPr="003761C2">
        <w:t xml:space="preserve"> C05</w:t>
      </w:r>
      <w:r w:rsidR="00515335">
        <w:t>24</w:t>
      </w:r>
      <w:r w:rsidRPr="003761C2">
        <w:t>T18 of 54 weeks that was fed by 2 preceding 6 week induction studies (C</w:t>
      </w:r>
      <w:r w:rsidR="00515335">
        <w:t>0524T16 &amp; C0524</w:t>
      </w:r>
      <w:r w:rsidR="00D42FC5">
        <w:t>T17).</w:t>
      </w:r>
    </w:p>
    <w:p w:rsidR="003761C2" w:rsidRDefault="003761C2" w:rsidP="00D42FC5">
      <w:pPr>
        <w:pStyle w:val="Heading5"/>
      </w:pPr>
      <w:bookmarkStart w:id="87" w:name="_Ref243301615"/>
      <w:bookmarkStart w:id="88" w:name="_Ref271040927"/>
      <w:bookmarkStart w:id="89" w:name="_Ref271040932"/>
      <w:bookmarkStart w:id="90" w:name="_Toc272414653"/>
      <w:bookmarkStart w:id="91" w:name="_Toc290846275"/>
      <w:bookmarkStart w:id="92" w:name="_Toc290888812"/>
      <w:bookmarkStart w:id="93" w:name="_Toc373241023"/>
      <w:r w:rsidRPr="003C0A48">
        <w:t>S</w:t>
      </w:r>
      <w:r>
        <w:t xml:space="preserve">tudy </w:t>
      </w:r>
      <w:bookmarkEnd w:id="87"/>
      <w:bookmarkEnd w:id="88"/>
      <w:bookmarkEnd w:id="89"/>
      <w:bookmarkEnd w:id="90"/>
      <w:bookmarkEnd w:id="91"/>
      <w:bookmarkEnd w:id="92"/>
      <w:r w:rsidR="00515335">
        <w:t xml:space="preserve">C0524T18 </w:t>
      </w:r>
      <w:r>
        <w:t>(</w:t>
      </w:r>
      <w:r w:rsidRPr="00D6209F">
        <w:t xml:space="preserve">PURSUIT </w:t>
      </w:r>
      <w:r>
        <w:rPr>
          <w:rFonts w:cs="Arial"/>
        </w:rPr>
        <w:t>-</w:t>
      </w:r>
      <w:r w:rsidRPr="00D6209F">
        <w:rPr>
          <w:rFonts w:cs="Arial"/>
        </w:rPr>
        <w:t xml:space="preserve"> Maintenance</w:t>
      </w:r>
      <w:r>
        <w:rPr>
          <w:rFonts w:cs="Arial"/>
        </w:rPr>
        <w:t>)</w:t>
      </w:r>
      <w:bookmarkEnd w:id="93"/>
    </w:p>
    <w:p w:rsidR="003761C2" w:rsidRPr="003761C2" w:rsidRDefault="003761C2" w:rsidP="00D42FC5">
      <w:r w:rsidRPr="003761C2">
        <w:t>Due to findings of investigator misconduct at site 6706 and site 7257, subject data from these 2 sites were exclu</w:t>
      </w:r>
      <w:r w:rsidR="00D42FC5">
        <w:t>ded from all efficacy analyses.</w:t>
      </w:r>
    </w:p>
    <w:p w:rsidR="003761C2" w:rsidRPr="003761C2" w:rsidRDefault="003761C2" w:rsidP="00D42FC5">
      <w:pPr>
        <w:pStyle w:val="Heading5"/>
      </w:pPr>
      <w:r w:rsidRPr="003761C2">
        <w:t xml:space="preserve">Study design, objectives, </w:t>
      </w:r>
      <w:r w:rsidRPr="00D42FC5">
        <w:t>locations</w:t>
      </w:r>
      <w:r w:rsidRPr="003761C2">
        <w:t xml:space="preserve"> and dates</w:t>
      </w:r>
    </w:p>
    <w:p w:rsidR="003761C2" w:rsidRPr="003761C2" w:rsidRDefault="003761C2" w:rsidP="00D42FC5">
      <w:r w:rsidRPr="003761C2">
        <w:t xml:space="preserve">A Phase III, multicentre, placebo-controlled, double-blind, parallel-group, randomized-withdrawal study to evaluate the safety and efficacy of </w:t>
      </w:r>
      <w:proofErr w:type="spellStart"/>
      <w:r w:rsidRPr="003761C2">
        <w:t>golimumab</w:t>
      </w:r>
      <w:proofErr w:type="spellEnd"/>
      <w:r w:rsidRPr="003761C2">
        <w:t xml:space="preserve"> maintenance therapy, administered subcutaneously, in subjects with moderately to severely active ulcerative colitis.</w:t>
      </w:r>
    </w:p>
    <w:p w:rsidR="003761C2" w:rsidRPr="003761C2" w:rsidRDefault="003761C2" w:rsidP="00D42FC5">
      <w:r w:rsidRPr="003761C2">
        <w:t>From 2</w:t>
      </w:r>
      <w:r>
        <w:t>8 Sep 2007 to 24 Oct 2011;</w:t>
      </w:r>
    </w:p>
    <w:p w:rsidR="003761C2" w:rsidRPr="003761C2" w:rsidRDefault="003761C2" w:rsidP="00D42FC5">
      <w:pPr>
        <w:pStyle w:val="ListBullet"/>
      </w:pPr>
      <w:r w:rsidRPr="003761C2">
        <w:t>The 464 subjects in the target population were from 172 sites as follows:</w:t>
      </w:r>
    </w:p>
    <w:p w:rsidR="003761C2" w:rsidRPr="003761C2" w:rsidRDefault="003761C2" w:rsidP="00D42FC5">
      <w:pPr>
        <w:pStyle w:val="ListBullet"/>
      </w:pPr>
      <w:r w:rsidRPr="003761C2">
        <w:t xml:space="preserve">46.1% (214 subjects) from Eastern </w:t>
      </w:r>
      <w:r w:rsidRPr="00D42FC5">
        <w:t>Europe</w:t>
      </w:r>
      <w:r w:rsidRPr="003761C2">
        <w:t xml:space="preserve"> (Bulgaria, Hungary, Poland, Romania, Serbia, Slovakia [Slovak Republic], Ukraine, Latvia, Russia, and the Czech Republi</w:t>
      </w:r>
      <w:r w:rsidR="00D42FC5">
        <w:t>c)</w:t>
      </w:r>
    </w:p>
    <w:p w:rsidR="003761C2" w:rsidRPr="003761C2" w:rsidRDefault="003761C2" w:rsidP="00D42FC5">
      <w:pPr>
        <w:pStyle w:val="ListBullet"/>
      </w:pPr>
      <w:r w:rsidRPr="003761C2">
        <w:t>23.9% (111 subjects) from North Ame</w:t>
      </w:r>
      <w:r w:rsidR="00D42FC5">
        <w:t>rica (United States and Canada)</w:t>
      </w:r>
    </w:p>
    <w:p w:rsidR="003761C2" w:rsidRPr="003761C2" w:rsidRDefault="003761C2" w:rsidP="00D42FC5">
      <w:pPr>
        <w:pStyle w:val="ListBullet"/>
      </w:pPr>
      <w:r w:rsidRPr="003761C2">
        <w:lastRenderedPageBreak/>
        <w:t>14.2% (66 subjects) from Asia Pacific (Japan, Australia, India, and New Zealand) and South Africa</w:t>
      </w:r>
    </w:p>
    <w:p w:rsidR="003761C2" w:rsidRPr="003761C2" w:rsidRDefault="003761C2" w:rsidP="00D42FC5">
      <w:pPr>
        <w:pStyle w:val="ListBullet"/>
      </w:pPr>
      <w:r w:rsidRPr="003761C2">
        <w:t>15.7% (73 subjects) subjects from Western Europe (Austria, Belgium, France, Netherlands, Denmark</w:t>
      </w:r>
      <w:r w:rsidR="00D42FC5">
        <w:t>, Sweden, Germany, and Israel).</w:t>
      </w:r>
    </w:p>
    <w:p w:rsidR="003761C2" w:rsidRDefault="003761C2" w:rsidP="00D42FC5">
      <w:pPr>
        <w:pStyle w:val="Heading6"/>
      </w:pPr>
      <w:r w:rsidRPr="00E55C71">
        <w:t xml:space="preserve">Primary </w:t>
      </w:r>
      <w:r w:rsidR="00D42FC5">
        <w:t>o</w:t>
      </w:r>
      <w:r w:rsidRPr="00E55C71">
        <w:t>bjectives</w:t>
      </w:r>
    </w:p>
    <w:p w:rsidR="003761C2" w:rsidRPr="003761C2" w:rsidRDefault="003761C2" w:rsidP="00D42FC5">
      <w:pPr>
        <w:pStyle w:val="ListBullet"/>
      </w:pPr>
      <w:r w:rsidRPr="003761C2">
        <w:t xml:space="preserve">To evaluate the efficacy of 2 SC maintenance dose regimens of </w:t>
      </w:r>
      <w:proofErr w:type="spellStart"/>
      <w:r w:rsidRPr="003761C2">
        <w:t>golimumab</w:t>
      </w:r>
      <w:proofErr w:type="spellEnd"/>
      <w:r w:rsidRPr="003761C2">
        <w:t xml:space="preserve"> in maintaining clinical response through Week 54 in subjects with moderately to severely active ulcerative colitis who achieved clinical response with </w:t>
      </w:r>
      <w:proofErr w:type="spellStart"/>
      <w:r w:rsidRPr="003761C2">
        <w:t>golimumab</w:t>
      </w:r>
      <w:proofErr w:type="spellEnd"/>
      <w:r w:rsidRPr="003761C2">
        <w:t xml:space="preserve"> in 1 of the induction studies, C0524T16 or C0524T17.</w:t>
      </w:r>
    </w:p>
    <w:p w:rsidR="003761C2" w:rsidRPr="003761C2" w:rsidRDefault="003761C2" w:rsidP="00D42FC5">
      <w:pPr>
        <w:pStyle w:val="ListBullet"/>
      </w:pPr>
      <w:r w:rsidRPr="003761C2">
        <w:t xml:space="preserve">To evaluate the safety </w:t>
      </w:r>
      <w:r w:rsidRPr="00D42FC5">
        <w:t>of</w:t>
      </w:r>
      <w:r w:rsidRPr="003761C2">
        <w:t xml:space="preserve"> 2 SC maintenance dose regimens of </w:t>
      </w:r>
      <w:proofErr w:type="spellStart"/>
      <w:r w:rsidRPr="003761C2">
        <w:t>golimumab</w:t>
      </w:r>
      <w:proofErr w:type="spellEnd"/>
      <w:r w:rsidRPr="003761C2">
        <w:t xml:space="preserve"> in subjects with moderately to severely active ulcerative colitis.</w:t>
      </w:r>
    </w:p>
    <w:p w:rsidR="003761C2" w:rsidRPr="003761C2" w:rsidRDefault="003761C2" w:rsidP="00D42FC5">
      <w:pPr>
        <w:pStyle w:val="Heading6"/>
      </w:pPr>
      <w:r w:rsidRPr="00D42FC5">
        <w:t>Secondary</w:t>
      </w:r>
      <w:r w:rsidRPr="003761C2">
        <w:t xml:space="preserve"> </w:t>
      </w:r>
      <w:r w:rsidR="00D42FC5">
        <w:t>o</w:t>
      </w:r>
      <w:r w:rsidRPr="003761C2">
        <w:t>bjectives</w:t>
      </w:r>
    </w:p>
    <w:p w:rsidR="003761C2" w:rsidRPr="003761C2" w:rsidRDefault="003761C2" w:rsidP="00D42FC5">
      <w:pPr>
        <w:pStyle w:val="ListBullet"/>
      </w:pPr>
      <w:r w:rsidRPr="003761C2">
        <w:t xml:space="preserve">To evaluate the efficacy of </w:t>
      </w:r>
      <w:proofErr w:type="spellStart"/>
      <w:r w:rsidRPr="003761C2">
        <w:t>golimumab</w:t>
      </w:r>
      <w:proofErr w:type="spellEnd"/>
      <w:r w:rsidRPr="003761C2">
        <w:t xml:space="preserve"> maintenance dose regimens in maintaining clinical remission at Week 30 and Week 54.</w:t>
      </w:r>
    </w:p>
    <w:p w:rsidR="003761C2" w:rsidRPr="003761C2" w:rsidRDefault="003761C2" w:rsidP="00D42FC5">
      <w:pPr>
        <w:pStyle w:val="ListBullet"/>
      </w:pPr>
      <w:r w:rsidRPr="003761C2">
        <w:t xml:space="preserve">To evaluate the efficacy of </w:t>
      </w:r>
      <w:proofErr w:type="spellStart"/>
      <w:r w:rsidRPr="003761C2">
        <w:t>golimumab</w:t>
      </w:r>
      <w:proofErr w:type="spellEnd"/>
      <w:r w:rsidRPr="003761C2">
        <w:t xml:space="preserve"> maintenance dose regimens in maintaining mucosal healing at Week 30 and Week 54.</w:t>
      </w:r>
    </w:p>
    <w:p w:rsidR="003761C2" w:rsidRPr="003761C2" w:rsidRDefault="003761C2" w:rsidP="00D42FC5">
      <w:pPr>
        <w:pStyle w:val="ListBullet"/>
      </w:pPr>
      <w:r w:rsidRPr="003761C2">
        <w:t xml:space="preserve">To evaluate the efficacy of </w:t>
      </w:r>
      <w:proofErr w:type="spellStart"/>
      <w:r w:rsidRPr="003761C2">
        <w:t>golimumab</w:t>
      </w:r>
      <w:proofErr w:type="spellEnd"/>
      <w:r w:rsidRPr="003761C2">
        <w:t xml:space="preserve"> maintenance dose regimens in maintaining clinical remission at Week 30 and Week 54 for subjects in clinical remission at Week 0 of this study.</w:t>
      </w:r>
    </w:p>
    <w:p w:rsidR="003761C2" w:rsidRPr="003761C2" w:rsidRDefault="003761C2" w:rsidP="00D42FC5">
      <w:pPr>
        <w:pStyle w:val="ListBullet"/>
      </w:pPr>
      <w:r w:rsidRPr="003761C2">
        <w:t xml:space="preserve">To evaluate the efficacy of </w:t>
      </w:r>
      <w:proofErr w:type="spellStart"/>
      <w:r w:rsidRPr="003761C2">
        <w:t>golimumab</w:t>
      </w:r>
      <w:proofErr w:type="spellEnd"/>
      <w:r w:rsidRPr="003761C2">
        <w:t xml:space="preserve"> maintenance dose regimens in achieving clinical remission and eliminating corticosteroid use at Week 54 among subjects receiving concomitant corticosteroids at Week 0 of this study.</w:t>
      </w:r>
    </w:p>
    <w:p w:rsidR="003761C2" w:rsidRPr="003761C2" w:rsidRDefault="003761C2" w:rsidP="00D42FC5">
      <w:pPr>
        <w:pStyle w:val="Heading5"/>
      </w:pPr>
      <w:r w:rsidRPr="003761C2">
        <w:t xml:space="preserve">Inclusion </w:t>
      </w:r>
      <w:r w:rsidRPr="00D42FC5">
        <w:t>criteria</w:t>
      </w:r>
    </w:p>
    <w:p w:rsidR="003761C2" w:rsidRPr="003761C2" w:rsidRDefault="003761C2" w:rsidP="00D42FC5">
      <w:pPr>
        <w:pStyle w:val="ListBullet"/>
      </w:pPr>
      <w:r w:rsidRPr="003761C2">
        <w:t xml:space="preserve">Have received all study </w:t>
      </w:r>
      <w:r w:rsidRPr="00D42FC5">
        <w:t>agent</w:t>
      </w:r>
      <w:r w:rsidRPr="003761C2">
        <w:t xml:space="preserve"> administrations and completed the Week 6 Mayo score evaluation in one of the induction studies of </w:t>
      </w:r>
      <w:proofErr w:type="spellStart"/>
      <w:r w:rsidRPr="003761C2">
        <w:t>golimumab</w:t>
      </w:r>
      <w:proofErr w:type="spellEnd"/>
      <w:r w:rsidRPr="003761C2">
        <w:t xml:space="preserve"> for ulcerative colitis (</w:t>
      </w:r>
      <w:r>
        <w:t>that is</w:t>
      </w:r>
      <w:r w:rsidRPr="003761C2">
        <w:t>., C0524T16 or C0524T17).</w:t>
      </w:r>
    </w:p>
    <w:p w:rsidR="003761C2" w:rsidRPr="003761C2" w:rsidRDefault="003761C2" w:rsidP="00D42FC5">
      <w:pPr>
        <w:pStyle w:val="ListBullet"/>
      </w:pPr>
      <w:r w:rsidRPr="003761C2">
        <w:t xml:space="preserve">Are able to complete the Week 0 visit on the same day as the Week 6 visit of the induction </w:t>
      </w:r>
      <w:r w:rsidR="00B13311">
        <w:t>Study</w:t>
      </w:r>
      <w:r w:rsidRPr="003761C2">
        <w:t xml:space="preserve"> C0524T16 or C0524T17.</w:t>
      </w:r>
    </w:p>
    <w:p w:rsidR="003761C2" w:rsidRPr="004B259C" w:rsidRDefault="003761C2" w:rsidP="00D42FC5">
      <w:pPr>
        <w:pStyle w:val="Heading5"/>
      </w:pPr>
      <w:r>
        <w:t>E</w:t>
      </w:r>
      <w:r w:rsidRPr="004B259C">
        <w:t xml:space="preserve">xclusion </w:t>
      </w:r>
      <w:r w:rsidRPr="00D42FC5">
        <w:t>criteria</w:t>
      </w:r>
    </w:p>
    <w:p w:rsidR="003761C2" w:rsidRPr="003761C2" w:rsidRDefault="003761C2" w:rsidP="00D42FC5">
      <w:pPr>
        <w:pStyle w:val="ListBullet"/>
      </w:pPr>
      <w:r w:rsidRPr="003761C2">
        <w:t xml:space="preserve">Had any of the following </w:t>
      </w:r>
      <w:r w:rsidRPr="00D42FC5">
        <w:t>changes</w:t>
      </w:r>
      <w:r w:rsidRPr="003761C2">
        <w:t xml:space="preserve"> to their concomitant ulcerative colitis</w:t>
      </w:r>
      <w:r w:rsidR="00B13311">
        <w:t xml:space="preserve"> </w:t>
      </w:r>
      <w:r w:rsidRPr="003761C2">
        <w:t>medications (</w:t>
      </w:r>
      <w:r>
        <w:t>that is</w:t>
      </w:r>
      <w:r w:rsidRPr="003761C2">
        <w:t>, oral 5-ASA compounds, oral corticosteroids [including budesonide], 6-MP, AZA, methotrexate [MTX]) since Week 0 of an induction study (C0524T16 or C0524T17):</w:t>
      </w:r>
    </w:p>
    <w:p w:rsidR="003761C2" w:rsidRPr="003761C2" w:rsidRDefault="003761C2" w:rsidP="00D42FC5">
      <w:pPr>
        <w:pStyle w:val="ListBullet2"/>
      </w:pPr>
      <w:r w:rsidRPr="003761C2">
        <w:t>an increased dose</w:t>
      </w:r>
    </w:p>
    <w:p w:rsidR="003761C2" w:rsidRPr="003761C2" w:rsidRDefault="003761C2" w:rsidP="00D42FC5">
      <w:pPr>
        <w:pStyle w:val="ListBullet2"/>
      </w:pPr>
      <w:proofErr w:type="gramStart"/>
      <w:r w:rsidRPr="003761C2">
        <w:t>initiation</w:t>
      </w:r>
      <w:proofErr w:type="gramEnd"/>
      <w:r w:rsidRPr="003761C2">
        <w:t xml:space="preserve"> of a </w:t>
      </w:r>
      <w:r w:rsidRPr="00D42FC5">
        <w:t>concomitant</w:t>
      </w:r>
      <w:r w:rsidRPr="003761C2">
        <w:t xml:space="preserve"> ulcerative colitis medication except for dose equivalent substitutions.</w:t>
      </w:r>
    </w:p>
    <w:p w:rsidR="003761C2" w:rsidRPr="003761C2" w:rsidRDefault="003761C2" w:rsidP="00D42FC5">
      <w:pPr>
        <w:pStyle w:val="ListBullet"/>
      </w:pPr>
      <w:r w:rsidRPr="003761C2">
        <w:t xml:space="preserve">Have received any of the </w:t>
      </w:r>
      <w:r w:rsidRPr="00D42FC5">
        <w:t>following</w:t>
      </w:r>
      <w:r w:rsidRPr="003761C2">
        <w:t xml:space="preserve"> therapies since Week 0 of the induction study:</w:t>
      </w:r>
    </w:p>
    <w:p w:rsidR="003761C2" w:rsidRPr="003761C2" w:rsidRDefault="003761C2" w:rsidP="00D42FC5">
      <w:pPr>
        <w:pStyle w:val="ListBullet2"/>
      </w:pPr>
      <w:r w:rsidRPr="003761C2">
        <w:t xml:space="preserve">rectal corticosteroid </w:t>
      </w:r>
      <w:r w:rsidRPr="00D42FC5">
        <w:t>therapy</w:t>
      </w:r>
      <w:r w:rsidRPr="003761C2">
        <w:t xml:space="preserve"> (</w:t>
      </w:r>
      <w:r>
        <w:t>that is</w:t>
      </w:r>
      <w:r w:rsidRPr="003761C2">
        <w:t>, corticosteroids [including budesonide], administered to the rectum or sigmoid colon via foam, enema, or suppository)</w:t>
      </w:r>
    </w:p>
    <w:p w:rsidR="003761C2" w:rsidRPr="003761C2" w:rsidRDefault="003761C2" w:rsidP="00D42FC5">
      <w:pPr>
        <w:pStyle w:val="ListBullet2"/>
      </w:pPr>
      <w:r w:rsidRPr="003761C2">
        <w:t xml:space="preserve">rectal 5-ASA </w:t>
      </w:r>
      <w:r w:rsidRPr="00D42FC5">
        <w:t>compounds</w:t>
      </w:r>
      <w:r w:rsidRPr="003761C2">
        <w:t xml:space="preserve"> (</w:t>
      </w:r>
      <w:r>
        <w:t>that is</w:t>
      </w:r>
      <w:r w:rsidRPr="003761C2">
        <w:t>, 5-ASA compounds administered to the rectum or sigmoid colon via foam, enema, or suppository)</w:t>
      </w:r>
    </w:p>
    <w:p w:rsidR="003761C2" w:rsidRPr="003761C2" w:rsidRDefault="003761C2" w:rsidP="00D42FC5">
      <w:pPr>
        <w:pStyle w:val="ListBullet2"/>
      </w:pPr>
      <w:r w:rsidRPr="003761C2">
        <w:t xml:space="preserve">parenteral </w:t>
      </w:r>
      <w:r w:rsidRPr="00D42FC5">
        <w:t>corticosteroids</w:t>
      </w:r>
    </w:p>
    <w:p w:rsidR="003761C2" w:rsidRPr="003761C2" w:rsidRDefault="003761C2" w:rsidP="003761C2">
      <w:pPr>
        <w:pStyle w:val="ListBullet2"/>
      </w:pPr>
      <w:proofErr w:type="spellStart"/>
      <w:r w:rsidRPr="003761C2">
        <w:t>pentoxifylline</w:t>
      </w:r>
      <w:proofErr w:type="spellEnd"/>
    </w:p>
    <w:p w:rsidR="003761C2" w:rsidRPr="003761C2" w:rsidRDefault="003761C2" w:rsidP="003761C2">
      <w:pPr>
        <w:pStyle w:val="ListBullet2"/>
      </w:pPr>
      <w:r w:rsidRPr="003761C2">
        <w:t>total parental nutrition (TPN)</w:t>
      </w:r>
    </w:p>
    <w:p w:rsidR="003761C2" w:rsidRPr="003761C2" w:rsidRDefault="003761C2" w:rsidP="00D42FC5">
      <w:pPr>
        <w:pStyle w:val="ListBullet"/>
      </w:pPr>
      <w:r w:rsidRPr="003761C2">
        <w:lastRenderedPageBreak/>
        <w:t xml:space="preserve">antibiotics for the treatment of </w:t>
      </w:r>
      <w:r w:rsidRPr="00D42FC5">
        <w:t>ulcerative</w:t>
      </w:r>
      <w:r w:rsidRPr="003761C2">
        <w:t xml:space="preserve"> colitis</w:t>
      </w:r>
      <w:r w:rsidR="00B13311">
        <w:t xml:space="preserve"> </w:t>
      </w:r>
      <w:r w:rsidRPr="003761C2">
        <w:t xml:space="preserve">(including but not limited to ciprofloxacin, metronidazole, or </w:t>
      </w:r>
      <w:proofErr w:type="spellStart"/>
      <w:r w:rsidRPr="003761C2">
        <w:t>rifaximin</w:t>
      </w:r>
      <w:proofErr w:type="spellEnd"/>
      <w:r w:rsidRPr="003761C2">
        <w:t>)</w:t>
      </w:r>
    </w:p>
    <w:p w:rsidR="003761C2" w:rsidRPr="003761C2" w:rsidRDefault="003761C2" w:rsidP="00D42FC5">
      <w:pPr>
        <w:pStyle w:val="ListBullet"/>
      </w:pPr>
      <w:proofErr w:type="spellStart"/>
      <w:r w:rsidRPr="003761C2">
        <w:t>immunomodulatory</w:t>
      </w:r>
      <w:proofErr w:type="spellEnd"/>
      <w:r w:rsidRPr="003761C2">
        <w:t xml:space="preserve"> agents other </w:t>
      </w:r>
      <w:r w:rsidRPr="00D42FC5">
        <w:t>than</w:t>
      </w:r>
      <w:r w:rsidRPr="003761C2">
        <w:t xml:space="preserve"> 6-MP/AZA or MTX (including but not limited to 6-thioguanine [6 TG], cyclosporine, </w:t>
      </w:r>
      <w:proofErr w:type="spellStart"/>
      <w:r w:rsidRPr="003761C2">
        <w:t>mycophenolate</w:t>
      </w:r>
      <w:proofErr w:type="spellEnd"/>
      <w:r w:rsidRPr="003761C2">
        <w:t xml:space="preserve"> </w:t>
      </w:r>
      <w:proofErr w:type="spellStart"/>
      <w:r w:rsidRPr="003761C2">
        <w:t>mofetil</w:t>
      </w:r>
      <w:proofErr w:type="spellEnd"/>
      <w:r w:rsidRPr="003761C2">
        <w:t xml:space="preserve"> [MMF], </w:t>
      </w:r>
      <w:proofErr w:type="spellStart"/>
      <w:r w:rsidRPr="003761C2">
        <w:t>tacrolimus</w:t>
      </w:r>
      <w:proofErr w:type="spellEnd"/>
      <w:r w:rsidRPr="003761C2">
        <w:t xml:space="preserve">, and </w:t>
      </w:r>
      <w:proofErr w:type="spellStart"/>
      <w:r w:rsidRPr="003761C2">
        <w:t>sirolimus</w:t>
      </w:r>
      <w:proofErr w:type="spellEnd"/>
      <w:r w:rsidRPr="003761C2">
        <w:t>)</w:t>
      </w:r>
    </w:p>
    <w:p w:rsidR="003761C2" w:rsidRPr="003761C2" w:rsidRDefault="003761C2" w:rsidP="00D42FC5">
      <w:pPr>
        <w:pStyle w:val="ListBullet"/>
      </w:pPr>
      <w:proofErr w:type="spellStart"/>
      <w:r w:rsidRPr="003761C2">
        <w:t>immunomodulatory</w:t>
      </w:r>
      <w:proofErr w:type="spellEnd"/>
      <w:r w:rsidRPr="003761C2">
        <w:t xml:space="preserve"> biologic agents (including but not limited to infliximab, </w:t>
      </w:r>
      <w:proofErr w:type="spellStart"/>
      <w:r w:rsidRPr="003761C2">
        <w:t>anakinra</w:t>
      </w:r>
      <w:proofErr w:type="spellEnd"/>
      <w:r w:rsidRPr="003761C2">
        <w:t xml:space="preserve">, </w:t>
      </w:r>
      <w:proofErr w:type="spellStart"/>
      <w:r w:rsidRPr="003761C2">
        <w:t>etanercept</w:t>
      </w:r>
      <w:proofErr w:type="spellEnd"/>
      <w:r w:rsidRPr="003761C2">
        <w:t xml:space="preserve">, </w:t>
      </w:r>
      <w:proofErr w:type="spellStart"/>
      <w:r w:rsidRPr="003761C2">
        <w:t>adalimumab</w:t>
      </w:r>
      <w:proofErr w:type="spellEnd"/>
      <w:r w:rsidRPr="003761C2">
        <w:t xml:space="preserve">, rituximab, </w:t>
      </w:r>
      <w:proofErr w:type="spellStart"/>
      <w:r w:rsidRPr="003761C2">
        <w:t>natalizumab</w:t>
      </w:r>
      <w:proofErr w:type="spellEnd"/>
      <w:r w:rsidRPr="003761C2">
        <w:t xml:space="preserve">, </w:t>
      </w:r>
      <w:proofErr w:type="spellStart"/>
      <w:r w:rsidRPr="003761C2">
        <w:t>visilizumab</w:t>
      </w:r>
      <w:proofErr w:type="spellEnd"/>
      <w:r w:rsidRPr="003761C2">
        <w:t>)</w:t>
      </w:r>
    </w:p>
    <w:p w:rsidR="003761C2" w:rsidRPr="003761C2" w:rsidRDefault="003761C2" w:rsidP="00D42FC5">
      <w:pPr>
        <w:pStyle w:val="ListBullet"/>
      </w:pPr>
      <w:r w:rsidRPr="003761C2">
        <w:t>thalidomide or related agents</w:t>
      </w:r>
    </w:p>
    <w:p w:rsidR="003761C2" w:rsidRPr="003761C2" w:rsidRDefault="003761C2" w:rsidP="003761C2">
      <w:pPr>
        <w:pStyle w:val="ListBullet"/>
      </w:pPr>
      <w:r w:rsidRPr="003761C2">
        <w:t>investigational drugs</w:t>
      </w:r>
    </w:p>
    <w:p w:rsidR="003761C2" w:rsidRPr="003761C2" w:rsidRDefault="003761C2" w:rsidP="00D42FC5">
      <w:pPr>
        <w:pStyle w:val="ListBullet"/>
      </w:pPr>
      <w:proofErr w:type="gramStart"/>
      <w:r w:rsidRPr="003761C2">
        <w:t>apheresis</w:t>
      </w:r>
      <w:proofErr w:type="gramEnd"/>
      <w:r w:rsidRPr="003761C2">
        <w:t xml:space="preserve"> (</w:t>
      </w:r>
      <w:r>
        <w:t>for example</w:t>
      </w:r>
      <w:r w:rsidRPr="003761C2">
        <w:t xml:space="preserve">, </w:t>
      </w:r>
      <w:proofErr w:type="spellStart"/>
      <w:r w:rsidRPr="003761C2">
        <w:t>Adacolumn</w:t>
      </w:r>
      <w:proofErr w:type="spellEnd"/>
      <w:r w:rsidRPr="003761C2">
        <w:t xml:space="preserve"> apheresis).</w:t>
      </w:r>
    </w:p>
    <w:p w:rsidR="003761C2" w:rsidRPr="003761C2" w:rsidRDefault="003761C2" w:rsidP="00D42FC5">
      <w:pPr>
        <w:pStyle w:val="ListBullet"/>
      </w:pPr>
      <w:r w:rsidRPr="003761C2">
        <w:t xml:space="preserve">Have signs and symptoms of latent or active </w:t>
      </w:r>
      <w:r w:rsidRPr="00D42FC5">
        <w:t>granulomatous</w:t>
      </w:r>
      <w:r w:rsidRPr="003761C2">
        <w:t xml:space="preserve"> infection, including TB, </w:t>
      </w:r>
      <w:proofErr w:type="spellStart"/>
      <w:r w:rsidRPr="003761C2">
        <w:t>histoplasmosis</w:t>
      </w:r>
      <w:proofErr w:type="spellEnd"/>
      <w:r w:rsidRPr="003761C2">
        <w:t xml:space="preserve">, or </w:t>
      </w:r>
      <w:proofErr w:type="spellStart"/>
      <w:r w:rsidRPr="003761C2">
        <w:t>coccidioidomycosis</w:t>
      </w:r>
      <w:proofErr w:type="spellEnd"/>
      <w:r w:rsidRPr="003761C2">
        <w:t>.</w:t>
      </w:r>
    </w:p>
    <w:p w:rsidR="003761C2" w:rsidRPr="003761C2" w:rsidRDefault="003761C2" w:rsidP="00D42FC5">
      <w:pPr>
        <w:pStyle w:val="ListBullet"/>
      </w:pPr>
      <w:r w:rsidRPr="003761C2">
        <w:t>Have signs and symptoms of non-</w:t>
      </w:r>
      <w:proofErr w:type="spellStart"/>
      <w:r w:rsidRPr="003761C2">
        <w:t>tuberculous</w:t>
      </w:r>
      <w:proofErr w:type="spellEnd"/>
      <w:r w:rsidRPr="003761C2">
        <w:t xml:space="preserve"> mycobacterial infection or opportunistic infection (for example, cytomegalovirus, Pneumocystis </w:t>
      </w:r>
      <w:proofErr w:type="spellStart"/>
      <w:r w:rsidRPr="003761C2">
        <w:t>carinii</w:t>
      </w:r>
      <w:proofErr w:type="spellEnd"/>
      <w:r w:rsidRPr="003761C2">
        <w:t xml:space="preserve">, </w:t>
      </w:r>
      <w:proofErr w:type="spellStart"/>
      <w:proofErr w:type="gramStart"/>
      <w:r w:rsidRPr="003761C2">
        <w:t>aspergillosis</w:t>
      </w:r>
      <w:proofErr w:type="spellEnd"/>
      <w:proofErr w:type="gramEnd"/>
      <w:r w:rsidRPr="003761C2">
        <w:t>).</w:t>
      </w:r>
    </w:p>
    <w:p w:rsidR="003761C2" w:rsidRPr="003761C2" w:rsidRDefault="003761C2" w:rsidP="00D42FC5">
      <w:pPr>
        <w:pStyle w:val="ListBullet"/>
      </w:pPr>
      <w:r w:rsidRPr="003761C2">
        <w:t xml:space="preserve">Have had a clinically significant infection (for </w:t>
      </w:r>
      <w:r w:rsidRPr="00D42FC5">
        <w:t>example</w:t>
      </w:r>
      <w:r w:rsidRPr="003761C2">
        <w:t xml:space="preserve">, hepatitis, pneumonia, or pyelonephritis) or have received parenteral antibiotics for an infection since Week 0 of an induction study. Less serious infections (for example, acute upper respiratory tract infection, simple urinary tract infection, or infections requiring a short course of empiric parenteral antibiotic for </w:t>
      </w:r>
      <w:r>
        <w:t>less than or equal to</w:t>
      </w:r>
      <w:r w:rsidRPr="003761C2">
        <w:t xml:space="preserve"> 3 days) need not be considered exclusionary at the discretion of the investigator.</w:t>
      </w:r>
    </w:p>
    <w:p w:rsidR="003761C2" w:rsidRPr="003761C2" w:rsidRDefault="003761C2" w:rsidP="00D42FC5">
      <w:pPr>
        <w:pStyle w:val="ListBullet"/>
      </w:pPr>
      <w:r w:rsidRPr="003761C2">
        <w:t>Have signs and symptoms of infection with HIV, hepatitis B, or hepatitis C.</w:t>
      </w:r>
    </w:p>
    <w:p w:rsidR="003761C2" w:rsidRPr="003761C2" w:rsidRDefault="003761C2" w:rsidP="00D42FC5">
      <w:pPr>
        <w:pStyle w:val="ListBullet"/>
      </w:pPr>
      <w:r w:rsidRPr="003761C2">
        <w:t>Have signs and symptoms of any malignancy.</w:t>
      </w:r>
    </w:p>
    <w:p w:rsidR="003761C2" w:rsidRPr="003761C2" w:rsidRDefault="003761C2" w:rsidP="003761C2">
      <w:pPr>
        <w:pStyle w:val="ListBullet"/>
      </w:pPr>
      <w:r w:rsidRPr="003761C2">
        <w:t xml:space="preserve">Have signs and symptoms suggestive of possible </w:t>
      </w:r>
      <w:proofErr w:type="spellStart"/>
      <w:r w:rsidRPr="003761C2">
        <w:t>lymphoproliferative</w:t>
      </w:r>
      <w:proofErr w:type="spellEnd"/>
      <w:r w:rsidRPr="003761C2">
        <w:t xml:space="preserve"> disease, such as lymphoma or lymphadenopathy of unusual size or location (for example, nodes in the posterior triangle of the neck, </w:t>
      </w:r>
      <w:proofErr w:type="spellStart"/>
      <w:r w:rsidRPr="003761C2">
        <w:t>infraclavicular</w:t>
      </w:r>
      <w:proofErr w:type="spellEnd"/>
      <w:r w:rsidRPr="003761C2">
        <w:t xml:space="preserve">, </w:t>
      </w:r>
      <w:proofErr w:type="spellStart"/>
      <w:r w:rsidRPr="003761C2">
        <w:t>epitrochlear</w:t>
      </w:r>
      <w:proofErr w:type="spellEnd"/>
      <w:r w:rsidRPr="003761C2">
        <w:t xml:space="preserve">, or </w:t>
      </w:r>
      <w:proofErr w:type="spellStart"/>
      <w:r w:rsidRPr="003761C2">
        <w:t>periaortic</w:t>
      </w:r>
      <w:proofErr w:type="spellEnd"/>
      <w:r w:rsidRPr="003761C2">
        <w:t xml:space="preserve"> areas), or clinically significant </w:t>
      </w:r>
      <w:proofErr w:type="spellStart"/>
      <w:r w:rsidRPr="003761C2">
        <w:t>hepatomegally</w:t>
      </w:r>
      <w:proofErr w:type="spellEnd"/>
      <w:r w:rsidRPr="003761C2">
        <w:t xml:space="preserve"> or </w:t>
      </w:r>
      <w:proofErr w:type="spellStart"/>
      <w:r w:rsidRPr="003761C2">
        <w:t>splenomegally</w:t>
      </w:r>
      <w:proofErr w:type="spellEnd"/>
      <w:r w:rsidRPr="003761C2">
        <w:t>.</w:t>
      </w:r>
    </w:p>
    <w:p w:rsidR="003761C2" w:rsidRPr="003761C2" w:rsidRDefault="003761C2" w:rsidP="00D42FC5">
      <w:pPr>
        <w:pStyle w:val="ListBullet"/>
      </w:pPr>
      <w:r w:rsidRPr="003761C2">
        <w:t xml:space="preserve">Have undergone a colectomy (partial or total) or an </w:t>
      </w:r>
      <w:proofErr w:type="spellStart"/>
      <w:r w:rsidRPr="00D42FC5">
        <w:t>ostomy</w:t>
      </w:r>
      <w:proofErr w:type="spellEnd"/>
      <w:r w:rsidRPr="003761C2">
        <w:t xml:space="preserve"> (that is, temporary colostomy, permanent colostomy, ileostomy, or other </w:t>
      </w:r>
      <w:proofErr w:type="spellStart"/>
      <w:r w:rsidRPr="003761C2">
        <w:t>enterostomy</w:t>
      </w:r>
      <w:proofErr w:type="spellEnd"/>
      <w:r w:rsidRPr="003761C2">
        <w:t>) since Week 0 of the induction studies (C0524T16 or C0524T17).</w:t>
      </w:r>
    </w:p>
    <w:p w:rsidR="003761C2" w:rsidRPr="004B259C" w:rsidRDefault="003761C2" w:rsidP="00D42FC5">
      <w:pPr>
        <w:pStyle w:val="Heading5"/>
      </w:pPr>
      <w:r w:rsidRPr="004B259C">
        <w:t>Study treatments</w:t>
      </w:r>
    </w:p>
    <w:p w:rsidR="003761C2" w:rsidRPr="003761C2" w:rsidRDefault="003761C2" w:rsidP="00D42FC5">
      <w:pPr>
        <w:pStyle w:val="ListBullet"/>
      </w:pPr>
      <w:r w:rsidRPr="003761C2">
        <w:t xml:space="preserve">Subjects who were in clinical response to </w:t>
      </w:r>
      <w:proofErr w:type="spellStart"/>
      <w:r w:rsidRPr="003761C2">
        <w:t>golimumab</w:t>
      </w:r>
      <w:proofErr w:type="spellEnd"/>
      <w:r w:rsidRPr="003761C2">
        <w:t xml:space="preserve"> at Week 6 in C0524T16 or C0524T17 (that is, the target population) were randomized in a 1:1:1 ratio at Week 0 of this study to receive 1 of the following maintenance treatment regimens administered sub</w:t>
      </w:r>
      <w:r w:rsidR="00D42FC5">
        <w:t>cutaneously (SC) every 4 weeks:</w:t>
      </w:r>
    </w:p>
    <w:p w:rsidR="003761C2" w:rsidRPr="003761C2" w:rsidRDefault="003761C2" w:rsidP="00D42FC5">
      <w:pPr>
        <w:pStyle w:val="ListBullet"/>
      </w:pPr>
      <w:r w:rsidRPr="003761C2">
        <w:t xml:space="preserve">placebo, (if </w:t>
      </w:r>
      <w:r w:rsidRPr="00D42FC5">
        <w:t>subsequent</w:t>
      </w:r>
      <w:r w:rsidRPr="003761C2">
        <w:t xml:space="preserve"> loss of clinical response given </w:t>
      </w:r>
      <w:proofErr w:type="spellStart"/>
      <w:r w:rsidRPr="003761C2">
        <w:t>golimumab</w:t>
      </w:r>
      <w:proofErr w:type="spellEnd"/>
      <w:r w:rsidRPr="003761C2">
        <w:t xml:space="preserve"> 10</w:t>
      </w:r>
      <w:r w:rsidR="007C1257">
        <w:t>0 mg</w:t>
      </w:r>
      <w:r w:rsidRPr="003761C2">
        <w:t xml:space="preserve"> q4w)</w:t>
      </w:r>
    </w:p>
    <w:p w:rsidR="003761C2" w:rsidRPr="003761C2" w:rsidRDefault="003761C2" w:rsidP="00D42FC5">
      <w:pPr>
        <w:pStyle w:val="ListBullet"/>
      </w:pPr>
      <w:proofErr w:type="spellStart"/>
      <w:r w:rsidRPr="003761C2">
        <w:t>golimumab</w:t>
      </w:r>
      <w:proofErr w:type="spellEnd"/>
      <w:r w:rsidRPr="003761C2">
        <w:t xml:space="preserve"> 5</w:t>
      </w:r>
      <w:r w:rsidR="007C1257">
        <w:t>0 mg</w:t>
      </w:r>
      <w:r w:rsidRPr="003761C2">
        <w:t>, (if subsequent loss of clinical response randomly given 50 or 10</w:t>
      </w:r>
      <w:r w:rsidR="007C1257">
        <w:t>0 mg</w:t>
      </w:r>
      <w:r w:rsidRPr="003761C2">
        <w:t xml:space="preserve"> q4w)</w:t>
      </w:r>
    </w:p>
    <w:p w:rsidR="003761C2" w:rsidRPr="003761C2" w:rsidRDefault="003761C2" w:rsidP="00D42FC5">
      <w:pPr>
        <w:pStyle w:val="ListBullet"/>
      </w:pPr>
      <w:proofErr w:type="spellStart"/>
      <w:r w:rsidRPr="003761C2">
        <w:t>golimumab</w:t>
      </w:r>
      <w:proofErr w:type="spellEnd"/>
      <w:r w:rsidRPr="003761C2">
        <w:t xml:space="preserve"> 10</w:t>
      </w:r>
      <w:r w:rsidR="007C1257">
        <w:t>0 mg</w:t>
      </w:r>
      <w:r w:rsidRPr="003761C2">
        <w:t>. (if subsequent loss of clinical response some given 20</w:t>
      </w:r>
      <w:r w:rsidR="007C1257">
        <w:t>0 mg</w:t>
      </w:r>
      <w:r w:rsidRPr="003761C2">
        <w:t xml:space="preserve"> q4w)</w:t>
      </w:r>
    </w:p>
    <w:p w:rsidR="003761C2" w:rsidRPr="00C735E8" w:rsidRDefault="003761C2" w:rsidP="00D42FC5">
      <w:pPr>
        <w:pStyle w:val="ListBullet"/>
      </w:pPr>
      <w:r>
        <w:t xml:space="preserve">If no response at 26 weeks </w:t>
      </w:r>
      <w:proofErr w:type="spellStart"/>
      <w:r w:rsidRPr="00C735E8">
        <w:t>golimumab</w:t>
      </w:r>
      <w:proofErr w:type="spellEnd"/>
      <w:r>
        <w:t xml:space="preserve"> discontinued.</w:t>
      </w:r>
    </w:p>
    <w:p w:rsidR="003761C2" w:rsidRPr="003761C2" w:rsidRDefault="003761C2" w:rsidP="00D42FC5">
      <w:r w:rsidRPr="003761C2">
        <w:t xml:space="preserve">Subjects who were in clinical response to placebo and subjects who were not in clinical response to </w:t>
      </w:r>
      <w:proofErr w:type="spellStart"/>
      <w:r w:rsidRPr="003761C2">
        <w:t>golimumab</w:t>
      </w:r>
      <w:proofErr w:type="spellEnd"/>
      <w:r w:rsidRPr="003761C2">
        <w:t xml:space="preserve"> or placebo at Week 6 in C0524T16 or C0524T17 were not randomized but were eligible to be enrolled in the study (that is, the nonrandomized group) and received the following treatment regimens, but if unimproved by 1</w:t>
      </w:r>
      <w:r w:rsidR="00D42FC5">
        <w:t xml:space="preserve">6 weeks </w:t>
      </w:r>
      <w:proofErr w:type="spellStart"/>
      <w:r w:rsidR="00D42FC5">
        <w:t>golimumab</w:t>
      </w:r>
      <w:proofErr w:type="spellEnd"/>
      <w:r w:rsidR="00D42FC5">
        <w:t xml:space="preserve"> discontinued:</w:t>
      </w:r>
    </w:p>
    <w:p w:rsidR="003761C2" w:rsidRPr="003761C2" w:rsidRDefault="003761C2" w:rsidP="00D42FC5">
      <w:pPr>
        <w:pStyle w:val="ListBullet"/>
      </w:pPr>
      <w:r w:rsidRPr="003761C2">
        <w:lastRenderedPageBreak/>
        <w:t xml:space="preserve">placebo induction responders - placebo q4w (if subsequent loss of clinical response given </w:t>
      </w:r>
      <w:proofErr w:type="spellStart"/>
      <w:r w:rsidRPr="003761C2">
        <w:t>golimumab</w:t>
      </w:r>
      <w:proofErr w:type="spellEnd"/>
      <w:r w:rsidRPr="003761C2">
        <w:t xml:space="preserve"> 100</w:t>
      </w:r>
      <w:r w:rsidR="00B13311">
        <w:t xml:space="preserve"> </w:t>
      </w:r>
      <w:r w:rsidR="00E51565">
        <w:t>mg</w:t>
      </w:r>
      <w:r w:rsidRPr="003761C2">
        <w:t xml:space="preserve"> q4w)</w:t>
      </w:r>
    </w:p>
    <w:p w:rsidR="003761C2" w:rsidRPr="003761C2" w:rsidRDefault="003761C2" w:rsidP="00D42FC5">
      <w:pPr>
        <w:pStyle w:val="ListBullet"/>
      </w:pPr>
      <w:r w:rsidRPr="003761C2">
        <w:t xml:space="preserve">placebo induction </w:t>
      </w:r>
      <w:proofErr w:type="spellStart"/>
      <w:r w:rsidRPr="00D42FC5">
        <w:t>nonresponders</w:t>
      </w:r>
      <w:proofErr w:type="spellEnd"/>
      <w:r w:rsidRPr="003761C2">
        <w:t xml:space="preserve"> - </w:t>
      </w:r>
      <w:proofErr w:type="spellStart"/>
      <w:r w:rsidRPr="003761C2">
        <w:t>golimumab</w:t>
      </w:r>
      <w:proofErr w:type="spellEnd"/>
      <w:r w:rsidRPr="003761C2">
        <w:t xml:space="preserve"> 10</w:t>
      </w:r>
      <w:r w:rsidR="007C1257">
        <w:t>0 mg</w:t>
      </w:r>
      <w:r w:rsidR="00D42FC5">
        <w:t xml:space="preserve"> q4w</w:t>
      </w:r>
    </w:p>
    <w:p w:rsidR="003761C2" w:rsidRPr="003761C2" w:rsidRDefault="003761C2" w:rsidP="00D42FC5">
      <w:pPr>
        <w:pStyle w:val="ListBullet"/>
      </w:pPr>
      <w:proofErr w:type="spellStart"/>
      <w:r w:rsidRPr="003761C2">
        <w:t>golimumab</w:t>
      </w:r>
      <w:proofErr w:type="spellEnd"/>
      <w:r w:rsidRPr="003761C2">
        <w:t xml:space="preserve"> induction </w:t>
      </w:r>
      <w:proofErr w:type="spellStart"/>
      <w:r w:rsidRPr="003761C2">
        <w:t>nonresponders</w:t>
      </w:r>
      <w:proofErr w:type="spellEnd"/>
      <w:r w:rsidRPr="003761C2">
        <w:t xml:space="preserve"> - </w:t>
      </w:r>
      <w:proofErr w:type="spellStart"/>
      <w:r w:rsidRPr="003761C2">
        <w:t>golimumab</w:t>
      </w:r>
      <w:proofErr w:type="spellEnd"/>
      <w:r w:rsidRPr="003761C2">
        <w:t xml:space="preserve"> 10</w:t>
      </w:r>
      <w:r w:rsidR="007C1257">
        <w:t>0 mg</w:t>
      </w:r>
      <w:r w:rsidRPr="003761C2">
        <w:t xml:space="preserve"> </w:t>
      </w:r>
      <w:r w:rsidRPr="00D42FC5">
        <w:t>q4w</w:t>
      </w:r>
    </w:p>
    <w:p w:rsidR="003761C2" w:rsidRDefault="003761C2" w:rsidP="00D42FC5">
      <w:r>
        <w:t xml:space="preserve">Subjects in clinical response to </w:t>
      </w:r>
      <w:proofErr w:type="spellStart"/>
      <w:r>
        <w:t>golimumab</w:t>
      </w:r>
      <w:proofErr w:type="spellEnd"/>
      <w:r>
        <w:t xml:space="preserve"> or placebo who were receiving oral corticosteroids on entry into this study were to begin tapering the daily dose of corticosteroids beginning at Week 0 of this study. The maximum rate of corticosteroid taper was not to exceed:</w:t>
      </w:r>
    </w:p>
    <w:p w:rsidR="003761C2" w:rsidRDefault="003761C2" w:rsidP="00D42FC5">
      <w:pPr>
        <w:pStyle w:val="ListBullet"/>
      </w:pPr>
      <w:r>
        <w:t>Dose &gt; 2</w:t>
      </w:r>
      <w:r w:rsidR="007C1257">
        <w:t>0 mg</w:t>
      </w:r>
      <w:r>
        <w:t>/day prednisone or equivalent: taper dose by 5mg/week.</w:t>
      </w:r>
    </w:p>
    <w:p w:rsidR="003761C2" w:rsidRPr="004B259C" w:rsidRDefault="003761C2" w:rsidP="00D42FC5">
      <w:pPr>
        <w:pStyle w:val="ListBullet"/>
      </w:pPr>
      <w:r>
        <w:t>Dose less than or equal to 2</w:t>
      </w:r>
      <w:r w:rsidR="007C1257">
        <w:t>0 mg</w:t>
      </w:r>
      <w:r>
        <w:t xml:space="preserve">/day prednisone or equivalent: taper </w:t>
      </w:r>
      <w:r w:rsidRPr="00D42FC5">
        <w:t>dose</w:t>
      </w:r>
      <w:r>
        <w:t xml:space="preserve"> by 2.5mg/week.</w:t>
      </w:r>
    </w:p>
    <w:p w:rsidR="003761C2" w:rsidRPr="004B259C" w:rsidRDefault="003761C2" w:rsidP="00D42FC5">
      <w:pPr>
        <w:pStyle w:val="Heading5"/>
      </w:pPr>
      <w:r w:rsidRPr="004B259C">
        <w:t>Efficacy variables and outcomes</w:t>
      </w:r>
    </w:p>
    <w:p w:rsidR="003761C2" w:rsidRPr="003761C2" w:rsidRDefault="003761C2" w:rsidP="00D42FC5">
      <w:r w:rsidRPr="003761C2">
        <w:t>The primary endpoint was clinical response</w:t>
      </w:r>
      <w:r w:rsidRPr="00D42FC5">
        <w:rPr>
          <w:vertAlign w:val="superscript"/>
        </w:rPr>
        <w:footnoteReference w:id="1"/>
      </w:r>
      <w:r w:rsidRPr="00D42FC5">
        <w:rPr>
          <w:vertAlign w:val="superscript"/>
        </w:rPr>
        <w:t xml:space="preserve"> </w:t>
      </w:r>
      <w:r w:rsidRPr="003761C2">
        <w:t>through Week 54 as assessed by the Mayo score or partial score.</w:t>
      </w:r>
      <w:r w:rsidRPr="003761C2">
        <w:rPr>
          <w:vertAlign w:val="superscript"/>
        </w:rPr>
        <w:footnoteReference w:id="2"/>
      </w:r>
    </w:p>
    <w:p w:rsidR="003761C2" w:rsidRPr="003761C2" w:rsidRDefault="003761C2" w:rsidP="00D42FC5">
      <w:r w:rsidRPr="003761C2">
        <w:t>The major secondary efficacy endpoints are:</w:t>
      </w:r>
    </w:p>
    <w:p w:rsidR="003761C2" w:rsidRPr="003761C2" w:rsidRDefault="003761C2" w:rsidP="00D42FC5">
      <w:pPr>
        <w:pStyle w:val="ListBullet"/>
      </w:pPr>
      <w:r w:rsidRPr="003761C2">
        <w:t>The proportion of subjects in clinical remissi</w:t>
      </w:r>
      <w:r w:rsidR="00D42FC5">
        <w:t>on at both Week 30 and Week 54.</w:t>
      </w:r>
    </w:p>
    <w:p w:rsidR="003761C2" w:rsidRPr="003761C2" w:rsidRDefault="003761C2" w:rsidP="00D42FC5">
      <w:pPr>
        <w:pStyle w:val="ListBullet"/>
      </w:pPr>
      <w:r w:rsidRPr="003761C2">
        <w:t>The proportion of subjects who demonstrate mucosal healing at both Week 30 and Week 54.</w:t>
      </w:r>
    </w:p>
    <w:p w:rsidR="003761C2" w:rsidRPr="003761C2" w:rsidRDefault="003761C2" w:rsidP="00D42FC5">
      <w:pPr>
        <w:pStyle w:val="ListBullet"/>
      </w:pPr>
      <w:r w:rsidRPr="003761C2">
        <w:t xml:space="preserve">Among the subjects who had achieved clinical remission at baseline, the </w:t>
      </w:r>
      <w:r w:rsidRPr="00D42FC5">
        <w:t>proportion</w:t>
      </w:r>
      <w:r w:rsidRPr="003761C2">
        <w:t xml:space="preserve"> of subjects in clinical remission at both Week 30 and Week 54.</w:t>
      </w:r>
    </w:p>
    <w:p w:rsidR="003761C2" w:rsidRPr="003761C2" w:rsidRDefault="003761C2" w:rsidP="00D42FC5">
      <w:pPr>
        <w:pStyle w:val="ListBullet"/>
      </w:pPr>
      <w:r w:rsidRPr="003761C2">
        <w:t xml:space="preserve">Among the subjects receiving concomitant corticosteroids at baseline, the </w:t>
      </w:r>
      <w:r w:rsidRPr="00D42FC5">
        <w:t>proportion</w:t>
      </w:r>
      <w:r w:rsidRPr="003761C2">
        <w:t xml:space="preserve"> of subjects at Week 54 who are in clinical remission and are not receivi</w:t>
      </w:r>
      <w:r w:rsidR="00D42FC5">
        <w:t>ng concomitant corticosteroids.</w:t>
      </w:r>
    </w:p>
    <w:p w:rsidR="003761C2" w:rsidRDefault="003761C2" w:rsidP="00D42FC5">
      <w:r>
        <w:t xml:space="preserve">There were multiple </w:t>
      </w:r>
      <w:r w:rsidR="00BE5F2D">
        <w:t>o</w:t>
      </w:r>
      <w:r>
        <w:t>ther secondary endpoints.</w:t>
      </w:r>
    </w:p>
    <w:p w:rsidR="003761C2" w:rsidRPr="004B259C" w:rsidRDefault="003761C2" w:rsidP="00D42FC5">
      <w:pPr>
        <w:pStyle w:val="Heading5"/>
      </w:pPr>
      <w:r w:rsidRPr="00D42FC5">
        <w:t>Randomisation</w:t>
      </w:r>
      <w:r w:rsidRPr="004B259C">
        <w:t xml:space="preserve"> and blinding methods</w:t>
      </w:r>
    </w:p>
    <w:p w:rsidR="003761C2" w:rsidRPr="00BE5F2D" w:rsidRDefault="003761C2" w:rsidP="00D42FC5">
      <w:r w:rsidRPr="00BE5F2D">
        <w:t xml:space="preserve">Subjects were randomized in a 1:1:1 ratio to 1 of 3 treatment groups (placebo, </w:t>
      </w:r>
      <w:proofErr w:type="spellStart"/>
      <w:r w:rsidRPr="00BE5F2D">
        <w:t>golimumab</w:t>
      </w:r>
      <w:proofErr w:type="spellEnd"/>
      <w:r w:rsidRPr="00BE5F2D">
        <w:t xml:space="preserve"> 5</w:t>
      </w:r>
      <w:r w:rsidR="007C1257">
        <w:t>0 mg</w:t>
      </w:r>
      <w:r w:rsidRPr="00BE5F2D">
        <w:t xml:space="preserve">, or </w:t>
      </w:r>
      <w:proofErr w:type="spellStart"/>
      <w:r w:rsidRPr="00BE5F2D">
        <w:t>golimumab</w:t>
      </w:r>
      <w:proofErr w:type="spellEnd"/>
      <w:r w:rsidRPr="00BE5F2D">
        <w:t xml:space="preserve"> 10</w:t>
      </w:r>
      <w:r w:rsidR="007C1257">
        <w:t>0 mg</w:t>
      </w:r>
      <w:r w:rsidRPr="00BE5F2D">
        <w:t>) using an adaptive randomization procedure 11 with 3 stratification variables:</w:t>
      </w:r>
    </w:p>
    <w:p w:rsidR="003761C2" w:rsidRPr="00BE5F2D" w:rsidRDefault="003761C2" w:rsidP="00D42FC5">
      <w:pPr>
        <w:pStyle w:val="ListBullet"/>
      </w:pPr>
      <w:r w:rsidRPr="00BE5F2D">
        <w:t xml:space="preserve">Investigative </w:t>
      </w:r>
      <w:r w:rsidRPr="00D42FC5">
        <w:t>site</w:t>
      </w:r>
    </w:p>
    <w:p w:rsidR="003761C2" w:rsidRPr="00BE5F2D" w:rsidRDefault="003761C2" w:rsidP="00D42FC5">
      <w:pPr>
        <w:pStyle w:val="ListBullet"/>
      </w:pPr>
      <w:r w:rsidRPr="00BE5F2D">
        <w:t>A 4-level cross-</w:t>
      </w:r>
      <w:r w:rsidRPr="00D42FC5">
        <w:t>classification</w:t>
      </w:r>
      <w:r w:rsidRPr="00BE5F2D">
        <w:t xml:space="preserve"> of clinical remission status at Week 0 (yes or no) of this study and Week 0 corticosteroid use (yes or no)</w:t>
      </w:r>
    </w:p>
    <w:p w:rsidR="003761C2" w:rsidRPr="00BE5F2D" w:rsidRDefault="003761C2" w:rsidP="00D42FC5">
      <w:pPr>
        <w:pStyle w:val="ListBullet"/>
      </w:pPr>
      <w:r w:rsidRPr="00BE5F2D">
        <w:t xml:space="preserve">A 6-level </w:t>
      </w:r>
      <w:r w:rsidRPr="00D42FC5">
        <w:t>induction</w:t>
      </w:r>
      <w:r w:rsidRPr="00BE5F2D">
        <w:t xml:space="preserve"> dose factor (IV </w:t>
      </w:r>
      <w:proofErr w:type="spellStart"/>
      <w:r w:rsidRPr="00BE5F2D">
        <w:t>golimumab</w:t>
      </w:r>
      <w:proofErr w:type="spellEnd"/>
      <w:r w:rsidRPr="00BE5F2D">
        <w:t xml:space="preserve"> 1mg/kg, IV </w:t>
      </w:r>
      <w:proofErr w:type="spellStart"/>
      <w:r w:rsidRPr="00BE5F2D">
        <w:t>golimumab</w:t>
      </w:r>
      <w:proofErr w:type="spellEnd"/>
      <w:r w:rsidRPr="00BE5F2D">
        <w:t xml:space="preserve"> 2mg/kg, IV </w:t>
      </w:r>
      <w:proofErr w:type="spellStart"/>
      <w:r w:rsidRPr="00BE5F2D">
        <w:t>golimumab</w:t>
      </w:r>
      <w:proofErr w:type="spellEnd"/>
      <w:r w:rsidRPr="00BE5F2D">
        <w:t xml:space="preserve"> 4mg/kg, SC </w:t>
      </w:r>
      <w:proofErr w:type="spellStart"/>
      <w:r w:rsidRPr="00BE5F2D">
        <w:t>golimumab</w:t>
      </w:r>
      <w:proofErr w:type="spellEnd"/>
      <w:r w:rsidRPr="00BE5F2D">
        <w:t xml:space="preserve"> 10</w:t>
      </w:r>
      <w:r w:rsidR="007C1257">
        <w:t>0 mg</w:t>
      </w:r>
      <w:r w:rsidRPr="00BE5F2D">
        <w:t xml:space="preserve"> → 5</w:t>
      </w:r>
      <w:r w:rsidR="007C1257">
        <w:t>0 mg</w:t>
      </w:r>
      <w:r w:rsidRPr="00BE5F2D">
        <w:t xml:space="preserve">, SC </w:t>
      </w:r>
      <w:proofErr w:type="spellStart"/>
      <w:r w:rsidRPr="00BE5F2D">
        <w:t>golimumab</w:t>
      </w:r>
      <w:proofErr w:type="spellEnd"/>
      <w:r w:rsidRPr="00BE5F2D">
        <w:t xml:space="preserve"> 20</w:t>
      </w:r>
      <w:r w:rsidR="007C1257">
        <w:t>0 mg</w:t>
      </w:r>
      <w:r w:rsidRPr="00BE5F2D">
        <w:t xml:space="preserve"> →10</w:t>
      </w:r>
      <w:r w:rsidR="007C1257">
        <w:t>0 mg</w:t>
      </w:r>
      <w:r w:rsidRPr="00BE5F2D">
        <w:t xml:space="preserve">, and SC </w:t>
      </w:r>
      <w:proofErr w:type="spellStart"/>
      <w:r w:rsidRPr="00BE5F2D">
        <w:t>golimumab</w:t>
      </w:r>
      <w:proofErr w:type="spellEnd"/>
      <w:r w:rsidRPr="00BE5F2D">
        <w:t xml:space="preserve"> 40</w:t>
      </w:r>
      <w:r w:rsidR="007C1257">
        <w:t>0 mg</w:t>
      </w:r>
      <w:r w:rsidRPr="00BE5F2D">
        <w:t xml:space="preserve"> → 20</w:t>
      </w:r>
      <w:r w:rsidR="007C1257">
        <w:t>0 mg</w:t>
      </w:r>
      <w:r w:rsidRPr="00BE5F2D">
        <w:t>).</w:t>
      </w:r>
    </w:p>
    <w:p w:rsidR="003761C2" w:rsidRPr="00BE5F2D" w:rsidRDefault="003761C2" w:rsidP="00D42FC5">
      <w:r w:rsidRPr="00BE5F2D">
        <w:t>The adaptive randomization method was a minimization procedure with a biased-coin assignment.</w:t>
      </w:r>
    </w:p>
    <w:p w:rsidR="003761C2" w:rsidRDefault="003761C2" w:rsidP="00D42FC5">
      <w:pPr>
        <w:pStyle w:val="Heading5"/>
      </w:pPr>
      <w:r>
        <w:lastRenderedPageBreak/>
        <w:t>Analysis populations</w:t>
      </w:r>
    </w:p>
    <w:p w:rsidR="003761C2" w:rsidRPr="009B09D4" w:rsidDel="0081373E" w:rsidRDefault="003761C2" w:rsidP="00D42FC5">
      <w:r w:rsidRPr="009B09D4">
        <w:t xml:space="preserve">The primary efficacy analysis population was subjects randomized at Week 0 of this maintenance study (that is, subjects in clinical response to </w:t>
      </w:r>
      <w:proofErr w:type="spellStart"/>
      <w:r w:rsidRPr="009B09D4">
        <w:t>golimumab</w:t>
      </w:r>
      <w:proofErr w:type="spellEnd"/>
      <w:r w:rsidRPr="009B09D4">
        <w:t xml:space="preserve"> induction at Week 0 of this maintenance study), excluding those from sites 6706 and 7257.</w:t>
      </w:r>
    </w:p>
    <w:p w:rsidR="003761C2" w:rsidRPr="004B259C" w:rsidDel="0081373E" w:rsidRDefault="003761C2" w:rsidP="00D42FC5">
      <w:pPr>
        <w:pStyle w:val="Heading5"/>
      </w:pPr>
      <w:r w:rsidRPr="004B259C" w:rsidDel="0081373E">
        <w:t>Sample size</w:t>
      </w:r>
    </w:p>
    <w:p w:rsidR="003761C2" w:rsidRPr="009B09D4" w:rsidRDefault="003761C2" w:rsidP="00D42FC5">
      <w:r w:rsidRPr="009B09D4">
        <w:t xml:space="preserve">Because a fixed sequence testing procedure was used to control the Type I error rate at the 0.05 level (2-sided) for the comparisons of the 2 </w:t>
      </w:r>
      <w:proofErr w:type="spellStart"/>
      <w:r w:rsidRPr="009B09D4">
        <w:t>golimumab</w:t>
      </w:r>
      <w:proofErr w:type="spellEnd"/>
      <w:r w:rsidRPr="009B09D4">
        <w:t xml:space="preserve"> maintenance regimens with the placebo maintenance regimen for the primary endpoint, the sample size/power calculations were based on the comparison between subjects receiving the higher </w:t>
      </w:r>
      <w:proofErr w:type="spellStart"/>
      <w:r w:rsidRPr="009B09D4">
        <w:t>golimumab</w:t>
      </w:r>
      <w:proofErr w:type="spellEnd"/>
      <w:r w:rsidRPr="009B09D4">
        <w:t xml:space="preserve"> dose (10</w:t>
      </w:r>
      <w:r w:rsidR="007C1257">
        <w:t>0 mg</w:t>
      </w:r>
      <w:r w:rsidRPr="009B09D4">
        <w:t>) and those receiving pl</w:t>
      </w:r>
      <w:r w:rsidR="00D42FC5">
        <w:t>acebo.</w:t>
      </w:r>
    </w:p>
    <w:p w:rsidR="009B09D4" w:rsidRPr="009B09D4" w:rsidRDefault="003761C2" w:rsidP="00D42FC5">
      <w:r w:rsidRPr="009B09D4">
        <w:t xml:space="preserve">At the time of initiation of this study, no data were available for </w:t>
      </w:r>
      <w:proofErr w:type="spellStart"/>
      <w:r w:rsidRPr="009B09D4">
        <w:t>golimumab</w:t>
      </w:r>
      <w:proofErr w:type="spellEnd"/>
      <w:r w:rsidRPr="009B09D4">
        <w:t xml:space="preserve"> in the treatment of ulcerative colitis. The estimate of the proportion of subjects in clinical response through Week 54 in the </w:t>
      </w:r>
      <w:proofErr w:type="spellStart"/>
      <w:r w:rsidRPr="009B09D4">
        <w:t>golimumab</w:t>
      </w:r>
      <w:proofErr w:type="spellEnd"/>
      <w:r w:rsidRPr="009B09D4">
        <w:t xml:space="preserve"> 10</w:t>
      </w:r>
      <w:r w:rsidR="007C1257">
        <w:t>0 mg</w:t>
      </w:r>
      <w:r w:rsidRPr="009B09D4">
        <w:t xml:space="preserve"> group was obtained using data from the ACT 1 study of infliximab in</w:t>
      </w:r>
      <w:r w:rsidR="009B09D4" w:rsidRPr="009B09D4">
        <w:t xml:space="preserve"> subjects with ulcerative colitis, and the estimate for the placebo group was obtained using data from the ACCENT 1 study of infliximab in</w:t>
      </w:r>
      <w:r w:rsidR="00D42FC5">
        <w:t xml:space="preserve"> subjects with </w:t>
      </w:r>
      <w:proofErr w:type="spellStart"/>
      <w:r w:rsidR="00D42FC5">
        <w:t>Crohn's</w:t>
      </w:r>
      <w:proofErr w:type="spellEnd"/>
      <w:r w:rsidR="00D42FC5">
        <w:t xml:space="preserve"> disease.</w:t>
      </w:r>
    </w:p>
    <w:p w:rsidR="009B09D4" w:rsidRPr="009B09D4" w:rsidRDefault="009B09D4" w:rsidP="00D42FC5">
      <w:r w:rsidRPr="009B09D4">
        <w:t xml:space="preserve">Assuming a 35% clinical response rate in the placebo group and 55% in the </w:t>
      </w:r>
      <w:proofErr w:type="spellStart"/>
      <w:r w:rsidRPr="009B09D4">
        <w:t>golimumab</w:t>
      </w:r>
      <w:proofErr w:type="spellEnd"/>
      <w:r w:rsidRPr="009B09D4">
        <w:t xml:space="preserve"> 10</w:t>
      </w:r>
      <w:r w:rsidR="007C1257">
        <w:t>0 mg</w:t>
      </w:r>
      <w:r w:rsidRPr="009B09D4">
        <w:t xml:space="preserve"> group, approximately 128 subjects in each randomized treatment group (384 subjects in total) would provide an overall power of 90% with respect to the primary endpoint at a significance level of 0.05 (based on a 2-sided chi-square test).</w:t>
      </w:r>
    </w:p>
    <w:p w:rsidR="009B09D4" w:rsidRPr="009B09D4" w:rsidRDefault="009B09D4" w:rsidP="00D42FC5">
      <w:r w:rsidRPr="009B09D4">
        <w:t>At a designated time point near the completion of planned enrolment of C0524T17, the interactive voice response system projected, based on the available data and a predefined algorithm, whether or not the target number of subjects for the primary analysis population of this study would be reached, and, if not, how many more subjects from C0524T17 would need to be enrolled to reach the target.</w:t>
      </w:r>
    </w:p>
    <w:p w:rsidR="009B09D4" w:rsidRDefault="009B09D4" w:rsidP="00D42FC5">
      <w:pPr>
        <w:pStyle w:val="Heading5"/>
      </w:pPr>
      <w:r>
        <w:t>Statistical methods</w:t>
      </w:r>
    </w:p>
    <w:p w:rsidR="009B09D4" w:rsidRPr="009B09D4" w:rsidRDefault="009B09D4" w:rsidP="00D42FC5">
      <w:r w:rsidRPr="009B09D4">
        <w:t>The major secondary efficacy analyses would only be considered if the test between the high maintenance dose (10</w:t>
      </w:r>
      <w:r w:rsidR="007C1257">
        <w:t>0 mg</w:t>
      </w:r>
      <w:r w:rsidRPr="009B09D4">
        <w:t>) and placebo was positive for the primary endpoint of clinical response through Week 54.</w:t>
      </w:r>
    </w:p>
    <w:p w:rsidR="009B09D4" w:rsidRPr="009B09D4" w:rsidRDefault="009B09D4" w:rsidP="00D42FC5">
      <w:pPr>
        <w:pStyle w:val="ListBullet"/>
      </w:pPr>
      <w:r w:rsidRPr="009B09D4">
        <w:t xml:space="preserve">The following are the major secondary endpoint analyses, which are </w:t>
      </w:r>
      <w:r w:rsidRPr="00D42FC5">
        <w:t>presented</w:t>
      </w:r>
      <w:r w:rsidRPr="009B09D4">
        <w:t xml:space="preserve"> in the order in which they were to be tested:</w:t>
      </w:r>
    </w:p>
    <w:p w:rsidR="009B09D4" w:rsidRDefault="009B09D4" w:rsidP="00D42FC5">
      <w:pPr>
        <w:pStyle w:val="ListBullet"/>
      </w:pPr>
      <w:r>
        <w:t xml:space="preserve">The proportion of subjects in clinical remission at both Week 30 and </w:t>
      </w:r>
      <w:r w:rsidRPr="00D42FC5">
        <w:t>Week</w:t>
      </w:r>
      <w:r>
        <w:t xml:space="preserve"> 54 to be summarized and compared between treatment groups.</w:t>
      </w:r>
    </w:p>
    <w:p w:rsidR="009B09D4" w:rsidRDefault="009B09D4" w:rsidP="00D42FC5">
      <w:pPr>
        <w:pStyle w:val="ListBullet"/>
      </w:pPr>
      <w:r>
        <w:t xml:space="preserve">The proportion of subjects who demonstrated mucosal healing at both </w:t>
      </w:r>
      <w:r w:rsidRPr="00D42FC5">
        <w:t>Week</w:t>
      </w:r>
      <w:r>
        <w:t xml:space="preserve"> 30 and Week 54 to be summarized and compared between treatment groups.</w:t>
      </w:r>
    </w:p>
    <w:p w:rsidR="009B09D4" w:rsidRDefault="009B09D4" w:rsidP="00D42FC5">
      <w:pPr>
        <w:pStyle w:val="ListBullet"/>
      </w:pPr>
      <w:r>
        <w:t>Among the subjects who had achieved clinical remission at baseline, the proportion of subjects in clinical remission at both Week 30 and Week 54 to be summarized and compared between treatment groups.</w:t>
      </w:r>
    </w:p>
    <w:p w:rsidR="009B09D4" w:rsidRDefault="009B09D4" w:rsidP="00D42FC5">
      <w:pPr>
        <w:pStyle w:val="ListBullet"/>
      </w:pPr>
      <w:r>
        <w:t xml:space="preserve">Among the subjects receiving concomitant corticosteroids at baseline, </w:t>
      </w:r>
      <w:r w:rsidRPr="00D42FC5">
        <w:t>the</w:t>
      </w:r>
      <w:r>
        <w:t xml:space="preserve"> proportion of subjects at Week 54 who are in clinical remission and are not receiving concomitant corticosteroids to be summarized and compared between treatment groups.</w:t>
      </w:r>
    </w:p>
    <w:p w:rsidR="009B09D4" w:rsidRPr="00830314" w:rsidRDefault="009B09D4" w:rsidP="00D42FC5">
      <w:r w:rsidRPr="00830314">
        <w:t>A fixed-sequence testing procedure was to be employed to control the Type 1 error rate at the 0.05 (2-sided) significance level within each of the 4 major secondary efficacy analyses; with the exception that the low dose for a major secondary endpoint could not be tested unless the low dose tested positive for the previous major secondary endpoint (or the primary endpoint if the endpoint being tested was the 1st major secondary endpoint).</w:t>
      </w:r>
    </w:p>
    <w:p w:rsidR="009B09D4" w:rsidRPr="00830314" w:rsidRDefault="009B09D4" w:rsidP="00D42FC5">
      <w:r w:rsidRPr="00830314">
        <w:lastRenderedPageBreak/>
        <w:t>That is, for each major secondary endpoint, the high maintenance dose (10</w:t>
      </w:r>
      <w:r w:rsidR="007C1257">
        <w:t>0 mg</w:t>
      </w:r>
      <w:r w:rsidRPr="00830314">
        <w:t>) was to first be compared with the placebo maintenance dose at the two sided 0.05 level of significance. Only if this test was positive would the low maintenance dose (5</w:t>
      </w:r>
      <w:r w:rsidR="007C1257">
        <w:t>0 mg</w:t>
      </w:r>
      <w:r w:rsidRPr="00830314">
        <w:t>) be compared with the placebo maintenance dose at the two-sided 0.05 level of significance.</w:t>
      </w:r>
    </w:p>
    <w:p w:rsidR="009B09D4" w:rsidRPr="00830314" w:rsidRDefault="009B09D4" w:rsidP="00D42FC5">
      <w:r w:rsidRPr="00830314">
        <w:t>Except for the third major secondary endpoint, analyses of major secondary endpoints were to use the CMH chi-square test stratified by clinical remission status at baseline (yes or no) and induction dose factor. For the third major secondary endpoint, a CMH chi-square test stratified by induction dose factor was to be used.</w:t>
      </w:r>
    </w:p>
    <w:p w:rsidR="009B09D4" w:rsidRDefault="009B09D4" w:rsidP="00D42FC5">
      <w:pPr>
        <w:pStyle w:val="Heading5"/>
      </w:pPr>
      <w:r>
        <w:t>Participant flow</w:t>
      </w:r>
    </w:p>
    <w:p w:rsidR="009B09D4" w:rsidRPr="00830314" w:rsidRDefault="009B09D4" w:rsidP="00D42FC5">
      <w:r w:rsidRPr="00830314">
        <w:t>464 subjects were enrolled in the target population</w:t>
      </w:r>
      <w:r w:rsidR="00830314">
        <w:rPr>
          <w:rStyle w:val="FootnoteReference"/>
        </w:rPr>
        <w:footnoteReference w:id="3"/>
      </w:r>
      <w:r w:rsidRPr="00830314">
        <w:t xml:space="preserve"> and randomized:</w:t>
      </w:r>
    </w:p>
    <w:p w:rsidR="009B09D4" w:rsidRPr="00830314" w:rsidRDefault="009B09D4" w:rsidP="00D42FC5">
      <w:pPr>
        <w:pStyle w:val="ListBullet"/>
      </w:pPr>
      <w:r w:rsidRPr="00830314">
        <w:t xml:space="preserve">154 subjects to </w:t>
      </w:r>
      <w:proofErr w:type="spellStart"/>
      <w:r w:rsidRPr="00830314">
        <w:t>golimumab</w:t>
      </w:r>
      <w:proofErr w:type="spellEnd"/>
      <w:r w:rsidRPr="00830314">
        <w:t xml:space="preserve"> 5</w:t>
      </w:r>
      <w:r w:rsidR="007C1257">
        <w:t>0 mg</w:t>
      </w:r>
      <w:r w:rsidRPr="00830314">
        <w:t xml:space="preserve">, discontinued 45, 109 received study drug to </w:t>
      </w:r>
      <w:r w:rsidR="00B13311">
        <w:t>Week</w:t>
      </w:r>
      <w:r w:rsidRPr="00830314">
        <w:t xml:space="preserve"> 52</w:t>
      </w:r>
    </w:p>
    <w:p w:rsidR="009B09D4" w:rsidRPr="00830314" w:rsidRDefault="009B09D4" w:rsidP="00D42FC5">
      <w:pPr>
        <w:pStyle w:val="ListBullet"/>
      </w:pPr>
      <w:r w:rsidRPr="00830314">
        <w:t xml:space="preserve">154 subjects to </w:t>
      </w:r>
      <w:proofErr w:type="spellStart"/>
      <w:r w:rsidRPr="00830314">
        <w:t>golimumab</w:t>
      </w:r>
      <w:proofErr w:type="spellEnd"/>
      <w:r w:rsidRPr="00830314">
        <w:t xml:space="preserve"> 10</w:t>
      </w:r>
      <w:r w:rsidR="007C1257">
        <w:t>0 mg</w:t>
      </w:r>
      <w:r w:rsidRPr="00830314">
        <w:t xml:space="preserve">, discontinued 43, 111 received study drug to </w:t>
      </w:r>
      <w:r w:rsidR="00B13311">
        <w:t>Week</w:t>
      </w:r>
      <w:r w:rsidRPr="00830314">
        <w:t xml:space="preserve"> 52</w:t>
      </w:r>
    </w:p>
    <w:p w:rsidR="009B09D4" w:rsidRPr="00830314" w:rsidRDefault="009B09D4" w:rsidP="00D42FC5">
      <w:pPr>
        <w:pStyle w:val="ListBullet"/>
      </w:pPr>
      <w:r w:rsidRPr="00830314">
        <w:t xml:space="preserve">156 subjects to placebo, discontinued 43, </w:t>
      </w:r>
      <w:proofErr w:type="gramStart"/>
      <w:r w:rsidRPr="00830314">
        <w:t>112</w:t>
      </w:r>
      <w:proofErr w:type="gramEnd"/>
      <w:r w:rsidRPr="00830314">
        <w:t xml:space="preserve"> received </w:t>
      </w:r>
      <w:r w:rsidRPr="00D42FC5">
        <w:t>study</w:t>
      </w:r>
      <w:r w:rsidRPr="00830314">
        <w:t xml:space="preserve"> drug to </w:t>
      </w:r>
      <w:r w:rsidR="00B13311">
        <w:t>Week</w:t>
      </w:r>
      <w:r w:rsidRPr="00830314">
        <w:t xml:space="preserve"> 52.</w:t>
      </w:r>
      <w:r w:rsidR="00830314">
        <w:rPr>
          <w:rStyle w:val="FootnoteReference"/>
        </w:rPr>
        <w:footnoteReference w:id="4"/>
      </w:r>
    </w:p>
    <w:p w:rsidR="009B09D4" w:rsidRDefault="009B09D4" w:rsidP="00D42FC5">
      <w:r>
        <w:t>A further</w:t>
      </w:r>
      <w:r w:rsidR="00830314">
        <w:t xml:space="preserve"> </w:t>
      </w:r>
      <w:r>
        <w:t>764 subjects</w:t>
      </w:r>
      <w:r w:rsidR="00830314">
        <w:rPr>
          <w:rStyle w:val="FootnoteReference"/>
        </w:rPr>
        <w:footnoteReference w:id="5"/>
      </w:r>
      <w:r>
        <w:t xml:space="preserve"> were enrolled but not randomized.</w:t>
      </w:r>
    </w:p>
    <w:p w:rsidR="00830314" w:rsidRPr="00D42FC5" w:rsidRDefault="00830314" w:rsidP="00D42FC5">
      <w:pPr>
        <w:pStyle w:val="TableTitle"/>
      </w:pPr>
      <w:proofErr w:type="gramStart"/>
      <w:r>
        <w:t>Table 5.</w:t>
      </w:r>
      <w:proofErr w:type="gramEnd"/>
      <w:r w:rsidRPr="00830314">
        <w:t xml:space="preserve"> Number of subjects who discontinued study agent prior to Week 52 by reason for discontinuation; enrolled subjects</w:t>
      </w:r>
    </w:p>
    <w:p w:rsidR="00830314" w:rsidRDefault="00830314" w:rsidP="00D42FC5">
      <w:r>
        <w:rPr>
          <w:noProof/>
          <w:lang w:eastAsia="en-AU"/>
        </w:rPr>
        <w:drawing>
          <wp:inline distT="0" distB="0" distL="0" distR="0" wp14:anchorId="29183D1B" wp14:editId="21ECF5B3">
            <wp:extent cx="5269373" cy="1668780"/>
            <wp:effectExtent l="0" t="0" r="0" b="0"/>
            <wp:docPr id="9" name="Picture 9" descr="Table 5. Number of subjects who discontinued study agent prior to Week 52 by reason for discontinuation; enrolled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5737" cy="1670795"/>
                    </a:xfrm>
                    <a:prstGeom prst="rect">
                      <a:avLst/>
                    </a:prstGeom>
                    <a:noFill/>
                  </pic:spPr>
                </pic:pic>
              </a:graphicData>
            </a:graphic>
          </wp:inline>
        </w:drawing>
      </w:r>
    </w:p>
    <w:p w:rsidR="00830314" w:rsidRPr="005658D0" w:rsidRDefault="00830314" w:rsidP="00D42FC5">
      <w:pPr>
        <w:pStyle w:val="TableDescription"/>
      </w:pPr>
      <w:proofErr w:type="gramStart"/>
      <w:r w:rsidRPr="005658D0">
        <w:t>a</w:t>
      </w:r>
      <w:proofErr w:type="gramEnd"/>
      <w:r w:rsidRPr="005658D0">
        <w:t xml:space="preserve"> Subjects who were in clinical response to </w:t>
      </w:r>
      <w:proofErr w:type="spellStart"/>
      <w:r w:rsidRPr="005658D0">
        <w:t>golimumab</w:t>
      </w:r>
      <w:proofErr w:type="spellEnd"/>
      <w:r w:rsidRPr="005658D0">
        <w:t xml:space="preserve"> induction dosing and were randomized to placebo on ent</w:t>
      </w:r>
      <w:r w:rsidR="005658D0">
        <w:t xml:space="preserve">ry into this maintenance study </w:t>
      </w:r>
      <w:r w:rsidRPr="005658D0">
        <w:t>Source: Table 1</w:t>
      </w:r>
      <w:r w:rsidR="005658D0">
        <w:t xml:space="preserve">, </w:t>
      </w:r>
      <w:r w:rsidRPr="005658D0">
        <w:t>b Subjects who were in clinical response to placebo induction dosing and received placebo on ent</w:t>
      </w:r>
      <w:r w:rsidR="00D42FC5">
        <w:t>ry into this maintenance study.</w:t>
      </w:r>
    </w:p>
    <w:p w:rsidR="00830314" w:rsidRDefault="005658D0" w:rsidP="00D42FC5">
      <w:pPr>
        <w:pStyle w:val="TableTitle"/>
      </w:pPr>
      <w:proofErr w:type="gramStart"/>
      <w:r>
        <w:lastRenderedPageBreak/>
        <w:t>Table 6.</w:t>
      </w:r>
      <w:proofErr w:type="gramEnd"/>
      <w:r w:rsidRPr="005658D0">
        <w:t xml:space="preserve"> Summary of </w:t>
      </w:r>
      <w:r w:rsidRPr="00D42FC5">
        <w:t>demographics</w:t>
      </w:r>
      <w:r w:rsidRPr="005658D0">
        <w:t xml:space="preserve"> at Week 0 of an induction study; enrolled subjects</w:t>
      </w:r>
    </w:p>
    <w:p w:rsidR="005658D0" w:rsidRDefault="005658D0" w:rsidP="00D42FC5">
      <w:r>
        <w:rPr>
          <w:noProof/>
          <w:lang w:eastAsia="en-AU"/>
        </w:rPr>
        <w:drawing>
          <wp:inline distT="0" distB="0" distL="0" distR="0" wp14:anchorId="1A9A930B" wp14:editId="3707DD9F">
            <wp:extent cx="5731492" cy="3411110"/>
            <wp:effectExtent l="0" t="0" r="3175" b="0"/>
            <wp:docPr id="10" name="Picture 10" descr="Table 6. Summary of demographics at Week 0 of an induction study; enrolled sub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a:srcRect t="4246" b="4671"/>
                    <a:stretch/>
                  </pic:blipFill>
                  <pic:spPr bwMode="auto">
                    <a:xfrm>
                      <a:off x="0" y="0"/>
                      <a:ext cx="5731510" cy="3411120"/>
                    </a:xfrm>
                    <a:prstGeom prst="rect">
                      <a:avLst/>
                    </a:prstGeom>
                    <a:ln>
                      <a:noFill/>
                    </a:ln>
                    <a:extLst>
                      <a:ext uri="{53640926-AAD7-44D8-BBD7-CCE9431645EC}">
                        <a14:shadowObscured xmlns:a14="http://schemas.microsoft.com/office/drawing/2010/main"/>
                      </a:ext>
                    </a:extLst>
                  </pic:spPr>
                </pic:pic>
              </a:graphicData>
            </a:graphic>
          </wp:inline>
        </w:drawing>
      </w:r>
    </w:p>
    <w:p w:rsidR="005658D0" w:rsidRDefault="005658D0" w:rsidP="00D42FC5">
      <w:pPr>
        <w:pStyle w:val="Heading5"/>
        <w:numPr>
          <w:ilvl w:val="3"/>
          <w:numId w:val="7"/>
        </w:numPr>
      </w:pPr>
      <w:r>
        <w:t>Major protocol violations/</w:t>
      </w:r>
      <w:r w:rsidRPr="00D42FC5">
        <w:t>deviations</w:t>
      </w:r>
    </w:p>
    <w:p w:rsidR="005658D0" w:rsidRPr="005658D0" w:rsidRDefault="005658D0" w:rsidP="00D42FC5">
      <w:r w:rsidRPr="005658D0">
        <w:t>6 subjects in the target population did not meet study selection criteria. Overall, these deviations resulted in the exclusion of data from 2 subjects in the per-protocol sensitivity analysis. Among subjects in the target population, 30.4% (141 subjects) had a deviation in study agent administration. There were no major differences in the proportions of subjects who had a deviation in study agent administration across the 5</w:t>
      </w:r>
      <w:r w:rsidR="007C1257">
        <w:t>0 mg</w:t>
      </w:r>
      <w:r w:rsidRPr="005658D0">
        <w:t>, 10</w:t>
      </w:r>
      <w:r w:rsidR="007C1257">
        <w:t>0 mg</w:t>
      </w:r>
      <w:r w:rsidRPr="005658D0">
        <w:t>, and the placebo groups. The most frequent deviation was administrations received outside the protocol-specified window (25.0% [116 subjects]). A total of 6.3% (29 subjects) missed an administration, 1.7% (8 subjects) received an incorrect study agent or dose, and 0.2% (1 subject) received an incorrect number of injections. These deviations were equally distributed across treatment groups, and did not result in AEs related to study agent administration. Among subjects in the target population, a total of 39 (8.4%) had a deviation in the use of concomitant medications during</w:t>
      </w:r>
      <w:r>
        <w:t xml:space="preserve"> </w:t>
      </w:r>
      <w:r w:rsidRPr="005658D0">
        <w:t>study participation - all subjects were considered treatment failures No subjects from site 6706 and 1 subject from site 7257 were in the target population and were prospectively excluded from all efficacy analyses.</w:t>
      </w:r>
    </w:p>
    <w:p w:rsidR="005658D0" w:rsidRPr="004B259C" w:rsidRDefault="005658D0" w:rsidP="00D42FC5">
      <w:pPr>
        <w:pStyle w:val="Heading5"/>
      </w:pPr>
      <w:r w:rsidRPr="004B259C">
        <w:t xml:space="preserve">Results for the </w:t>
      </w:r>
      <w:r w:rsidRPr="00D42FC5">
        <w:t>primary</w:t>
      </w:r>
      <w:r w:rsidRPr="004B259C">
        <w:t xml:space="preserve"> efficacy outcome</w:t>
      </w:r>
    </w:p>
    <w:p w:rsidR="005658D0" w:rsidRPr="005658D0" w:rsidRDefault="005658D0" w:rsidP="00D42FC5">
      <w:r w:rsidRPr="005658D0">
        <w:t>50.6% of those on 10</w:t>
      </w:r>
      <w:r w:rsidR="007C1257">
        <w:t>0 mg</w:t>
      </w:r>
      <w:r w:rsidRPr="005658D0">
        <w:t xml:space="preserve"> and 47.1% of those on 5</w:t>
      </w:r>
      <w:r w:rsidR="007C1257">
        <w:t>0 mg</w:t>
      </w:r>
      <w:r w:rsidRPr="005658D0">
        <w:t xml:space="preserve"> maintained clinical response through Week 54, compared to 31.4% of those on placebo (p &lt; 0.001 a</w:t>
      </w:r>
      <w:r w:rsidR="00D42FC5">
        <w:t>nd p = 0.010 and respectively).</w:t>
      </w:r>
    </w:p>
    <w:p w:rsidR="00E51565" w:rsidRPr="00E51565" w:rsidRDefault="00E51565" w:rsidP="00D42FC5">
      <w:pPr>
        <w:pStyle w:val="Heading5"/>
        <w:rPr>
          <w:lang w:eastAsia="en-AU"/>
        </w:rPr>
      </w:pPr>
      <w:r w:rsidRPr="00E51565">
        <w:rPr>
          <w:lang w:eastAsia="en-AU"/>
        </w:rPr>
        <w:t xml:space="preserve">Results for </w:t>
      </w:r>
      <w:r w:rsidR="00D42FC5">
        <w:rPr>
          <w:lang w:eastAsia="en-AU"/>
        </w:rPr>
        <w:t>m</w:t>
      </w:r>
      <w:r w:rsidRPr="00E51565">
        <w:rPr>
          <w:lang w:eastAsia="en-AU"/>
        </w:rPr>
        <w:t xml:space="preserve">ajor </w:t>
      </w:r>
      <w:r w:rsidR="00D42FC5">
        <w:rPr>
          <w:lang w:eastAsia="en-AU"/>
        </w:rPr>
        <w:t>s</w:t>
      </w:r>
      <w:r w:rsidRPr="00E51565">
        <w:rPr>
          <w:lang w:eastAsia="en-AU"/>
        </w:rPr>
        <w:t xml:space="preserve">econdary </w:t>
      </w:r>
      <w:r w:rsidR="00D42FC5">
        <w:rPr>
          <w:lang w:eastAsia="en-AU"/>
        </w:rPr>
        <w:t>e</w:t>
      </w:r>
      <w:r w:rsidRPr="00E51565">
        <w:rPr>
          <w:lang w:eastAsia="en-AU"/>
        </w:rPr>
        <w:t xml:space="preserve">fficacy </w:t>
      </w:r>
      <w:r w:rsidR="00D42FC5">
        <w:rPr>
          <w:lang w:eastAsia="en-AU"/>
        </w:rPr>
        <w:t>o</w:t>
      </w:r>
      <w:r w:rsidRPr="00E51565">
        <w:rPr>
          <w:lang w:eastAsia="en-AU"/>
        </w:rPr>
        <w:t>utcomes</w:t>
      </w:r>
    </w:p>
    <w:p w:rsidR="00E51565" w:rsidRPr="00E51565" w:rsidRDefault="00E51565" w:rsidP="00D42FC5">
      <w:r w:rsidRPr="00E51565">
        <w:t>The 10</w:t>
      </w:r>
      <w:r w:rsidR="007C1257">
        <w:t>0 mg</w:t>
      </w:r>
      <w:r w:rsidRPr="00E51565">
        <w:t xml:space="preserve"> group for a major secondary endpoint was tested if the test between the 10</w:t>
      </w:r>
      <w:r w:rsidR="007C1257">
        <w:t>0 mg</w:t>
      </w:r>
      <w:r w:rsidRPr="00E51565">
        <w:t xml:space="preserve"> group and the placebo group tested positive for the preceding endpoint, regardless of the result of the test between the 5</w:t>
      </w:r>
      <w:r w:rsidR="007C1257">
        <w:t>0 mg</w:t>
      </w:r>
      <w:r w:rsidRPr="00E51565">
        <w:t xml:space="preserve"> group and the placebo group for the preceding endpoint. The 5</w:t>
      </w:r>
      <w:r w:rsidR="007C1257">
        <w:t>0 mg</w:t>
      </w:r>
      <w:r w:rsidRPr="00E51565">
        <w:t xml:space="preserve"> group for a major secondary endpoint could not be tested unless the 10</w:t>
      </w:r>
      <w:r w:rsidR="007C1257">
        <w:t>0 mg</w:t>
      </w:r>
      <w:r w:rsidRPr="00E51565">
        <w:t xml:space="preserve"> group tested positive for the same endpoint and the 5</w:t>
      </w:r>
      <w:r w:rsidR="007C1257">
        <w:t>0 mg</w:t>
      </w:r>
      <w:r w:rsidRPr="00E51565">
        <w:t xml:space="preserve"> group was positive for the preceding endpoint.</w:t>
      </w:r>
      <w:r w:rsidRPr="00E51565">
        <w:rPr>
          <w:vertAlign w:val="superscript"/>
        </w:rPr>
        <w:footnoteReference w:id="6"/>
      </w:r>
    </w:p>
    <w:p w:rsidR="00B13311" w:rsidRDefault="00E51565" w:rsidP="00D42FC5">
      <w:r w:rsidRPr="00E51565">
        <w:lastRenderedPageBreak/>
        <w:t>Accordingly none other than the first listed p-value for the 5</w:t>
      </w:r>
      <w:r w:rsidR="007C1257">
        <w:t>0 mg</w:t>
      </w:r>
      <w:r w:rsidRPr="00E51565">
        <w:t xml:space="preserve"> group was considered and the final major secondary endpoint (Among the subjects receiving concomitant corticosteroids at baseline, the proportion of subjects at Week 54 who are in clinical remission and are not receiving concomitant corticosteroids) was n</w:t>
      </w:r>
      <w:r>
        <w:t>ot of any statistical relevance</w:t>
      </w:r>
      <w:r w:rsidRPr="00E51565">
        <w:t>.</w:t>
      </w:r>
    </w:p>
    <w:p w:rsidR="00E51565" w:rsidRPr="00E51565" w:rsidRDefault="00E51565" w:rsidP="00D42FC5">
      <w:pPr>
        <w:pStyle w:val="Heading5"/>
        <w:rPr>
          <w:lang w:eastAsia="en-AU"/>
        </w:rPr>
      </w:pPr>
      <w:bookmarkStart w:id="94" w:name="_Toc373241024"/>
      <w:r w:rsidRPr="00E51565">
        <w:rPr>
          <w:lang w:eastAsia="en-AU"/>
        </w:rPr>
        <w:t>Study C0524T17 (PURSUIT – Subcutaneous)</w:t>
      </w:r>
      <w:bookmarkEnd w:id="94"/>
    </w:p>
    <w:p w:rsidR="00E51565" w:rsidRPr="00E51565" w:rsidRDefault="00E51565" w:rsidP="00D42FC5">
      <w:pPr>
        <w:pStyle w:val="Heading6"/>
        <w:rPr>
          <w:lang w:eastAsia="en-AU"/>
        </w:rPr>
      </w:pPr>
      <w:r w:rsidRPr="00E51565">
        <w:rPr>
          <w:lang w:eastAsia="en-AU"/>
        </w:rPr>
        <w:t>Study design, objectives, locations and dates</w:t>
      </w:r>
    </w:p>
    <w:p w:rsidR="007C1257" w:rsidRDefault="00E51565" w:rsidP="00D42FC5">
      <w:r w:rsidRPr="007C1257">
        <w:t xml:space="preserve">A multicentre randomized, placebo-controlled, parallel-group, double-blind study to evaluate the safety and efficacy of </w:t>
      </w:r>
      <w:proofErr w:type="spellStart"/>
      <w:r w:rsidRPr="007C1257">
        <w:t>golimumab</w:t>
      </w:r>
      <w:proofErr w:type="spellEnd"/>
      <w:r w:rsidRPr="007C1257">
        <w:t xml:space="preserve"> induction therapy, administered subcutaneously, in subjects with moderately to severely active ulcerative colitis.</w:t>
      </w:r>
    </w:p>
    <w:p w:rsidR="00E51565" w:rsidRPr="007C1257" w:rsidRDefault="00E51565" w:rsidP="007C1257">
      <w:r w:rsidRPr="007C1257">
        <w:t>In Japan, Australia, India, New Zealand, South Africa, Bulgaria, Hungary, Poland, Romania, Serbia, Slovakia [Slovak Republic], Ukraine, Lithuania, Russia, Czech Republic, United States, Canada, Austria, Belgium, France, Israel, Denmark, Sweden, Germany and Netherlands.</w:t>
      </w:r>
    </w:p>
    <w:p w:rsidR="00E51565" w:rsidRPr="007C1257" w:rsidRDefault="00E51565" w:rsidP="00D42FC5">
      <w:r w:rsidRPr="007C1257">
        <w:t xml:space="preserve">Initially the study was dose-ranging with 169 subjects randomised in a 1:1:1:1 ratio at Week 0 to administration subcutaneously of </w:t>
      </w:r>
      <w:proofErr w:type="spellStart"/>
      <w:r w:rsidRPr="007C1257">
        <w:t>golimumab</w:t>
      </w:r>
      <w:proofErr w:type="spellEnd"/>
      <w:r w:rsidRPr="007C1257">
        <w:t xml:space="preserve"> weeks 0 &amp; 2 (10</w:t>
      </w:r>
      <w:r w:rsidR="007C1257" w:rsidRPr="007C1257">
        <w:t>0 mg</w:t>
      </w:r>
      <w:r w:rsidRPr="007C1257">
        <w:t xml:space="preserve"> → 5</w:t>
      </w:r>
      <w:r w:rsidR="007C1257" w:rsidRPr="007C1257">
        <w:t>0 mg</w:t>
      </w:r>
      <w:r w:rsidRPr="007C1257">
        <w:t>, 20</w:t>
      </w:r>
      <w:r w:rsidR="007C1257" w:rsidRPr="007C1257">
        <w:t>0 mg</w:t>
      </w:r>
      <w:r w:rsidRPr="007C1257">
        <w:t xml:space="preserve"> → 10</w:t>
      </w:r>
      <w:r w:rsidR="007C1257" w:rsidRPr="007C1257">
        <w:t>0 mg</w:t>
      </w:r>
      <w:r w:rsidRPr="007C1257">
        <w:t xml:space="preserve"> or 40</w:t>
      </w:r>
      <w:r w:rsidR="007C1257" w:rsidRPr="007C1257">
        <w:t>0 mg</w:t>
      </w:r>
      <w:r w:rsidRPr="007C1257">
        <w:t xml:space="preserve"> → 20</w:t>
      </w:r>
      <w:r w:rsidR="007C1257" w:rsidRPr="007C1257">
        <w:t>0 mg</w:t>
      </w:r>
      <w:r w:rsidRPr="007C1257">
        <w:t>) or placebo.</w:t>
      </w:r>
    </w:p>
    <w:p w:rsidR="00E51565" w:rsidRPr="007C1257" w:rsidRDefault="00E51565" w:rsidP="00D42FC5">
      <w:r w:rsidRPr="007C1257">
        <w:t xml:space="preserve">An interim analysis to help determine optimal SC induction </w:t>
      </w:r>
      <w:proofErr w:type="gramStart"/>
      <w:r w:rsidRPr="007C1257">
        <w:t xml:space="preserve">doses of </w:t>
      </w:r>
      <w:proofErr w:type="spellStart"/>
      <w:r w:rsidRPr="007C1257">
        <w:t>golimumab</w:t>
      </w:r>
      <w:proofErr w:type="spellEnd"/>
      <w:r w:rsidRPr="007C1257">
        <w:t xml:space="preserve"> was</w:t>
      </w:r>
      <w:proofErr w:type="gramEnd"/>
      <w:r w:rsidRPr="007C1257">
        <w:t xml:space="preserve"> conducted after all subjects in Part 1 either completed the Week 6 visit or terminated study participation prior to Week 6.</w:t>
      </w:r>
    </w:p>
    <w:p w:rsidR="00E51565" w:rsidRPr="007C1257" w:rsidRDefault="00E51565" w:rsidP="00D42FC5">
      <w:r w:rsidRPr="007C1257">
        <w:t xml:space="preserve">From this the induction dose regimens of </w:t>
      </w:r>
      <w:proofErr w:type="spellStart"/>
      <w:r w:rsidRPr="007C1257">
        <w:t>golimumab</w:t>
      </w:r>
      <w:proofErr w:type="spellEnd"/>
      <w:r w:rsidRPr="007C1257">
        <w:t xml:space="preserve"> for Part 2 were decided (20</w:t>
      </w:r>
      <w:r w:rsidR="007C1257" w:rsidRPr="007C1257">
        <w:t>0 mg</w:t>
      </w:r>
      <w:r w:rsidRPr="007C1257">
        <w:t xml:space="preserve"> → 10</w:t>
      </w:r>
      <w:r w:rsidR="007C1257" w:rsidRPr="007C1257">
        <w:t>0 mg</w:t>
      </w:r>
      <w:r w:rsidRPr="007C1257">
        <w:t xml:space="preserve"> and 40</w:t>
      </w:r>
      <w:r w:rsidR="007C1257" w:rsidRPr="007C1257">
        <w:t>0 mg</w:t>
      </w:r>
      <w:r w:rsidRPr="007C1257">
        <w:t xml:space="preserve"> → 20</w:t>
      </w:r>
      <w:r w:rsidR="007C1257" w:rsidRPr="007C1257">
        <w:t>0 mg</w:t>
      </w:r>
      <w:r w:rsidRPr="007C1257">
        <w:t>). There was no break in enrolment. The 170th subject was randomised in, and approximately 500 subjects were to be randomised in Part 2, the dose-confirming portion. However, due to the termination of the C0524T16 induction study on 30 Jan 2009,</w:t>
      </w:r>
      <w:r w:rsidRPr="007C1257">
        <w:footnoteReference w:id="7"/>
      </w:r>
      <w:r w:rsidRPr="007C1257">
        <w:t xml:space="preserve"> which together with this study was to provide the required number of subjects to power the maintenance study, the number of subjects in Part 2 of this study was increased to 875.</w:t>
      </w:r>
    </w:p>
    <w:p w:rsidR="00E51565" w:rsidRPr="007C1257" w:rsidRDefault="00E51565" w:rsidP="00D42FC5">
      <w:r w:rsidRPr="007C1257">
        <w:t>At Week 6, subjects were evaluated for clinical response. All subjects were eligible to enrol in the maintenance study (C0524T18). Those not doing so were evaluated for safety 16 weeks (after Week 0).</w:t>
      </w:r>
    </w:p>
    <w:p w:rsidR="00E51565" w:rsidRPr="00E51565" w:rsidRDefault="00E51565" w:rsidP="00D42FC5">
      <w:pPr>
        <w:pStyle w:val="Heading6"/>
        <w:rPr>
          <w:lang w:eastAsia="en-AU"/>
        </w:rPr>
      </w:pPr>
      <w:r w:rsidRPr="00E51565">
        <w:rPr>
          <w:lang w:eastAsia="en-AU"/>
        </w:rPr>
        <w:t xml:space="preserve">Study </w:t>
      </w:r>
      <w:r w:rsidR="00D42FC5" w:rsidRPr="00D42FC5">
        <w:t>o</w:t>
      </w:r>
      <w:r w:rsidRPr="00D42FC5">
        <w:t>bjectives</w:t>
      </w:r>
      <w:r w:rsidRPr="00E51565">
        <w:rPr>
          <w:lang w:eastAsia="en-AU"/>
        </w:rPr>
        <w:t xml:space="preserve"> </w:t>
      </w:r>
      <w:r w:rsidRPr="00E51565">
        <w:rPr>
          <w:vertAlign w:val="superscript"/>
          <w:lang w:eastAsia="en-AU"/>
        </w:rPr>
        <w:footnoteReference w:id="8"/>
      </w:r>
    </w:p>
    <w:p w:rsidR="00E51565" w:rsidRPr="00E51565" w:rsidRDefault="00E51565" w:rsidP="00D42FC5">
      <w:pPr>
        <w:rPr>
          <w:lang w:eastAsia="en-AU"/>
        </w:rPr>
      </w:pPr>
      <w:r w:rsidRPr="00E51565">
        <w:rPr>
          <w:lang w:eastAsia="en-AU"/>
        </w:rPr>
        <w:t>Part 1: Dose-ranging</w:t>
      </w:r>
    </w:p>
    <w:p w:rsidR="00E51565" w:rsidRPr="007C1257" w:rsidRDefault="00E51565" w:rsidP="00D42FC5">
      <w:pPr>
        <w:pStyle w:val="ListBullet"/>
      </w:pPr>
      <w:r w:rsidRPr="007C1257">
        <w:t xml:space="preserve">To evaluate the dose response of SC </w:t>
      </w:r>
      <w:proofErr w:type="spellStart"/>
      <w:r w:rsidRPr="007C1257">
        <w:t>golimumab</w:t>
      </w:r>
      <w:proofErr w:type="spellEnd"/>
      <w:r w:rsidRPr="007C1257">
        <w:t xml:space="preserve"> induction regimens in subjects with moderately to severely active ulcerative colitis.</w:t>
      </w:r>
    </w:p>
    <w:p w:rsidR="00E51565" w:rsidRPr="007C1257" w:rsidRDefault="00E51565" w:rsidP="00D42FC5">
      <w:pPr>
        <w:pStyle w:val="ListBullet"/>
      </w:pPr>
      <w:r w:rsidRPr="007C1257">
        <w:t xml:space="preserve">To select SC </w:t>
      </w:r>
      <w:r w:rsidRPr="00D42FC5">
        <w:t>induction</w:t>
      </w:r>
      <w:r w:rsidRPr="007C1257">
        <w:t xml:space="preserve"> regimen(s) of </w:t>
      </w:r>
      <w:proofErr w:type="spellStart"/>
      <w:r w:rsidRPr="007C1257">
        <w:t>golimumab</w:t>
      </w:r>
      <w:proofErr w:type="spellEnd"/>
      <w:r w:rsidRPr="007C1257">
        <w:t>, based on safety and efficacy, for continued development in Part 2.</w:t>
      </w:r>
    </w:p>
    <w:p w:rsidR="00E51565" w:rsidRPr="007C1257" w:rsidRDefault="00E51565" w:rsidP="00D42FC5">
      <w:pPr>
        <w:pStyle w:val="ListBullet"/>
      </w:pPr>
      <w:r w:rsidRPr="007C1257">
        <w:t xml:space="preserve">To provide the target study population to be evaluated in the 1-year </w:t>
      </w:r>
      <w:proofErr w:type="spellStart"/>
      <w:r w:rsidRPr="007C1257">
        <w:t>golimumab</w:t>
      </w:r>
      <w:proofErr w:type="spellEnd"/>
      <w:r w:rsidRPr="007C1257">
        <w:t xml:space="preserve"> maintenance study (C0524T18).</w:t>
      </w:r>
    </w:p>
    <w:p w:rsidR="00E51565" w:rsidRPr="00E51565" w:rsidRDefault="00E51565" w:rsidP="00D42FC5">
      <w:pPr>
        <w:rPr>
          <w:lang w:eastAsia="en-AU"/>
        </w:rPr>
      </w:pPr>
      <w:r w:rsidRPr="00E51565">
        <w:rPr>
          <w:lang w:eastAsia="en-AU"/>
        </w:rPr>
        <w:t>Part 2: Dose-confirming</w:t>
      </w:r>
    </w:p>
    <w:p w:rsidR="00E51565" w:rsidRPr="00E51565" w:rsidRDefault="00E51565" w:rsidP="00D42FC5">
      <w:pPr>
        <w:pStyle w:val="Heading7"/>
        <w:rPr>
          <w:lang w:eastAsia="en-AU"/>
        </w:rPr>
      </w:pPr>
      <w:r w:rsidRPr="00D42FC5">
        <w:t>Primary</w:t>
      </w:r>
      <w:r w:rsidRPr="00E51565">
        <w:rPr>
          <w:lang w:eastAsia="en-AU"/>
        </w:rPr>
        <w:t xml:space="preserve"> </w:t>
      </w:r>
      <w:r w:rsidR="00D42FC5">
        <w:rPr>
          <w:lang w:eastAsia="en-AU"/>
        </w:rPr>
        <w:t>o</w:t>
      </w:r>
      <w:r w:rsidRPr="00E51565">
        <w:rPr>
          <w:lang w:eastAsia="en-AU"/>
        </w:rPr>
        <w:t>bjectives</w:t>
      </w:r>
    </w:p>
    <w:p w:rsidR="00E51565" w:rsidRPr="00E51565" w:rsidRDefault="00E51565" w:rsidP="00D42FC5">
      <w:pPr>
        <w:pStyle w:val="ListBullet"/>
        <w:rPr>
          <w:lang w:eastAsia="en-AU"/>
        </w:rPr>
      </w:pPr>
      <w:r w:rsidRPr="00E51565">
        <w:rPr>
          <w:lang w:eastAsia="en-AU"/>
        </w:rPr>
        <w:t xml:space="preserve">To evaluate the efficacy </w:t>
      </w:r>
      <w:r w:rsidRPr="00D42FC5">
        <w:t>of</w:t>
      </w:r>
      <w:r w:rsidRPr="00E51565">
        <w:rPr>
          <w:lang w:eastAsia="en-AU"/>
        </w:rPr>
        <w:t xml:space="preserve"> SC induction regimens of </w:t>
      </w:r>
      <w:proofErr w:type="spellStart"/>
      <w:r w:rsidRPr="00E51565">
        <w:rPr>
          <w:lang w:eastAsia="en-AU"/>
        </w:rPr>
        <w:t>golimumab</w:t>
      </w:r>
      <w:proofErr w:type="spellEnd"/>
      <w:r w:rsidRPr="00E51565">
        <w:rPr>
          <w:lang w:eastAsia="en-AU"/>
        </w:rPr>
        <w:t xml:space="preserve"> in inducing clinical response in subjects with moderately to severely active ulcerative colitis.</w:t>
      </w:r>
    </w:p>
    <w:p w:rsidR="00E51565" w:rsidRPr="00E51565" w:rsidRDefault="00E51565" w:rsidP="00D42FC5">
      <w:pPr>
        <w:pStyle w:val="ListBullet"/>
        <w:rPr>
          <w:lang w:eastAsia="en-AU"/>
        </w:rPr>
      </w:pPr>
      <w:r w:rsidRPr="00E51565">
        <w:rPr>
          <w:lang w:eastAsia="en-AU"/>
        </w:rPr>
        <w:t xml:space="preserve">To evaluate the safety of SC induction regimens of </w:t>
      </w:r>
      <w:proofErr w:type="spellStart"/>
      <w:r w:rsidRPr="00E51565">
        <w:rPr>
          <w:lang w:eastAsia="en-AU"/>
        </w:rPr>
        <w:t>golimumab</w:t>
      </w:r>
      <w:proofErr w:type="spellEnd"/>
      <w:r w:rsidRPr="00E51565">
        <w:rPr>
          <w:lang w:eastAsia="en-AU"/>
        </w:rPr>
        <w:t xml:space="preserve"> in subjects with moderately to severely active ulcerative colitis.</w:t>
      </w:r>
    </w:p>
    <w:p w:rsidR="00E51565" w:rsidRPr="00E51565" w:rsidRDefault="00E51565" w:rsidP="00D42FC5">
      <w:pPr>
        <w:pStyle w:val="Heading7"/>
        <w:rPr>
          <w:lang w:eastAsia="en-AU"/>
        </w:rPr>
      </w:pPr>
      <w:r w:rsidRPr="00E51565">
        <w:rPr>
          <w:lang w:eastAsia="en-AU"/>
        </w:rPr>
        <w:lastRenderedPageBreak/>
        <w:t xml:space="preserve">Secondary </w:t>
      </w:r>
      <w:r w:rsidR="00D42FC5" w:rsidRPr="00D42FC5">
        <w:t>o</w:t>
      </w:r>
      <w:r w:rsidRPr="00D42FC5">
        <w:t>bjectives</w:t>
      </w:r>
    </w:p>
    <w:p w:rsidR="00E51565" w:rsidRPr="00E51565" w:rsidRDefault="00E51565" w:rsidP="00D42FC5">
      <w:pPr>
        <w:pStyle w:val="ListBullet"/>
        <w:rPr>
          <w:lang w:eastAsia="en-AU"/>
        </w:rPr>
      </w:pPr>
      <w:r w:rsidRPr="00E51565">
        <w:rPr>
          <w:lang w:eastAsia="en-AU"/>
        </w:rPr>
        <w:t xml:space="preserve">To evaluate the efficacy of SC induction regimens of </w:t>
      </w:r>
      <w:proofErr w:type="spellStart"/>
      <w:r w:rsidRPr="00E51565">
        <w:rPr>
          <w:lang w:eastAsia="en-AU"/>
        </w:rPr>
        <w:t>golimumab</w:t>
      </w:r>
      <w:proofErr w:type="spellEnd"/>
      <w:r w:rsidRPr="00E51565">
        <w:rPr>
          <w:lang w:eastAsia="en-AU"/>
        </w:rPr>
        <w:t xml:space="preserve"> in inducing clinical remission.</w:t>
      </w:r>
    </w:p>
    <w:p w:rsidR="00E51565" w:rsidRPr="00E51565" w:rsidRDefault="00E51565" w:rsidP="00D42FC5">
      <w:pPr>
        <w:pStyle w:val="ListBullet"/>
        <w:rPr>
          <w:lang w:eastAsia="en-AU"/>
        </w:rPr>
      </w:pPr>
      <w:r w:rsidRPr="00E51565">
        <w:rPr>
          <w:lang w:eastAsia="en-AU"/>
        </w:rPr>
        <w:t xml:space="preserve">To evaluate the efficacy of SC induction regimens of </w:t>
      </w:r>
      <w:proofErr w:type="spellStart"/>
      <w:r w:rsidRPr="00E51565">
        <w:rPr>
          <w:lang w:eastAsia="en-AU"/>
        </w:rPr>
        <w:t>golimumab</w:t>
      </w:r>
      <w:proofErr w:type="spellEnd"/>
      <w:r w:rsidRPr="00E51565">
        <w:rPr>
          <w:lang w:eastAsia="en-AU"/>
        </w:rPr>
        <w:t xml:space="preserve"> in inducing mucosal healing.</w:t>
      </w:r>
    </w:p>
    <w:p w:rsidR="00E51565" w:rsidRPr="00E51565" w:rsidRDefault="00E51565" w:rsidP="00D42FC5">
      <w:pPr>
        <w:pStyle w:val="ListBullet"/>
        <w:rPr>
          <w:lang w:eastAsia="en-AU"/>
        </w:rPr>
      </w:pPr>
      <w:r w:rsidRPr="00E51565">
        <w:rPr>
          <w:lang w:eastAsia="en-AU"/>
        </w:rPr>
        <w:t xml:space="preserve">To evaluate the efficacy of SC induction regimens of </w:t>
      </w:r>
      <w:proofErr w:type="spellStart"/>
      <w:r w:rsidRPr="00E51565">
        <w:rPr>
          <w:lang w:eastAsia="en-AU"/>
        </w:rPr>
        <w:t>golimumab</w:t>
      </w:r>
      <w:proofErr w:type="spellEnd"/>
      <w:r w:rsidRPr="00E51565">
        <w:rPr>
          <w:lang w:eastAsia="en-AU"/>
        </w:rPr>
        <w:t xml:space="preserve"> in improving disease-specific health-related quality of life.</w:t>
      </w:r>
    </w:p>
    <w:p w:rsidR="00E51565" w:rsidRPr="00E51565" w:rsidRDefault="00E51565" w:rsidP="00D42FC5">
      <w:pPr>
        <w:pStyle w:val="ListBullet"/>
        <w:rPr>
          <w:lang w:eastAsia="en-AU"/>
        </w:rPr>
      </w:pPr>
      <w:r w:rsidRPr="00E51565">
        <w:rPr>
          <w:lang w:eastAsia="en-AU"/>
        </w:rPr>
        <w:t xml:space="preserve">To provide the target study population to be evaluated in the 1-year </w:t>
      </w:r>
      <w:proofErr w:type="spellStart"/>
      <w:r w:rsidRPr="00E51565">
        <w:rPr>
          <w:lang w:eastAsia="en-AU"/>
        </w:rPr>
        <w:t>golimumab</w:t>
      </w:r>
      <w:proofErr w:type="spellEnd"/>
      <w:r w:rsidRPr="00E51565">
        <w:rPr>
          <w:lang w:eastAsia="en-AU"/>
        </w:rPr>
        <w:t xml:space="preserve"> maintenance study (C0524T18).</w:t>
      </w:r>
    </w:p>
    <w:p w:rsidR="00E51565" w:rsidRPr="00E51565" w:rsidRDefault="00E51565" w:rsidP="00D42FC5">
      <w:pPr>
        <w:pStyle w:val="Heading6"/>
        <w:rPr>
          <w:lang w:eastAsia="en-AU"/>
        </w:rPr>
      </w:pPr>
      <w:r w:rsidRPr="00E51565">
        <w:rPr>
          <w:lang w:eastAsia="en-AU"/>
        </w:rPr>
        <w:t xml:space="preserve">Protocol </w:t>
      </w:r>
      <w:r w:rsidR="00D42FC5">
        <w:t>a</w:t>
      </w:r>
      <w:r w:rsidRPr="00D42FC5">
        <w:t>mendments</w:t>
      </w:r>
    </w:p>
    <w:p w:rsidR="00E51565" w:rsidRPr="007C1257" w:rsidRDefault="00E51565" w:rsidP="00D42FC5">
      <w:r w:rsidRPr="007C1257">
        <w:t>First amendment 08 May 2008:</w:t>
      </w:r>
    </w:p>
    <w:p w:rsidR="00E51565" w:rsidRPr="007C1257" w:rsidRDefault="00E51565" w:rsidP="00D42FC5">
      <w:pPr>
        <w:pStyle w:val="ListBullet"/>
      </w:pPr>
      <w:r w:rsidRPr="007C1257">
        <w:t>Since an appropriate re-randomization test was not developed and validated in the time frame necessary for this study, the randomization for Part 2 was changed to a permuted block randomization.</w:t>
      </w:r>
    </w:p>
    <w:p w:rsidR="00E51565" w:rsidRPr="007C1257" w:rsidRDefault="00E51565" w:rsidP="00D42FC5">
      <w:pPr>
        <w:pStyle w:val="ListBullet"/>
      </w:pPr>
      <w:r w:rsidRPr="007C1257">
        <w:t xml:space="preserve">Inclusion of subjects </w:t>
      </w:r>
      <w:r w:rsidRPr="00D42FC5">
        <w:t>who</w:t>
      </w:r>
      <w:r w:rsidR="00D42FC5">
        <w:t xml:space="preserve"> are corticosteroid dependent.</w:t>
      </w:r>
    </w:p>
    <w:p w:rsidR="00E51565" w:rsidRPr="007C1257" w:rsidRDefault="00E51565" w:rsidP="00D42FC5">
      <w:pPr>
        <w:pStyle w:val="ListBullet"/>
      </w:pPr>
      <w:r w:rsidRPr="007C1257">
        <w:t>Inclusion of subjects who are refractory to or intolerant of oral 5-ASAs.</w:t>
      </w:r>
    </w:p>
    <w:p w:rsidR="00E51565" w:rsidRPr="007C1257" w:rsidRDefault="00E51565" w:rsidP="00D42FC5">
      <w:r w:rsidRPr="007C1257">
        <w:t>Second amendment 20 Aug</w:t>
      </w:r>
      <w:r w:rsidR="007C1257">
        <w:t>ust</w:t>
      </w:r>
      <w:r w:rsidR="00D42FC5">
        <w:t xml:space="preserve"> 2009:</w:t>
      </w:r>
    </w:p>
    <w:p w:rsidR="00E51565" w:rsidRPr="007C1257" w:rsidRDefault="00E51565" w:rsidP="00D42FC5">
      <w:pPr>
        <w:pStyle w:val="ListBullet"/>
      </w:pPr>
      <w:r w:rsidRPr="007C1257">
        <w:t>Increased the number of subjects enrolled in Part 2 to approximately 875 and the number of study sites to approximately 275.</w:t>
      </w:r>
    </w:p>
    <w:p w:rsidR="00E51565" w:rsidRPr="007C1257" w:rsidRDefault="00E51565" w:rsidP="00D42FC5">
      <w:pPr>
        <w:pStyle w:val="ListBullet"/>
      </w:pPr>
      <w:r w:rsidRPr="007C1257">
        <w:t>The primary analysis population was changed to include only subjects randomised to Part 2 after the dose selection.</w:t>
      </w:r>
    </w:p>
    <w:p w:rsidR="00E51565" w:rsidRPr="00E51565" w:rsidRDefault="00E51565" w:rsidP="00D42FC5">
      <w:pPr>
        <w:pStyle w:val="Heading6"/>
        <w:rPr>
          <w:lang w:eastAsia="en-AU"/>
        </w:rPr>
      </w:pPr>
      <w:r w:rsidRPr="00E51565">
        <w:rPr>
          <w:lang w:eastAsia="en-AU"/>
        </w:rPr>
        <w:t>Inclusion criteria</w:t>
      </w:r>
    </w:p>
    <w:p w:rsidR="00E51565" w:rsidRPr="007C1257" w:rsidRDefault="00E51565" w:rsidP="00D42FC5">
      <w:pPr>
        <w:pStyle w:val="ListBullet"/>
      </w:pPr>
      <w:r w:rsidRPr="007C1257">
        <w:t>Had ulcerative colitis diagnosed prior to screening.</w:t>
      </w:r>
    </w:p>
    <w:p w:rsidR="00E51565" w:rsidRPr="007C1257" w:rsidRDefault="00E51565" w:rsidP="00D42FC5">
      <w:pPr>
        <w:pStyle w:val="ListBullet"/>
      </w:pPr>
      <w:r w:rsidRPr="007C1257">
        <w:t xml:space="preserve">Prior or current medication for </w:t>
      </w:r>
      <w:r w:rsidRPr="00D42FC5">
        <w:t>ulcerative</w:t>
      </w:r>
      <w:r w:rsidRPr="007C1257">
        <w:t xml:space="preserve"> colitis must include at least 1 of the following:</w:t>
      </w:r>
    </w:p>
    <w:p w:rsidR="00E51565" w:rsidRPr="007C1257" w:rsidRDefault="00E51565" w:rsidP="00D42FC5">
      <w:pPr>
        <w:pStyle w:val="ListBullet2"/>
      </w:pPr>
      <w:r w:rsidRPr="007C1257">
        <w:t xml:space="preserve">Current treatment with at </w:t>
      </w:r>
      <w:r w:rsidRPr="00D42FC5">
        <w:t>least</w:t>
      </w:r>
      <w:r w:rsidRPr="007C1257">
        <w:t xml:space="preserve"> 1 of the following therapies: oral 5-ASAs, ora</w:t>
      </w:r>
      <w:r w:rsidR="007C1257">
        <w:t xml:space="preserve">l corticosteroids, 6-MP, or AZA </w:t>
      </w:r>
      <w:r w:rsidRPr="007C1257">
        <w:t>OR</w:t>
      </w:r>
    </w:p>
    <w:p w:rsidR="00E51565" w:rsidRPr="007C1257" w:rsidRDefault="00E51565" w:rsidP="00D42FC5">
      <w:pPr>
        <w:pStyle w:val="ListBullet2"/>
      </w:pPr>
      <w:r w:rsidRPr="007C1257">
        <w:t xml:space="preserve">Have a history of failure to </w:t>
      </w:r>
      <w:r w:rsidRPr="00D42FC5">
        <w:t>respond</w:t>
      </w:r>
      <w:r w:rsidRPr="007C1257">
        <w:t xml:space="preserve"> to, or tolerate, at least 1 of the following therapies: oral 5-ASAs, ora</w:t>
      </w:r>
      <w:r w:rsidR="007C1257">
        <w:t xml:space="preserve">l corticosteroids, 6-MP, or AZA </w:t>
      </w:r>
      <w:r w:rsidRPr="007C1257">
        <w:t>OR</w:t>
      </w:r>
    </w:p>
    <w:p w:rsidR="00E51565" w:rsidRPr="007C1257" w:rsidRDefault="00E51565" w:rsidP="00D42FC5">
      <w:pPr>
        <w:pStyle w:val="ListBullet2"/>
      </w:pPr>
      <w:r w:rsidRPr="007C1257">
        <w:t>Currently have or have had a history of corticosteroid dependency (that is, an inability to successfully taper corticosteroids without a return of the symptoms of ulcerative colitis).</w:t>
      </w:r>
    </w:p>
    <w:p w:rsidR="00E51565" w:rsidRPr="00E51565" w:rsidRDefault="00E51565" w:rsidP="00D42FC5">
      <w:pPr>
        <w:pStyle w:val="ListBullet"/>
        <w:rPr>
          <w:lang w:eastAsia="en-AU"/>
        </w:rPr>
      </w:pPr>
      <w:r w:rsidRPr="00E51565">
        <w:rPr>
          <w:lang w:eastAsia="en-AU"/>
        </w:rPr>
        <w:t>Prior to the screening endoscopy or the earliest entry in the Mayo diary card that will be used to calculate the baseline Mayo score, whichever of these 2 events comes first, the following conditions must be met:</w:t>
      </w:r>
    </w:p>
    <w:p w:rsidR="00E51565" w:rsidRPr="00E51565" w:rsidRDefault="00E51565" w:rsidP="00D42FC5">
      <w:pPr>
        <w:pStyle w:val="ListBullet2"/>
        <w:rPr>
          <w:lang w:eastAsia="en-AU"/>
        </w:rPr>
      </w:pPr>
      <w:r w:rsidRPr="00E51565">
        <w:rPr>
          <w:lang w:eastAsia="en-AU"/>
        </w:rPr>
        <w:t xml:space="preserve">If receiving 6-MP, AZA, or </w:t>
      </w:r>
      <w:r w:rsidRPr="00D42FC5">
        <w:t>MTX</w:t>
      </w:r>
      <w:r w:rsidRPr="00E51565">
        <w:rPr>
          <w:lang w:eastAsia="en-AU"/>
        </w:rPr>
        <w:t>, must have been receiving it for at least 12 weeks. The class of agent (6-MP/AZA versus MTX) prescribed may not have changed during those 12 weeks, and the dose must be stable for at least4 weeks.</w:t>
      </w:r>
    </w:p>
    <w:p w:rsidR="00E51565" w:rsidRPr="00E51565" w:rsidRDefault="00E51565" w:rsidP="00D42FC5">
      <w:pPr>
        <w:pStyle w:val="ListBullet2"/>
        <w:rPr>
          <w:lang w:eastAsia="en-AU"/>
        </w:rPr>
      </w:pPr>
      <w:r w:rsidRPr="00E51565">
        <w:rPr>
          <w:lang w:eastAsia="en-AU"/>
        </w:rPr>
        <w:t xml:space="preserve">If 6-MP, AZA, or MTX have </w:t>
      </w:r>
      <w:r w:rsidRPr="00D42FC5">
        <w:t>been</w:t>
      </w:r>
      <w:r w:rsidRPr="00E51565">
        <w:rPr>
          <w:lang w:eastAsia="en-AU"/>
        </w:rPr>
        <w:t xml:space="preserve"> recently discontinued, they must have been stopped for at least 4 weeks.</w:t>
      </w:r>
    </w:p>
    <w:p w:rsidR="00E51565" w:rsidRPr="00E51565" w:rsidRDefault="00E51565" w:rsidP="00D42FC5">
      <w:pPr>
        <w:pStyle w:val="ListBullet2"/>
        <w:rPr>
          <w:lang w:eastAsia="en-AU"/>
        </w:rPr>
      </w:pPr>
      <w:r w:rsidRPr="00E51565">
        <w:rPr>
          <w:lang w:eastAsia="en-AU"/>
        </w:rPr>
        <w:t xml:space="preserve">If receiving oral 5-ASA </w:t>
      </w:r>
      <w:r w:rsidRPr="00D42FC5">
        <w:t>compounds</w:t>
      </w:r>
      <w:r w:rsidRPr="00E51565">
        <w:rPr>
          <w:lang w:eastAsia="en-AU"/>
        </w:rPr>
        <w:t xml:space="preserve"> or oral corticosteroids, the dose must have been stable for at least 2 weeks.</w:t>
      </w:r>
    </w:p>
    <w:p w:rsidR="00E51565" w:rsidRPr="00E51565" w:rsidRDefault="00E51565" w:rsidP="00D42FC5">
      <w:pPr>
        <w:pStyle w:val="ListBullet2"/>
        <w:rPr>
          <w:lang w:eastAsia="en-AU"/>
        </w:rPr>
      </w:pPr>
      <w:r w:rsidRPr="00E51565">
        <w:rPr>
          <w:lang w:eastAsia="en-AU"/>
        </w:rPr>
        <w:t xml:space="preserve">If oral 5-ASA compounds or </w:t>
      </w:r>
      <w:r w:rsidRPr="00D42FC5">
        <w:t>oral</w:t>
      </w:r>
      <w:r w:rsidRPr="00E51565">
        <w:rPr>
          <w:lang w:eastAsia="en-AU"/>
        </w:rPr>
        <w:t xml:space="preserve"> corticosteroids have been recently discontinued, they must have been stopped for at least 2 weeks.</w:t>
      </w:r>
    </w:p>
    <w:p w:rsidR="00E51565" w:rsidRPr="00E51565" w:rsidRDefault="00E51565" w:rsidP="00D42FC5">
      <w:pPr>
        <w:pStyle w:val="ListBullet2"/>
        <w:rPr>
          <w:lang w:eastAsia="en-AU"/>
        </w:rPr>
      </w:pPr>
      <w:r w:rsidRPr="00E51565">
        <w:rPr>
          <w:lang w:eastAsia="en-AU"/>
        </w:rPr>
        <w:lastRenderedPageBreak/>
        <w:t xml:space="preserve">The following medications/therapies must have </w:t>
      </w:r>
      <w:r w:rsidRPr="00D42FC5">
        <w:t>been</w:t>
      </w:r>
      <w:r w:rsidRPr="00E51565">
        <w:rPr>
          <w:lang w:eastAsia="en-AU"/>
        </w:rPr>
        <w:t xml:space="preserve"> discontinued for at least 2 weeks:</w:t>
      </w:r>
    </w:p>
    <w:p w:rsidR="00E51565" w:rsidRPr="00E51565" w:rsidRDefault="00E51565" w:rsidP="00D42FC5">
      <w:pPr>
        <w:pStyle w:val="ListBullet3"/>
        <w:rPr>
          <w:lang w:eastAsia="en-AU"/>
        </w:rPr>
      </w:pPr>
      <w:r w:rsidRPr="00E51565">
        <w:rPr>
          <w:lang w:eastAsia="en-AU"/>
        </w:rPr>
        <w:t xml:space="preserve">rectal corticosteroids (that is, corticosteroids </w:t>
      </w:r>
      <w:r w:rsidRPr="00D42FC5">
        <w:t>administered</w:t>
      </w:r>
      <w:r w:rsidRPr="00E51565">
        <w:rPr>
          <w:lang w:eastAsia="en-AU"/>
        </w:rPr>
        <w:t xml:space="preserve"> to the rectum or sigmoid colon via foam or enema or suppository)</w:t>
      </w:r>
    </w:p>
    <w:p w:rsidR="00E51565" w:rsidRPr="00E51565" w:rsidRDefault="00E51565" w:rsidP="00D42FC5">
      <w:pPr>
        <w:pStyle w:val="ListBullet3"/>
        <w:rPr>
          <w:lang w:eastAsia="en-AU"/>
        </w:rPr>
      </w:pPr>
      <w:r w:rsidRPr="00E51565">
        <w:rPr>
          <w:lang w:eastAsia="en-AU"/>
        </w:rPr>
        <w:t xml:space="preserve">rectal 5-ASA compounds (that is, 5-ASAs </w:t>
      </w:r>
      <w:r w:rsidRPr="00D42FC5">
        <w:t>administered</w:t>
      </w:r>
      <w:r w:rsidRPr="00E51565">
        <w:rPr>
          <w:lang w:eastAsia="en-AU"/>
        </w:rPr>
        <w:t xml:space="preserve"> to the rectum or sigmoid colon via foam or enema or suppository)</w:t>
      </w:r>
    </w:p>
    <w:p w:rsidR="00E51565" w:rsidRPr="00E51565" w:rsidRDefault="00E51565" w:rsidP="00D42FC5">
      <w:pPr>
        <w:pStyle w:val="ListBullet3"/>
        <w:rPr>
          <w:lang w:eastAsia="en-AU"/>
        </w:rPr>
      </w:pPr>
      <w:r w:rsidRPr="00E51565">
        <w:rPr>
          <w:lang w:eastAsia="en-AU"/>
        </w:rPr>
        <w:t>parenteral corticosteroids</w:t>
      </w:r>
    </w:p>
    <w:p w:rsidR="00E51565" w:rsidRPr="00E51565" w:rsidRDefault="00E51565" w:rsidP="007C1257">
      <w:pPr>
        <w:pStyle w:val="ListBullet3"/>
        <w:rPr>
          <w:lang w:eastAsia="en-AU"/>
        </w:rPr>
      </w:pPr>
      <w:r w:rsidRPr="00E51565">
        <w:rPr>
          <w:lang w:eastAsia="en-AU"/>
        </w:rPr>
        <w:t>total parenteral nutrition (TPN)</w:t>
      </w:r>
    </w:p>
    <w:p w:rsidR="00E51565" w:rsidRPr="00E51565" w:rsidRDefault="00E51565" w:rsidP="00D42FC5">
      <w:pPr>
        <w:pStyle w:val="ListBullet3"/>
        <w:rPr>
          <w:lang w:eastAsia="en-AU"/>
        </w:rPr>
      </w:pPr>
      <w:proofErr w:type="spellStart"/>
      <w:r w:rsidRPr="00E51565">
        <w:rPr>
          <w:lang w:eastAsia="en-AU"/>
        </w:rPr>
        <w:t>pentoxifylline</w:t>
      </w:r>
      <w:proofErr w:type="spellEnd"/>
    </w:p>
    <w:p w:rsidR="00E51565" w:rsidRPr="00E51565" w:rsidRDefault="00E51565" w:rsidP="007C1257">
      <w:pPr>
        <w:pStyle w:val="ListBullet3"/>
        <w:rPr>
          <w:lang w:eastAsia="en-AU"/>
        </w:rPr>
      </w:pPr>
      <w:r w:rsidRPr="00E51565">
        <w:rPr>
          <w:lang w:eastAsia="en-AU"/>
        </w:rPr>
        <w:t>thalidomide or related agents</w:t>
      </w:r>
    </w:p>
    <w:p w:rsidR="00E51565" w:rsidRPr="00E51565" w:rsidRDefault="00E51565" w:rsidP="00D42FC5">
      <w:pPr>
        <w:pStyle w:val="ListBullet3"/>
        <w:rPr>
          <w:lang w:eastAsia="en-AU"/>
        </w:rPr>
      </w:pPr>
      <w:proofErr w:type="gramStart"/>
      <w:r w:rsidRPr="00E51565">
        <w:rPr>
          <w:lang w:eastAsia="en-AU"/>
        </w:rPr>
        <w:t>antibiotics</w:t>
      </w:r>
      <w:proofErr w:type="gramEnd"/>
      <w:r w:rsidRPr="00E51565">
        <w:rPr>
          <w:lang w:eastAsia="en-AU"/>
        </w:rPr>
        <w:t xml:space="preserve"> for the treatment of ulcerative </w:t>
      </w:r>
      <w:r w:rsidRPr="00D42FC5">
        <w:t>colitis</w:t>
      </w:r>
      <w:r w:rsidRPr="00E51565">
        <w:rPr>
          <w:lang w:eastAsia="en-AU"/>
        </w:rPr>
        <w:t xml:space="preserve"> (that is, ciprofloxacin, metronidazole, or </w:t>
      </w:r>
      <w:proofErr w:type="spellStart"/>
      <w:r w:rsidRPr="00E51565">
        <w:rPr>
          <w:lang w:eastAsia="en-AU"/>
        </w:rPr>
        <w:t>rifaximin</w:t>
      </w:r>
      <w:proofErr w:type="spellEnd"/>
      <w:r w:rsidRPr="00E51565">
        <w:rPr>
          <w:lang w:eastAsia="en-AU"/>
        </w:rPr>
        <w:t>).</w:t>
      </w:r>
    </w:p>
    <w:p w:rsidR="00E51565" w:rsidRPr="00E51565" w:rsidRDefault="00E51565" w:rsidP="00D42FC5">
      <w:pPr>
        <w:pStyle w:val="ListBullet3"/>
        <w:rPr>
          <w:lang w:eastAsia="en-AU"/>
        </w:rPr>
      </w:pPr>
      <w:r w:rsidRPr="00E51565">
        <w:rPr>
          <w:lang w:eastAsia="en-AU"/>
        </w:rPr>
        <w:t xml:space="preserve">6-thioguanine (6-TG) must have been </w:t>
      </w:r>
      <w:r w:rsidRPr="00D42FC5">
        <w:t>discontinued</w:t>
      </w:r>
      <w:r w:rsidRPr="00E51565">
        <w:rPr>
          <w:lang w:eastAsia="en-AU"/>
        </w:rPr>
        <w:t xml:space="preserve"> for at least 4 weeks.</w:t>
      </w:r>
    </w:p>
    <w:p w:rsidR="00E51565" w:rsidRPr="00E51565" w:rsidRDefault="00E51565" w:rsidP="00D42FC5">
      <w:pPr>
        <w:pStyle w:val="ListBullet"/>
        <w:rPr>
          <w:lang w:eastAsia="en-AU"/>
        </w:rPr>
      </w:pPr>
      <w:r w:rsidRPr="00E51565">
        <w:rPr>
          <w:lang w:eastAsia="en-AU"/>
        </w:rPr>
        <w:t xml:space="preserve">Must be ambulatory and have moderately to severely </w:t>
      </w:r>
      <w:r w:rsidRPr="00D42FC5">
        <w:t>active</w:t>
      </w:r>
      <w:r w:rsidRPr="00E51565">
        <w:rPr>
          <w:lang w:eastAsia="en-AU"/>
        </w:rPr>
        <w:t xml:space="preserve"> ulcerative colitis confirmed during the screening </w:t>
      </w:r>
      <w:proofErr w:type="spellStart"/>
      <w:r w:rsidRPr="00E51565">
        <w:rPr>
          <w:lang w:eastAsia="en-AU"/>
        </w:rPr>
        <w:t>sigmoidoscopy</w:t>
      </w:r>
      <w:proofErr w:type="spellEnd"/>
      <w:r w:rsidRPr="00E51565">
        <w:rPr>
          <w:lang w:eastAsia="en-AU"/>
        </w:rPr>
        <w:t xml:space="preserve"> by a ≥ 2 endoscopy </w:t>
      </w:r>
      <w:proofErr w:type="spellStart"/>
      <w:r w:rsidRPr="00E51565">
        <w:rPr>
          <w:lang w:eastAsia="en-AU"/>
        </w:rPr>
        <w:t>subscore</w:t>
      </w:r>
      <w:proofErr w:type="spellEnd"/>
      <w:r w:rsidRPr="00E51565">
        <w:rPr>
          <w:lang w:eastAsia="en-AU"/>
        </w:rPr>
        <w:t xml:space="preserve"> of the Mayo score.</w:t>
      </w:r>
    </w:p>
    <w:p w:rsidR="00E51565" w:rsidRPr="00E51565" w:rsidRDefault="00E51565" w:rsidP="00D42FC5">
      <w:pPr>
        <w:pStyle w:val="ListBullet"/>
        <w:rPr>
          <w:lang w:eastAsia="en-AU"/>
        </w:rPr>
      </w:pPr>
      <w:r w:rsidRPr="00E51565">
        <w:rPr>
          <w:lang w:eastAsia="en-AU"/>
        </w:rPr>
        <w:t xml:space="preserve">Must have results from a biopsy collected at the </w:t>
      </w:r>
      <w:r w:rsidRPr="00D42FC5">
        <w:t>screening</w:t>
      </w:r>
      <w:r w:rsidRPr="00E51565">
        <w:rPr>
          <w:lang w:eastAsia="en-AU"/>
        </w:rPr>
        <w:t xml:space="preserve"> endoscopy procedure or have a previous biopsy result obtained within the last year that is consistent with the diagnosis of ulcerative colitis.</w:t>
      </w:r>
    </w:p>
    <w:p w:rsidR="00E51565" w:rsidRPr="00E51565" w:rsidRDefault="00E51565" w:rsidP="00D42FC5">
      <w:pPr>
        <w:pStyle w:val="ListBullet"/>
        <w:rPr>
          <w:lang w:eastAsia="en-AU"/>
        </w:rPr>
      </w:pPr>
      <w:r w:rsidRPr="00E51565">
        <w:rPr>
          <w:lang w:eastAsia="en-AU"/>
        </w:rPr>
        <w:t xml:space="preserve">Have moderately to severely active ulcerative colitis, </w:t>
      </w:r>
      <w:r w:rsidRPr="00D42FC5">
        <w:t>defined</w:t>
      </w:r>
      <w:r w:rsidRPr="00E51565">
        <w:rPr>
          <w:lang w:eastAsia="en-AU"/>
        </w:rPr>
        <w:t xml:space="preserve"> as a baseline (Week 0) Mayo score of 6 to 12, inclusive.</w:t>
      </w:r>
    </w:p>
    <w:p w:rsidR="00E51565" w:rsidRPr="00E51565" w:rsidRDefault="00E51565" w:rsidP="00D42FC5">
      <w:pPr>
        <w:pStyle w:val="ListBullet"/>
        <w:rPr>
          <w:lang w:eastAsia="en-AU"/>
        </w:rPr>
      </w:pPr>
      <w:r w:rsidRPr="00E51565">
        <w:rPr>
          <w:lang w:eastAsia="en-AU"/>
        </w:rPr>
        <w:t xml:space="preserve">All subjects ≥ 45 years of </w:t>
      </w:r>
      <w:proofErr w:type="gramStart"/>
      <w:r w:rsidRPr="00E51565">
        <w:rPr>
          <w:lang w:eastAsia="en-AU"/>
        </w:rPr>
        <w:t>age,</w:t>
      </w:r>
      <w:proofErr w:type="gramEnd"/>
      <w:r w:rsidRPr="00E51565">
        <w:rPr>
          <w:lang w:eastAsia="en-AU"/>
        </w:rPr>
        <w:t xml:space="preserve"> must either have had a </w:t>
      </w:r>
      <w:r w:rsidRPr="00D42FC5">
        <w:t>colonoscopy</w:t>
      </w:r>
      <w:r w:rsidRPr="00E51565">
        <w:rPr>
          <w:lang w:eastAsia="en-AU"/>
        </w:rPr>
        <w:t xml:space="preserve"> to assess for the presence of adenomatous polyps within 5 years of the first administration of study agent or a colonoscopy to assess for the presence of adenomatous polyps at the screening visit. The adenomatous polyps must be removed prior to the first administration of study agent.</w:t>
      </w:r>
    </w:p>
    <w:p w:rsidR="00E51565" w:rsidRPr="00E51565" w:rsidRDefault="00E51565" w:rsidP="00D42FC5">
      <w:pPr>
        <w:pStyle w:val="ListBullet"/>
        <w:rPr>
          <w:lang w:eastAsia="en-AU"/>
        </w:rPr>
      </w:pPr>
      <w:r w:rsidRPr="00E51565">
        <w:rPr>
          <w:lang w:eastAsia="en-AU"/>
        </w:rPr>
        <w:t>All subjects who have had extensive colitis for ≥ 8 years, or disease limited to the left side of the colon for ≥ 10 years, must either have had a colonoscopy to assess the presence of dysplasia within 1 year prior to the first administration of study agent or a colonoscopy to assess for the presence of malignancy at the screening visit.</w:t>
      </w:r>
    </w:p>
    <w:p w:rsidR="00E51565" w:rsidRPr="00E51565" w:rsidRDefault="00E51565" w:rsidP="00D42FC5">
      <w:pPr>
        <w:pStyle w:val="ListBullet"/>
        <w:rPr>
          <w:lang w:eastAsia="en-AU"/>
        </w:rPr>
      </w:pPr>
      <w:r w:rsidRPr="00E51565">
        <w:rPr>
          <w:lang w:eastAsia="en-AU"/>
        </w:rPr>
        <w:t xml:space="preserve">Are considered eligible according to the TB screening </w:t>
      </w:r>
      <w:r w:rsidRPr="00D42FC5">
        <w:t>criteria</w:t>
      </w:r>
      <w:r w:rsidRPr="00E51565">
        <w:rPr>
          <w:lang w:eastAsia="en-AU"/>
        </w:rPr>
        <w:t>.</w:t>
      </w:r>
    </w:p>
    <w:p w:rsidR="00E51565" w:rsidRPr="00E51565" w:rsidRDefault="00E51565" w:rsidP="007C1257">
      <w:pPr>
        <w:pStyle w:val="ListBullet"/>
        <w:rPr>
          <w:lang w:eastAsia="en-AU"/>
        </w:rPr>
      </w:pPr>
      <w:r w:rsidRPr="00E51565">
        <w:rPr>
          <w:lang w:eastAsia="en-AU"/>
        </w:rPr>
        <w:t>Have negative stool results for enteric pathogens.</w:t>
      </w:r>
    </w:p>
    <w:p w:rsidR="00E51565" w:rsidRPr="00E51565" w:rsidRDefault="00E51565" w:rsidP="00D42FC5">
      <w:pPr>
        <w:pStyle w:val="Heading6"/>
        <w:rPr>
          <w:lang w:eastAsia="en-AU"/>
        </w:rPr>
      </w:pPr>
      <w:r w:rsidRPr="00E51565">
        <w:rPr>
          <w:lang w:eastAsia="en-AU"/>
        </w:rPr>
        <w:t>Exclusion criteria</w:t>
      </w:r>
    </w:p>
    <w:p w:rsidR="00E51565" w:rsidRPr="00E51565" w:rsidRDefault="00E51565" w:rsidP="00D42FC5">
      <w:pPr>
        <w:pStyle w:val="ListBullet"/>
        <w:rPr>
          <w:lang w:eastAsia="en-AU"/>
        </w:rPr>
      </w:pPr>
      <w:r w:rsidRPr="00E51565">
        <w:rPr>
          <w:lang w:eastAsia="en-AU"/>
        </w:rPr>
        <w:t>Have severe extensive colitis as evidenced by:</w:t>
      </w:r>
    </w:p>
    <w:p w:rsidR="00E51565" w:rsidRPr="00E51565" w:rsidRDefault="00E51565" w:rsidP="00D42FC5">
      <w:pPr>
        <w:pStyle w:val="ListBullet2"/>
        <w:rPr>
          <w:lang w:eastAsia="en-AU"/>
        </w:rPr>
      </w:pPr>
      <w:r w:rsidRPr="00E51565">
        <w:rPr>
          <w:lang w:eastAsia="en-AU"/>
        </w:rPr>
        <w:t xml:space="preserve">Investigator judgment that the subject is likely to </w:t>
      </w:r>
      <w:r w:rsidRPr="00D42FC5">
        <w:t>require</w:t>
      </w:r>
      <w:r w:rsidRPr="00E51565">
        <w:rPr>
          <w:lang w:eastAsia="en-AU"/>
        </w:rPr>
        <w:t xml:space="preserve"> a colect</w:t>
      </w:r>
      <w:r w:rsidR="007C1257">
        <w:rPr>
          <w:lang w:eastAsia="en-AU"/>
        </w:rPr>
        <w:t xml:space="preserve">omy within 12 weeks of baseline </w:t>
      </w:r>
      <w:r w:rsidRPr="00E51565">
        <w:rPr>
          <w:lang w:eastAsia="en-AU"/>
        </w:rPr>
        <w:t>OR</w:t>
      </w:r>
    </w:p>
    <w:p w:rsidR="00E51565" w:rsidRPr="00E51565" w:rsidRDefault="00E51565" w:rsidP="00D42FC5">
      <w:pPr>
        <w:pStyle w:val="ListBullet2"/>
        <w:rPr>
          <w:lang w:eastAsia="en-AU"/>
        </w:rPr>
      </w:pPr>
      <w:r w:rsidRPr="00E51565">
        <w:rPr>
          <w:lang w:eastAsia="en-AU"/>
        </w:rPr>
        <w:t xml:space="preserve">Symptom complex at screening or baseline visits </w:t>
      </w:r>
      <w:r w:rsidRPr="00D42FC5">
        <w:t>that</w:t>
      </w:r>
      <w:r w:rsidRPr="00E51565">
        <w:rPr>
          <w:lang w:eastAsia="en-AU"/>
        </w:rPr>
        <w:t xml:space="preserve"> includes at least 4 of the following:</w:t>
      </w:r>
    </w:p>
    <w:p w:rsidR="00E51565" w:rsidRPr="00E51565" w:rsidRDefault="00E51565" w:rsidP="00D42FC5">
      <w:pPr>
        <w:pStyle w:val="ListBullet3"/>
        <w:rPr>
          <w:lang w:eastAsia="en-AU"/>
        </w:rPr>
      </w:pPr>
      <w:r w:rsidRPr="00E51565">
        <w:rPr>
          <w:lang w:eastAsia="en-AU"/>
        </w:rPr>
        <w:t>diarrhoea with ≥ 6 bowel movements/day with macroscopic blood in stool</w:t>
      </w:r>
    </w:p>
    <w:p w:rsidR="00E51565" w:rsidRPr="00E51565" w:rsidRDefault="00E51565" w:rsidP="00D42FC5">
      <w:pPr>
        <w:pStyle w:val="ListBullet3"/>
        <w:rPr>
          <w:lang w:eastAsia="en-AU"/>
        </w:rPr>
      </w:pPr>
      <w:r w:rsidRPr="00E51565">
        <w:rPr>
          <w:lang w:eastAsia="en-AU"/>
        </w:rPr>
        <w:t>focal severe or rebound abdominal tenderness</w:t>
      </w:r>
    </w:p>
    <w:p w:rsidR="00E51565" w:rsidRPr="00E51565" w:rsidRDefault="00E51565" w:rsidP="007C1257">
      <w:pPr>
        <w:pStyle w:val="ListBullet3"/>
        <w:rPr>
          <w:lang w:eastAsia="en-AU"/>
        </w:rPr>
      </w:pPr>
      <w:r w:rsidRPr="00E51565">
        <w:rPr>
          <w:lang w:eastAsia="en-AU"/>
        </w:rPr>
        <w:t>persistent fever (≥ 37.5°C)</w:t>
      </w:r>
    </w:p>
    <w:p w:rsidR="00E51565" w:rsidRPr="00E51565" w:rsidRDefault="00E51565" w:rsidP="00D42FC5">
      <w:pPr>
        <w:pStyle w:val="ListBullet3"/>
        <w:rPr>
          <w:lang w:eastAsia="en-AU"/>
        </w:rPr>
      </w:pPr>
      <w:r w:rsidRPr="00E51565">
        <w:rPr>
          <w:lang w:eastAsia="en-AU"/>
        </w:rPr>
        <w:t>tachycardia (&gt; 90 beats/minute)</w:t>
      </w:r>
    </w:p>
    <w:p w:rsidR="00E51565" w:rsidRPr="00E51565" w:rsidRDefault="00E51565" w:rsidP="007C1257">
      <w:pPr>
        <w:pStyle w:val="ListBullet3"/>
        <w:rPr>
          <w:lang w:eastAsia="en-AU"/>
        </w:rPr>
      </w:pPr>
      <w:proofErr w:type="gramStart"/>
      <w:r w:rsidRPr="00E51565">
        <w:rPr>
          <w:lang w:eastAsia="en-AU"/>
        </w:rPr>
        <w:t>anaemia</w:t>
      </w:r>
      <w:proofErr w:type="gramEnd"/>
      <w:r w:rsidRPr="00E51565">
        <w:rPr>
          <w:lang w:eastAsia="en-AU"/>
        </w:rPr>
        <w:t xml:space="preserve"> (haemoglobin &lt; 8.5 g/</w:t>
      </w:r>
      <w:proofErr w:type="spellStart"/>
      <w:r w:rsidRPr="00E51565">
        <w:rPr>
          <w:lang w:eastAsia="en-AU"/>
        </w:rPr>
        <w:t>dL</w:t>
      </w:r>
      <w:proofErr w:type="spellEnd"/>
      <w:r w:rsidRPr="00E51565">
        <w:rPr>
          <w:lang w:eastAsia="en-AU"/>
        </w:rPr>
        <w:t>).</w:t>
      </w:r>
    </w:p>
    <w:p w:rsidR="00E51565" w:rsidRPr="00E51565" w:rsidRDefault="00E51565" w:rsidP="00D42FC5">
      <w:pPr>
        <w:pStyle w:val="ListBullet"/>
        <w:rPr>
          <w:lang w:eastAsia="en-AU"/>
        </w:rPr>
      </w:pPr>
      <w:r w:rsidRPr="00E51565">
        <w:rPr>
          <w:lang w:eastAsia="en-AU"/>
        </w:rPr>
        <w:t>Have ulcerative colitis limited to the rectum only or to &lt; 20 cm of the colon.</w:t>
      </w:r>
    </w:p>
    <w:p w:rsidR="00E51565" w:rsidRPr="00E51565" w:rsidRDefault="00E51565" w:rsidP="00D42FC5">
      <w:pPr>
        <w:pStyle w:val="ListBullet"/>
        <w:rPr>
          <w:lang w:eastAsia="en-AU"/>
        </w:rPr>
      </w:pPr>
      <w:r w:rsidRPr="00E51565">
        <w:rPr>
          <w:lang w:eastAsia="en-AU"/>
        </w:rPr>
        <w:t>Presence of a stoma.</w:t>
      </w:r>
    </w:p>
    <w:p w:rsidR="00E51565" w:rsidRPr="00E51565" w:rsidRDefault="00E51565" w:rsidP="002520A4">
      <w:pPr>
        <w:pStyle w:val="ListBullet"/>
        <w:rPr>
          <w:lang w:eastAsia="en-AU"/>
        </w:rPr>
      </w:pPr>
      <w:r w:rsidRPr="00E51565">
        <w:rPr>
          <w:lang w:eastAsia="en-AU"/>
        </w:rPr>
        <w:lastRenderedPageBreak/>
        <w:t>Presence or history of a fistula.</w:t>
      </w:r>
    </w:p>
    <w:p w:rsidR="00E51565" w:rsidRPr="00E51565" w:rsidRDefault="00E51565" w:rsidP="002520A4">
      <w:pPr>
        <w:pStyle w:val="ListBullet"/>
        <w:rPr>
          <w:lang w:eastAsia="en-AU"/>
        </w:rPr>
      </w:pPr>
      <w:r w:rsidRPr="00E51565">
        <w:rPr>
          <w:lang w:eastAsia="en-AU"/>
        </w:rPr>
        <w:t>Require, or required within the 2 months prior to screening, surgery for active gastrointestinal bleeding, peritonitis, intestinal obstruction, or intra-abdominal or pancreatic abscess requiring surgical drainage, or other conditions possibly confounding the evaluation of benefit from study agent treatment.</w:t>
      </w:r>
    </w:p>
    <w:p w:rsidR="00E51565" w:rsidRPr="00E51565" w:rsidRDefault="00E51565" w:rsidP="002520A4">
      <w:pPr>
        <w:pStyle w:val="ListBullet"/>
        <w:rPr>
          <w:lang w:eastAsia="en-AU"/>
        </w:rPr>
      </w:pPr>
      <w:r w:rsidRPr="00E51565">
        <w:rPr>
          <w:lang w:eastAsia="en-AU"/>
        </w:rPr>
        <w:t xml:space="preserve">Presence of symptomatic </w:t>
      </w:r>
      <w:r w:rsidRPr="002520A4">
        <w:t>colonic</w:t>
      </w:r>
      <w:r w:rsidRPr="00E51565">
        <w:rPr>
          <w:lang w:eastAsia="en-AU"/>
        </w:rPr>
        <w:t xml:space="preserve"> or small bowel obstruction, confirmed by objective radiographic or endoscopic evidence of a stricture with resulting obstruction (dilation of the colon or small bowel proximal to the stricture on barium radiograph or an inability to traver</w:t>
      </w:r>
      <w:r w:rsidR="002520A4">
        <w:rPr>
          <w:lang w:eastAsia="en-AU"/>
        </w:rPr>
        <w:t>se the stricture at endoscopy).</w:t>
      </w:r>
    </w:p>
    <w:p w:rsidR="00E51565" w:rsidRPr="00E51565" w:rsidRDefault="00E51565" w:rsidP="002520A4">
      <w:pPr>
        <w:pStyle w:val="ListBullet"/>
        <w:rPr>
          <w:lang w:eastAsia="en-AU"/>
        </w:rPr>
      </w:pPr>
      <w:r w:rsidRPr="00E51565">
        <w:rPr>
          <w:lang w:eastAsia="en-AU"/>
        </w:rPr>
        <w:t xml:space="preserve">History of extensive colonic </w:t>
      </w:r>
      <w:r w:rsidRPr="002520A4">
        <w:t>resection</w:t>
      </w:r>
      <w:r w:rsidRPr="00E51565">
        <w:rPr>
          <w:lang w:eastAsia="en-AU"/>
        </w:rPr>
        <w:t xml:space="preserve"> (for example, less than 30 cm of colon remaining) that would prevent adequate evaluation of the effect of study agent on clinical disease activity.</w:t>
      </w:r>
    </w:p>
    <w:p w:rsidR="00E51565" w:rsidRPr="00E51565" w:rsidRDefault="00E51565" w:rsidP="002520A4">
      <w:pPr>
        <w:pStyle w:val="ListBullet"/>
        <w:rPr>
          <w:lang w:eastAsia="en-AU"/>
        </w:rPr>
      </w:pPr>
      <w:r w:rsidRPr="00E51565">
        <w:rPr>
          <w:lang w:eastAsia="en-AU"/>
        </w:rPr>
        <w:t>History of colonic mucosal dysplasia.</w:t>
      </w:r>
    </w:p>
    <w:p w:rsidR="00E51565" w:rsidRPr="00E51565" w:rsidRDefault="00E51565" w:rsidP="002520A4">
      <w:pPr>
        <w:pStyle w:val="ListBullet"/>
        <w:rPr>
          <w:lang w:eastAsia="en-AU"/>
        </w:rPr>
      </w:pPr>
      <w:r w:rsidRPr="00E51565">
        <w:rPr>
          <w:lang w:eastAsia="en-AU"/>
        </w:rPr>
        <w:t>Presence on screening endoscopy of adenomatous colonic polyps, if not removed prior to study entry, or history of adenomatous colonic polyps that were not removed.</w:t>
      </w:r>
    </w:p>
    <w:p w:rsidR="00E51565" w:rsidRPr="00E51565" w:rsidRDefault="00E51565" w:rsidP="002520A4">
      <w:pPr>
        <w:pStyle w:val="ListBullet"/>
        <w:rPr>
          <w:lang w:eastAsia="en-AU"/>
        </w:rPr>
      </w:pPr>
      <w:r w:rsidRPr="00E51565">
        <w:rPr>
          <w:lang w:eastAsia="en-AU"/>
        </w:rPr>
        <w:t xml:space="preserve">Have ever received biologic therapy targeted at TNFα (for example, infliximab, </w:t>
      </w:r>
      <w:proofErr w:type="spellStart"/>
      <w:r w:rsidRPr="00E51565">
        <w:rPr>
          <w:lang w:eastAsia="en-AU"/>
        </w:rPr>
        <w:t>etanercept</w:t>
      </w:r>
      <w:proofErr w:type="spellEnd"/>
      <w:r w:rsidRPr="00E51565">
        <w:rPr>
          <w:lang w:eastAsia="en-AU"/>
        </w:rPr>
        <w:t xml:space="preserve">, </w:t>
      </w:r>
      <w:proofErr w:type="spellStart"/>
      <w:r w:rsidRPr="00E51565">
        <w:rPr>
          <w:lang w:eastAsia="en-AU"/>
        </w:rPr>
        <w:t>certolizumab</w:t>
      </w:r>
      <w:proofErr w:type="spellEnd"/>
      <w:r w:rsidRPr="00E51565">
        <w:rPr>
          <w:lang w:eastAsia="en-AU"/>
        </w:rPr>
        <w:t xml:space="preserve">, </w:t>
      </w:r>
      <w:proofErr w:type="spellStart"/>
      <w:r w:rsidRPr="00E51565">
        <w:rPr>
          <w:lang w:eastAsia="en-AU"/>
        </w:rPr>
        <w:t>adalimumab</w:t>
      </w:r>
      <w:proofErr w:type="spellEnd"/>
      <w:r w:rsidRPr="00E51565">
        <w:rPr>
          <w:lang w:eastAsia="en-AU"/>
        </w:rPr>
        <w:t>).</w:t>
      </w:r>
    </w:p>
    <w:p w:rsidR="00E51565" w:rsidRPr="00E51565" w:rsidRDefault="00E51565" w:rsidP="002520A4">
      <w:pPr>
        <w:pStyle w:val="ListBullet"/>
        <w:rPr>
          <w:lang w:eastAsia="en-AU"/>
        </w:rPr>
      </w:pPr>
      <w:r w:rsidRPr="00E51565">
        <w:rPr>
          <w:lang w:eastAsia="en-AU"/>
        </w:rPr>
        <w:t xml:space="preserve">Have received </w:t>
      </w:r>
      <w:proofErr w:type="spellStart"/>
      <w:r w:rsidRPr="00E51565">
        <w:rPr>
          <w:lang w:eastAsia="en-AU"/>
        </w:rPr>
        <w:t>natalizumab</w:t>
      </w:r>
      <w:proofErr w:type="spellEnd"/>
      <w:r w:rsidRPr="00E51565">
        <w:rPr>
          <w:lang w:eastAsia="en-AU"/>
        </w:rPr>
        <w:t xml:space="preserve"> within </w:t>
      </w:r>
      <w:r w:rsidRPr="002520A4">
        <w:t>12</w:t>
      </w:r>
      <w:r w:rsidRPr="00E51565">
        <w:rPr>
          <w:lang w:eastAsia="en-AU"/>
        </w:rPr>
        <w:t xml:space="preserve"> months of first study agent administration.</w:t>
      </w:r>
    </w:p>
    <w:p w:rsidR="00E51565" w:rsidRPr="00E51565" w:rsidRDefault="00E51565" w:rsidP="002520A4">
      <w:pPr>
        <w:pStyle w:val="ListBullet"/>
        <w:rPr>
          <w:lang w:eastAsia="en-AU"/>
        </w:rPr>
      </w:pPr>
      <w:r w:rsidRPr="00E51565">
        <w:rPr>
          <w:lang w:eastAsia="en-AU"/>
        </w:rPr>
        <w:t xml:space="preserve">Have received agents that deplete B or T cells (for example, rituximab, </w:t>
      </w:r>
      <w:proofErr w:type="spellStart"/>
      <w:r w:rsidRPr="00E51565">
        <w:rPr>
          <w:lang w:eastAsia="en-AU"/>
        </w:rPr>
        <w:t>alemtuzumab</w:t>
      </w:r>
      <w:proofErr w:type="spellEnd"/>
      <w:r w:rsidRPr="00E51565">
        <w:rPr>
          <w:lang w:eastAsia="en-AU"/>
        </w:rPr>
        <w:t xml:space="preserve">, or </w:t>
      </w:r>
      <w:proofErr w:type="spellStart"/>
      <w:r w:rsidRPr="00E51565">
        <w:rPr>
          <w:lang w:eastAsia="en-AU"/>
        </w:rPr>
        <w:t>visilizumab</w:t>
      </w:r>
      <w:proofErr w:type="spellEnd"/>
      <w:r w:rsidRPr="00E51565">
        <w:rPr>
          <w:lang w:eastAsia="en-AU"/>
        </w:rPr>
        <w:t>) within 12 months of first study agent administration, or continue to manifest depletion of B or T cells more than 12 months after completion of therapy with lymphocyte-depleting agents.</w:t>
      </w:r>
    </w:p>
    <w:p w:rsidR="00E51565" w:rsidRPr="00E51565" w:rsidRDefault="00E51565" w:rsidP="002520A4">
      <w:pPr>
        <w:pStyle w:val="ListBullet"/>
        <w:rPr>
          <w:lang w:eastAsia="en-AU"/>
        </w:rPr>
      </w:pPr>
      <w:r w:rsidRPr="00E51565">
        <w:rPr>
          <w:lang w:eastAsia="en-AU"/>
        </w:rPr>
        <w:t>Are receiving oral corticosteroids at a dose of greater than 4</w:t>
      </w:r>
      <w:r w:rsidR="007C1257">
        <w:rPr>
          <w:lang w:eastAsia="en-AU"/>
        </w:rPr>
        <w:t>0 mg</w:t>
      </w:r>
      <w:r w:rsidRPr="00E51565">
        <w:rPr>
          <w:lang w:eastAsia="en-AU"/>
        </w:rPr>
        <w:t xml:space="preserve"> of prednisone or its equivalent per day.</w:t>
      </w:r>
    </w:p>
    <w:p w:rsidR="00E51565" w:rsidRPr="00E51565" w:rsidRDefault="00E51565" w:rsidP="002520A4">
      <w:pPr>
        <w:pStyle w:val="ListBullet"/>
        <w:rPr>
          <w:lang w:eastAsia="en-AU"/>
        </w:rPr>
      </w:pPr>
      <w:r w:rsidRPr="00E51565">
        <w:rPr>
          <w:lang w:eastAsia="en-AU"/>
        </w:rPr>
        <w:t xml:space="preserve">Have received cyclosporine, </w:t>
      </w:r>
      <w:proofErr w:type="spellStart"/>
      <w:r w:rsidRPr="002520A4">
        <w:t>tacrolimus</w:t>
      </w:r>
      <w:proofErr w:type="spellEnd"/>
      <w:r w:rsidRPr="00E51565">
        <w:rPr>
          <w:lang w:eastAsia="en-AU"/>
        </w:rPr>
        <w:t xml:space="preserve">, </w:t>
      </w:r>
      <w:proofErr w:type="spellStart"/>
      <w:r w:rsidRPr="00E51565">
        <w:rPr>
          <w:lang w:eastAsia="en-AU"/>
        </w:rPr>
        <w:t>sirolimus</w:t>
      </w:r>
      <w:proofErr w:type="spellEnd"/>
      <w:r w:rsidRPr="00E51565">
        <w:rPr>
          <w:lang w:eastAsia="en-AU"/>
        </w:rPr>
        <w:t xml:space="preserve">, or </w:t>
      </w:r>
      <w:proofErr w:type="spellStart"/>
      <w:r w:rsidRPr="00E51565">
        <w:rPr>
          <w:lang w:eastAsia="en-AU"/>
        </w:rPr>
        <w:t>mycophenolate</w:t>
      </w:r>
      <w:proofErr w:type="spellEnd"/>
      <w:r w:rsidRPr="00E51565">
        <w:rPr>
          <w:lang w:eastAsia="en-AU"/>
        </w:rPr>
        <w:t xml:space="preserve"> </w:t>
      </w:r>
      <w:proofErr w:type="spellStart"/>
      <w:r w:rsidRPr="00E51565">
        <w:rPr>
          <w:lang w:eastAsia="en-AU"/>
        </w:rPr>
        <w:t>mofetil</w:t>
      </w:r>
      <w:proofErr w:type="spellEnd"/>
      <w:r w:rsidRPr="00E51565">
        <w:rPr>
          <w:lang w:eastAsia="en-AU"/>
        </w:rPr>
        <w:t xml:space="preserve"> (MMF) within 8 weeks prior to first administration of study agent.</w:t>
      </w:r>
    </w:p>
    <w:p w:rsidR="00E51565" w:rsidRPr="00E51565" w:rsidRDefault="00E51565" w:rsidP="002520A4">
      <w:pPr>
        <w:pStyle w:val="ListBullet"/>
        <w:rPr>
          <w:lang w:eastAsia="en-AU"/>
        </w:rPr>
      </w:pPr>
      <w:r w:rsidRPr="00E51565">
        <w:rPr>
          <w:lang w:eastAsia="en-AU"/>
        </w:rPr>
        <w:t xml:space="preserve">Have used apheresis (that is, </w:t>
      </w:r>
      <w:proofErr w:type="spellStart"/>
      <w:r w:rsidRPr="002520A4">
        <w:t>Adacolumn</w:t>
      </w:r>
      <w:proofErr w:type="spellEnd"/>
      <w:r w:rsidRPr="00E51565">
        <w:rPr>
          <w:lang w:eastAsia="en-AU"/>
        </w:rPr>
        <w:t xml:space="preserve"> apheresis) within 2 weeks prior to first administration of study agent.</w:t>
      </w:r>
    </w:p>
    <w:p w:rsidR="00E51565" w:rsidRPr="00E51565" w:rsidRDefault="00E51565" w:rsidP="002520A4">
      <w:pPr>
        <w:pStyle w:val="ListBullet"/>
        <w:rPr>
          <w:lang w:eastAsia="en-AU"/>
        </w:rPr>
      </w:pPr>
      <w:r w:rsidRPr="00E51565">
        <w:rPr>
          <w:lang w:eastAsia="en-AU"/>
        </w:rPr>
        <w:t xml:space="preserve">Have a history of latent or active </w:t>
      </w:r>
      <w:r w:rsidRPr="002520A4">
        <w:t>granulomatous</w:t>
      </w:r>
      <w:r w:rsidRPr="00E51565">
        <w:rPr>
          <w:lang w:eastAsia="en-AU"/>
        </w:rPr>
        <w:t xml:space="preserve"> infection, including TB, </w:t>
      </w:r>
      <w:proofErr w:type="spellStart"/>
      <w:r w:rsidRPr="00E51565">
        <w:rPr>
          <w:lang w:eastAsia="en-AU"/>
        </w:rPr>
        <w:t>histoplasmosis</w:t>
      </w:r>
      <w:proofErr w:type="spellEnd"/>
      <w:r w:rsidRPr="00E51565">
        <w:rPr>
          <w:lang w:eastAsia="en-AU"/>
        </w:rPr>
        <w:t xml:space="preserve">, or </w:t>
      </w:r>
      <w:proofErr w:type="spellStart"/>
      <w:r w:rsidRPr="00E51565">
        <w:rPr>
          <w:lang w:eastAsia="en-AU"/>
        </w:rPr>
        <w:t>coccidioidomycosis</w:t>
      </w:r>
      <w:proofErr w:type="spellEnd"/>
      <w:r w:rsidRPr="00E51565">
        <w:rPr>
          <w:lang w:eastAsia="en-AU"/>
        </w:rPr>
        <w:t>, prior to screening.</w:t>
      </w:r>
    </w:p>
    <w:p w:rsidR="00E51565" w:rsidRPr="00E51565" w:rsidRDefault="00E51565" w:rsidP="002520A4">
      <w:pPr>
        <w:pStyle w:val="ListBullet"/>
        <w:rPr>
          <w:lang w:eastAsia="en-AU"/>
        </w:rPr>
      </w:pPr>
      <w:r w:rsidRPr="00E51565">
        <w:rPr>
          <w:lang w:eastAsia="en-AU"/>
        </w:rPr>
        <w:t xml:space="preserve">Have a history of, or ongoing, </w:t>
      </w:r>
      <w:r w:rsidRPr="002520A4">
        <w:t>chronic</w:t>
      </w:r>
      <w:r w:rsidRPr="00E51565">
        <w:rPr>
          <w:lang w:eastAsia="en-AU"/>
        </w:rPr>
        <w:t xml:space="preserve"> or recurrent infectious disease, including but not limited to, chronic renal infection, chronic chest infection (for example, bronchiectasis), sinusitis, recurrent urinary tract infection (for example, recurrent pyelonephritis, chronic cystitis), an open, draining, or infected skin wound, or an ulcer.</w:t>
      </w:r>
    </w:p>
    <w:p w:rsidR="00E51565" w:rsidRPr="00E51565" w:rsidRDefault="00E51565" w:rsidP="002520A4">
      <w:pPr>
        <w:pStyle w:val="ListBullet"/>
        <w:rPr>
          <w:lang w:eastAsia="en-AU"/>
        </w:rPr>
      </w:pPr>
      <w:r w:rsidRPr="00E51565">
        <w:rPr>
          <w:lang w:eastAsia="en-AU"/>
        </w:rPr>
        <w:t xml:space="preserve">Presence or history of </w:t>
      </w:r>
      <w:proofErr w:type="spellStart"/>
      <w:r w:rsidRPr="002520A4">
        <w:t>lymphoproliferative</w:t>
      </w:r>
      <w:proofErr w:type="spellEnd"/>
      <w:r w:rsidRPr="00E51565">
        <w:rPr>
          <w:lang w:eastAsia="en-AU"/>
        </w:rPr>
        <w:t xml:space="preserve"> disease.</w:t>
      </w:r>
    </w:p>
    <w:p w:rsidR="00E51565" w:rsidRPr="00E51565" w:rsidRDefault="00E51565" w:rsidP="007C1257">
      <w:pPr>
        <w:pStyle w:val="ListBullet"/>
        <w:rPr>
          <w:lang w:eastAsia="en-AU"/>
        </w:rPr>
      </w:pPr>
      <w:r w:rsidRPr="00E51565">
        <w:rPr>
          <w:lang w:eastAsia="en-AU"/>
        </w:rPr>
        <w:t>Concomitant diagnosis or history of CHF.</w:t>
      </w:r>
    </w:p>
    <w:p w:rsidR="00E51565" w:rsidRPr="00E51565" w:rsidRDefault="00E51565" w:rsidP="002520A4">
      <w:pPr>
        <w:pStyle w:val="ListBullet"/>
        <w:rPr>
          <w:lang w:eastAsia="en-AU"/>
        </w:rPr>
      </w:pPr>
      <w:r w:rsidRPr="00E51565">
        <w:rPr>
          <w:lang w:eastAsia="en-AU"/>
        </w:rPr>
        <w:t xml:space="preserve">History of systemic lupus </w:t>
      </w:r>
      <w:proofErr w:type="spellStart"/>
      <w:r w:rsidRPr="002520A4">
        <w:t>erythematosis</w:t>
      </w:r>
      <w:proofErr w:type="spellEnd"/>
      <w:r w:rsidRPr="00E51565">
        <w:rPr>
          <w:lang w:eastAsia="en-AU"/>
        </w:rPr>
        <w:t>.</w:t>
      </w:r>
    </w:p>
    <w:p w:rsidR="00E51565" w:rsidRPr="00E51565" w:rsidRDefault="00E51565" w:rsidP="002520A4">
      <w:pPr>
        <w:pStyle w:val="ListBullet"/>
        <w:rPr>
          <w:lang w:eastAsia="en-AU"/>
        </w:rPr>
      </w:pPr>
      <w:r w:rsidRPr="00E51565">
        <w:rPr>
          <w:lang w:eastAsia="en-AU"/>
        </w:rPr>
        <w:t>History of demyelinating disease.</w:t>
      </w:r>
    </w:p>
    <w:p w:rsidR="00E51565" w:rsidRPr="00E51565" w:rsidRDefault="00E51565" w:rsidP="002520A4">
      <w:pPr>
        <w:pStyle w:val="Heading6"/>
        <w:rPr>
          <w:lang w:eastAsia="en-AU"/>
        </w:rPr>
      </w:pPr>
      <w:r w:rsidRPr="00E51565">
        <w:rPr>
          <w:lang w:eastAsia="en-AU"/>
        </w:rPr>
        <w:t>Study treatments</w:t>
      </w:r>
    </w:p>
    <w:p w:rsidR="00E51565" w:rsidRPr="00E51565" w:rsidRDefault="00E51565" w:rsidP="002520A4">
      <w:pPr>
        <w:rPr>
          <w:lang w:eastAsia="en-AU"/>
        </w:rPr>
      </w:pPr>
      <w:r w:rsidRPr="00E51565">
        <w:rPr>
          <w:lang w:eastAsia="en-AU"/>
        </w:rPr>
        <w:t>Initially the study was dose-ranging with 169 subjects randomised in a 1:1:1:1 ratio at Week 0 to:</w:t>
      </w:r>
    </w:p>
    <w:p w:rsidR="00E51565" w:rsidRPr="00E51565" w:rsidRDefault="00E51565" w:rsidP="002520A4">
      <w:pPr>
        <w:pStyle w:val="ListBullet"/>
        <w:rPr>
          <w:lang w:eastAsia="en-AU"/>
        </w:rPr>
      </w:pPr>
      <w:r w:rsidRPr="00E51565">
        <w:rPr>
          <w:lang w:eastAsia="en-AU"/>
        </w:rPr>
        <w:t xml:space="preserve">Placebo at Week 0 and placebo at </w:t>
      </w:r>
      <w:r w:rsidRPr="002520A4">
        <w:t>Week</w:t>
      </w:r>
      <w:r w:rsidRPr="00E51565">
        <w:rPr>
          <w:lang w:eastAsia="en-AU"/>
        </w:rPr>
        <w:t xml:space="preserve"> 2 (placebo)</w:t>
      </w:r>
    </w:p>
    <w:p w:rsidR="00E51565" w:rsidRPr="00E51565" w:rsidRDefault="00E51565" w:rsidP="002520A4">
      <w:pPr>
        <w:pStyle w:val="ListBullet"/>
        <w:rPr>
          <w:lang w:eastAsia="en-AU"/>
        </w:rPr>
      </w:pPr>
      <w:proofErr w:type="spellStart"/>
      <w:r w:rsidRPr="00E51565">
        <w:rPr>
          <w:lang w:eastAsia="en-AU"/>
        </w:rPr>
        <w:t>Golimumab</w:t>
      </w:r>
      <w:proofErr w:type="spellEnd"/>
      <w:r w:rsidRPr="00E51565">
        <w:rPr>
          <w:lang w:eastAsia="en-AU"/>
        </w:rPr>
        <w:t xml:space="preserve"> 10</w:t>
      </w:r>
      <w:r w:rsidR="007C1257">
        <w:rPr>
          <w:lang w:eastAsia="en-AU"/>
        </w:rPr>
        <w:t>0 mg</w:t>
      </w:r>
      <w:r w:rsidRPr="00E51565">
        <w:rPr>
          <w:lang w:eastAsia="en-AU"/>
        </w:rPr>
        <w:t xml:space="preserve"> at Week 0 and </w:t>
      </w:r>
      <w:r w:rsidRPr="002520A4">
        <w:t>5</w:t>
      </w:r>
      <w:r w:rsidR="007C1257" w:rsidRPr="002520A4">
        <w:t>0</w:t>
      </w:r>
      <w:r w:rsidR="007C1257">
        <w:rPr>
          <w:lang w:eastAsia="en-AU"/>
        </w:rPr>
        <w:t xml:space="preserve"> mg</w:t>
      </w:r>
      <w:r w:rsidRPr="00E51565">
        <w:rPr>
          <w:lang w:eastAsia="en-AU"/>
        </w:rPr>
        <w:t xml:space="preserve"> at Week 2 (10</w:t>
      </w:r>
      <w:r w:rsidR="007C1257">
        <w:rPr>
          <w:lang w:eastAsia="en-AU"/>
        </w:rPr>
        <w:t>0 mg</w:t>
      </w:r>
      <w:r w:rsidRPr="00E51565">
        <w:rPr>
          <w:lang w:eastAsia="en-AU"/>
        </w:rPr>
        <w:t xml:space="preserve"> → 5</w:t>
      </w:r>
      <w:r w:rsidR="007C1257">
        <w:rPr>
          <w:lang w:eastAsia="en-AU"/>
        </w:rPr>
        <w:t>0 mg</w:t>
      </w:r>
      <w:r w:rsidRPr="00E51565">
        <w:rPr>
          <w:lang w:eastAsia="en-AU"/>
        </w:rPr>
        <w:t>)</w:t>
      </w:r>
    </w:p>
    <w:p w:rsidR="00E51565" w:rsidRPr="00E51565" w:rsidRDefault="00E51565" w:rsidP="002520A4">
      <w:pPr>
        <w:pStyle w:val="ListBullet"/>
        <w:rPr>
          <w:lang w:eastAsia="en-AU"/>
        </w:rPr>
      </w:pPr>
      <w:proofErr w:type="spellStart"/>
      <w:r w:rsidRPr="00E51565">
        <w:rPr>
          <w:lang w:eastAsia="en-AU"/>
        </w:rPr>
        <w:lastRenderedPageBreak/>
        <w:t>Golimumab</w:t>
      </w:r>
      <w:proofErr w:type="spellEnd"/>
      <w:r w:rsidRPr="00E51565">
        <w:rPr>
          <w:lang w:eastAsia="en-AU"/>
        </w:rPr>
        <w:t xml:space="preserve"> 20</w:t>
      </w:r>
      <w:r w:rsidR="007C1257">
        <w:rPr>
          <w:lang w:eastAsia="en-AU"/>
        </w:rPr>
        <w:t>0 mg</w:t>
      </w:r>
      <w:r w:rsidRPr="00E51565">
        <w:rPr>
          <w:lang w:eastAsia="en-AU"/>
        </w:rPr>
        <w:t xml:space="preserve"> at Week 0 and 10</w:t>
      </w:r>
      <w:r w:rsidR="007C1257">
        <w:rPr>
          <w:lang w:eastAsia="en-AU"/>
        </w:rPr>
        <w:t>0 mg</w:t>
      </w:r>
      <w:r w:rsidRPr="00E51565">
        <w:rPr>
          <w:lang w:eastAsia="en-AU"/>
        </w:rPr>
        <w:t xml:space="preserve"> at Week 2 (20</w:t>
      </w:r>
      <w:r w:rsidR="007C1257">
        <w:rPr>
          <w:lang w:eastAsia="en-AU"/>
        </w:rPr>
        <w:t>0 mg</w:t>
      </w:r>
      <w:r w:rsidRPr="00E51565">
        <w:rPr>
          <w:lang w:eastAsia="en-AU"/>
        </w:rPr>
        <w:t xml:space="preserve"> → 10</w:t>
      </w:r>
      <w:r w:rsidR="007C1257">
        <w:rPr>
          <w:lang w:eastAsia="en-AU"/>
        </w:rPr>
        <w:t>0 mg</w:t>
      </w:r>
      <w:r w:rsidRPr="00E51565">
        <w:rPr>
          <w:lang w:eastAsia="en-AU"/>
        </w:rPr>
        <w:t>)</w:t>
      </w:r>
    </w:p>
    <w:p w:rsidR="00E51565" w:rsidRPr="00E51565" w:rsidRDefault="00E51565" w:rsidP="007C1257">
      <w:pPr>
        <w:pStyle w:val="ListBullet"/>
        <w:rPr>
          <w:lang w:eastAsia="en-AU"/>
        </w:rPr>
      </w:pPr>
      <w:proofErr w:type="spellStart"/>
      <w:r w:rsidRPr="00E51565">
        <w:rPr>
          <w:lang w:eastAsia="en-AU"/>
        </w:rPr>
        <w:t>Golimumab</w:t>
      </w:r>
      <w:proofErr w:type="spellEnd"/>
      <w:r w:rsidRPr="00E51565">
        <w:rPr>
          <w:lang w:eastAsia="en-AU"/>
        </w:rPr>
        <w:t xml:space="preserve"> 40</w:t>
      </w:r>
      <w:r w:rsidR="007C1257">
        <w:rPr>
          <w:lang w:eastAsia="en-AU"/>
        </w:rPr>
        <w:t>0 mg</w:t>
      </w:r>
      <w:r w:rsidRPr="00E51565">
        <w:rPr>
          <w:lang w:eastAsia="en-AU"/>
        </w:rPr>
        <w:t xml:space="preserve"> at Week 0 and 20</w:t>
      </w:r>
      <w:r w:rsidR="007C1257">
        <w:rPr>
          <w:lang w:eastAsia="en-AU"/>
        </w:rPr>
        <w:t>0 mg</w:t>
      </w:r>
      <w:r w:rsidRPr="00E51565">
        <w:rPr>
          <w:lang w:eastAsia="en-AU"/>
        </w:rPr>
        <w:t xml:space="preserve"> at Week 2 (40</w:t>
      </w:r>
      <w:r w:rsidR="007C1257">
        <w:rPr>
          <w:lang w:eastAsia="en-AU"/>
        </w:rPr>
        <w:t>0 mg</w:t>
      </w:r>
      <w:r w:rsidRPr="00E51565">
        <w:rPr>
          <w:lang w:eastAsia="en-AU"/>
        </w:rPr>
        <w:t xml:space="preserve"> → 20</w:t>
      </w:r>
      <w:r w:rsidR="007C1257">
        <w:rPr>
          <w:lang w:eastAsia="en-AU"/>
        </w:rPr>
        <w:t>0 mg</w:t>
      </w:r>
      <w:r w:rsidRPr="00E51565">
        <w:rPr>
          <w:lang w:eastAsia="en-AU"/>
        </w:rPr>
        <w:t>).</w:t>
      </w:r>
    </w:p>
    <w:p w:rsidR="00E51565" w:rsidRPr="007C1257" w:rsidRDefault="00E51565" w:rsidP="002520A4">
      <w:r w:rsidRPr="007C1257">
        <w:t xml:space="preserve">While the data from Part 1 were being evaluated, newly enrolled subjects in Part 2 were equally randomised to the same SC doses of </w:t>
      </w:r>
      <w:proofErr w:type="spellStart"/>
      <w:r w:rsidRPr="007C1257">
        <w:t>golimumab</w:t>
      </w:r>
      <w:proofErr w:type="spellEnd"/>
      <w:r w:rsidRPr="007C1257">
        <w:t xml:space="preserve"> or placebo as in Part 1.</w:t>
      </w:r>
    </w:p>
    <w:p w:rsidR="00E51565" w:rsidRPr="007C1257" w:rsidRDefault="00E51565" w:rsidP="002520A4">
      <w:r w:rsidRPr="007C1257">
        <w:t>After the interim analysis, the Dose Selection Committee selected the 20</w:t>
      </w:r>
      <w:r w:rsidR="007C1257" w:rsidRPr="007C1257">
        <w:t>0 mg</w:t>
      </w:r>
      <w:r w:rsidRPr="007C1257">
        <w:t xml:space="preserve"> → 10</w:t>
      </w:r>
      <w:r w:rsidR="007C1257" w:rsidRPr="007C1257">
        <w:t>0 mg</w:t>
      </w:r>
      <w:r w:rsidRPr="007C1257">
        <w:t xml:space="preserve"> and 40</w:t>
      </w:r>
      <w:r w:rsidR="007C1257" w:rsidRPr="007C1257">
        <w:t>0 mg</w:t>
      </w:r>
      <w:r w:rsidRPr="007C1257">
        <w:t xml:space="preserve"> → 20</w:t>
      </w:r>
      <w:r w:rsidR="007C1257" w:rsidRPr="007C1257">
        <w:t>0 mg</w:t>
      </w:r>
      <w:r w:rsidRPr="007C1257">
        <w:t xml:space="preserve"> SC </w:t>
      </w:r>
      <w:proofErr w:type="spellStart"/>
      <w:r w:rsidRPr="007C1257">
        <w:t>golimumab</w:t>
      </w:r>
      <w:proofErr w:type="spellEnd"/>
      <w:r w:rsidRPr="007C1257">
        <w:t xml:space="preserve"> doses for the dose-confirming portion in Part 2. Patients were then randomised equally to 20</w:t>
      </w:r>
      <w:r w:rsidR="007C1257" w:rsidRPr="007C1257">
        <w:t>0 mg</w:t>
      </w:r>
      <w:r w:rsidRPr="007C1257">
        <w:t xml:space="preserve"> → 10</w:t>
      </w:r>
      <w:r w:rsidR="007C1257" w:rsidRPr="007C1257">
        <w:t>0 mg</w:t>
      </w:r>
      <w:r w:rsidRPr="007C1257">
        <w:t xml:space="preserve"> and 40</w:t>
      </w:r>
      <w:r w:rsidR="007C1257" w:rsidRPr="007C1257">
        <w:t>0 mg</w:t>
      </w:r>
      <w:r w:rsidRPr="007C1257">
        <w:t xml:space="preserve"> → 20</w:t>
      </w:r>
      <w:r w:rsidR="007C1257" w:rsidRPr="007C1257">
        <w:t>0 mg</w:t>
      </w:r>
      <w:r w:rsidRPr="007C1257">
        <w:t xml:space="preserve"> </w:t>
      </w:r>
      <w:proofErr w:type="spellStart"/>
      <w:r w:rsidRPr="007C1257">
        <w:t>golimumab</w:t>
      </w:r>
      <w:proofErr w:type="spellEnd"/>
      <w:r w:rsidRPr="007C1257">
        <w:t xml:space="preserve"> or placebo.</w:t>
      </w:r>
    </w:p>
    <w:p w:rsidR="00E51565" w:rsidRPr="00E51565" w:rsidRDefault="00E51565" w:rsidP="002520A4">
      <w:pPr>
        <w:pStyle w:val="Heading6"/>
        <w:rPr>
          <w:lang w:eastAsia="en-AU"/>
        </w:rPr>
      </w:pPr>
      <w:r w:rsidRPr="00E51565">
        <w:rPr>
          <w:lang w:eastAsia="en-AU"/>
        </w:rPr>
        <w:t>Efficacy variables and outcomes</w:t>
      </w:r>
    </w:p>
    <w:p w:rsidR="00E51565" w:rsidRPr="007C1257" w:rsidRDefault="00E51565" w:rsidP="002520A4">
      <w:r w:rsidRPr="007C1257">
        <w:t>Part 1: Dose-ranging</w:t>
      </w:r>
    </w:p>
    <w:p w:rsidR="00E51565" w:rsidRPr="00E51565" w:rsidRDefault="00E51565" w:rsidP="002520A4">
      <w:pPr>
        <w:pStyle w:val="ListBullet"/>
        <w:rPr>
          <w:lang w:eastAsia="en-AU"/>
        </w:rPr>
      </w:pPr>
      <w:r w:rsidRPr="00E51565">
        <w:rPr>
          <w:lang w:eastAsia="en-AU"/>
        </w:rPr>
        <w:t>Change from baseline in the Mayo score at Week 6.</w:t>
      </w:r>
      <w:r w:rsidRPr="00E51565">
        <w:rPr>
          <w:vertAlign w:val="superscript"/>
          <w:lang w:eastAsia="en-AU"/>
        </w:rPr>
        <w:footnoteReference w:id="9"/>
      </w:r>
    </w:p>
    <w:p w:rsidR="00E51565" w:rsidRPr="007C1257" w:rsidRDefault="00E51565" w:rsidP="002520A4">
      <w:r w:rsidRPr="007C1257">
        <w:t>Part 2: Dose-confirming</w:t>
      </w:r>
    </w:p>
    <w:p w:rsidR="00E51565" w:rsidRPr="00E51565" w:rsidRDefault="00E51565" w:rsidP="002520A4">
      <w:pPr>
        <w:pStyle w:val="ListBullet"/>
        <w:rPr>
          <w:lang w:eastAsia="en-AU"/>
        </w:rPr>
      </w:pPr>
      <w:r w:rsidRPr="00E51565">
        <w:rPr>
          <w:lang w:eastAsia="en-AU"/>
        </w:rPr>
        <w:t>Primary Endpoint: Clinical response at Week 6.</w:t>
      </w:r>
      <w:r w:rsidRPr="00E51565">
        <w:rPr>
          <w:vertAlign w:val="superscript"/>
          <w:lang w:eastAsia="en-AU"/>
        </w:rPr>
        <w:footnoteReference w:id="10"/>
      </w:r>
    </w:p>
    <w:p w:rsidR="00E51565" w:rsidRPr="00E51565" w:rsidRDefault="00E51565" w:rsidP="002520A4">
      <w:pPr>
        <w:pStyle w:val="ListBullet"/>
        <w:rPr>
          <w:lang w:eastAsia="en-AU"/>
        </w:rPr>
      </w:pPr>
      <w:r w:rsidRPr="00E51565">
        <w:rPr>
          <w:lang w:eastAsia="en-AU"/>
        </w:rPr>
        <w:t>Major Secondary Endpoints:</w:t>
      </w:r>
    </w:p>
    <w:p w:rsidR="00E51565" w:rsidRPr="00E51565" w:rsidRDefault="00E51565" w:rsidP="002520A4">
      <w:pPr>
        <w:pStyle w:val="ListBullet2"/>
        <w:rPr>
          <w:lang w:eastAsia="en-AU"/>
        </w:rPr>
      </w:pPr>
      <w:r w:rsidRPr="00E51565">
        <w:rPr>
          <w:lang w:eastAsia="en-AU"/>
        </w:rPr>
        <w:t>Clinical remission at Week 6.</w:t>
      </w:r>
    </w:p>
    <w:p w:rsidR="00E51565" w:rsidRPr="00E51565" w:rsidRDefault="00E51565" w:rsidP="002520A4">
      <w:pPr>
        <w:pStyle w:val="ListBullet2"/>
        <w:rPr>
          <w:lang w:eastAsia="en-AU"/>
        </w:rPr>
      </w:pPr>
      <w:r w:rsidRPr="00E51565">
        <w:rPr>
          <w:lang w:eastAsia="en-AU"/>
        </w:rPr>
        <w:t>Mucosal healing at Week 6.</w:t>
      </w:r>
    </w:p>
    <w:p w:rsidR="00E51565" w:rsidRPr="00E51565" w:rsidRDefault="00E51565" w:rsidP="002520A4">
      <w:pPr>
        <w:pStyle w:val="ListBullet2"/>
        <w:rPr>
          <w:lang w:eastAsia="en-AU"/>
        </w:rPr>
      </w:pPr>
      <w:r w:rsidRPr="00E51565">
        <w:rPr>
          <w:lang w:eastAsia="en-AU"/>
        </w:rPr>
        <w:t>Change from baseline in the Inflammatory Bowel Disease Questionnaire IBDQ score at Week 6.</w:t>
      </w:r>
    </w:p>
    <w:p w:rsidR="00E51565" w:rsidRPr="00E51565" w:rsidRDefault="00E51565" w:rsidP="002520A4">
      <w:pPr>
        <w:pStyle w:val="Heading6"/>
        <w:rPr>
          <w:lang w:eastAsia="en-AU"/>
        </w:rPr>
      </w:pPr>
      <w:r w:rsidRPr="00E51565">
        <w:rPr>
          <w:lang w:eastAsia="en-AU"/>
        </w:rPr>
        <w:t>Randomisation and blinding methods</w:t>
      </w:r>
    </w:p>
    <w:p w:rsidR="00E51565" w:rsidRPr="007C1257" w:rsidRDefault="00E51565" w:rsidP="002520A4">
      <w:r w:rsidRPr="007C1257">
        <w:t xml:space="preserve"> An interactive voice response system was used to randomly assign subjects to study treatment and dispense study agent. In Part 1, subjects were randomly assigned to receive placebo or 1 of 3 dose regimens of </w:t>
      </w:r>
      <w:proofErr w:type="spellStart"/>
      <w:r w:rsidRPr="007C1257">
        <w:t>golimumab</w:t>
      </w:r>
      <w:proofErr w:type="spellEnd"/>
      <w:r w:rsidRPr="007C1257">
        <w:t xml:space="preserve"> (10</w:t>
      </w:r>
      <w:r w:rsidR="007C1257" w:rsidRPr="007C1257">
        <w:t>0 mg</w:t>
      </w:r>
      <w:r w:rsidRPr="007C1257">
        <w:t xml:space="preserve"> → 5</w:t>
      </w:r>
      <w:r w:rsidR="007C1257" w:rsidRPr="007C1257">
        <w:t>0 mg</w:t>
      </w:r>
      <w:r w:rsidRPr="007C1257">
        <w:t>, 20</w:t>
      </w:r>
      <w:r w:rsidR="007C1257" w:rsidRPr="007C1257">
        <w:t>0 mg</w:t>
      </w:r>
      <w:r w:rsidRPr="007C1257">
        <w:t xml:space="preserve"> → 10</w:t>
      </w:r>
      <w:r w:rsidR="007C1257" w:rsidRPr="007C1257">
        <w:t>0 mg</w:t>
      </w:r>
      <w:r w:rsidRPr="007C1257">
        <w:t>, or 40</w:t>
      </w:r>
      <w:r w:rsidR="007C1257" w:rsidRPr="007C1257">
        <w:t>0 mg</w:t>
      </w:r>
      <w:r w:rsidRPr="007C1257">
        <w:t xml:space="preserve"> → 20</w:t>
      </w:r>
      <w:r w:rsidR="007C1257" w:rsidRPr="007C1257">
        <w:t>0 mg</w:t>
      </w:r>
      <w:r w:rsidRPr="007C1257">
        <w:t xml:space="preserve"> at Week 0 and 2, respectively) using an adaptive randomization procedure, with investigative site as the stratification variable. The randomization method was a minimization procedure with a biased-coin assignment. In Part 2, eligible subjects were allocated to a treatment regimen using a permuted block randomization.</w:t>
      </w:r>
    </w:p>
    <w:p w:rsidR="00E51565" w:rsidRPr="007C1257" w:rsidRDefault="00E51565" w:rsidP="002520A4">
      <w:r w:rsidRPr="007C1257">
        <w:t xml:space="preserve">There were no visual differences in appearance between the syringes of placebo and </w:t>
      </w:r>
      <w:proofErr w:type="spellStart"/>
      <w:r w:rsidRPr="007C1257">
        <w:t>golimumab</w:t>
      </w:r>
      <w:proofErr w:type="spellEnd"/>
      <w:r w:rsidRPr="007C1257">
        <w:t xml:space="preserve">. The designated pharmacists, or other appropriately licensed and authorized personnel who dispensed the study agent, and independent drug monitors were </w:t>
      </w:r>
      <w:proofErr w:type="spellStart"/>
      <w:r w:rsidRPr="007C1257">
        <w:t>unblinded</w:t>
      </w:r>
      <w:proofErr w:type="spellEnd"/>
      <w:r w:rsidRPr="007C1257">
        <w:t xml:space="preserve"> to study agent. The subjects, site monitors, principal investigator, and all the investigator site staff were blinded to study agent assignment. The results of laboratory tests that could potentially </w:t>
      </w:r>
      <w:proofErr w:type="spellStart"/>
      <w:r w:rsidRPr="007C1257">
        <w:t>unblind</w:t>
      </w:r>
      <w:proofErr w:type="spellEnd"/>
      <w:r w:rsidRPr="007C1257">
        <w:t xml:space="preserve"> the treatment assignment were only available to data management staff and, if </w:t>
      </w:r>
      <w:r w:rsidR="002520A4">
        <w:t>applicable, QA representatives.</w:t>
      </w:r>
    </w:p>
    <w:p w:rsidR="00E51565" w:rsidRPr="00E51565" w:rsidRDefault="00E51565" w:rsidP="002520A4">
      <w:pPr>
        <w:pStyle w:val="Heading6"/>
        <w:rPr>
          <w:lang w:eastAsia="en-AU"/>
        </w:rPr>
      </w:pPr>
      <w:r w:rsidRPr="00E51565">
        <w:rPr>
          <w:lang w:eastAsia="en-AU"/>
        </w:rPr>
        <w:t xml:space="preserve">Analysis </w:t>
      </w:r>
      <w:r w:rsidRPr="002520A4">
        <w:t>populations</w:t>
      </w:r>
    </w:p>
    <w:p w:rsidR="00E51565" w:rsidRPr="007C1257" w:rsidRDefault="00E51565" w:rsidP="002520A4">
      <w:r w:rsidRPr="007C1257">
        <w:t>Part 1</w:t>
      </w:r>
    </w:p>
    <w:p w:rsidR="00E51565" w:rsidRPr="007C1257" w:rsidRDefault="00E51565" w:rsidP="002520A4">
      <w:r w:rsidRPr="007C1257">
        <w:t>The efficacy analyses included all subjects randomized in Part 1.</w:t>
      </w:r>
    </w:p>
    <w:p w:rsidR="00E51565" w:rsidRPr="007C1257" w:rsidRDefault="00E51565" w:rsidP="002520A4">
      <w:r w:rsidRPr="007C1257">
        <w:t>Part 2</w:t>
      </w:r>
    </w:p>
    <w:p w:rsidR="00E51565" w:rsidRPr="007C1257" w:rsidRDefault="00E51565" w:rsidP="002520A4">
      <w:r w:rsidRPr="007C1257">
        <w:t>The primary population will be used for the primary endpoint analysis. The primary</w:t>
      </w:r>
      <w:r w:rsidR="002520A4">
        <w:t xml:space="preserve"> </w:t>
      </w:r>
      <w:r w:rsidRPr="007C1257">
        <w:t>population consists of subjects randomized to Part 2 after the dose selection excluding</w:t>
      </w:r>
      <w:r w:rsidR="002520A4">
        <w:t xml:space="preserve"> </w:t>
      </w:r>
      <w:r w:rsidRPr="007C1257">
        <w:t>those from site 7257.</w:t>
      </w:r>
    </w:p>
    <w:p w:rsidR="00E51565" w:rsidRPr="007C1257" w:rsidRDefault="00E51565" w:rsidP="002520A4">
      <w:r w:rsidRPr="007C1257">
        <w:lastRenderedPageBreak/>
        <w:t>Other analysis populations are (excluding those from site 7257):</w:t>
      </w:r>
    </w:p>
    <w:p w:rsidR="00E51565" w:rsidRPr="007C1257" w:rsidRDefault="00E51565" w:rsidP="002520A4">
      <w:pPr>
        <w:pStyle w:val="ListBullet"/>
      </w:pPr>
      <w:r w:rsidRPr="007C1257">
        <w:t>All subjects randomized in Part 1</w:t>
      </w:r>
    </w:p>
    <w:p w:rsidR="00E51565" w:rsidRPr="007C1257" w:rsidRDefault="00E51565" w:rsidP="002520A4">
      <w:pPr>
        <w:pStyle w:val="ListBullet"/>
      </w:pPr>
      <w:r w:rsidRPr="007C1257">
        <w:t>All subjects randomized in Part 2</w:t>
      </w:r>
    </w:p>
    <w:p w:rsidR="00E51565" w:rsidRPr="007C1257" w:rsidRDefault="00E51565" w:rsidP="007C1257">
      <w:pPr>
        <w:pStyle w:val="ListBullet"/>
      </w:pPr>
      <w:r w:rsidRPr="007C1257">
        <w:t>All subjects randomized in Part 2 before the dose selection</w:t>
      </w:r>
    </w:p>
    <w:p w:rsidR="00E51565" w:rsidRPr="007C1257" w:rsidRDefault="00E51565" w:rsidP="007C1257">
      <w:pPr>
        <w:pStyle w:val="ListBullet"/>
      </w:pPr>
      <w:r w:rsidRPr="007C1257">
        <w:t>The first 450 subjects randomized in Part 2 after the dose selection</w:t>
      </w:r>
    </w:p>
    <w:p w:rsidR="00E51565" w:rsidRPr="00E51565" w:rsidDel="0081373E" w:rsidRDefault="00E51565" w:rsidP="002520A4">
      <w:pPr>
        <w:pStyle w:val="ListBullet"/>
        <w:rPr>
          <w:lang w:eastAsia="en-AU"/>
        </w:rPr>
      </w:pPr>
      <w:r w:rsidRPr="007C1257">
        <w:t xml:space="preserve">All subjects randomized in the study (Part 1 and Part 2 </w:t>
      </w:r>
      <w:r w:rsidRPr="002520A4">
        <w:t>combined</w:t>
      </w:r>
      <w:r w:rsidRPr="007C1257">
        <w:t>.</w:t>
      </w:r>
      <w:r w:rsidR="006A17AE">
        <w:t>)</w:t>
      </w:r>
      <w:r w:rsidRPr="00E51565">
        <w:rPr>
          <w:vertAlign w:val="superscript"/>
          <w:lang w:eastAsia="en-AU"/>
        </w:rPr>
        <w:footnoteReference w:id="11"/>
      </w:r>
    </w:p>
    <w:p w:rsidR="00E51565" w:rsidRPr="00E51565" w:rsidDel="0081373E" w:rsidRDefault="00E51565" w:rsidP="002520A4">
      <w:pPr>
        <w:pStyle w:val="Heading6"/>
        <w:rPr>
          <w:lang w:eastAsia="en-AU"/>
        </w:rPr>
      </w:pPr>
      <w:r w:rsidRPr="00E51565" w:rsidDel="0081373E">
        <w:rPr>
          <w:lang w:eastAsia="en-AU"/>
        </w:rPr>
        <w:t>Sample size</w:t>
      </w:r>
    </w:p>
    <w:p w:rsidR="00E51565" w:rsidRPr="007C1257" w:rsidRDefault="00E51565" w:rsidP="002520A4">
      <w:r w:rsidRPr="007C1257">
        <w:t xml:space="preserve">Sample size/power calculations were based on a chi-square test to detect a significant difference between subjects receiving the selected </w:t>
      </w:r>
      <w:proofErr w:type="spellStart"/>
      <w:r w:rsidRPr="007C1257">
        <w:t>golimumab</w:t>
      </w:r>
      <w:proofErr w:type="spellEnd"/>
      <w:r w:rsidRPr="007C1257">
        <w:t xml:space="preserve"> dose(s) and those receiving placebo.</w:t>
      </w:r>
    </w:p>
    <w:p w:rsidR="00E51565" w:rsidRPr="007C1257" w:rsidRDefault="00E51565" w:rsidP="002520A4">
      <w:r w:rsidRPr="007C1257">
        <w:t xml:space="preserve">No data existed for </w:t>
      </w:r>
      <w:proofErr w:type="spellStart"/>
      <w:r w:rsidRPr="007C1257">
        <w:t>golimumab</w:t>
      </w:r>
      <w:proofErr w:type="spellEnd"/>
      <w:r w:rsidRPr="007C1257">
        <w:t xml:space="preserve"> in the treatment of ulcerative colitis. Sample size and power calculations for the study were based on estimates obtained from studies of infliximab in subjects with moderately to seve</w:t>
      </w:r>
      <w:r w:rsidR="002520A4">
        <w:t>rely active ulcerative colitis.</w:t>
      </w:r>
    </w:p>
    <w:p w:rsidR="00E51565" w:rsidRPr="007C1257" w:rsidRDefault="00E51565" w:rsidP="002520A4">
      <w:r w:rsidRPr="007C1257">
        <w:t xml:space="preserve">For the current study, if 1 active dose is selected from the analysis of the Part 1 data, the clinical response rate for the selected </w:t>
      </w:r>
      <w:proofErr w:type="spellStart"/>
      <w:r w:rsidRPr="007C1257">
        <w:t>golimumab</w:t>
      </w:r>
      <w:proofErr w:type="spellEnd"/>
      <w:r w:rsidRPr="007C1257">
        <w:t xml:space="preserve"> group is assumed to approximate the rate for infliximab and is set at 65%. If 2 active doses are selected, it is assumed that the clinical response rate for one dose follows the rate from infliximab and is set at 65%, and the clinical response rate for the other is 55%. In either situation, the placebo clinical response rate is estimated to be 45%.</w:t>
      </w:r>
    </w:p>
    <w:p w:rsidR="00E51565" w:rsidRPr="007C1257" w:rsidRDefault="00E51565" w:rsidP="002520A4">
      <w:r w:rsidRPr="007C1257">
        <w:t>To power the study at 90% with respect to the primary endpoint when 2 doses are selected, approximately 150 subjects per selected dose group and placebo group (total 450 subjects) would have to be enrolled after the dose selection.</w:t>
      </w:r>
    </w:p>
    <w:p w:rsidR="00E51565" w:rsidRPr="007C1257" w:rsidRDefault="00E51565" w:rsidP="002520A4">
      <w:r w:rsidRPr="007C1257">
        <w:t xml:space="preserve">To provide a sufficient number of subjects to enrol in, and adequately power, the 1-year </w:t>
      </w:r>
      <w:proofErr w:type="spellStart"/>
      <w:r w:rsidRPr="007C1257">
        <w:t>golimumab</w:t>
      </w:r>
      <w:proofErr w:type="spellEnd"/>
      <w:r w:rsidRPr="007C1257">
        <w:t xml:space="preserve"> maintenance study (C0524T18), approximately 500 subjects originally shoul</w:t>
      </w:r>
      <w:r w:rsidR="002520A4">
        <w:t>d have been enrolled in Part 2.</w:t>
      </w:r>
    </w:p>
    <w:p w:rsidR="00E51565" w:rsidRPr="007C1257" w:rsidRDefault="00E51565" w:rsidP="002520A4">
      <w:r w:rsidRPr="007C1257">
        <w:t>However, due to the termination of the C0524T16 induction study, which together with this study was to provide the required number of subjects to power the maintenance study, the number of subjects in Part 2 of this study was increased to 875 to provide a sufficient number of subjects to enrol in</w:t>
      </w:r>
      <w:r w:rsidR="002520A4">
        <w:t xml:space="preserve"> and adequately power C0524T18.</w:t>
      </w:r>
    </w:p>
    <w:p w:rsidR="00E51565" w:rsidRPr="007C1257" w:rsidRDefault="00E51565" w:rsidP="002520A4">
      <w:r w:rsidRPr="007C1257">
        <w:t xml:space="preserve">With 122 subjects enrolled in Part 2 of this study prior to the dose selection, 753 subjects were to be included in the primary analysis population (that is, subjects enrolled in Part 2 after the dose selection). The sample size of 753 subjects would provide statistical power of 99% and 96% for the primary endpoint at </w:t>
      </w:r>
      <w:proofErr w:type="gramStart"/>
      <w:r w:rsidRPr="007C1257">
        <w:t>the α</w:t>
      </w:r>
      <w:proofErr w:type="gramEnd"/>
      <w:r w:rsidRPr="007C1257">
        <w:t xml:space="preserve"> = 0.05 and α = 0.01 (2-sided) level, respectively, using a step-up testing procedure in a 3-arm study.</w:t>
      </w:r>
    </w:p>
    <w:p w:rsidR="00E51565" w:rsidRPr="00E51565" w:rsidRDefault="00E51565" w:rsidP="002520A4">
      <w:pPr>
        <w:pStyle w:val="Heading6"/>
        <w:rPr>
          <w:lang w:eastAsia="en-AU"/>
        </w:rPr>
      </w:pPr>
      <w:r w:rsidRPr="00E51565">
        <w:rPr>
          <w:lang w:eastAsia="en-AU"/>
        </w:rPr>
        <w:t>Statistical methods</w:t>
      </w:r>
    </w:p>
    <w:p w:rsidR="00E51565" w:rsidRPr="007C1257" w:rsidRDefault="00E51565" w:rsidP="002520A4">
      <w:r w:rsidRPr="007C1257">
        <w:t>Part 1</w:t>
      </w:r>
    </w:p>
    <w:p w:rsidR="00E51565" w:rsidRPr="007C1257" w:rsidRDefault="00E51565" w:rsidP="007C1257">
      <w:r w:rsidRPr="007C1257">
        <w:t xml:space="preserve">An interim analysis was conducted after all subjects in Part 1 (n = 169) had either completed the Week 6 visit or terminated study participation prior to Week 6. The purpose of the interim analysis was to evaluate the dose response of IV </w:t>
      </w:r>
      <w:proofErr w:type="spellStart"/>
      <w:r w:rsidRPr="007C1257">
        <w:t>golimumab</w:t>
      </w:r>
      <w:proofErr w:type="spellEnd"/>
      <w:r w:rsidRPr="007C1257">
        <w:t xml:space="preserve"> induction regimens, and select the SC induction regimens of </w:t>
      </w:r>
      <w:proofErr w:type="spellStart"/>
      <w:r w:rsidRPr="007C1257">
        <w:t>golimumab</w:t>
      </w:r>
      <w:proofErr w:type="spellEnd"/>
      <w:r w:rsidRPr="007C1257">
        <w:t xml:space="preserve"> for further evaluation in Part 2. </w:t>
      </w:r>
      <w:proofErr w:type="gramStart"/>
      <w:r w:rsidRPr="007C1257">
        <w:t>The decision on which dose(s) to continue for further evaluation was made by a dose selection committee.</w:t>
      </w:r>
      <w:proofErr w:type="gramEnd"/>
      <w:r w:rsidRPr="007C1257">
        <w:rPr>
          <w:vertAlign w:val="superscript"/>
        </w:rPr>
        <w:footnoteReference w:id="12"/>
      </w:r>
    </w:p>
    <w:p w:rsidR="00E51565" w:rsidRPr="007C1257" w:rsidRDefault="00E51565" w:rsidP="002520A4">
      <w:r w:rsidRPr="007C1257">
        <w:t>Part 2</w:t>
      </w:r>
    </w:p>
    <w:p w:rsidR="00E51565" w:rsidRPr="007C1257" w:rsidRDefault="00E51565" w:rsidP="002520A4">
      <w:pPr>
        <w:pStyle w:val="Heading6"/>
      </w:pPr>
      <w:r w:rsidRPr="007C1257">
        <w:lastRenderedPageBreak/>
        <w:t xml:space="preserve">Primary </w:t>
      </w:r>
      <w:r w:rsidR="002520A4">
        <w:t>e</w:t>
      </w:r>
      <w:r w:rsidRPr="007C1257">
        <w:t xml:space="preserve">fficacy </w:t>
      </w:r>
      <w:r w:rsidR="002520A4" w:rsidRPr="002520A4">
        <w:t>a</w:t>
      </w:r>
      <w:r w:rsidRPr="002520A4">
        <w:t>nalysis</w:t>
      </w:r>
    </w:p>
    <w:p w:rsidR="00E51565" w:rsidRPr="007C1257" w:rsidRDefault="00E51565" w:rsidP="002520A4">
      <w:r w:rsidRPr="007C1257">
        <w:t xml:space="preserve">The proportions of subjects in clinical response at Week 6 were summarized and compared between the placebo and </w:t>
      </w:r>
      <w:proofErr w:type="spellStart"/>
      <w:r w:rsidRPr="007C1257">
        <w:t>golimumab</w:t>
      </w:r>
      <w:proofErr w:type="spellEnd"/>
      <w:r w:rsidRPr="007C1257">
        <w:t xml:space="preserve"> groups using a 2-sided chi-square test. A fixed sequence testing procedure was employed to control the Type 1 error rate at the 0.05 level. In this testing procedure, the comparison between the higher selected </w:t>
      </w:r>
      <w:proofErr w:type="spellStart"/>
      <w:r w:rsidRPr="007C1257">
        <w:t>golimumab</w:t>
      </w:r>
      <w:proofErr w:type="spellEnd"/>
      <w:r w:rsidRPr="007C1257">
        <w:t xml:space="preserve"> </w:t>
      </w:r>
      <w:proofErr w:type="gramStart"/>
      <w:r w:rsidRPr="007C1257">
        <w:t>dose</w:t>
      </w:r>
      <w:proofErr w:type="gramEnd"/>
      <w:r w:rsidRPr="007C1257">
        <w:t xml:space="preserve"> versus placebo was first tested at the two-sided 0.05 level of significance. Only if this test is positive, the lower selected </w:t>
      </w:r>
      <w:proofErr w:type="spellStart"/>
      <w:r w:rsidRPr="007C1257">
        <w:t>golimumab</w:t>
      </w:r>
      <w:proofErr w:type="spellEnd"/>
      <w:r w:rsidRPr="007C1257">
        <w:t xml:space="preserve"> dose will be compared with placebo at the two sided 0.05 level of significance. The study was to be considered positive if the test involving the higher selected </w:t>
      </w:r>
      <w:proofErr w:type="spellStart"/>
      <w:r w:rsidRPr="007C1257">
        <w:t>golimumab</w:t>
      </w:r>
      <w:proofErr w:type="spellEnd"/>
      <w:r w:rsidRPr="007C1257">
        <w:t xml:space="preserve"> dose was positive, regardless of the result of the test for the lower selected </w:t>
      </w:r>
      <w:proofErr w:type="spellStart"/>
      <w:r w:rsidRPr="007C1257">
        <w:t>golimumab</w:t>
      </w:r>
      <w:proofErr w:type="spellEnd"/>
      <w:r w:rsidRPr="007C1257">
        <w:t xml:space="preserve"> dose.</w:t>
      </w:r>
    </w:p>
    <w:p w:rsidR="00E51565" w:rsidRPr="007C1257" w:rsidRDefault="00E51565" w:rsidP="002520A4">
      <w:pPr>
        <w:pStyle w:val="Heading6"/>
      </w:pPr>
      <w:r w:rsidRPr="007C1257">
        <w:t xml:space="preserve">Major </w:t>
      </w:r>
      <w:r w:rsidR="002520A4">
        <w:t>s</w:t>
      </w:r>
      <w:r w:rsidRPr="007C1257">
        <w:t xml:space="preserve">econdary </w:t>
      </w:r>
      <w:r w:rsidR="002520A4">
        <w:t>e</w:t>
      </w:r>
      <w:r w:rsidRPr="007C1257">
        <w:t xml:space="preserve">fficacy </w:t>
      </w:r>
      <w:r w:rsidR="002520A4" w:rsidRPr="002520A4">
        <w:t>a</w:t>
      </w:r>
      <w:r w:rsidRPr="002520A4">
        <w:t>nalyses</w:t>
      </w:r>
    </w:p>
    <w:p w:rsidR="00E51565" w:rsidRPr="007C1257" w:rsidRDefault="00E51565" w:rsidP="002520A4">
      <w:pPr>
        <w:pStyle w:val="ListBullet"/>
      </w:pPr>
      <w:r w:rsidRPr="007C1257">
        <w:t xml:space="preserve">The proportions of subjects in clinical </w:t>
      </w:r>
      <w:r w:rsidRPr="002520A4">
        <w:t>remission</w:t>
      </w:r>
      <w:r w:rsidRPr="007C1257">
        <w:t xml:space="preserve"> at Week 6 were summarized and compared between the </w:t>
      </w:r>
      <w:proofErr w:type="spellStart"/>
      <w:r w:rsidRPr="007C1257">
        <w:t>golimumab</w:t>
      </w:r>
      <w:proofErr w:type="spellEnd"/>
      <w:r w:rsidRPr="007C1257">
        <w:t xml:space="preserve"> and placebo treatment groups.</w:t>
      </w:r>
    </w:p>
    <w:p w:rsidR="00E51565" w:rsidRPr="007C1257" w:rsidRDefault="00E51565" w:rsidP="002520A4">
      <w:pPr>
        <w:pStyle w:val="ListBullet"/>
      </w:pPr>
      <w:r w:rsidRPr="007C1257">
        <w:t xml:space="preserve">The proportions of subjects with </w:t>
      </w:r>
      <w:r w:rsidRPr="002520A4">
        <w:t>mucosal</w:t>
      </w:r>
      <w:r w:rsidRPr="007C1257">
        <w:t xml:space="preserve"> healing at Week 6 were summarized and compared between the </w:t>
      </w:r>
      <w:proofErr w:type="spellStart"/>
      <w:r w:rsidRPr="007C1257">
        <w:t>golimumab</w:t>
      </w:r>
      <w:proofErr w:type="spellEnd"/>
      <w:r w:rsidRPr="007C1257">
        <w:t xml:space="preserve"> and placebo treatment groups.</w:t>
      </w:r>
    </w:p>
    <w:p w:rsidR="00E51565" w:rsidRPr="007C1257" w:rsidRDefault="00E51565" w:rsidP="002520A4">
      <w:pPr>
        <w:pStyle w:val="ListBullet"/>
      </w:pPr>
      <w:r w:rsidRPr="007C1257">
        <w:t xml:space="preserve">The change from baseline in the IBDQ </w:t>
      </w:r>
      <w:r w:rsidRPr="002520A4">
        <w:t>scores</w:t>
      </w:r>
      <w:r w:rsidRPr="007C1257">
        <w:t xml:space="preserve"> at Week 6 were summarized and compared between the </w:t>
      </w:r>
      <w:proofErr w:type="spellStart"/>
      <w:r w:rsidRPr="007C1257">
        <w:t>golimumab</w:t>
      </w:r>
      <w:proofErr w:type="spellEnd"/>
      <w:r w:rsidRPr="007C1257">
        <w:t xml:space="preserve"> and placebo treatment groups.</w:t>
      </w:r>
    </w:p>
    <w:p w:rsidR="00E51565" w:rsidRPr="007C1257" w:rsidRDefault="00E51565" w:rsidP="002520A4">
      <w:r w:rsidRPr="007C1257">
        <w:t xml:space="preserve">The same multiple testing </w:t>
      </w:r>
      <w:proofErr w:type="gramStart"/>
      <w:r w:rsidRPr="007C1257">
        <w:t>procedure</w:t>
      </w:r>
      <w:proofErr w:type="gramEnd"/>
      <w:r w:rsidRPr="007C1257">
        <w:t xml:space="preserve"> (that is fixed sequence testing procedure) was used to control the Type 1 error rate within each of the 3 major secondary efficacy analyses at the 0.05 (2-sided) significance level.</w:t>
      </w:r>
    </w:p>
    <w:p w:rsidR="00E51565" w:rsidRPr="007C1257" w:rsidRDefault="00E51565" w:rsidP="002520A4">
      <w:r w:rsidRPr="007C1257">
        <w:t>In addition, a fixed-sequence testing procedure was used to control the Type 1 error rate across the 3 major secondary endpoints. The first major secondary hypothesis (clinical remission) was tested if the primary hypothesis had been met. Only if the first test for clinical remission was positive, will the second hypothesis for mucosal healing to be tested. The third hypothesis for IBDQ was to be tested only if the second test for mucosal healing was positive.</w:t>
      </w:r>
    </w:p>
    <w:p w:rsidR="00E51565" w:rsidRPr="007C1257" w:rsidRDefault="00E51565" w:rsidP="002520A4">
      <w:r w:rsidRPr="007C1257">
        <w:t xml:space="preserve">Analyses of clinical remission and mucosal healing endpoints were conducted using a 2-sided chi-square test. Analysis of the change from baseline in the IBDQ score was conducted using an analysis of variance on the van der </w:t>
      </w:r>
      <w:proofErr w:type="spellStart"/>
      <w:r w:rsidRPr="007C1257">
        <w:t>Waerden</w:t>
      </w:r>
      <w:proofErr w:type="spellEnd"/>
      <w:r w:rsidRPr="007C1257">
        <w:t xml:space="preserve"> normal scores.</w:t>
      </w:r>
    </w:p>
    <w:p w:rsidR="00E51565" w:rsidRPr="00E51565" w:rsidRDefault="00E51565" w:rsidP="002520A4">
      <w:pPr>
        <w:rPr>
          <w:lang w:eastAsia="en-AU"/>
        </w:rPr>
      </w:pPr>
      <w:r w:rsidRPr="00E51565">
        <w:rPr>
          <w:lang w:eastAsia="en-AU"/>
        </w:rPr>
        <w:t>Among all randomized subjects:</w:t>
      </w:r>
    </w:p>
    <w:p w:rsidR="00E51565" w:rsidRPr="00E51565" w:rsidRDefault="00E51565" w:rsidP="002520A4">
      <w:pPr>
        <w:pStyle w:val="ListBullet"/>
        <w:rPr>
          <w:lang w:eastAsia="en-AU"/>
        </w:rPr>
      </w:pPr>
      <w:r w:rsidRPr="00E51565">
        <w:rPr>
          <w:lang w:eastAsia="en-AU"/>
        </w:rPr>
        <w:t xml:space="preserve">92.1% were receiving ulcerative colitis </w:t>
      </w:r>
      <w:r w:rsidRPr="002520A4">
        <w:t>medications</w:t>
      </w:r>
      <w:r w:rsidRPr="00E51565">
        <w:rPr>
          <w:lang w:eastAsia="en-AU"/>
        </w:rPr>
        <w:t>;</w:t>
      </w:r>
    </w:p>
    <w:p w:rsidR="00E51565" w:rsidRPr="00E51565" w:rsidRDefault="00E51565" w:rsidP="002520A4">
      <w:pPr>
        <w:pStyle w:val="ListBullet"/>
        <w:rPr>
          <w:lang w:eastAsia="en-AU"/>
        </w:rPr>
      </w:pPr>
      <w:r w:rsidRPr="00E51565">
        <w:rPr>
          <w:lang w:eastAsia="en-AU"/>
        </w:rPr>
        <w:t>43.2% were receiving corticosteroids (</w:t>
      </w:r>
      <w:r w:rsidRPr="002520A4">
        <w:t>excluding</w:t>
      </w:r>
      <w:r w:rsidRPr="00E51565">
        <w:rPr>
          <w:lang w:eastAsia="en-AU"/>
        </w:rPr>
        <w:t xml:space="preserve"> budesonide), with 25.1% receiving ≥ 2</w:t>
      </w:r>
      <w:r w:rsidR="007C1257">
        <w:rPr>
          <w:lang w:eastAsia="en-AU"/>
        </w:rPr>
        <w:t>0 mg</w:t>
      </w:r>
      <w:r w:rsidRPr="00E51565">
        <w:rPr>
          <w:lang w:eastAsia="en-AU"/>
        </w:rPr>
        <w:t>/day (</w:t>
      </w:r>
      <w:proofErr w:type="spellStart"/>
      <w:r w:rsidRPr="00E51565">
        <w:rPr>
          <w:lang w:eastAsia="en-AU"/>
        </w:rPr>
        <w:t>PEq</w:t>
      </w:r>
      <w:proofErr w:type="spellEnd"/>
      <w:r w:rsidRPr="00E51565">
        <w:rPr>
          <w:lang w:eastAsia="en-AU"/>
        </w:rPr>
        <w:t>);</w:t>
      </w:r>
    </w:p>
    <w:p w:rsidR="00E51565" w:rsidRPr="00E51565" w:rsidRDefault="00E51565" w:rsidP="002520A4">
      <w:pPr>
        <w:pStyle w:val="ListBullet"/>
        <w:rPr>
          <w:lang w:eastAsia="en-AU"/>
        </w:rPr>
      </w:pPr>
      <w:r w:rsidRPr="00E51565">
        <w:rPr>
          <w:lang w:eastAsia="en-AU"/>
        </w:rPr>
        <w:t>2.1% were receiving budesonide;</w:t>
      </w:r>
    </w:p>
    <w:p w:rsidR="00E51565" w:rsidRPr="00E51565" w:rsidRDefault="00E51565" w:rsidP="002520A4">
      <w:pPr>
        <w:pStyle w:val="ListBullet"/>
        <w:rPr>
          <w:lang w:eastAsia="en-AU"/>
        </w:rPr>
      </w:pPr>
      <w:r w:rsidRPr="00E51565">
        <w:rPr>
          <w:lang w:eastAsia="en-AU"/>
        </w:rPr>
        <w:t xml:space="preserve">29.8% were receiving </w:t>
      </w:r>
      <w:proofErr w:type="spellStart"/>
      <w:r w:rsidRPr="002520A4">
        <w:t>immunomodulators</w:t>
      </w:r>
      <w:proofErr w:type="spellEnd"/>
      <w:r w:rsidRPr="00E51565">
        <w:rPr>
          <w:lang w:eastAsia="en-AU"/>
        </w:rPr>
        <w:t>, with 28.3% receiving 6-MP/AZA and 1.6% receiving MTX;</w:t>
      </w:r>
    </w:p>
    <w:p w:rsidR="00E51565" w:rsidRPr="00E51565" w:rsidRDefault="00E51565" w:rsidP="002520A4">
      <w:pPr>
        <w:pStyle w:val="ListBullet"/>
        <w:rPr>
          <w:lang w:eastAsia="en-AU"/>
        </w:rPr>
      </w:pPr>
      <w:r w:rsidRPr="00E51565">
        <w:rPr>
          <w:lang w:eastAsia="en-AU"/>
        </w:rPr>
        <w:t xml:space="preserve">81.4% were receiving </w:t>
      </w:r>
      <w:proofErr w:type="spellStart"/>
      <w:r w:rsidRPr="00E51565">
        <w:rPr>
          <w:lang w:eastAsia="en-AU"/>
        </w:rPr>
        <w:t>aminosalicylates</w:t>
      </w:r>
      <w:proofErr w:type="spellEnd"/>
      <w:r w:rsidRPr="00E51565">
        <w:rPr>
          <w:lang w:eastAsia="en-AU"/>
        </w:rPr>
        <w:t xml:space="preserve"> (protocol amendment). </w:t>
      </w:r>
      <w:r w:rsidRPr="00E51565">
        <w:rPr>
          <w:vertAlign w:val="superscript"/>
          <w:lang w:eastAsia="en-AU"/>
        </w:rPr>
        <w:footnoteReference w:id="13"/>
      </w:r>
    </w:p>
    <w:p w:rsidR="00E51565" w:rsidRPr="00E51565" w:rsidRDefault="00E51565" w:rsidP="002520A4">
      <w:pPr>
        <w:pStyle w:val="ListBullet"/>
        <w:rPr>
          <w:lang w:eastAsia="en-AU"/>
        </w:rPr>
      </w:pPr>
      <w:r w:rsidRPr="00E51565">
        <w:rPr>
          <w:lang w:eastAsia="en-AU"/>
        </w:rPr>
        <w:t>68.9% were refractory to, dependent on, or intolerant of corticosteroids;</w:t>
      </w:r>
    </w:p>
    <w:p w:rsidR="00E51565" w:rsidRPr="00E51565" w:rsidRDefault="00E51565" w:rsidP="00635DD7">
      <w:pPr>
        <w:pStyle w:val="ListBullet"/>
        <w:rPr>
          <w:lang w:eastAsia="en-AU"/>
        </w:rPr>
      </w:pPr>
      <w:r w:rsidRPr="00E51565">
        <w:rPr>
          <w:lang w:eastAsia="en-AU"/>
        </w:rPr>
        <w:t>49.6% were refractory to or intolerant of 6-MP/AZA;</w:t>
      </w:r>
    </w:p>
    <w:p w:rsidR="00E51565" w:rsidRPr="00E51565" w:rsidRDefault="00E51565" w:rsidP="00635DD7">
      <w:pPr>
        <w:pStyle w:val="ListBullet"/>
        <w:rPr>
          <w:lang w:eastAsia="en-AU"/>
        </w:rPr>
      </w:pPr>
      <w:r w:rsidRPr="00E51565">
        <w:rPr>
          <w:lang w:eastAsia="en-AU"/>
        </w:rPr>
        <w:t>95.7% were refractory to or intolerant of 5-ASAs.</w:t>
      </w:r>
    </w:p>
    <w:p w:rsidR="00E51565" w:rsidRPr="00E51565" w:rsidRDefault="00E51565" w:rsidP="002520A4">
      <w:pPr>
        <w:pStyle w:val="ListBullet"/>
        <w:rPr>
          <w:lang w:eastAsia="en-AU"/>
        </w:rPr>
      </w:pPr>
      <w:r w:rsidRPr="00E51565">
        <w:rPr>
          <w:lang w:eastAsia="en-AU"/>
        </w:rPr>
        <w:t>91.7% had used corticosteroids (</w:t>
      </w:r>
      <w:r w:rsidRPr="002520A4">
        <w:t>excluding</w:t>
      </w:r>
      <w:r w:rsidRPr="00E51565">
        <w:rPr>
          <w:lang w:eastAsia="en-AU"/>
        </w:rPr>
        <w:t xml:space="preserve"> budesonide);</w:t>
      </w:r>
    </w:p>
    <w:p w:rsidR="00E51565" w:rsidRPr="00E51565" w:rsidRDefault="00E51565" w:rsidP="002520A4">
      <w:pPr>
        <w:pStyle w:val="ListBullet"/>
        <w:rPr>
          <w:lang w:eastAsia="en-AU"/>
        </w:rPr>
      </w:pPr>
      <w:r w:rsidRPr="00E51565">
        <w:rPr>
          <w:lang w:eastAsia="en-AU"/>
        </w:rPr>
        <w:lastRenderedPageBreak/>
        <w:t xml:space="preserve">55.4% had used </w:t>
      </w:r>
      <w:proofErr w:type="spellStart"/>
      <w:r w:rsidRPr="002520A4">
        <w:t>immunomodulatory</w:t>
      </w:r>
      <w:proofErr w:type="spellEnd"/>
      <w:r w:rsidRPr="00E51565">
        <w:rPr>
          <w:lang w:eastAsia="en-AU"/>
        </w:rPr>
        <w:t xml:space="preserve"> agents;</w:t>
      </w:r>
    </w:p>
    <w:p w:rsidR="00E51565" w:rsidRPr="00E51565" w:rsidRDefault="00E51565" w:rsidP="00635DD7">
      <w:pPr>
        <w:pStyle w:val="ListBullet"/>
        <w:rPr>
          <w:lang w:eastAsia="en-AU"/>
        </w:rPr>
      </w:pPr>
      <w:r w:rsidRPr="00E51565">
        <w:rPr>
          <w:lang w:eastAsia="en-AU"/>
        </w:rPr>
        <w:t xml:space="preserve">99.5% had used </w:t>
      </w:r>
      <w:proofErr w:type="spellStart"/>
      <w:r w:rsidRPr="00E51565">
        <w:rPr>
          <w:lang w:eastAsia="en-AU"/>
        </w:rPr>
        <w:t>aminosalicylates</w:t>
      </w:r>
      <w:proofErr w:type="spellEnd"/>
      <w:r w:rsidRPr="00E51565">
        <w:rPr>
          <w:lang w:eastAsia="en-AU"/>
        </w:rPr>
        <w:t>;</w:t>
      </w:r>
    </w:p>
    <w:p w:rsidR="00E51565" w:rsidRPr="00E51565" w:rsidRDefault="00E51565" w:rsidP="00635DD7">
      <w:pPr>
        <w:pStyle w:val="ListBullet"/>
        <w:rPr>
          <w:lang w:eastAsia="en-AU"/>
        </w:rPr>
      </w:pPr>
      <w:r w:rsidRPr="00E51565">
        <w:rPr>
          <w:lang w:eastAsia="en-AU"/>
        </w:rPr>
        <w:t>33.3% had used antibiotics.</w:t>
      </w:r>
    </w:p>
    <w:p w:rsidR="00E51565" w:rsidRPr="00E51565" w:rsidRDefault="00E51565" w:rsidP="002520A4">
      <w:pPr>
        <w:pStyle w:val="Heading6"/>
        <w:rPr>
          <w:lang w:eastAsia="en-AU"/>
        </w:rPr>
      </w:pPr>
      <w:r w:rsidRPr="00E51565">
        <w:rPr>
          <w:lang w:eastAsia="en-AU"/>
        </w:rPr>
        <w:t xml:space="preserve">Major protocol </w:t>
      </w:r>
      <w:r w:rsidRPr="002520A4">
        <w:t>violations</w:t>
      </w:r>
      <w:r w:rsidRPr="00E51565">
        <w:rPr>
          <w:lang w:eastAsia="en-AU"/>
        </w:rPr>
        <w:t>/deviations</w:t>
      </w:r>
    </w:p>
    <w:p w:rsidR="00E51565" w:rsidRPr="00635DD7" w:rsidRDefault="00E51565" w:rsidP="002520A4">
      <w:r w:rsidRPr="00635DD7">
        <w:t>Study Entry Criteria Deviations were categorized as ulcerative colitis disease criteria (24 subjects),</w:t>
      </w:r>
      <w:r w:rsidRPr="00E51565">
        <w:rPr>
          <w:vertAlign w:val="superscript"/>
          <w:lang w:eastAsia="en-AU"/>
        </w:rPr>
        <w:footnoteReference w:id="14"/>
      </w:r>
      <w:r w:rsidRPr="00E51565">
        <w:rPr>
          <w:lang w:eastAsia="en-AU"/>
        </w:rPr>
        <w:t xml:space="preserve"> medication criteria (14 subjects),</w:t>
      </w:r>
      <w:r w:rsidRPr="00E51565">
        <w:rPr>
          <w:vertAlign w:val="superscript"/>
          <w:lang w:eastAsia="en-AU"/>
        </w:rPr>
        <w:footnoteReference w:id="15"/>
      </w:r>
      <w:r w:rsidRPr="00E51565">
        <w:rPr>
          <w:lang w:eastAsia="en-AU"/>
        </w:rPr>
        <w:t xml:space="preserve"> laboratory criteria (41 subjects),</w:t>
      </w:r>
      <w:r w:rsidRPr="00E51565">
        <w:rPr>
          <w:vertAlign w:val="superscript"/>
          <w:lang w:eastAsia="en-AU"/>
        </w:rPr>
        <w:footnoteReference w:id="16"/>
      </w:r>
      <w:r w:rsidRPr="00E51565">
        <w:rPr>
          <w:lang w:eastAsia="en-AU"/>
        </w:rPr>
        <w:t xml:space="preserve"> medical history criteria (66 subjects),</w:t>
      </w:r>
      <w:r w:rsidRPr="00E51565">
        <w:rPr>
          <w:vertAlign w:val="superscript"/>
          <w:lang w:eastAsia="en-AU"/>
        </w:rPr>
        <w:footnoteReference w:id="17"/>
      </w:r>
      <w:r w:rsidRPr="00E51565">
        <w:rPr>
          <w:lang w:eastAsia="en-AU"/>
        </w:rPr>
        <w:t xml:space="preserve"> and other (9 subjects). </w:t>
      </w:r>
      <w:r w:rsidRPr="00635DD7">
        <w:t>The absence of documentation confirming a subject’s eligibility at randomization was considered a deviation even if subsequent follow-up supported that the subject would have met the specific entry criterion.</w:t>
      </w:r>
    </w:p>
    <w:p w:rsidR="00E51565" w:rsidRPr="00635DD7" w:rsidRDefault="00E51565" w:rsidP="002520A4">
      <w:r w:rsidRPr="00635DD7">
        <w:t xml:space="preserve">There were no major differences in the proportions of subjects who did not meet study selection criteria across the selected </w:t>
      </w:r>
      <w:proofErr w:type="spellStart"/>
      <w:r w:rsidRPr="00635DD7">
        <w:t>golimumab</w:t>
      </w:r>
      <w:proofErr w:type="spellEnd"/>
      <w:r w:rsidRPr="00635DD7">
        <w:t xml:space="preserve"> dose groups and the placebo group.</w:t>
      </w:r>
    </w:p>
    <w:p w:rsidR="00E51565" w:rsidRPr="00635DD7" w:rsidRDefault="00E51565" w:rsidP="002520A4">
      <w:r w:rsidRPr="00635DD7">
        <w:t>Study Agent Administration Deviations were received incorrect study agent or dose (3 (0.3%) subjects), and received an administration outside the protocol-specified window (48 [4.5%] subjects).</w:t>
      </w:r>
    </w:p>
    <w:p w:rsidR="00E51565" w:rsidRPr="00E51565" w:rsidRDefault="00E51565" w:rsidP="002520A4">
      <w:pPr>
        <w:rPr>
          <w:lang w:eastAsia="en-AU"/>
        </w:rPr>
      </w:pPr>
      <w:r w:rsidRPr="00E51565">
        <w:rPr>
          <w:lang w:eastAsia="en-AU"/>
        </w:rPr>
        <w:t>Deviations in the use of concomitant medications were by 26 subjects who initiated or increased the use of concomitant ulcerative colitis medications (corticosteroids - 20 subjects).</w:t>
      </w:r>
    </w:p>
    <w:p w:rsidR="00E51565" w:rsidRPr="00635DD7" w:rsidRDefault="00E51565" w:rsidP="002520A4">
      <w:proofErr w:type="gramStart"/>
      <w:r w:rsidRPr="00635DD7">
        <w:t>A manual update to the interactive voice response system of a field that determined to which part of the study subjects were to be randomized (Part 1 or Part 2) prematurely triggered randomization to Part 2.</w:t>
      </w:r>
      <w:proofErr w:type="gramEnd"/>
      <w:r w:rsidRPr="00635DD7">
        <w:t xml:space="preserve"> As a result, only 169 subjects were randomized to Part 1.</w:t>
      </w:r>
    </w:p>
    <w:p w:rsidR="00E51565" w:rsidRPr="00635DD7" w:rsidRDefault="00E51565" w:rsidP="002520A4">
      <w:r w:rsidRPr="00635DD7">
        <w:t>Due to findings of inappropriate completion of Informed Consent Forms and Mayo diary cards at site 7257, subject data from this site were excluded from all efficacy analyses but were included in PK and safety analyses. In total, 7 subjects were randomized at site 7257 (1 subject from Part 1, and 3 subjects each from Part 2 before the dose selection and Part 2 after the dose selection.</w:t>
      </w:r>
    </w:p>
    <w:p w:rsidR="00E51565" w:rsidRPr="00E51565" w:rsidRDefault="00E51565" w:rsidP="002520A4">
      <w:pPr>
        <w:pStyle w:val="Heading6"/>
        <w:rPr>
          <w:lang w:eastAsia="en-AU"/>
        </w:rPr>
      </w:pPr>
      <w:r w:rsidRPr="00E51565">
        <w:rPr>
          <w:lang w:eastAsia="en-AU"/>
        </w:rPr>
        <w:t xml:space="preserve">Results for the </w:t>
      </w:r>
      <w:r w:rsidRPr="002520A4">
        <w:t>primary</w:t>
      </w:r>
      <w:r w:rsidRPr="00E51565">
        <w:rPr>
          <w:lang w:eastAsia="en-AU"/>
        </w:rPr>
        <w:t xml:space="preserve"> efficacy outcome</w:t>
      </w:r>
    </w:p>
    <w:p w:rsidR="00E51565" w:rsidRPr="00635DD7" w:rsidRDefault="00E51565" w:rsidP="002520A4">
      <w:r w:rsidRPr="00635DD7">
        <w:t xml:space="preserve">The proportions of subjects in the primary analysis population in clinical response at Week 6 were significantly greater for each </w:t>
      </w:r>
      <w:proofErr w:type="spellStart"/>
      <w:r w:rsidRPr="00635DD7">
        <w:t>golimumab</w:t>
      </w:r>
      <w:proofErr w:type="spellEnd"/>
      <w:r w:rsidRPr="00635DD7">
        <w:t xml:space="preserve"> group compared with the placebo group. The sensitivity analyses support this.</w:t>
      </w:r>
    </w:p>
    <w:p w:rsidR="00E51565" w:rsidRPr="00635DD7" w:rsidRDefault="00E51565" w:rsidP="002520A4">
      <w:r w:rsidRPr="00635DD7">
        <w:t xml:space="preserve">The majority of subjects had complete Mayo score data at Week 6 (93.8% and 96.3% in the placebo and </w:t>
      </w:r>
      <w:proofErr w:type="spellStart"/>
      <w:r w:rsidRPr="00635DD7">
        <w:t>golimuma</w:t>
      </w:r>
      <w:r w:rsidR="00635DD7">
        <w:t>b</w:t>
      </w:r>
      <w:proofErr w:type="spellEnd"/>
      <w:r w:rsidR="00635DD7">
        <w:t xml:space="preserve"> combined groups, respectively</w:t>
      </w:r>
      <w:r w:rsidRPr="00635DD7">
        <w:t xml:space="preserve">). Few subjects were missing 1 to 3 Mayo </w:t>
      </w:r>
      <w:proofErr w:type="spellStart"/>
      <w:r w:rsidRPr="00635DD7">
        <w:t>subscores</w:t>
      </w:r>
      <w:proofErr w:type="spellEnd"/>
      <w:r w:rsidRPr="00635DD7">
        <w:t>: 2 (0.8%) subjects each in the placebo and 20</w:t>
      </w:r>
      <w:r w:rsidR="007C1257" w:rsidRPr="00635DD7">
        <w:t>0 mg</w:t>
      </w:r>
      <w:r w:rsidRPr="00635DD7">
        <w:t xml:space="preserve"> → 10</w:t>
      </w:r>
      <w:r w:rsidR="007C1257" w:rsidRPr="00635DD7">
        <w:t>0 mg</w:t>
      </w:r>
      <w:r w:rsidRPr="00635DD7">
        <w:t xml:space="preserve"> groups and no subjects in the 40</w:t>
      </w:r>
      <w:r w:rsidR="007C1257" w:rsidRPr="00635DD7">
        <w:t>0 mg</w:t>
      </w:r>
      <w:r w:rsidRPr="00635DD7">
        <w:t xml:space="preserve"> → 20</w:t>
      </w:r>
      <w:r w:rsidR="007C1257" w:rsidRPr="00635DD7">
        <w:t>0 mg</w:t>
      </w:r>
      <w:r w:rsidRPr="00635DD7">
        <w:t xml:space="preserve"> group were missing 1 </w:t>
      </w:r>
      <w:proofErr w:type="spellStart"/>
      <w:r w:rsidRPr="00635DD7">
        <w:t>subscore</w:t>
      </w:r>
      <w:proofErr w:type="spellEnd"/>
      <w:r w:rsidRPr="00635DD7">
        <w:t xml:space="preserve">. No subjects in any group were missing 2 or 3 </w:t>
      </w:r>
      <w:proofErr w:type="spellStart"/>
      <w:r w:rsidRPr="00635DD7">
        <w:t>subscores</w:t>
      </w:r>
      <w:proofErr w:type="spellEnd"/>
      <w:r w:rsidRPr="00635DD7">
        <w:t xml:space="preserve">. In the placebo and </w:t>
      </w:r>
      <w:proofErr w:type="spellStart"/>
      <w:r w:rsidRPr="00635DD7">
        <w:t>golimumab</w:t>
      </w:r>
      <w:proofErr w:type="spellEnd"/>
      <w:r w:rsidRPr="00635DD7">
        <w:t xml:space="preserve"> combined groups, 5.5% and 3.3% of subjects, respectively, were missing all 4 Mayo </w:t>
      </w:r>
      <w:proofErr w:type="spellStart"/>
      <w:r w:rsidRPr="00635DD7">
        <w:t>subscores</w:t>
      </w:r>
      <w:proofErr w:type="spellEnd"/>
      <w:r w:rsidRPr="00635DD7">
        <w:t xml:space="preserve">. Among subjects missing all 4 Mayo </w:t>
      </w:r>
      <w:proofErr w:type="spellStart"/>
      <w:r w:rsidRPr="00635DD7">
        <w:t>subscores</w:t>
      </w:r>
      <w:proofErr w:type="spellEnd"/>
      <w:r w:rsidRPr="00635DD7">
        <w:t>, the majority terminated study participation prior to Week 6.</w:t>
      </w:r>
    </w:p>
    <w:p w:rsidR="00E51565" w:rsidRPr="00E51565" w:rsidRDefault="00E51565" w:rsidP="002520A4">
      <w:pPr>
        <w:pStyle w:val="Heading6"/>
        <w:rPr>
          <w:lang w:eastAsia="en-AU"/>
        </w:rPr>
      </w:pPr>
      <w:r w:rsidRPr="00E51565">
        <w:rPr>
          <w:lang w:eastAsia="en-AU"/>
        </w:rPr>
        <w:lastRenderedPageBreak/>
        <w:t xml:space="preserve">Results for other efficacy </w:t>
      </w:r>
      <w:r w:rsidRPr="002520A4">
        <w:t>outcomes</w:t>
      </w:r>
    </w:p>
    <w:p w:rsidR="00E51565" w:rsidRPr="00E51565" w:rsidRDefault="00E51565" w:rsidP="002520A4">
      <w:pPr>
        <w:pStyle w:val="TableTitle"/>
        <w:rPr>
          <w:lang w:eastAsia="en-AU"/>
        </w:rPr>
      </w:pPr>
      <w:bookmarkStart w:id="95" w:name="_Toc373241103"/>
      <w:proofErr w:type="gramStart"/>
      <w:r w:rsidRPr="00E51565">
        <w:rPr>
          <w:lang w:eastAsia="en-AU"/>
        </w:rPr>
        <w:t xml:space="preserve">Table </w:t>
      </w:r>
      <w:r w:rsidR="00635DD7">
        <w:rPr>
          <w:lang w:eastAsia="en-AU"/>
        </w:rPr>
        <w:t>7.</w:t>
      </w:r>
      <w:proofErr w:type="gramEnd"/>
      <w:r w:rsidRPr="00E51565">
        <w:rPr>
          <w:lang w:eastAsia="en-AU"/>
        </w:rPr>
        <w:t xml:space="preserve"> Major Secondary Efficacy Outcomes (</w:t>
      </w:r>
      <w:r w:rsidRPr="002520A4">
        <w:t>excluding</w:t>
      </w:r>
      <w:r w:rsidRPr="00E51565">
        <w:rPr>
          <w:lang w:eastAsia="en-AU"/>
        </w:rPr>
        <w:t xml:space="preserve"> sites 6706 and 7257)</w:t>
      </w:r>
      <w:bookmarkEnd w:id="95"/>
    </w:p>
    <w:p w:rsidR="00E51565" w:rsidRPr="00E51565" w:rsidRDefault="00E51565" w:rsidP="002520A4">
      <w:pPr>
        <w:rPr>
          <w:vertAlign w:val="superscript"/>
          <w:lang w:eastAsia="en-AU"/>
        </w:rPr>
      </w:pPr>
      <w:r w:rsidRPr="00E51565">
        <w:rPr>
          <w:noProof/>
          <w:vertAlign w:val="superscript"/>
          <w:lang w:eastAsia="en-AU"/>
        </w:rPr>
        <w:drawing>
          <wp:inline distT="0" distB="0" distL="0" distR="0" wp14:anchorId="43CDE152" wp14:editId="4C49E858">
            <wp:extent cx="5436000" cy="3082838"/>
            <wp:effectExtent l="0" t="0" r="0" b="0"/>
            <wp:docPr id="11" name="Picture 1" descr="Table 7. Major Secondary Efficacy Outcomes (excluding sites 6706 and 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436000" cy="3082838"/>
                    </a:xfrm>
                    <a:prstGeom prst="rect">
                      <a:avLst/>
                    </a:prstGeom>
                    <a:noFill/>
                    <a:ln w="9525">
                      <a:noFill/>
                      <a:miter lim="800000"/>
                      <a:headEnd/>
                      <a:tailEnd/>
                    </a:ln>
                  </pic:spPr>
                </pic:pic>
              </a:graphicData>
            </a:graphic>
          </wp:inline>
        </w:drawing>
      </w:r>
    </w:p>
    <w:p w:rsidR="00E51565" w:rsidRPr="00E51565" w:rsidRDefault="00E51565" w:rsidP="002520A4">
      <w:pPr>
        <w:pStyle w:val="TableDescription"/>
        <w:rPr>
          <w:lang w:eastAsia="en-AU"/>
        </w:rPr>
      </w:pPr>
      <w:r w:rsidRPr="00E51565">
        <w:rPr>
          <w:vertAlign w:val="superscript"/>
          <w:lang w:eastAsia="en-AU"/>
        </w:rPr>
        <w:t>a</w:t>
      </w:r>
      <w:r w:rsidRPr="00E51565">
        <w:rPr>
          <w:lang w:eastAsia="en-AU"/>
        </w:rPr>
        <w:t xml:space="preserve"> Subjects who had a prohibited change in concomitant ulcerative colitis medication, an </w:t>
      </w:r>
      <w:proofErr w:type="spellStart"/>
      <w:r w:rsidRPr="00E51565">
        <w:rPr>
          <w:lang w:eastAsia="en-AU"/>
        </w:rPr>
        <w:t>ostomy</w:t>
      </w:r>
      <w:proofErr w:type="spellEnd"/>
      <w:r w:rsidRPr="00E51565">
        <w:rPr>
          <w:lang w:eastAsia="en-AU"/>
        </w:rPr>
        <w:t xml:space="preserve"> or colectomy, or discontinued study agent due to lack of therapeutic effect prior to the Week 6 visit are considered not to be in clinical remission or have mucosal he</w:t>
      </w:r>
      <w:r w:rsidR="002520A4">
        <w:rPr>
          <w:lang w:eastAsia="en-AU"/>
        </w:rPr>
        <w:t>aling</w:t>
      </w:r>
    </w:p>
    <w:p w:rsidR="00E51565" w:rsidRPr="00E51565" w:rsidRDefault="00E51565" w:rsidP="002520A4">
      <w:pPr>
        <w:pStyle w:val="TableDescription"/>
        <w:rPr>
          <w:lang w:eastAsia="en-AU"/>
        </w:rPr>
      </w:pPr>
      <w:proofErr w:type="gramStart"/>
      <w:r w:rsidRPr="00E51565">
        <w:rPr>
          <w:vertAlign w:val="superscript"/>
          <w:lang w:eastAsia="en-AU"/>
        </w:rPr>
        <w:t>b</w:t>
      </w:r>
      <w:proofErr w:type="gramEnd"/>
      <w:r w:rsidRPr="00E51565">
        <w:rPr>
          <w:lang w:eastAsia="en-AU"/>
        </w:rPr>
        <w:t xml:space="preserve"> Subjects who had all 4 Mayo </w:t>
      </w:r>
      <w:proofErr w:type="spellStart"/>
      <w:r w:rsidRPr="00E51565">
        <w:rPr>
          <w:lang w:eastAsia="en-AU"/>
        </w:rPr>
        <w:t>subscores</w:t>
      </w:r>
      <w:proofErr w:type="spellEnd"/>
      <w:r w:rsidRPr="00E51565">
        <w:rPr>
          <w:lang w:eastAsia="en-AU"/>
        </w:rPr>
        <w:t xml:space="preserve"> missing at Week 6 are considered not to be in clinical remission.</w:t>
      </w:r>
    </w:p>
    <w:p w:rsidR="00E51565" w:rsidRPr="00E51565" w:rsidRDefault="00E51565" w:rsidP="002520A4">
      <w:pPr>
        <w:pStyle w:val="TableDescription"/>
        <w:rPr>
          <w:lang w:eastAsia="en-AU"/>
        </w:rPr>
      </w:pPr>
      <w:proofErr w:type="gramStart"/>
      <w:r w:rsidRPr="00E51565">
        <w:rPr>
          <w:vertAlign w:val="superscript"/>
          <w:lang w:eastAsia="en-AU"/>
        </w:rPr>
        <w:t>c</w:t>
      </w:r>
      <w:proofErr w:type="gramEnd"/>
      <w:r w:rsidRPr="00E51565">
        <w:rPr>
          <w:lang w:eastAsia="en-AU"/>
        </w:rPr>
        <w:t xml:space="preserve"> Subjects who had a missing endoscopy </w:t>
      </w:r>
      <w:proofErr w:type="spellStart"/>
      <w:r w:rsidRPr="00E51565">
        <w:rPr>
          <w:lang w:eastAsia="en-AU"/>
        </w:rPr>
        <w:t>subscore</w:t>
      </w:r>
      <w:proofErr w:type="spellEnd"/>
      <w:r w:rsidRPr="00E51565">
        <w:rPr>
          <w:lang w:eastAsia="en-AU"/>
        </w:rPr>
        <w:t xml:space="preserve"> at Week 6 are considered not to have mucosal healing.</w:t>
      </w:r>
    </w:p>
    <w:p w:rsidR="00E51565" w:rsidRPr="00E51565" w:rsidRDefault="00E51565" w:rsidP="002520A4">
      <w:pPr>
        <w:pStyle w:val="TableDescription"/>
        <w:rPr>
          <w:lang w:eastAsia="en-AU"/>
        </w:rPr>
      </w:pPr>
      <w:r w:rsidRPr="00E51565">
        <w:rPr>
          <w:vertAlign w:val="superscript"/>
          <w:lang w:eastAsia="en-AU"/>
        </w:rPr>
        <w:t>d</w:t>
      </w:r>
      <w:r w:rsidRPr="00E51565">
        <w:rPr>
          <w:lang w:eastAsia="en-AU"/>
        </w:rPr>
        <w:t xml:space="preserve"> Subjects who had a prohibited change in concomitant ulcerative colitis medication, an </w:t>
      </w:r>
      <w:proofErr w:type="spellStart"/>
      <w:r w:rsidRPr="00E51565">
        <w:rPr>
          <w:lang w:eastAsia="en-AU"/>
        </w:rPr>
        <w:t>ostomy</w:t>
      </w:r>
      <w:proofErr w:type="spellEnd"/>
      <w:r w:rsidRPr="00E51565">
        <w:rPr>
          <w:lang w:eastAsia="en-AU"/>
        </w:rPr>
        <w:t xml:space="preserve"> or colectomy, or discontinued study agent due to lack of therapeutic effect prior to the Week 6 visit had their baseline value carried forward to Week 6.</w:t>
      </w:r>
    </w:p>
    <w:p w:rsidR="00E51565" w:rsidRPr="00E51565" w:rsidRDefault="00E51565" w:rsidP="002520A4">
      <w:pPr>
        <w:pStyle w:val="TableDescription"/>
        <w:rPr>
          <w:lang w:eastAsia="en-AU"/>
        </w:rPr>
      </w:pPr>
      <w:proofErr w:type="gramStart"/>
      <w:r w:rsidRPr="00E51565">
        <w:rPr>
          <w:vertAlign w:val="superscript"/>
          <w:lang w:eastAsia="en-AU"/>
        </w:rPr>
        <w:t>e</w:t>
      </w:r>
      <w:proofErr w:type="gramEnd"/>
      <w:r w:rsidRPr="00E51565">
        <w:rPr>
          <w:lang w:eastAsia="en-AU"/>
        </w:rPr>
        <w:t xml:space="preserve"> Subjects who had a missing IBDQ score at Week 6 had the last available value carried forward. </w:t>
      </w:r>
    </w:p>
    <w:p w:rsidR="00B13311" w:rsidRDefault="00E51565" w:rsidP="002520A4">
      <w:pPr>
        <w:pStyle w:val="TableDescription"/>
        <w:rPr>
          <w:lang w:eastAsia="en-AU"/>
        </w:rPr>
      </w:pPr>
      <w:r w:rsidRPr="00E51565">
        <w:rPr>
          <w:lang w:eastAsia="en-AU"/>
        </w:rPr>
        <w:t>Source: Table 10, Attachments 3.23 &amp; 3.25</w:t>
      </w:r>
    </w:p>
    <w:p w:rsidR="00E51565" w:rsidRPr="00E51565" w:rsidRDefault="00E51565" w:rsidP="002520A4">
      <w:pPr>
        <w:pStyle w:val="Heading4"/>
      </w:pPr>
      <w:bookmarkStart w:id="96" w:name="_Toc373241025"/>
      <w:r w:rsidRPr="00E51565">
        <w:t>Study C0524T16 (</w:t>
      </w:r>
      <w:r w:rsidRPr="002520A4">
        <w:t>PURSUIT</w:t>
      </w:r>
      <w:r w:rsidRPr="00E51565">
        <w:t xml:space="preserve"> – Intravenous)</w:t>
      </w:r>
      <w:bookmarkEnd w:id="96"/>
    </w:p>
    <w:p w:rsidR="00E51565" w:rsidRPr="00E51565" w:rsidRDefault="00E51565" w:rsidP="002520A4">
      <w:pPr>
        <w:ind w:left="709"/>
        <w:rPr>
          <w:rFonts w:eastAsia="Times New Roman"/>
          <w:kern w:val="16"/>
          <w:lang w:eastAsia="en-AU"/>
        </w:rPr>
      </w:pPr>
      <w:r w:rsidRPr="00635DD7">
        <w:t>Comment: This was a 2 phase study. The protocol and Statistical analysis plan make it clear that the objectives and endpoints differed between the 2 phases. The study was closed prematurely before the intended population of its second phase was achieved. However the resulting smaller population meant that there was not sufficient power for the primary endpoint analysis, which was based on the population of subjects from Part 2. For this reason, all analyses based on the population of subjects in Part 2, which includes the primary and major secondary endpoints, was not performed. The revised plan was to analyse all efficacy (including the endpoints originally designated as the primary and major secondary endpoints), safety, and PK endpoints using the combined population of subjects from Part 1 and Part 2</w:t>
      </w:r>
      <w:r w:rsidRPr="00E51565">
        <w:rPr>
          <w:rFonts w:eastAsia="Times New Roman"/>
          <w:kern w:val="16"/>
          <w:lang w:eastAsia="en-AU"/>
        </w:rPr>
        <w:t>.</w:t>
      </w:r>
      <w:r w:rsidRPr="00E51565">
        <w:rPr>
          <w:rFonts w:eastAsia="Times New Roman"/>
          <w:kern w:val="16"/>
          <w:vertAlign w:val="superscript"/>
          <w:lang w:eastAsia="en-AU"/>
        </w:rPr>
        <w:footnoteReference w:id="18"/>
      </w:r>
    </w:p>
    <w:p w:rsidR="00E51565" w:rsidRPr="00635DD7" w:rsidRDefault="00E51565" w:rsidP="002520A4">
      <w:r w:rsidRPr="00635DD7">
        <w:t xml:space="preserve">Following the dose response analysis for the companion </w:t>
      </w:r>
      <w:proofErr w:type="spellStart"/>
      <w:r w:rsidRPr="00635DD7">
        <w:t>golimumab</w:t>
      </w:r>
      <w:proofErr w:type="spellEnd"/>
      <w:r w:rsidRPr="00635DD7">
        <w:t xml:space="preserve"> SC induction study C0524T17 and a review of the totality of the data from both studies, enrolment was terminated on 30 Jan</w:t>
      </w:r>
      <w:r w:rsidR="00635DD7" w:rsidRPr="00635DD7">
        <w:t>uary</w:t>
      </w:r>
      <w:r w:rsidRPr="00635DD7">
        <w:t xml:space="preserve"> 2009 after 115 subjects were randomised.</w:t>
      </w:r>
    </w:p>
    <w:p w:rsidR="00E51565" w:rsidRPr="00635DD7" w:rsidRDefault="00E51565" w:rsidP="002520A4">
      <w:r w:rsidRPr="00635DD7">
        <w:t xml:space="preserve">Thus the size of the population enrolled in Part 2 was not known until after the </w:t>
      </w:r>
      <w:proofErr w:type="spellStart"/>
      <w:r w:rsidRPr="00635DD7">
        <w:t>unblinding</w:t>
      </w:r>
      <w:proofErr w:type="spellEnd"/>
      <w:r w:rsidRPr="00635DD7">
        <w:t xml:space="preserve"> of those in Part 1 for review, that is a decision was made to alter the primary and secondary variables and endpoints with part of the population already </w:t>
      </w:r>
      <w:proofErr w:type="spellStart"/>
      <w:r w:rsidRPr="00635DD7">
        <w:t>unblinded</w:t>
      </w:r>
      <w:proofErr w:type="spellEnd"/>
      <w:r w:rsidRPr="00635DD7">
        <w:t>.</w:t>
      </w:r>
    </w:p>
    <w:p w:rsidR="00E51565" w:rsidRPr="00E51565" w:rsidRDefault="00E51565" w:rsidP="002520A4">
      <w:pPr>
        <w:pStyle w:val="Heading6"/>
        <w:rPr>
          <w:lang w:eastAsia="en-AU"/>
        </w:rPr>
      </w:pPr>
      <w:r w:rsidRPr="00E51565">
        <w:rPr>
          <w:lang w:eastAsia="en-AU"/>
        </w:rPr>
        <w:lastRenderedPageBreak/>
        <w:t xml:space="preserve">Study design, objectives, </w:t>
      </w:r>
      <w:r w:rsidRPr="002520A4">
        <w:t>locations</w:t>
      </w:r>
      <w:r w:rsidRPr="00E51565">
        <w:rPr>
          <w:lang w:eastAsia="en-AU"/>
        </w:rPr>
        <w:t xml:space="preserve"> and dates</w:t>
      </w:r>
    </w:p>
    <w:p w:rsidR="00E51565" w:rsidRPr="00635DD7" w:rsidRDefault="00E51565" w:rsidP="00AB7615">
      <w:r w:rsidRPr="00635DD7">
        <w:t xml:space="preserve">A multicentre randomized, placebo-controlled, parallel-group, double-blind study to evaluate the safety and efficacy of </w:t>
      </w:r>
      <w:proofErr w:type="spellStart"/>
      <w:r w:rsidRPr="00635DD7">
        <w:t>golimumab</w:t>
      </w:r>
      <w:proofErr w:type="spellEnd"/>
      <w:r w:rsidRPr="00635DD7">
        <w:t xml:space="preserve"> induction therapy, administered intravenously, in subjects with moderately to severely active ulcerative colitis. </w:t>
      </w:r>
      <w:proofErr w:type="gramStart"/>
      <w:r w:rsidRPr="00635DD7">
        <w:t>From 2 Aug</w:t>
      </w:r>
      <w:r w:rsidR="00635DD7">
        <w:t>ust</w:t>
      </w:r>
      <w:r w:rsidRPr="00635DD7">
        <w:t xml:space="preserve"> 2007 to 18 May 2009.</w:t>
      </w:r>
      <w:proofErr w:type="gramEnd"/>
      <w:r w:rsidRPr="00635DD7">
        <w:t xml:space="preserve"> In Australia, India, New Zealand, Bulgaria, Hungary, Latvia, Poland, Romania, Serbia, Slovakia [Slovak Republic], Ukraine, United States, Canada, Austria, Belgium, France, Israel, and Netherlands.</w:t>
      </w:r>
    </w:p>
    <w:p w:rsidR="00E51565" w:rsidRPr="00635DD7" w:rsidRDefault="00E51565" w:rsidP="00AB7615">
      <w:r w:rsidRPr="00635DD7">
        <w:t xml:space="preserve">Initially the study was dose-ranging with 176 subjects randomised in a 1:1:1:1 ratio at Week 0 to a single IV administration of </w:t>
      </w:r>
      <w:proofErr w:type="spellStart"/>
      <w:r w:rsidRPr="00635DD7">
        <w:t>golimumab</w:t>
      </w:r>
      <w:proofErr w:type="spellEnd"/>
      <w:r w:rsidRPr="00635DD7">
        <w:t xml:space="preserve"> (1mg/kg, 2mg/kg, or 4mg/kg) or placebo.</w:t>
      </w:r>
    </w:p>
    <w:p w:rsidR="00E51565" w:rsidRPr="00635DD7" w:rsidRDefault="00E51565" w:rsidP="00AB7615">
      <w:r w:rsidRPr="00635DD7">
        <w:t xml:space="preserve">An interim analysis to help determine optimal IV induction </w:t>
      </w:r>
      <w:proofErr w:type="gramStart"/>
      <w:r w:rsidRPr="00635DD7">
        <w:t xml:space="preserve">doses of </w:t>
      </w:r>
      <w:proofErr w:type="spellStart"/>
      <w:r w:rsidRPr="00635DD7">
        <w:t>golimumab</w:t>
      </w:r>
      <w:proofErr w:type="spellEnd"/>
      <w:r w:rsidRPr="00635DD7">
        <w:t xml:space="preserve"> was</w:t>
      </w:r>
      <w:proofErr w:type="gramEnd"/>
      <w:r w:rsidRPr="00635DD7">
        <w:t xml:space="preserve"> conducted after all subjects in Part 1 either completed the Week 6 visit or terminated study participation prior to Week 6. From this the induction dose regimens of </w:t>
      </w:r>
      <w:proofErr w:type="spellStart"/>
      <w:r w:rsidRPr="00635DD7">
        <w:t>golimumab</w:t>
      </w:r>
      <w:proofErr w:type="spellEnd"/>
      <w:r w:rsidRPr="00635DD7">
        <w:t xml:space="preserve"> for Part 2 were decided (2mg/kg and 4mg/kg). There was no break in enrolment. The 177th subject was randomised in, and approximately 500 subjects were to be randomised in Part 2, the dose-confirming portion, enrolment into the study was terminated on 30 Jan 2009 after 115 subjects were randomised</w:t>
      </w:r>
      <w:r w:rsidRPr="00635DD7">
        <w:rPr>
          <w:vertAlign w:val="superscript"/>
        </w:rPr>
        <w:t>.</w:t>
      </w:r>
      <w:r w:rsidRPr="00635DD7">
        <w:rPr>
          <w:vertAlign w:val="superscript"/>
        </w:rPr>
        <w:footnoteReference w:id="19"/>
      </w:r>
    </w:p>
    <w:p w:rsidR="00E51565" w:rsidRPr="00635DD7" w:rsidRDefault="00E51565" w:rsidP="00AB7615">
      <w:r w:rsidRPr="00635DD7">
        <w:t>At Week 6, subjects were evaluated for clinical response. All subjects were eligible to enrol in the maintenance study C0524T18. Those not doing so were evaluated for safety 16 weeks after Week 0.</w:t>
      </w:r>
    </w:p>
    <w:p w:rsidR="00E51565" w:rsidRPr="00E51565" w:rsidRDefault="00E51565" w:rsidP="00AB7615">
      <w:pPr>
        <w:pStyle w:val="Heading6"/>
        <w:rPr>
          <w:lang w:eastAsia="en-AU"/>
        </w:rPr>
      </w:pPr>
      <w:r w:rsidRPr="00E51565">
        <w:rPr>
          <w:lang w:eastAsia="en-AU"/>
        </w:rPr>
        <w:t xml:space="preserve">Study </w:t>
      </w:r>
      <w:r w:rsidR="00AB7615">
        <w:rPr>
          <w:lang w:eastAsia="en-AU"/>
        </w:rPr>
        <w:t>o</w:t>
      </w:r>
      <w:r w:rsidRPr="00E51565">
        <w:rPr>
          <w:lang w:eastAsia="en-AU"/>
        </w:rPr>
        <w:t xml:space="preserve">bjectives </w:t>
      </w:r>
      <w:r w:rsidRPr="00E51565">
        <w:rPr>
          <w:vertAlign w:val="superscript"/>
          <w:lang w:eastAsia="en-AU"/>
        </w:rPr>
        <w:footnoteReference w:id="20"/>
      </w:r>
    </w:p>
    <w:p w:rsidR="00E51565" w:rsidRPr="00635DD7" w:rsidRDefault="00E51565" w:rsidP="00AB7615">
      <w:r w:rsidRPr="00635DD7">
        <w:t>Part 1: Dose-ranging</w:t>
      </w:r>
    </w:p>
    <w:p w:rsidR="00E51565" w:rsidRPr="00635DD7" w:rsidRDefault="00E51565" w:rsidP="005A25A0">
      <w:pPr>
        <w:pStyle w:val="ListBullet"/>
      </w:pPr>
      <w:r w:rsidRPr="00635DD7">
        <w:t xml:space="preserve">To evaluate the dose response of IV </w:t>
      </w:r>
      <w:proofErr w:type="spellStart"/>
      <w:r w:rsidRPr="00635DD7">
        <w:t>golimumab</w:t>
      </w:r>
      <w:proofErr w:type="spellEnd"/>
      <w:r w:rsidRPr="00635DD7">
        <w:t xml:space="preserve"> induction regimens in subjects with moderately to severely active ulcerative colitis.</w:t>
      </w:r>
    </w:p>
    <w:p w:rsidR="00E51565" w:rsidRPr="00635DD7" w:rsidRDefault="00E51565" w:rsidP="005A25A0">
      <w:pPr>
        <w:pStyle w:val="ListBullet"/>
      </w:pPr>
      <w:r w:rsidRPr="00635DD7">
        <w:t xml:space="preserve">To select IV induction regimen(s) of </w:t>
      </w:r>
      <w:proofErr w:type="spellStart"/>
      <w:r w:rsidRPr="00635DD7">
        <w:t>golimumab</w:t>
      </w:r>
      <w:proofErr w:type="spellEnd"/>
      <w:r w:rsidRPr="00635DD7">
        <w:t>, based on safety and efficacy, for continued development in Part 2.</w:t>
      </w:r>
    </w:p>
    <w:p w:rsidR="00E51565" w:rsidRPr="00635DD7" w:rsidRDefault="00E51565" w:rsidP="005A25A0">
      <w:pPr>
        <w:pStyle w:val="ListBullet"/>
      </w:pPr>
      <w:r w:rsidRPr="00635DD7">
        <w:t xml:space="preserve">To provide the target study population to be evaluated in the 1-year </w:t>
      </w:r>
      <w:proofErr w:type="spellStart"/>
      <w:r w:rsidRPr="00635DD7">
        <w:t>golimumab</w:t>
      </w:r>
      <w:proofErr w:type="spellEnd"/>
      <w:r w:rsidRPr="00635DD7">
        <w:t xml:space="preserve"> maintenance study (C0524T18).</w:t>
      </w:r>
    </w:p>
    <w:p w:rsidR="00E51565" w:rsidRPr="00635DD7" w:rsidRDefault="00E51565" w:rsidP="005A25A0">
      <w:r w:rsidRPr="00635DD7">
        <w:t>Part 2: Dose-confirming</w:t>
      </w:r>
    </w:p>
    <w:p w:rsidR="00E51565" w:rsidRPr="00635DD7" w:rsidRDefault="00E51565" w:rsidP="005A25A0">
      <w:r w:rsidRPr="00635DD7">
        <w:t>Primary Objectives</w:t>
      </w:r>
    </w:p>
    <w:p w:rsidR="00E51565" w:rsidRPr="00635DD7" w:rsidRDefault="00E51565" w:rsidP="005A25A0">
      <w:pPr>
        <w:pStyle w:val="ListBullet"/>
      </w:pPr>
      <w:r w:rsidRPr="00635DD7">
        <w:t xml:space="preserve">To evaluate the </w:t>
      </w:r>
      <w:r w:rsidRPr="005A25A0">
        <w:t>efficacy</w:t>
      </w:r>
      <w:r w:rsidRPr="00635DD7">
        <w:t xml:space="preserve"> of IV induction regimens of </w:t>
      </w:r>
      <w:proofErr w:type="spellStart"/>
      <w:r w:rsidRPr="00635DD7">
        <w:t>golimumab</w:t>
      </w:r>
      <w:proofErr w:type="spellEnd"/>
      <w:r w:rsidRPr="00635DD7">
        <w:t xml:space="preserve"> in inducing clinical response in subjects with moderately to severely active ulcerative colitis.</w:t>
      </w:r>
    </w:p>
    <w:p w:rsidR="00E51565" w:rsidRPr="00635DD7" w:rsidRDefault="00E51565" w:rsidP="005A25A0">
      <w:pPr>
        <w:pStyle w:val="ListBullet"/>
      </w:pPr>
      <w:r w:rsidRPr="00635DD7">
        <w:t xml:space="preserve">To evaluate the </w:t>
      </w:r>
      <w:r w:rsidRPr="005A25A0">
        <w:t>safety</w:t>
      </w:r>
      <w:r w:rsidRPr="00635DD7">
        <w:t xml:space="preserve"> of IV induction regimens of </w:t>
      </w:r>
      <w:proofErr w:type="spellStart"/>
      <w:r w:rsidRPr="00635DD7">
        <w:t>golimumab</w:t>
      </w:r>
      <w:proofErr w:type="spellEnd"/>
      <w:r w:rsidRPr="00635DD7">
        <w:t xml:space="preserve"> in subjects with moderately to severely active ulcerative colitis.</w:t>
      </w:r>
    </w:p>
    <w:p w:rsidR="00E51565" w:rsidRPr="00635DD7" w:rsidRDefault="00E51565" w:rsidP="005A25A0">
      <w:r w:rsidRPr="00635DD7">
        <w:t>Secondary Objectives</w:t>
      </w:r>
    </w:p>
    <w:p w:rsidR="00E51565" w:rsidRPr="00635DD7" w:rsidRDefault="00E51565" w:rsidP="005A25A0">
      <w:pPr>
        <w:pStyle w:val="ListBullet"/>
      </w:pPr>
      <w:r w:rsidRPr="00635DD7">
        <w:t xml:space="preserve">To evaluate the </w:t>
      </w:r>
      <w:r w:rsidRPr="005A25A0">
        <w:t>efficacy</w:t>
      </w:r>
      <w:r w:rsidRPr="00635DD7">
        <w:t xml:space="preserve"> of IV induction regimens of </w:t>
      </w:r>
      <w:proofErr w:type="spellStart"/>
      <w:r w:rsidRPr="00635DD7">
        <w:t>golimumab</w:t>
      </w:r>
      <w:proofErr w:type="spellEnd"/>
      <w:r w:rsidRPr="00635DD7">
        <w:t xml:space="preserve"> in inducing clinical remission.</w:t>
      </w:r>
    </w:p>
    <w:p w:rsidR="00E51565" w:rsidRPr="00635DD7" w:rsidRDefault="00E51565" w:rsidP="005A25A0">
      <w:pPr>
        <w:pStyle w:val="ListBullet"/>
      </w:pPr>
      <w:r w:rsidRPr="00635DD7">
        <w:t xml:space="preserve">To evaluate the </w:t>
      </w:r>
      <w:r w:rsidRPr="005A25A0">
        <w:t>efficacy</w:t>
      </w:r>
      <w:r w:rsidRPr="00635DD7">
        <w:t xml:space="preserve"> of IV induction regimens of </w:t>
      </w:r>
      <w:proofErr w:type="spellStart"/>
      <w:r w:rsidRPr="00635DD7">
        <w:t>golimumab</w:t>
      </w:r>
      <w:proofErr w:type="spellEnd"/>
      <w:r w:rsidRPr="00635DD7">
        <w:t xml:space="preserve"> in inducing mucosal healing.</w:t>
      </w:r>
    </w:p>
    <w:p w:rsidR="00E51565" w:rsidRPr="00635DD7" w:rsidRDefault="00E51565" w:rsidP="005A25A0">
      <w:pPr>
        <w:pStyle w:val="ListBullet"/>
      </w:pPr>
      <w:r w:rsidRPr="00635DD7">
        <w:t xml:space="preserve">To evaluate the </w:t>
      </w:r>
      <w:r w:rsidRPr="005A25A0">
        <w:t>efficacy</w:t>
      </w:r>
      <w:r w:rsidRPr="00635DD7">
        <w:t xml:space="preserve"> of IV induction regimens of </w:t>
      </w:r>
      <w:proofErr w:type="spellStart"/>
      <w:r w:rsidRPr="00635DD7">
        <w:t>golimumab</w:t>
      </w:r>
      <w:proofErr w:type="spellEnd"/>
      <w:r w:rsidRPr="00635DD7">
        <w:t xml:space="preserve"> in improving disease-specific health-related quality of life.</w:t>
      </w:r>
    </w:p>
    <w:p w:rsidR="00E51565" w:rsidRPr="00635DD7" w:rsidRDefault="00E51565" w:rsidP="005A25A0">
      <w:pPr>
        <w:pStyle w:val="ListBullet"/>
      </w:pPr>
      <w:r w:rsidRPr="00635DD7">
        <w:t xml:space="preserve">To provide the target study population to be evaluated in the 1-year </w:t>
      </w:r>
      <w:proofErr w:type="spellStart"/>
      <w:r w:rsidRPr="00635DD7">
        <w:t>golimumab</w:t>
      </w:r>
      <w:proofErr w:type="spellEnd"/>
      <w:r w:rsidRPr="00635DD7">
        <w:t xml:space="preserve"> maintenance study (C0524T18).</w:t>
      </w:r>
    </w:p>
    <w:p w:rsidR="00E51565" w:rsidRPr="00E51565" w:rsidRDefault="00E51565" w:rsidP="005A25A0">
      <w:pPr>
        <w:pStyle w:val="Heading6"/>
        <w:rPr>
          <w:lang w:eastAsia="en-AU"/>
        </w:rPr>
      </w:pPr>
      <w:r w:rsidRPr="00E51565">
        <w:rPr>
          <w:lang w:eastAsia="en-AU"/>
        </w:rPr>
        <w:lastRenderedPageBreak/>
        <w:t xml:space="preserve">Inclusion &amp; </w:t>
      </w:r>
      <w:r w:rsidR="005A25A0" w:rsidRPr="005A25A0">
        <w:t>e</w:t>
      </w:r>
      <w:r w:rsidRPr="005A25A0">
        <w:t>xclusion</w:t>
      </w:r>
      <w:r w:rsidRPr="00E51565">
        <w:rPr>
          <w:lang w:eastAsia="en-AU"/>
        </w:rPr>
        <w:t xml:space="preserve"> criteria</w:t>
      </w:r>
    </w:p>
    <w:p w:rsidR="00E51565" w:rsidRPr="00635DD7" w:rsidRDefault="00E51565" w:rsidP="005A25A0">
      <w:r w:rsidRPr="00635DD7">
        <w:t xml:space="preserve">Were the same as for Study </w:t>
      </w:r>
      <w:proofErr w:type="gramStart"/>
      <w:r w:rsidRPr="00635DD7">
        <w:t>C0524T17.</w:t>
      </w:r>
      <w:proofErr w:type="gramEnd"/>
    </w:p>
    <w:p w:rsidR="00E51565" w:rsidRPr="00635DD7" w:rsidRDefault="00E51565" w:rsidP="005A25A0">
      <w:pPr>
        <w:pStyle w:val="Heading6"/>
      </w:pPr>
      <w:r w:rsidRPr="00635DD7">
        <w:t xml:space="preserve">Study </w:t>
      </w:r>
      <w:r w:rsidRPr="005A25A0">
        <w:t>treatments</w:t>
      </w:r>
    </w:p>
    <w:p w:rsidR="00E51565" w:rsidRPr="00635DD7" w:rsidRDefault="00E51565" w:rsidP="005A25A0">
      <w:r w:rsidRPr="00635DD7">
        <w:t xml:space="preserve">Initially the study was dose-ranging with 176 subjects randomised in a 1:1:1:1 ratio at Week 0 to a single IV administration of </w:t>
      </w:r>
      <w:proofErr w:type="spellStart"/>
      <w:r w:rsidRPr="00635DD7">
        <w:t>golimumab</w:t>
      </w:r>
      <w:proofErr w:type="spellEnd"/>
      <w:r w:rsidRPr="00635DD7">
        <w:t xml:space="preserve"> (1mg/kg, 2mg/kg, or 4mg/kg) or placebo.</w:t>
      </w:r>
    </w:p>
    <w:p w:rsidR="00E51565" w:rsidRPr="00635DD7" w:rsidRDefault="00E51565" w:rsidP="005A25A0">
      <w:r w:rsidRPr="00635DD7">
        <w:t xml:space="preserve">While the data from Part 1 were being evaluated, newly enrolled subjects in Part 2 were equally randomised to the same IV doses of </w:t>
      </w:r>
      <w:proofErr w:type="spellStart"/>
      <w:r w:rsidRPr="00635DD7">
        <w:t>golimumab</w:t>
      </w:r>
      <w:proofErr w:type="spellEnd"/>
      <w:r w:rsidRPr="00635DD7">
        <w:t xml:space="preserve"> or placebo as in Part 1.</w:t>
      </w:r>
    </w:p>
    <w:p w:rsidR="00E51565" w:rsidRPr="00635DD7" w:rsidRDefault="00E51565" w:rsidP="005A25A0">
      <w:r w:rsidRPr="00635DD7">
        <w:t xml:space="preserve">After the interim analysis, the Dose Selection Committee selected the 2mg/kg and 4mg/kg IV </w:t>
      </w:r>
      <w:proofErr w:type="spellStart"/>
      <w:r w:rsidRPr="00635DD7">
        <w:t>golimumab</w:t>
      </w:r>
      <w:proofErr w:type="spellEnd"/>
      <w:r w:rsidRPr="00635DD7">
        <w:t xml:space="preserve"> doses for the dose-confirming portion in Part 2. Patients were then randomised equally to 2mg/kg, or 4mg/kg </w:t>
      </w:r>
      <w:proofErr w:type="spellStart"/>
      <w:r w:rsidRPr="00635DD7">
        <w:t>golimumab</w:t>
      </w:r>
      <w:proofErr w:type="spellEnd"/>
      <w:r w:rsidRPr="00635DD7">
        <w:t xml:space="preserve"> or placebo.</w:t>
      </w:r>
    </w:p>
    <w:p w:rsidR="00E51565" w:rsidRPr="00E51565" w:rsidRDefault="00E51565" w:rsidP="005A25A0">
      <w:pPr>
        <w:pStyle w:val="Heading6"/>
        <w:rPr>
          <w:lang w:eastAsia="en-AU"/>
        </w:rPr>
      </w:pPr>
      <w:r w:rsidRPr="00E51565">
        <w:rPr>
          <w:lang w:eastAsia="en-AU"/>
        </w:rPr>
        <w:t xml:space="preserve">Efficacy </w:t>
      </w:r>
      <w:r w:rsidRPr="005A25A0">
        <w:t>variables</w:t>
      </w:r>
      <w:r w:rsidRPr="00E51565">
        <w:rPr>
          <w:lang w:eastAsia="en-AU"/>
        </w:rPr>
        <w:t xml:space="preserve"> and outcomes</w:t>
      </w:r>
    </w:p>
    <w:p w:rsidR="00E51565" w:rsidRPr="00635DD7" w:rsidRDefault="00E51565" w:rsidP="005A25A0">
      <w:r w:rsidRPr="00635DD7">
        <w:t>Part 1: Dose-ranging</w:t>
      </w:r>
    </w:p>
    <w:p w:rsidR="00E51565" w:rsidRPr="00635DD7" w:rsidRDefault="00E51565" w:rsidP="005A25A0">
      <w:pPr>
        <w:pStyle w:val="ListBullet"/>
      </w:pPr>
      <w:r w:rsidRPr="00635DD7">
        <w:t xml:space="preserve">Change from baseline in </w:t>
      </w:r>
      <w:r w:rsidRPr="005A25A0">
        <w:t>the</w:t>
      </w:r>
      <w:r w:rsidRPr="00635DD7">
        <w:t xml:space="preserve"> Mayo score at Week 6.</w:t>
      </w:r>
    </w:p>
    <w:p w:rsidR="00E51565" w:rsidRPr="00635DD7" w:rsidRDefault="00E51565" w:rsidP="005A25A0">
      <w:r w:rsidRPr="00635DD7">
        <w:t>Part 2: Dose-confirming</w:t>
      </w:r>
    </w:p>
    <w:p w:rsidR="00E51565" w:rsidRPr="00635DD7" w:rsidRDefault="00E51565" w:rsidP="005A25A0">
      <w:pPr>
        <w:pStyle w:val="ListBullet"/>
      </w:pPr>
      <w:r w:rsidRPr="00635DD7">
        <w:t>Primary Endpoint: Clinical response at Week 6.</w:t>
      </w:r>
    </w:p>
    <w:p w:rsidR="00E51565" w:rsidRPr="00635DD7" w:rsidRDefault="00E51565" w:rsidP="005A25A0">
      <w:pPr>
        <w:pStyle w:val="ListBullet"/>
      </w:pPr>
      <w:r w:rsidRPr="00635DD7">
        <w:t xml:space="preserve">Major Secondary </w:t>
      </w:r>
      <w:r w:rsidRPr="005A25A0">
        <w:t>Endpoints</w:t>
      </w:r>
      <w:r w:rsidRPr="00635DD7">
        <w:t>:</w:t>
      </w:r>
    </w:p>
    <w:p w:rsidR="00E51565" w:rsidRPr="00635DD7" w:rsidRDefault="00E51565" w:rsidP="005A25A0">
      <w:pPr>
        <w:pStyle w:val="ListBullet2"/>
      </w:pPr>
      <w:r w:rsidRPr="00635DD7">
        <w:t xml:space="preserve">Clinical remission at </w:t>
      </w:r>
      <w:r w:rsidRPr="005A25A0">
        <w:t>Week</w:t>
      </w:r>
      <w:r w:rsidRPr="00635DD7">
        <w:t xml:space="preserve"> 6.</w:t>
      </w:r>
    </w:p>
    <w:p w:rsidR="00E51565" w:rsidRPr="00635DD7" w:rsidRDefault="00E51565" w:rsidP="005A25A0">
      <w:pPr>
        <w:pStyle w:val="ListBullet2"/>
      </w:pPr>
      <w:r w:rsidRPr="00635DD7">
        <w:t xml:space="preserve">Mucosal healing at </w:t>
      </w:r>
      <w:r w:rsidRPr="005A25A0">
        <w:t>Week</w:t>
      </w:r>
      <w:r w:rsidRPr="00635DD7">
        <w:t xml:space="preserve"> 6.</w:t>
      </w:r>
    </w:p>
    <w:p w:rsidR="00E51565" w:rsidRPr="00635DD7" w:rsidRDefault="00E51565" w:rsidP="00635DD7">
      <w:pPr>
        <w:pStyle w:val="ListBullet2"/>
      </w:pPr>
      <w:r w:rsidRPr="00635DD7">
        <w:t>Change from baseline in the IBDQ score at Week 6.</w:t>
      </w:r>
    </w:p>
    <w:p w:rsidR="00E51565" w:rsidRPr="00635DD7" w:rsidRDefault="00E51565" w:rsidP="005A25A0">
      <w:r w:rsidRPr="00635DD7">
        <w:t>However the smaller population than planned for Part 2 meant that there was not sufficient power for the primary endpoint analysis, which was based on the population of subjects from Part 2. For this reason, all analyses based on the population of subjects in Part 2, which includes the primary and major secondary endpoints, was not performed.</w:t>
      </w:r>
      <w:r w:rsidRPr="00635DD7">
        <w:rPr>
          <w:vertAlign w:val="superscript"/>
        </w:rPr>
        <w:footnoteReference w:id="21"/>
      </w:r>
      <w:r w:rsidRPr="00635DD7">
        <w:rPr>
          <w:vertAlign w:val="superscript"/>
        </w:rPr>
        <w:t>,</w:t>
      </w:r>
      <w:r w:rsidRPr="00635DD7">
        <w:rPr>
          <w:vertAlign w:val="superscript"/>
        </w:rPr>
        <w:footnoteReference w:id="22"/>
      </w:r>
    </w:p>
    <w:p w:rsidR="00E51565" w:rsidRPr="00635DD7" w:rsidRDefault="00E51565" w:rsidP="005A25A0">
      <w:r w:rsidRPr="00635DD7">
        <w:t>The revised plan was to analyse all efficacy (including the endpoints originally designated as the primary and major secondary endpoints), safety, and PK endpoints using the combined population of subjects from Part 1 and Part 2.</w:t>
      </w:r>
    </w:p>
    <w:p w:rsidR="00E51565" w:rsidRPr="00E51565" w:rsidRDefault="00E51565" w:rsidP="005A25A0">
      <w:pPr>
        <w:pStyle w:val="Heading6"/>
        <w:rPr>
          <w:lang w:eastAsia="en-AU"/>
        </w:rPr>
      </w:pPr>
      <w:r w:rsidRPr="005A25A0">
        <w:t>Randomisation</w:t>
      </w:r>
      <w:r w:rsidRPr="00E51565">
        <w:rPr>
          <w:lang w:eastAsia="en-AU"/>
        </w:rPr>
        <w:t xml:space="preserve"> and blinding methods</w:t>
      </w:r>
    </w:p>
    <w:p w:rsidR="00E51565" w:rsidRPr="00635DD7" w:rsidRDefault="00E51565" w:rsidP="005A25A0">
      <w:r w:rsidRPr="00635DD7">
        <w:t xml:space="preserve">Were the same as for Study </w:t>
      </w:r>
      <w:proofErr w:type="gramStart"/>
      <w:r w:rsidRPr="00635DD7">
        <w:t>C0524T17.</w:t>
      </w:r>
      <w:proofErr w:type="gramEnd"/>
    </w:p>
    <w:p w:rsidR="00E51565" w:rsidRPr="00E51565" w:rsidRDefault="00E51565" w:rsidP="005A25A0">
      <w:pPr>
        <w:pStyle w:val="Heading6"/>
        <w:rPr>
          <w:lang w:eastAsia="en-AU"/>
        </w:rPr>
      </w:pPr>
      <w:r w:rsidRPr="00E51565">
        <w:rPr>
          <w:lang w:eastAsia="en-AU"/>
        </w:rPr>
        <w:t xml:space="preserve">Analysis </w:t>
      </w:r>
      <w:r w:rsidRPr="005A25A0">
        <w:t>populations</w:t>
      </w:r>
    </w:p>
    <w:p w:rsidR="00E51565" w:rsidRPr="00635DD7" w:rsidRDefault="00E51565" w:rsidP="005A25A0">
      <w:r w:rsidRPr="00635DD7">
        <w:t>There will be no primary endpoint analysis since the study was terminated. However, clinical response at Week 6 will be analysed using all randomized subjects in Part 1 and Part 2 combined, and also all randomized subjects in Part 1.</w:t>
      </w:r>
      <w:r w:rsidRPr="00635DD7">
        <w:rPr>
          <w:vertAlign w:val="superscript"/>
        </w:rPr>
        <w:footnoteReference w:id="23"/>
      </w:r>
    </w:p>
    <w:p w:rsidR="00E51565" w:rsidRPr="00E51565" w:rsidRDefault="00E51565" w:rsidP="005A25A0">
      <w:pPr>
        <w:rPr>
          <w:lang w:eastAsia="en-AU"/>
        </w:rPr>
      </w:pPr>
      <w:r w:rsidRPr="00E51565">
        <w:rPr>
          <w:lang w:eastAsia="en-AU"/>
        </w:rPr>
        <w:t xml:space="preserve">Analysis </w:t>
      </w:r>
      <w:r w:rsidRPr="00E51565">
        <w:rPr>
          <w:rFonts w:cs="Calibri"/>
          <w:lang w:eastAsia="en-AU"/>
        </w:rPr>
        <w:t>populations</w:t>
      </w:r>
      <w:r w:rsidRPr="00E51565">
        <w:rPr>
          <w:lang w:eastAsia="en-AU"/>
        </w:rPr>
        <w:t xml:space="preserve"> include:</w:t>
      </w:r>
    </w:p>
    <w:p w:rsidR="00E51565" w:rsidRPr="00E51565" w:rsidRDefault="00E51565" w:rsidP="005A25A0">
      <w:pPr>
        <w:pStyle w:val="ListBullet"/>
        <w:rPr>
          <w:lang w:eastAsia="en-AU"/>
        </w:rPr>
      </w:pPr>
      <w:r w:rsidRPr="00E51565">
        <w:rPr>
          <w:lang w:eastAsia="en-AU"/>
        </w:rPr>
        <w:t>All subjects randomized in Part 1.</w:t>
      </w:r>
    </w:p>
    <w:p w:rsidR="00E51565" w:rsidRPr="00E51565" w:rsidRDefault="00E51565" w:rsidP="005A25A0">
      <w:pPr>
        <w:pStyle w:val="ListBullet"/>
        <w:rPr>
          <w:lang w:eastAsia="en-AU"/>
        </w:rPr>
      </w:pPr>
      <w:r w:rsidRPr="00E51565">
        <w:rPr>
          <w:lang w:eastAsia="en-AU"/>
        </w:rPr>
        <w:t>All subjects randomized in the study (Part 1 and Part 2 combined).</w:t>
      </w:r>
    </w:p>
    <w:p w:rsidR="00B13311" w:rsidRDefault="00E51565" w:rsidP="005A25A0">
      <w:pPr>
        <w:rPr>
          <w:lang w:eastAsia="en-AU"/>
        </w:rPr>
      </w:pPr>
      <w:r w:rsidRPr="00E51565">
        <w:rPr>
          <w:lang w:eastAsia="en-AU"/>
        </w:rPr>
        <w:lastRenderedPageBreak/>
        <w:t>Analyses will be performed for Part 1 and Part 2 combined. In addition, selected efficacy endpoints were to be analysed using only the subjects in Part 1.</w:t>
      </w:r>
    </w:p>
    <w:p w:rsidR="00E51565" w:rsidRPr="00E51565" w:rsidDel="0081373E" w:rsidRDefault="00E51565" w:rsidP="005A25A0">
      <w:pPr>
        <w:pStyle w:val="Heading6"/>
      </w:pPr>
      <w:r w:rsidRPr="00E51565" w:rsidDel="0081373E">
        <w:t>Sample size</w:t>
      </w:r>
    </w:p>
    <w:p w:rsidR="00E51565" w:rsidRPr="00635DD7" w:rsidRDefault="00E51565" w:rsidP="005A25A0">
      <w:proofErr w:type="gramStart"/>
      <w:r w:rsidRPr="00635DD7">
        <w:t>Calculations the same as initially for Study C0524T17.</w:t>
      </w:r>
      <w:proofErr w:type="gramEnd"/>
    </w:p>
    <w:p w:rsidR="00E51565" w:rsidRPr="00635DD7" w:rsidRDefault="00E51565" w:rsidP="005A25A0">
      <w:r w:rsidRPr="00635DD7">
        <w:t>To power the study at 90% with respect to the primary endpoint when 2 doses are selected, approximately 150 subjects per selected dose group and placebo group (total 450 subjects) would have to be enrolled after the dose selection.</w:t>
      </w:r>
    </w:p>
    <w:p w:rsidR="00E51565" w:rsidRPr="00635DD7" w:rsidRDefault="00E51565" w:rsidP="005A25A0">
      <w:r w:rsidRPr="00635DD7">
        <w:t xml:space="preserve">To provide a sufficient number of subjects to enrol in, and adequately power, the 1-year </w:t>
      </w:r>
      <w:proofErr w:type="spellStart"/>
      <w:r w:rsidRPr="00635DD7">
        <w:t>golimumab</w:t>
      </w:r>
      <w:proofErr w:type="spellEnd"/>
      <w:r w:rsidRPr="00635DD7">
        <w:t xml:space="preserve"> maintenance study (C0524T18), approximately 500 subject</w:t>
      </w:r>
      <w:r w:rsidR="005A25A0">
        <w:t>s should be enrolled in Part 2.</w:t>
      </w:r>
    </w:p>
    <w:p w:rsidR="00E51565" w:rsidRPr="00E51565" w:rsidRDefault="00E51565" w:rsidP="005A25A0">
      <w:pPr>
        <w:pStyle w:val="Heading6"/>
        <w:rPr>
          <w:lang w:eastAsia="en-AU"/>
        </w:rPr>
      </w:pPr>
      <w:r w:rsidRPr="00E51565">
        <w:rPr>
          <w:lang w:eastAsia="en-AU"/>
        </w:rPr>
        <w:t>Statistical methods</w:t>
      </w:r>
    </w:p>
    <w:p w:rsidR="00E51565" w:rsidRPr="00635DD7" w:rsidRDefault="00E51565" w:rsidP="005A25A0">
      <w:r w:rsidRPr="00635DD7">
        <w:t xml:space="preserve">An interim analysis was conducted after all subjects in Part 1 (n = 176) had either completed the Week 6 visit or terminated study participation prior to Week 6. The purpose of the interim analysis was to evaluate the dose response of IV </w:t>
      </w:r>
      <w:proofErr w:type="spellStart"/>
      <w:r w:rsidRPr="00635DD7">
        <w:t>golimumab</w:t>
      </w:r>
      <w:proofErr w:type="spellEnd"/>
      <w:r w:rsidRPr="00635DD7">
        <w:t xml:space="preserve"> induction regimens, and select the IV induction regimens of </w:t>
      </w:r>
      <w:proofErr w:type="spellStart"/>
      <w:r w:rsidRPr="00635DD7">
        <w:t>golimumab</w:t>
      </w:r>
      <w:proofErr w:type="spellEnd"/>
      <w:r w:rsidRPr="00635DD7">
        <w:t xml:space="preserve"> for further evaluation in Part 2. </w:t>
      </w:r>
      <w:proofErr w:type="gramStart"/>
      <w:r w:rsidRPr="00635DD7">
        <w:t>The decision on which dose(s) to continue for further evaluation was made by a dose selection committee.</w:t>
      </w:r>
      <w:proofErr w:type="gramEnd"/>
      <w:r w:rsidRPr="00635DD7">
        <w:rPr>
          <w:vertAlign w:val="superscript"/>
        </w:rPr>
        <w:footnoteReference w:id="24"/>
      </w:r>
    </w:p>
    <w:p w:rsidR="00E51565" w:rsidRPr="00635DD7" w:rsidRDefault="00E51565" w:rsidP="005A25A0">
      <w:r w:rsidRPr="00635DD7">
        <w:t xml:space="preserve">Following the dose response analysis for the companion </w:t>
      </w:r>
      <w:proofErr w:type="spellStart"/>
      <w:r w:rsidRPr="00635DD7">
        <w:t>golimumab</w:t>
      </w:r>
      <w:proofErr w:type="spellEnd"/>
      <w:r w:rsidRPr="00635DD7">
        <w:t xml:space="preserve"> SC induction study C0524T17 and a review of the totality of the data from both studies, enrolment was terminated on 30 Jan 2009 after 115 subjects were randomised. Hence, there was not sufficient power for the primary endpoint analysis, which was based on the population of subjects from Part 2. For this reason, all analyses based on the population of subjects in Part 2, which includes the primary and major secondary endpoints, were not performed.</w:t>
      </w:r>
    </w:p>
    <w:p w:rsidR="00E51565" w:rsidRPr="00635DD7" w:rsidRDefault="00E51565" w:rsidP="005A25A0">
      <w:r w:rsidRPr="00E51565">
        <w:rPr>
          <w:lang w:eastAsia="en-AU"/>
        </w:rPr>
        <w:t xml:space="preserve">A revised plan was to analyse all efficacy (including the endpoints originally designated as the primary and major secondary endpoints), safety, and PK endpoints using the combined </w:t>
      </w:r>
      <w:r w:rsidRPr="00635DD7">
        <w:t>population of subjects from Part 1 and Part 2. In addition, selected efficacy, safety, and PK endpoints were to be analysed using all subjects in Part 1.</w:t>
      </w:r>
    </w:p>
    <w:p w:rsidR="00E51565" w:rsidRPr="00E51565" w:rsidRDefault="00E51565" w:rsidP="005A25A0">
      <w:pPr>
        <w:pStyle w:val="Heading6"/>
        <w:rPr>
          <w:lang w:eastAsia="en-AU"/>
        </w:rPr>
      </w:pPr>
      <w:r w:rsidRPr="00E51565">
        <w:rPr>
          <w:lang w:eastAsia="en-AU"/>
        </w:rPr>
        <w:t>Major protocol violations/deviations</w:t>
      </w:r>
    </w:p>
    <w:p w:rsidR="00E51565" w:rsidRPr="00635DD7" w:rsidRDefault="00E51565" w:rsidP="005A25A0">
      <w:r w:rsidRPr="00635DD7">
        <w:t>10 (3.4%) subjects who did not meet study selection criteria were randomized.</w:t>
      </w:r>
    </w:p>
    <w:p w:rsidR="00E51565" w:rsidRPr="00635DD7" w:rsidRDefault="00E51565" w:rsidP="005A25A0">
      <w:r w:rsidRPr="00635DD7">
        <w:t>One subject had a deviation in study agent administration - the infusion was stopped due to an AE.</w:t>
      </w:r>
    </w:p>
    <w:p w:rsidR="00E51565" w:rsidRPr="00635DD7" w:rsidRDefault="00E51565" w:rsidP="005A25A0">
      <w:r w:rsidRPr="00635DD7">
        <w:t>Investigator misconduct at Site 6706 meant subject data from this site were excluded from all efficacy analyses but were included in the safety and PK analyses.</w:t>
      </w:r>
    </w:p>
    <w:p w:rsidR="00E51565" w:rsidRPr="00E51565" w:rsidRDefault="00E51565" w:rsidP="005A25A0">
      <w:pPr>
        <w:pStyle w:val="Heading6"/>
        <w:rPr>
          <w:lang w:eastAsia="en-AU"/>
        </w:rPr>
      </w:pPr>
      <w:r w:rsidRPr="00E51565">
        <w:rPr>
          <w:lang w:eastAsia="en-AU"/>
        </w:rPr>
        <w:t>Results for the efficacy outcome</w:t>
      </w:r>
    </w:p>
    <w:p w:rsidR="00B13311" w:rsidRDefault="00E51565" w:rsidP="005A25A0">
      <w:r w:rsidRPr="00635DD7">
        <w:t>For the Part 1 and Part 2 combined populations, 44.0% of those on 2mg/kg and 41.6% of those on 4mg/kg at Week 6 achieved clinical response compared with 30.1% in the placebo group, although the differences were not significant.</w:t>
      </w:r>
    </w:p>
    <w:p w:rsidR="00E51565" w:rsidRPr="00E51565" w:rsidRDefault="00E51565" w:rsidP="005A25A0">
      <w:pPr>
        <w:pStyle w:val="Heading4"/>
      </w:pPr>
      <w:bookmarkStart w:id="97" w:name="_Toc373241026"/>
      <w:r w:rsidRPr="00E51565">
        <w:t>Evaluator’s conclusions on clinical efficacy</w:t>
      </w:r>
      <w:bookmarkEnd w:id="97"/>
    </w:p>
    <w:p w:rsidR="00E51565" w:rsidRPr="00635DD7" w:rsidRDefault="00E51565" w:rsidP="005A25A0">
      <w:r w:rsidRPr="00635DD7">
        <w:t xml:space="preserve">Entering the maintenance study were almost all subjects (464/467) in clinical response on </w:t>
      </w:r>
      <w:proofErr w:type="spellStart"/>
      <w:r w:rsidRPr="00635DD7">
        <w:t>golimumab</w:t>
      </w:r>
      <w:proofErr w:type="spellEnd"/>
      <w:r w:rsidRPr="00635DD7">
        <w:t xml:space="preserve"> at </w:t>
      </w:r>
      <w:r w:rsidR="00B13311">
        <w:t>Week</w:t>
      </w:r>
      <w:r w:rsidRPr="00635DD7">
        <w:t xml:space="preserve"> 6 of studies C0524T16 (87 [40.8%] </w:t>
      </w:r>
      <w:r w:rsidR="00B13311">
        <w:t>versus</w:t>
      </w:r>
      <w:r w:rsidRPr="00635DD7">
        <w:t xml:space="preserve"> 22 [30%] on placebo) and parts 1 &amp; 2 of C0524T17 (380 [52.1%] </w:t>
      </w:r>
      <w:r w:rsidR="00B13311">
        <w:t>versus</w:t>
      </w:r>
      <w:r w:rsidRPr="00635DD7">
        <w:t xml:space="preserve"> 104 [31.7%] on place</w:t>
      </w:r>
      <w:r w:rsidR="005A25A0">
        <w:t>bo).</w:t>
      </w:r>
    </w:p>
    <w:p w:rsidR="00E51565" w:rsidRPr="00635DD7" w:rsidRDefault="00E51565" w:rsidP="005A25A0">
      <w:r w:rsidRPr="00635DD7">
        <w:t xml:space="preserve">Of these in the maintenance study </w:t>
      </w:r>
      <w:r w:rsidR="00B13311">
        <w:t>(</w:t>
      </w:r>
      <w:r w:rsidRPr="00635DD7">
        <w:t>C0524T18</w:t>
      </w:r>
      <w:r w:rsidR="00B13311">
        <w:t>)</w:t>
      </w:r>
      <w:r w:rsidRPr="00635DD7">
        <w:t xml:space="preserve"> on placebo 49 (31.4%) stayed in clinical response on placebo and 150 (48.9%) did so on </w:t>
      </w:r>
      <w:proofErr w:type="spellStart"/>
      <w:r w:rsidRPr="00635DD7">
        <w:t>golimumab</w:t>
      </w:r>
      <w:proofErr w:type="spellEnd"/>
      <w:r w:rsidRPr="00635DD7">
        <w:t xml:space="preserve"> (57.7% and 38.8% respectively met </w:t>
      </w:r>
      <w:r w:rsidRPr="00635DD7">
        <w:lastRenderedPageBreak/>
        <w:t>treatment failure criteria). While the difference was statistically significant, it should also be remembered that the “placebo” group had received 1 IV or 2 S</w:t>
      </w:r>
      <w:r w:rsidR="005A25A0">
        <w:t xml:space="preserve">C doses of </w:t>
      </w:r>
      <w:proofErr w:type="spellStart"/>
      <w:r w:rsidR="005A25A0">
        <w:t>golimumab</w:t>
      </w:r>
      <w:proofErr w:type="spellEnd"/>
      <w:r w:rsidR="005A25A0">
        <w:t xml:space="preserve"> initially.</w:t>
      </w:r>
    </w:p>
    <w:p w:rsidR="00C22678" w:rsidRDefault="00C22678" w:rsidP="005A25A0">
      <w:pPr>
        <w:pStyle w:val="Heading2"/>
      </w:pPr>
      <w:bookmarkStart w:id="98" w:name="_Toc390694748"/>
      <w:r>
        <w:t>Clinical safety</w:t>
      </w:r>
      <w:bookmarkEnd w:id="98"/>
    </w:p>
    <w:p w:rsidR="00E51565" w:rsidRPr="00E51565" w:rsidRDefault="00E51565" w:rsidP="005A25A0">
      <w:pPr>
        <w:pStyle w:val="Heading3"/>
      </w:pPr>
      <w:bookmarkStart w:id="99" w:name="_Toc272414659"/>
      <w:bookmarkStart w:id="100" w:name="_Toc290846284"/>
      <w:bookmarkStart w:id="101" w:name="_Toc290888821"/>
      <w:bookmarkStart w:id="102" w:name="_Toc373241028"/>
      <w:bookmarkStart w:id="103" w:name="_Toc390694749"/>
      <w:r w:rsidRPr="00E51565">
        <w:t>Studies providing evaluable safety data</w:t>
      </w:r>
      <w:bookmarkEnd w:id="99"/>
      <w:bookmarkEnd w:id="100"/>
      <w:bookmarkEnd w:id="101"/>
      <w:bookmarkEnd w:id="102"/>
      <w:bookmarkEnd w:id="103"/>
    </w:p>
    <w:p w:rsidR="00E51565" w:rsidRPr="00635DD7" w:rsidRDefault="00E51565" w:rsidP="005A25A0">
      <w:bookmarkStart w:id="104" w:name="_Ref268776745"/>
      <w:r w:rsidRPr="00635DD7">
        <w:t>The following studies provided evaluable safety data:</w:t>
      </w:r>
    </w:p>
    <w:p w:rsidR="00E51565" w:rsidRPr="00635DD7" w:rsidRDefault="00E51565" w:rsidP="005A25A0">
      <w:pPr>
        <w:pStyle w:val="ListBullet"/>
      </w:pPr>
      <w:r w:rsidRPr="00635DD7">
        <w:t>IV induction study (C0524T16</w:t>
      </w:r>
      <w:r w:rsidR="005A25A0">
        <w:t>),</w:t>
      </w:r>
    </w:p>
    <w:p w:rsidR="00E51565" w:rsidRPr="00635DD7" w:rsidRDefault="005A25A0" w:rsidP="005A25A0">
      <w:pPr>
        <w:pStyle w:val="ListBullet"/>
      </w:pPr>
      <w:r>
        <w:t>SC induction study (C0524T17),</w:t>
      </w:r>
    </w:p>
    <w:p w:rsidR="00E51565" w:rsidRPr="00635DD7" w:rsidRDefault="00E51565" w:rsidP="005A25A0">
      <w:pPr>
        <w:pStyle w:val="ListBullet"/>
      </w:pPr>
      <w:r w:rsidRPr="00635DD7">
        <w:t>SC maintenance study (</w:t>
      </w:r>
      <w:r w:rsidRPr="005A25A0">
        <w:t>C0524T18</w:t>
      </w:r>
      <w:r w:rsidRPr="00635DD7">
        <w:t>).</w:t>
      </w:r>
    </w:p>
    <w:p w:rsidR="00E51565" w:rsidRPr="00E51565" w:rsidRDefault="00E51565" w:rsidP="005A25A0">
      <w:pPr>
        <w:pStyle w:val="Heading3"/>
      </w:pPr>
      <w:bookmarkStart w:id="105" w:name="_Toc241374318"/>
      <w:bookmarkStart w:id="106" w:name="_Ref271196630"/>
      <w:bookmarkStart w:id="107" w:name="_Toc272414662"/>
      <w:bookmarkStart w:id="108" w:name="_Toc290846300"/>
      <w:bookmarkStart w:id="109" w:name="_Toc290888837"/>
      <w:bookmarkStart w:id="110" w:name="_Toc373241029"/>
      <w:bookmarkStart w:id="111" w:name="_Toc390694750"/>
      <w:bookmarkEnd w:id="104"/>
      <w:r w:rsidRPr="00E51565">
        <w:t>Patient exposure</w:t>
      </w:r>
      <w:bookmarkEnd w:id="105"/>
      <w:bookmarkEnd w:id="106"/>
      <w:bookmarkEnd w:id="107"/>
      <w:bookmarkEnd w:id="108"/>
      <w:bookmarkEnd w:id="109"/>
      <w:bookmarkEnd w:id="110"/>
      <w:bookmarkEnd w:id="111"/>
    </w:p>
    <w:p w:rsidR="00E51565" w:rsidRPr="00E51565" w:rsidRDefault="00E51565" w:rsidP="005A25A0">
      <w:pPr>
        <w:pStyle w:val="TableTitle"/>
        <w:rPr>
          <w:lang w:eastAsia="en-AU"/>
        </w:rPr>
      </w:pPr>
      <w:bookmarkStart w:id="112" w:name="_Toc373241105"/>
      <w:proofErr w:type="gramStart"/>
      <w:r w:rsidRPr="00E51565">
        <w:rPr>
          <w:lang w:eastAsia="en-AU"/>
        </w:rPr>
        <w:t xml:space="preserve">Table </w:t>
      </w:r>
      <w:r w:rsidR="00635DD7">
        <w:rPr>
          <w:lang w:eastAsia="en-AU"/>
        </w:rPr>
        <w:t>8.</w:t>
      </w:r>
      <w:proofErr w:type="gramEnd"/>
      <w:r w:rsidRPr="00E51565">
        <w:rPr>
          <w:lang w:eastAsia="en-AU"/>
        </w:rPr>
        <w:t xml:space="preserve"> </w:t>
      </w:r>
      <w:proofErr w:type="spellStart"/>
      <w:r w:rsidRPr="00E51565">
        <w:rPr>
          <w:lang w:eastAsia="en-AU"/>
        </w:rPr>
        <w:t>Golimumab</w:t>
      </w:r>
      <w:proofErr w:type="spellEnd"/>
      <w:r w:rsidRPr="00E51565">
        <w:rPr>
          <w:lang w:eastAsia="en-AU"/>
        </w:rPr>
        <w:t xml:space="preserve"> exposure in </w:t>
      </w:r>
      <w:r w:rsidRPr="005A25A0">
        <w:t>clinical</w:t>
      </w:r>
      <w:r w:rsidRPr="00E51565">
        <w:rPr>
          <w:lang w:eastAsia="en-AU"/>
        </w:rPr>
        <w:t xml:space="preserve"> studies in subjects with moderately to severely active UC</w:t>
      </w:r>
      <w:bookmarkEnd w:id="112"/>
    </w:p>
    <w:p w:rsidR="00E51565" w:rsidRPr="00E51565" w:rsidRDefault="00E51565" w:rsidP="005A25A0">
      <w:pPr>
        <w:rPr>
          <w:lang w:eastAsia="en-AU"/>
        </w:rPr>
      </w:pPr>
      <w:r w:rsidRPr="00E51565">
        <w:rPr>
          <w:noProof/>
          <w:lang w:eastAsia="en-AU"/>
        </w:rPr>
        <w:drawing>
          <wp:inline distT="0" distB="0" distL="0" distR="0" wp14:anchorId="4A6364D7" wp14:editId="62206305">
            <wp:extent cx="5925820" cy="4295608"/>
            <wp:effectExtent l="0" t="0" r="0" b="0"/>
            <wp:docPr id="12" name="Picture 29" descr="Table 8. Golimumab exposure in clinical studies in subjects with moderately to severely active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srcRect/>
                    <a:stretch>
                      <a:fillRect/>
                    </a:stretch>
                  </pic:blipFill>
                  <pic:spPr bwMode="auto">
                    <a:xfrm>
                      <a:off x="0" y="0"/>
                      <a:ext cx="5925820" cy="4295608"/>
                    </a:xfrm>
                    <a:prstGeom prst="rect">
                      <a:avLst/>
                    </a:prstGeom>
                    <a:noFill/>
                    <a:ln w="9525">
                      <a:noFill/>
                      <a:miter lim="800000"/>
                      <a:headEnd/>
                      <a:tailEnd/>
                    </a:ln>
                  </pic:spPr>
                </pic:pic>
              </a:graphicData>
            </a:graphic>
          </wp:inline>
        </w:drawing>
      </w:r>
    </w:p>
    <w:p w:rsidR="00B13311" w:rsidRDefault="00E51565" w:rsidP="005A25A0">
      <w:pPr>
        <w:pStyle w:val="TableDescription"/>
        <w:rPr>
          <w:lang w:eastAsia="en-AU"/>
        </w:rPr>
      </w:pPr>
      <w:r w:rsidRPr="00635DD7">
        <w:rPr>
          <w:lang w:eastAsia="en-AU"/>
        </w:rPr>
        <w:t xml:space="preserve">In C0524T18 </w:t>
      </w:r>
      <w:r w:rsidR="00B13311">
        <w:rPr>
          <w:lang w:eastAsia="en-AU"/>
        </w:rPr>
        <w:t>Study</w:t>
      </w:r>
      <w:r w:rsidRPr="00635DD7">
        <w:rPr>
          <w:lang w:eastAsia="en-AU"/>
        </w:rPr>
        <w:t xml:space="preserve">, 1075 subjects were treated with </w:t>
      </w:r>
      <w:proofErr w:type="spellStart"/>
      <w:r w:rsidRPr="00635DD7">
        <w:rPr>
          <w:lang w:eastAsia="en-AU"/>
        </w:rPr>
        <w:t>golimumab</w:t>
      </w:r>
      <w:proofErr w:type="spellEnd"/>
      <w:r w:rsidRPr="00635DD7">
        <w:rPr>
          <w:lang w:eastAsia="en-AU"/>
        </w:rPr>
        <w:t xml:space="preserve"> with 741 (68.9%) exposed to </w:t>
      </w:r>
      <w:proofErr w:type="spellStart"/>
      <w:r w:rsidRPr="00635DD7">
        <w:rPr>
          <w:lang w:eastAsia="en-AU"/>
        </w:rPr>
        <w:t>golimumab</w:t>
      </w:r>
      <w:proofErr w:type="spellEnd"/>
      <w:r w:rsidRPr="00635DD7">
        <w:rPr>
          <w:lang w:eastAsia="en-AU"/>
        </w:rPr>
        <w:t xml:space="preserve"> for at least 6 months and 536 (49.9%) exposed for at least 1 year. </w:t>
      </w:r>
      <w:proofErr w:type="spellStart"/>
      <w:r w:rsidRPr="00635DD7">
        <w:rPr>
          <w:lang w:eastAsia="en-AU"/>
        </w:rPr>
        <w:t>Gol</w:t>
      </w:r>
      <w:proofErr w:type="spellEnd"/>
      <w:r w:rsidRPr="00635DD7">
        <w:rPr>
          <w:lang w:eastAsia="en-AU"/>
        </w:rPr>
        <w:t xml:space="preserve"> = </w:t>
      </w:r>
      <w:proofErr w:type="spellStart"/>
      <w:r w:rsidRPr="00635DD7">
        <w:rPr>
          <w:lang w:eastAsia="en-AU"/>
        </w:rPr>
        <w:t>golimumab</w:t>
      </w:r>
      <w:proofErr w:type="spellEnd"/>
      <w:r w:rsidRPr="00635DD7">
        <w:rPr>
          <w:lang w:eastAsia="en-AU"/>
        </w:rPr>
        <w:t xml:space="preserve">; </w:t>
      </w:r>
      <w:proofErr w:type="spellStart"/>
      <w:r w:rsidRPr="00635DD7">
        <w:rPr>
          <w:lang w:eastAsia="en-AU"/>
        </w:rPr>
        <w:t>pbo</w:t>
      </w:r>
      <w:proofErr w:type="spellEnd"/>
      <w:r w:rsidRPr="00635DD7">
        <w:rPr>
          <w:lang w:eastAsia="en-AU"/>
        </w:rPr>
        <w:t xml:space="preserve"> = placebo</w:t>
      </w:r>
      <w:r w:rsidR="005A25A0">
        <w:rPr>
          <w:lang w:eastAsia="en-AU"/>
        </w:rPr>
        <w:t xml:space="preserve">. </w:t>
      </w:r>
      <w:r w:rsidRPr="00635DD7">
        <w:rPr>
          <w:lang w:eastAsia="en-AU"/>
        </w:rPr>
        <w:t>Source: Table 1</w:t>
      </w:r>
      <w:r w:rsidR="005A25A0">
        <w:rPr>
          <w:lang w:eastAsia="en-AU"/>
        </w:rPr>
        <w:t>.</w:t>
      </w:r>
    </w:p>
    <w:p w:rsidR="00E51565" w:rsidRPr="00E51565" w:rsidRDefault="00E51565" w:rsidP="005A25A0">
      <w:pPr>
        <w:pStyle w:val="Heading3"/>
      </w:pPr>
      <w:bookmarkStart w:id="113" w:name="_Toc241374319"/>
      <w:bookmarkStart w:id="114" w:name="_Ref271044764"/>
      <w:bookmarkStart w:id="115" w:name="_Toc272414663"/>
      <w:bookmarkStart w:id="116" w:name="_Toc290846301"/>
      <w:bookmarkStart w:id="117" w:name="_Toc290888838"/>
      <w:bookmarkStart w:id="118" w:name="_Toc373241030"/>
      <w:bookmarkStart w:id="119" w:name="_Toc390694751"/>
      <w:r w:rsidRPr="00E51565">
        <w:t>Adverse events</w:t>
      </w:r>
      <w:bookmarkEnd w:id="113"/>
      <w:bookmarkEnd w:id="114"/>
      <w:bookmarkEnd w:id="115"/>
      <w:bookmarkEnd w:id="116"/>
      <w:bookmarkEnd w:id="117"/>
      <w:bookmarkEnd w:id="118"/>
      <w:bookmarkEnd w:id="119"/>
    </w:p>
    <w:p w:rsidR="00E51565" w:rsidRPr="00E51565" w:rsidRDefault="00E51565" w:rsidP="005A25A0">
      <w:pPr>
        <w:pStyle w:val="Heading4"/>
      </w:pPr>
      <w:bookmarkStart w:id="120" w:name="_Ref272317284"/>
      <w:bookmarkStart w:id="121" w:name="_Ref272333565"/>
      <w:bookmarkStart w:id="122" w:name="_Toc272414664"/>
      <w:bookmarkStart w:id="123" w:name="_Toc290846302"/>
      <w:bookmarkStart w:id="124" w:name="_Toc290888839"/>
      <w:bookmarkStart w:id="125" w:name="_Toc373241031"/>
      <w:r w:rsidRPr="00E51565">
        <w:t xml:space="preserve">All adverse </w:t>
      </w:r>
      <w:r w:rsidRPr="005A25A0">
        <w:t>events</w:t>
      </w:r>
      <w:r w:rsidRPr="00E51565">
        <w:t xml:space="preserve"> (irrespective of relationship to study treatment)</w:t>
      </w:r>
      <w:bookmarkEnd w:id="120"/>
      <w:bookmarkEnd w:id="121"/>
      <w:bookmarkEnd w:id="122"/>
      <w:bookmarkEnd w:id="123"/>
      <w:bookmarkEnd w:id="124"/>
      <w:bookmarkEnd w:id="125"/>
    </w:p>
    <w:p w:rsidR="00E51565" w:rsidRPr="00635DD7" w:rsidRDefault="00E51565" w:rsidP="005A25A0">
      <w:r w:rsidRPr="00635DD7">
        <w:t>The proportions of subjects with an AE through Week 54 of the maintenance study were similar among the placebo, 5</w:t>
      </w:r>
      <w:r w:rsidR="007C1257" w:rsidRPr="00635DD7">
        <w:t>0 mg</w:t>
      </w:r>
      <w:r w:rsidRPr="00635DD7">
        <w:t>, and 10</w:t>
      </w:r>
      <w:r w:rsidR="007C1257" w:rsidRPr="00635DD7">
        <w:t>0 mg</w:t>
      </w:r>
      <w:r w:rsidRPr="00635DD7">
        <w:t xml:space="preserve"> maintenance treatment groups (73.2%, 77.9%, and </w:t>
      </w:r>
      <w:r w:rsidRPr="00635DD7">
        <w:lastRenderedPageBreak/>
        <w:t>78.6%, respectively, with 39.0, 50.4, and 45.1 average weeks of follow-up, respectively. The overall proportion of AEs was 74.1% in those subjects who received placebo induction who subsequently received 10</w:t>
      </w:r>
      <w:r w:rsidR="007C1257" w:rsidRPr="00635DD7">
        <w:t>0 mg</w:t>
      </w:r>
      <w:r w:rsidRPr="00635DD7">
        <w:t xml:space="preserve"> maintenance, with an average follow-up of 39.2 weeks.</w:t>
      </w:r>
    </w:p>
    <w:p w:rsidR="00E51565" w:rsidRPr="00635DD7" w:rsidRDefault="00E51565" w:rsidP="005A25A0">
      <w:r w:rsidRPr="00635DD7">
        <w:t>The pattern of AEs among treated subjects from the SC induction study C0524T17 was similar to that observed for subjects enrolled from both induction studies. This is not an unexpected observation since 78.7% (970/1233) of subjects enrolled in C0524T18 were from C0524T17.</w:t>
      </w:r>
    </w:p>
    <w:p w:rsidR="00E51565" w:rsidRPr="00635DD7" w:rsidRDefault="00E51565" w:rsidP="005A25A0">
      <w:r w:rsidRPr="00635DD7">
        <w:t>The most common AE in all treatment groups was colitis ulcerative occurring in 18.6%, 17.5%, and 15.6% of subjects in the placebo, 5</w:t>
      </w:r>
      <w:r w:rsidR="007C1257" w:rsidRPr="00635DD7">
        <w:t>0 mg</w:t>
      </w:r>
      <w:r w:rsidRPr="00635DD7">
        <w:t>, and 10</w:t>
      </w:r>
      <w:r w:rsidR="007C1257" w:rsidRPr="00635DD7">
        <w:t>0 mg</w:t>
      </w:r>
      <w:r w:rsidRPr="00635DD7">
        <w:t xml:space="preserve"> treatment groups, respectively. AEs of </w:t>
      </w:r>
      <w:proofErr w:type="spellStart"/>
      <w:r w:rsidRPr="00635DD7">
        <w:t>nasopharyngitis</w:t>
      </w:r>
      <w:proofErr w:type="spellEnd"/>
      <w:r w:rsidRPr="00635DD7">
        <w:t>, upper respiratory tract infection, abdominal pain, rash, and cough were more frequent in the 5</w:t>
      </w:r>
      <w:r w:rsidR="007C1257" w:rsidRPr="00635DD7">
        <w:t>0 mg</w:t>
      </w:r>
      <w:r w:rsidRPr="00635DD7">
        <w:t xml:space="preserve"> and 10</w:t>
      </w:r>
      <w:r w:rsidR="007C1257" w:rsidRPr="00635DD7">
        <w:t>0 mg</w:t>
      </w:r>
      <w:r w:rsidRPr="00635DD7">
        <w:t xml:space="preserve"> groups than in the placebo group.</w:t>
      </w:r>
    </w:p>
    <w:p w:rsidR="00E51565" w:rsidRPr="00E51565" w:rsidRDefault="00E51565" w:rsidP="00116ECD">
      <w:pPr>
        <w:pStyle w:val="Heading4"/>
      </w:pPr>
      <w:bookmarkStart w:id="126" w:name="_Ref272333567"/>
      <w:bookmarkStart w:id="127" w:name="_Toc272414665"/>
      <w:bookmarkStart w:id="128" w:name="_Toc290846303"/>
      <w:bookmarkStart w:id="129" w:name="_Toc290888840"/>
      <w:bookmarkStart w:id="130" w:name="_Toc373241032"/>
      <w:r w:rsidRPr="00E51565">
        <w:t xml:space="preserve">Treatment-related adverse events (adverse drug </w:t>
      </w:r>
      <w:r w:rsidRPr="00116ECD">
        <w:t>reactions</w:t>
      </w:r>
      <w:r w:rsidRPr="00E51565">
        <w:t>)</w:t>
      </w:r>
      <w:bookmarkEnd w:id="126"/>
      <w:bookmarkEnd w:id="127"/>
      <w:bookmarkEnd w:id="128"/>
      <w:bookmarkEnd w:id="129"/>
      <w:bookmarkEnd w:id="130"/>
    </w:p>
    <w:p w:rsidR="00E51565" w:rsidRPr="00E51565" w:rsidRDefault="00E51565" w:rsidP="00116ECD">
      <w:pPr>
        <w:pStyle w:val="Heading5"/>
        <w:rPr>
          <w:lang w:eastAsia="en-AU"/>
        </w:rPr>
      </w:pPr>
      <w:r w:rsidRPr="00E51565">
        <w:rPr>
          <w:lang w:eastAsia="en-AU"/>
        </w:rPr>
        <w:t>Pivotal study C0524T18</w:t>
      </w:r>
    </w:p>
    <w:p w:rsidR="00E51565" w:rsidRPr="00635DD7" w:rsidRDefault="00E51565" w:rsidP="00116ECD">
      <w:r w:rsidRPr="00635DD7">
        <w:t xml:space="preserve">Among randomized subjects, the proportions of subjects with reasonably related AEs through Week 54 were 28.2%, 25.3%, and 35.7% in the placebo, </w:t>
      </w:r>
      <w:proofErr w:type="spellStart"/>
      <w:r w:rsidRPr="00635DD7">
        <w:t>golimumab</w:t>
      </w:r>
      <w:proofErr w:type="spellEnd"/>
      <w:r w:rsidRPr="00635DD7">
        <w:t xml:space="preserve"> 5</w:t>
      </w:r>
      <w:r w:rsidR="007C1257" w:rsidRPr="00635DD7">
        <w:t>0 mg</w:t>
      </w:r>
      <w:r w:rsidRPr="00635DD7">
        <w:t xml:space="preserve">, and </w:t>
      </w:r>
      <w:proofErr w:type="spellStart"/>
      <w:r w:rsidRPr="00635DD7">
        <w:t>golimumab</w:t>
      </w:r>
      <w:proofErr w:type="spellEnd"/>
      <w:r w:rsidRPr="00635DD7">
        <w:t xml:space="preserve"> 10</w:t>
      </w:r>
      <w:r w:rsidR="007C1257" w:rsidRPr="00635DD7">
        <w:t>0 mg</w:t>
      </w:r>
      <w:r w:rsidRPr="00635DD7">
        <w:t xml:space="preserve"> groups, respectively. The SOCs with the most frequently reported AEs that were considered to be reasonably related were Infections and infestations and Skin and subcutaneous tissue disorders. </w:t>
      </w:r>
      <w:proofErr w:type="spellStart"/>
      <w:r w:rsidRPr="00635DD7">
        <w:t>Nasopharyngitis</w:t>
      </w:r>
      <w:proofErr w:type="spellEnd"/>
      <w:r w:rsidRPr="00635DD7">
        <w:t xml:space="preserve"> was the most frequently reported AE that was considered to be reasonably related, in 1.9%, 3.2%, and 3.9% of subjects in the placebo, </w:t>
      </w:r>
      <w:proofErr w:type="spellStart"/>
      <w:r w:rsidRPr="00635DD7">
        <w:t>golimumab</w:t>
      </w:r>
      <w:proofErr w:type="spellEnd"/>
      <w:r w:rsidRPr="00635DD7">
        <w:t xml:space="preserve"> 5</w:t>
      </w:r>
      <w:r w:rsidR="007C1257" w:rsidRPr="00635DD7">
        <w:t>0 mg</w:t>
      </w:r>
      <w:r w:rsidRPr="00635DD7">
        <w:t xml:space="preserve">, and </w:t>
      </w:r>
      <w:proofErr w:type="spellStart"/>
      <w:r w:rsidRPr="00635DD7">
        <w:t>golimumab</w:t>
      </w:r>
      <w:proofErr w:type="spellEnd"/>
      <w:r w:rsidRPr="00635DD7">
        <w:t xml:space="preserve"> 10</w:t>
      </w:r>
      <w:r w:rsidR="007C1257" w:rsidRPr="00635DD7">
        <w:t>0 mg</w:t>
      </w:r>
      <w:r w:rsidRPr="00635DD7">
        <w:t xml:space="preserve"> groups, respectively.</w:t>
      </w:r>
    </w:p>
    <w:p w:rsidR="00E51565" w:rsidRPr="00635DD7" w:rsidRDefault="00E51565" w:rsidP="00635DD7">
      <w:r w:rsidRPr="00635DD7">
        <w:t xml:space="preserve">Similarly, among all treated subjects, the proportions of subjects with reasonably related AEs through Week 54 were 24.9%, 25.3%, and 29.0% in the placebo, </w:t>
      </w:r>
      <w:proofErr w:type="spellStart"/>
      <w:r w:rsidRPr="00635DD7">
        <w:t>golimumab</w:t>
      </w:r>
      <w:proofErr w:type="spellEnd"/>
      <w:r w:rsidRPr="00635DD7">
        <w:t xml:space="preserve"> 50</w:t>
      </w:r>
      <w:r w:rsidR="00B13311">
        <w:t xml:space="preserve"> </w:t>
      </w:r>
      <w:r w:rsidRPr="00635DD7">
        <w:t xml:space="preserve">mg, and </w:t>
      </w:r>
      <w:proofErr w:type="spellStart"/>
      <w:r w:rsidRPr="00635DD7">
        <w:t>golimumab</w:t>
      </w:r>
      <w:proofErr w:type="spellEnd"/>
      <w:r w:rsidRPr="00635DD7">
        <w:t xml:space="preserve"> 10</w:t>
      </w:r>
      <w:r w:rsidR="007C1257" w:rsidRPr="00635DD7">
        <w:t>0 mg</w:t>
      </w:r>
      <w:r w:rsidRPr="00635DD7">
        <w:t xml:space="preserve"> groups, respectively, and the SOCs with the most frequently reported AEs that were considered to be reasonably related were also Infections and infestations and Skin and subcutaneous tissue disorders.</w:t>
      </w:r>
    </w:p>
    <w:p w:rsidR="00E51565" w:rsidRPr="00E51565" w:rsidRDefault="00116ECD" w:rsidP="00116ECD">
      <w:pPr>
        <w:pStyle w:val="Heading5"/>
        <w:rPr>
          <w:lang w:eastAsia="en-AU"/>
        </w:rPr>
      </w:pPr>
      <w:r>
        <w:rPr>
          <w:lang w:eastAsia="en-AU"/>
        </w:rPr>
        <w:t>Other studies</w:t>
      </w:r>
    </w:p>
    <w:p w:rsidR="00E51565" w:rsidRPr="00E51565" w:rsidRDefault="00E51565" w:rsidP="00116ECD">
      <w:pPr>
        <w:pStyle w:val="Heading6"/>
        <w:rPr>
          <w:lang w:eastAsia="en-AU"/>
        </w:rPr>
      </w:pPr>
      <w:r w:rsidRPr="00E51565">
        <w:rPr>
          <w:lang w:eastAsia="en-AU"/>
        </w:rPr>
        <w:t xml:space="preserve">Study </w:t>
      </w:r>
      <w:r w:rsidRPr="00116ECD">
        <w:t>C0524T17</w:t>
      </w:r>
    </w:p>
    <w:p w:rsidR="00E51565" w:rsidRPr="00635DD7" w:rsidRDefault="00E51565" w:rsidP="00116ECD">
      <w:r w:rsidRPr="00635DD7">
        <w:t xml:space="preserve">Through Week 6, the proportions of treated subjects with reasonably related AEs were low overall (15.5% and 16.8% in the placebo and all </w:t>
      </w:r>
      <w:proofErr w:type="spellStart"/>
      <w:r w:rsidRPr="00635DD7">
        <w:t>golimumab</w:t>
      </w:r>
      <w:proofErr w:type="spellEnd"/>
      <w:r w:rsidRPr="00635DD7">
        <w:t xml:space="preserve"> groups, respectively) and similar in the 20</w:t>
      </w:r>
      <w:r w:rsidR="007C1257" w:rsidRPr="00635DD7">
        <w:t>0 mg</w:t>
      </w:r>
      <w:r w:rsidRPr="00635DD7">
        <w:t xml:space="preserve"> → 10</w:t>
      </w:r>
      <w:r w:rsidR="007C1257" w:rsidRPr="00635DD7">
        <w:t>0 mg</w:t>
      </w:r>
      <w:r w:rsidRPr="00635DD7">
        <w:t xml:space="preserve"> and 40</w:t>
      </w:r>
      <w:r w:rsidR="007C1257" w:rsidRPr="00635DD7">
        <w:t>0 mg</w:t>
      </w:r>
      <w:r w:rsidRPr="00635DD7">
        <w:t xml:space="preserve"> → 20</w:t>
      </w:r>
      <w:r w:rsidR="007C1257" w:rsidRPr="00635DD7">
        <w:t>0 mg</w:t>
      </w:r>
      <w:r w:rsidRPr="00635DD7">
        <w:t xml:space="preserve"> groups (16.3% and 17.5%, respectively).</w:t>
      </w:r>
    </w:p>
    <w:p w:rsidR="00E51565" w:rsidRPr="00635DD7" w:rsidRDefault="00E51565" w:rsidP="00116ECD">
      <w:r w:rsidRPr="00635DD7">
        <w:t>The most frequently reported reasonably related AEs (≥ 1%) by preferred term in any of the placebo, 20</w:t>
      </w:r>
      <w:r w:rsidR="007C1257" w:rsidRPr="00635DD7">
        <w:t>0 mg</w:t>
      </w:r>
      <w:r w:rsidRPr="00635DD7">
        <w:t xml:space="preserve"> → 10</w:t>
      </w:r>
      <w:r w:rsidR="007C1257" w:rsidRPr="00635DD7">
        <w:t>0 mg</w:t>
      </w:r>
      <w:r w:rsidRPr="00635DD7">
        <w:t>, or 40</w:t>
      </w:r>
      <w:r w:rsidR="007C1257" w:rsidRPr="00635DD7">
        <w:t>0 mg</w:t>
      </w:r>
      <w:r w:rsidRPr="00635DD7">
        <w:t xml:space="preserve"> → 20</w:t>
      </w:r>
      <w:r w:rsidR="007C1257" w:rsidRPr="00635DD7">
        <w:t>0 mg</w:t>
      </w:r>
      <w:r w:rsidRPr="00635DD7">
        <w:t xml:space="preserve"> groups were as follows (ordered by decreasing frequency in the 40</w:t>
      </w:r>
      <w:r w:rsidR="007C1257" w:rsidRPr="00635DD7">
        <w:t>0 mg</w:t>
      </w:r>
      <w:r w:rsidRPr="00635DD7">
        <w:t xml:space="preserve"> → 20</w:t>
      </w:r>
      <w:r w:rsidR="007C1257" w:rsidRPr="00635DD7">
        <w:t>0 mg</w:t>
      </w:r>
      <w:r w:rsidRPr="00635DD7">
        <w:t xml:space="preserve"> group):</w:t>
      </w:r>
    </w:p>
    <w:p w:rsidR="00E51565" w:rsidRPr="00635DD7" w:rsidRDefault="00E51565" w:rsidP="00116ECD">
      <w:pPr>
        <w:pStyle w:val="ListBullet"/>
      </w:pPr>
      <w:r w:rsidRPr="00635DD7">
        <w:t>Headache: 2.1%, 0.3%, and 1.8%, respectively;</w:t>
      </w:r>
    </w:p>
    <w:p w:rsidR="00E51565" w:rsidRPr="00635DD7" w:rsidRDefault="00E51565" w:rsidP="00116ECD">
      <w:pPr>
        <w:pStyle w:val="ListBullet"/>
      </w:pPr>
      <w:r w:rsidRPr="00635DD7">
        <w:t>Nausea: 0.6%, 0.0%, and 1.8%, respectively;</w:t>
      </w:r>
    </w:p>
    <w:p w:rsidR="00E51565" w:rsidRPr="00635DD7" w:rsidRDefault="00E51565" w:rsidP="00635DD7">
      <w:pPr>
        <w:pStyle w:val="ListBullet"/>
      </w:pPr>
      <w:r w:rsidRPr="00635DD7">
        <w:t>Arthralgia: 0.6%, 0.3%, and 1.5%, respectively;</w:t>
      </w:r>
    </w:p>
    <w:p w:rsidR="00E51565" w:rsidRPr="00635DD7" w:rsidRDefault="00E51565" w:rsidP="00116ECD">
      <w:pPr>
        <w:pStyle w:val="ListBullet"/>
      </w:pPr>
      <w:r w:rsidRPr="00635DD7">
        <w:t>Injection site erythema: 0.0%, 1.5%, and 1.2%, respectively;</w:t>
      </w:r>
    </w:p>
    <w:p w:rsidR="00E51565" w:rsidRPr="00635DD7" w:rsidRDefault="00E51565" w:rsidP="00116ECD">
      <w:pPr>
        <w:pStyle w:val="ListBullet"/>
      </w:pPr>
      <w:r w:rsidRPr="00635DD7">
        <w:t>Pyrexia: 1.2%, 0.6%, and 1.2%, respectively;</w:t>
      </w:r>
    </w:p>
    <w:p w:rsidR="00E51565" w:rsidRPr="00635DD7" w:rsidRDefault="00E51565" w:rsidP="00635DD7">
      <w:pPr>
        <w:pStyle w:val="ListBullet"/>
      </w:pPr>
      <w:r w:rsidRPr="00635DD7">
        <w:t>Cough: 1.5%, 0.6%, and 0.6%, respectively;</w:t>
      </w:r>
    </w:p>
    <w:p w:rsidR="00E51565" w:rsidRPr="00635DD7" w:rsidRDefault="00E51565" w:rsidP="00116ECD">
      <w:pPr>
        <w:pStyle w:val="ListBullet"/>
      </w:pPr>
      <w:proofErr w:type="spellStart"/>
      <w:r w:rsidRPr="00635DD7">
        <w:t>Nasopharyngitis</w:t>
      </w:r>
      <w:proofErr w:type="spellEnd"/>
      <w:r w:rsidRPr="00635DD7">
        <w:t>: 1.8%, 1.8%, and 0.3%, respectively.</w:t>
      </w:r>
    </w:p>
    <w:p w:rsidR="00E51565" w:rsidRPr="00E51565" w:rsidRDefault="00E51565" w:rsidP="00116ECD">
      <w:pPr>
        <w:pStyle w:val="Heading6"/>
        <w:rPr>
          <w:lang w:eastAsia="en-AU"/>
        </w:rPr>
      </w:pPr>
      <w:r w:rsidRPr="00E51565">
        <w:rPr>
          <w:lang w:eastAsia="en-AU"/>
        </w:rPr>
        <w:t>Study C0524T16</w:t>
      </w:r>
    </w:p>
    <w:p w:rsidR="00E51565" w:rsidRPr="00635DD7" w:rsidRDefault="00E51565" w:rsidP="00116ECD">
      <w:r w:rsidRPr="00635DD7">
        <w:t xml:space="preserve">Through Week 6, the proportions of subjects with reasonably related AEs were generally comparable in the </w:t>
      </w:r>
      <w:proofErr w:type="spellStart"/>
      <w:r w:rsidRPr="00635DD7">
        <w:t>golimumab</w:t>
      </w:r>
      <w:proofErr w:type="spellEnd"/>
      <w:r w:rsidRPr="00635DD7">
        <w:t xml:space="preserve"> combined and placebo groups (13.1% and 11.7%, respectively; Attachment 4.7). Reasonably related AEs that occurred in more than 1 </w:t>
      </w:r>
      <w:proofErr w:type="spellStart"/>
      <w:r w:rsidRPr="00635DD7">
        <w:t>golimumab</w:t>
      </w:r>
      <w:proofErr w:type="spellEnd"/>
      <w:r w:rsidRPr="00635DD7">
        <w:t xml:space="preserve">-treated subject were pharyngitis and headache (3 subjects each), and </w:t>
      </w:r>
      <w:proofErr w:type="spellStart"/>
      <w:r w:rsidRPr="00635DD7">
        <w:t>pruritis</w:t>
      </w:r>
      <w:proofErr w:type="spellEnd"/>
      <w:r w:rsidRPr="00635DD7">
        <w:t xml:space="preserve">, pyrexia, ALT increased, </w:t>
      </w:r>
      <w:r w:rsidRPr="00635DD7">
        <w:lastRenderedPageBreak/>
        <w:t xml:space="preserve">AST increased, and cough (2 subjects each). Reasonably related AEs that occurred in more than 1 placebo-treated subject were </w:t>
      </w:r>
      <w:proofErr w:type="spellStart"/>
      <w:r w:rsidRPr="00635DD7">
        <w:t>pruritis</w:t>
      </w:r>
      <w:proofErr w:type="spellEnd"/>
      <w:r w:rsidRPr="00635DD7">
        <w:t xml:space="preserve"> and nausea (2 subjects each).</w:t>
      </w:r>
    </w:p>
    <w:p w:rsidR="00E51565" w:rsidRPr="00E51565" w:rsidRDefault="00E51565" w:rsidP="00116ECD">
      <w:pPr>
        <w:pStyle w:val="Heading6"/>
        <w:rPr>
          <w:lang w:eastAsia="en-AU"/>
        </w:rPr>
      </w:pPr>
      <w:bookmarkStart w:id="131" w:name="_Toc373241033"/>
      <w:bookmarkStart w:id="132" w:name="_Toc241374320"/>
      <w:bookmarkStart w:id="133" w:name="_Ref272333507"/>
      <w:bookmarkStart w:id="134" w:name="_Toc272414666"/>
      <w:bookmarkStart w:id="135" w:name="_Toc290846304"/>
      <w:bookmarkStart w:id="136" w:name="_Toc290888841"/>
      <w:r w:rsidRPr="00E51565">
        <w:rPr>
          <w:lang w:eastAsia="en-AU"/>
        </w:rPr>
        <w:t>Deaths</w:t>
      </w:r>
      <w:bookmarkEnd w:id="131"/>
      <w:bookmarkEnd w:id="132"/>
      <w:bookmarkEnd w:id="133"/>
      <w:bookmarkEnd w:id="134"/>
      <w:bookmarkEnd w:id="135"/>
      <w:bookmarkEnd w:id="136"/>
    </w:p>
    <w:p w:rsidR="00E51565" w:rsidRPr="00E51565" w:rsidRDefault="00E51565" w:rsidP="00116ECD">
      <w:pPr>
        <w:pStyle w:val="Heading7"/>
        <w:rPr>
          <w:lang w:eastAsia="en-AU"/>
        </w:rPr>
      </w:pPr>
      <w:r w:rsidRPr="00116ECD">
        <w:t>Pivotal</w:t>
      </w:r>
      <w:r w:rsidRPr="00E51565">
        <w:rPr>
          <w:lang w:eastAsia="en-AU"/>
        </w:rPr>
        <w:t xml:space="preserve"> study C0524T18</w:t>
      </w:r>
    </w:p>
    <w:p w:rsidR="00E51565" w:rsidRPr="00635DD7" w:rsidRDefault="00E51565" w:rsidP="00116ECD">
      <w:r w:rsidRPr="00635DD7">
        <w:t>In C0524T18, 3 deaths occurred through Week 54</w:t>
      </w:r>
      <w:r w:rsidR="00635DD7" w:rsidRPr="00635DD7">
        <w:t>.</w:t>
      </w:r>
    </w:p>
    <w:p w:rsidR="00E51565" w:rsidRPr="00635DD7" w:rsidRDefault="00E51565" w:rsidP="00116ECD">
      <w:r w:rsidRPr="00635DD7">
        <w:t>A 66-year-old man in, died from cardiac failure on Study Day 335 (</w:t>
      </w:r>
      <w:proofErr w:type="spellStart"/>
      <w:r w:rsidRPr="00635DD7">
        <w:t>golimumab</w:t>
      </w:r>
      <w:proofErr w:type="spellEnd"/>
      <w:r w:rsidRPr="00635DD7">
        <w:t xml:space="preserve"> 10</w:t>
      </w:r>
      <w:r w:rsidR="007C1257" w:rsidRPr="00635DD7">
        <w:t>0 mg</w:t>
      </w:r>
      <w:r w:rsidRPr="00635DD7">
        <w:t xml:space="preserve"> maintenance; </w:t>
      </w:r>
      <w:proofErr w:type="spellStart"/>
      <w:r w:rsidRPr="00635DD7">
        <w:t>golimumab</w:t>
      </w:r>
      <w:proofErr w:type="spellEnd"/>
      <w:r w:rsidRPr="00635DD7">
        <w:t xml:space="preserve"> 400 → 20</w:t>
      </w:r>
      <w:r w:rsidR="007C1257" w:rsidRPr="00635DD7">
        <w:t>0 mg</w:t>
      </w:r>
      <w:r w:rsidRPr="00635DD7">
        <w:t xml:space="preserve"> SC induction). This subject had a history of thrombosis but no history of heart disease or arterial hypertension. The subject died 82 days after the last study agent administration.</w:t>
      </w:r>
    </w:p>
    <w:p w:rsidR="00E51565" w:rsidRPr="00635DD7" w:rsidRDefault="00E51565" w:rsidP="00116ECD">
      <w:r w:rsidRPr="00635DD7">
        <w:t>A 60-year-old woman (</w:t>
      </w:r>
      <w:proofErr w:type="spellStart"/>
      <w:r w:rsidRPr="00635DD7">
        <w:t>golimumab</w:t>
      </w:r>
      <w:proofErr w:type="spellEnd"/>
      <w:r w:rsidRPr="00635DD7">
        <w:t xml:space="preserve"> 10</w:t>
      </w:r>
      <w:r w:rsidR="007C1257" w:rsidRPr="00635DD7">
        <w:t>0 mg</w:t>
      </w:r>
      <w:r w:rsidRPr="00635DD7">
        <w:t xml:space="preserve"> maintenance; </w:t>
      </w:r>
      <w:proofErr w:type="spellStart"/>
      <w:r w:rsidRPr="00635DD7">
        <w:t>golimumab</w:t>
      </w:r>
      <w:proofErr w:type="spellEnd"/>
      <w:r w:rsidRPr="00635DD7">
        <w:t xml:space="preserve"> 2mg/kg IV induction), died of septic shock on Study Day 364. The subject was hospitalized on Study Day 362 with high-grade fever, hypotension, tachycardia, tachypnoea, and oliguria and appeared emaciated and malnourished. She died 2 days later. No source for the sepsis was identified. The subject died 26 days after the last study agent administration.</w:t>
      </w:r>
    </w:p>
    <w:p w:rsidR="00E51565" w:rsidRPr="00635DD7" w:rsidRDefault="00E51565" w:rsidP="00116ECD">
      <w:r w:rsidRPr="00635DD7">
        <w:t>A 58-year-old man (</w:t>
      </w:r>
      <w:proofErr w:type="spellStart"/>
      <w:r w:rsidRPr="00635DD7">
        <w:t>golimumab</w:t>
      </w:r>
      <w:proofErr w:type="spellEnd"/>
      <w:r w:rsidRPr="00635DD7">
        <w:t xml:space="preserve"> 10</w:t>
      </w:r>
      <w:r w:rsidR="007C1257" w:rsidRPr="00635DD7">
        <w:t>0 mg</w:t>
      </w:r>
      <w:r w:rsidRPr="00635DD7">
        <w:t xml:space="preserve"> maintenance; </w:t>
      </w:r>
      <w:proofErr w:type="spellStart"/>
      <w:r w:rsidRPr="00635DD7">
        <w:t>golimumab</w:t>
      </w:r>
      <w:proofErr w:type="spellEnd"/>
      <w:r w:rsidRPr="00635DD7">
        <w:t xml:space="preserve"> 200 → 10</w:t>
      </w:r>
      <w:r w:rsidR="007C1257" w:rsidRPr="00635DD7">
        <w:t>0 mg</w:t>
      </w:r>
      <w:r w:rsidRPr="00635DD7">
        <w:t xml:space="preserve"> SC induction), died of disseminated TB on Study Day 206. The subject entered the induction study with a positive </w:t>
      </w:r>
      <w:proofErr w:type="spellStart"/>
      <w:r w:rsidRPr="00635DD7">
        <w:t>QuantiFERON</w:t>
      </w:r>
      <w:proofErr w:type="spellEnd"/>
      <w:r w:rsidRPr="00635DD7">
        <w:t>-TB Gold test result and was receiving isoniazid treatment during the maintenance study under the supervision of a pulmonologist. The subject died 37 days after the last study agent administration.</w:t>
      </w:r>
    </w:p>
    <w:p w:rsidR="00E51565" w:rsidRPr="00E51565" w:rsidRDefault="00E51565" w:rsidP="00116ECD">
      <w:pPr>
        <w:pStyle w:val="Heading7"/>
        <w:rPr>
          <w:lang w:eastAsia="en-AU"/>
        </w:rPr>
      </w:pPr>
      <w:r w:rsidRPr="00E51565">
        <w:rPr>
          <w:lang w:eastAsia="en-AU"/>
        </w:rPr>
        <w:t>Other studies</w:t>
      </w:r>
    </w:p>
    <w:p w:rsidR="00E51565" w:rsidRPr="00E51565" w:rsidRDefault="00E51565" w:rsidP="00116ECD">
      <w:pPr>
        <w:rPr>
          <w:lang w:eastAsia="en-AU"/>
        </w:rPr>
      </w:pPr>
      <w:r w:rsidRPr="00E51565">
        <w:rPr>
          <w:lang w:eastAsia="en-AU"/>
        </w:rPr>
        <w:t>In C0524T17, 1 death (</w:t>
      </w:r>
      <w:proofErr w:type="spellStart"/>
      <w:r w:rsidRPr="00E51565">
        <w:rPr>
          <w:lang w:eastAsia="en-AU"/>
        </w:rPr>
        <w:t>golimumab</w:t>
      </w:r>
      <w:proofErr w:type="spellEnd"/>
      <w:r w:rsidRPr="00E51565">
        <w:rPr>
          <w:lang w:eastAsia="en-AU"/>
        </w:rPr>
        <w:t xml:space="preserve"> 40</w:t>
      </w:r>
      <w:r w:rsidR="007C1257">
        <w:rPr>
          <w:lang w:eastAsia="en-AU"/>
        </w:rPr>
        <w:t>0 mg</w:t>
      </w:r>
      <w:r w:rsidRPr="00E51565">
        <w:rPr>
          <w:lang w:eastAsia="en-AU"/>
        </w:rPr>
        <w:t xml:space="preserve"> → 20</w:t>
      </w:r>
      <w:r w:rsidR="007C1257">
        <w:rPr>
          <w:lang w:eastAsia="en-AU"/>
        </w:rPr>
        <w:t>0 mg</w:t>
      </w:r>
      <w:r w:rsidRPr="00E51565">
        <w:rPr>
          <w:lang w:eastAsia="en-AU"/>
        </w:rPr>
        <w:t xml:space="preserve">) due to an SAE of </w:t>
      </w:r>
      <w:proofErr w:type="spellStart"/>
      <w:r w:rsidRPr="00E51565">
        <w:rPr>
          <w:lang w:eastAsia="en-AU"/>
        </w:rPr>
        <w:t>ischiorectal</w:t>
      </w:r>
      <w:proofErr w:type="spellEnd"/>
      <w:r w:rsidRPr="00E51565">
        <w:rPr>
          <w:lang w:eastAsia="en-AU"/>
        </w:rPr>
        <w:t xml:space="preserve"> abscess on </w:t>
      </w:r>
      <w:r w:rsidR="00B13311">
        <w:rPr>
          <w:lang w:eastAsia="en-AU"/>
        </w:rPr>
        <w:t>Study</w:t>
      </w:r>
      <w:r w:rsidRPr="00E51565">
        <w:rPr>
          <w:lang w:eastAsia="en-AU"/>
        </w:rPr>
        <w:t xml:space="preserve"> </w:t>
      </w:r>
      <w:r w:rsidR="00B13311">
        <w:rPr>
          <w:lang w:eastAsia="en-AU"/>
        </w:rPr>
        <w:t>Day</w:t>
      </w:r>
      <w:r w:rsidRPr="00E51565">
        <w:rPr>
          <w:lang w:eastAsia="en-AU"/>
        </w:rPr>
        <w:t xml:space="preserve"> 94, 79 days after the last dose of study agent.</w:t>
      </w:r>
    </w:p>
    <w:p w:rsidR="00E51565" w:rsidRPr="00635DD7" w:rsidRDefault="00E51565" w:rsidP="00116ECD">
      <w:r w:rsidRPr="00635DD7">
        <w:t xml:space="preserve">No deaths occurred in </w:t>
      </w:r>
      <w:r w:rsidR="00B13311">
        <w:t>Study</w:t>
      </w:r>
      <w:r w:rsidRPr="00635DD7">
        <w:t xml:space="preserve"> C0524T16.</w:t>
      </w:r>
    </w:p>
    <w:p w:rsidR="00E51565" w:rsidRPr="00E51565" w:rsidRDefault="00E51565" w:rsidP="00116ECD">
      <w:pPr>
        <w:pStyle w:val="Heading6"/>
      </w:pPr>
      <w:bookmarkStart w:id="137" w:name="_Toc373241034"/>
      <w:r w:rsidRPr="00E51565">
        <w:t xml:space="preserve">Serious </w:t>
      </w:r>
      <w:r w:rsidR="00116ECD">
        <w:t>a</w:t>
      </w:r>
      <w:r w:rsidRPr="00E51565">
        <w:t xml:space="preserve">dverse </w:t>
      </w:r>
      <w:r w:rsidR="00116ECD" w:rsidRPr="00116ECD">
        <w:t>e</w:t>
      </w:r>
      <w:r w:rsidRPr="00116ECD">
        <w:t>vents</w:t>
      </w:r>
      <w:bookmarkEnd w:id="137"/>
    </w:p>
    <w:p w:rsidR="00E51565" w:rsidRPr="00E51565" w:rsidRDefault="00E51565" w:rsidP="00116ECD">
      <w:pPr>
        <w:pStyle w:val="Heading7"/>
        <w:rPr>
          <w:lang w:eastAsia="en-AU"/>
        </w:rPr>
      </w:pPr>
      <w:r w:rsidRPr="00E51565">
        <w:rPr>
          <w:lang w:eastAsia="en-AU"/>
        </w:rPr>
        <w:t xml:space="preserve">Pivotal </w:t>
      </w:r>
      <w:r w:rsidR="00B13311">
        <w:rPr>
          <w:lang w:eastAsia="en-AU"/>
        </w:rPr>
        <w:t>Study</w:t>
      </w:r>
      <w:r w:rsidR="00116ECD">
        <w:rPr>
          <w:lang w:eastAsia="en-AU"/>
        </w:rPr>
        <w:t xml:space="preserve"> C0524T18</w:t>
      </w:r>
    </w:p>
    <w:p w:rsidR="00E51565" w:rsidRPr="00A41A47" w:rsidRDefault="00E51565" w:rsidP="00116ECD">
      <w:r w:rsidRPr="00A41A47">
        <w:t>The proportions of randomised subjects who discontinued study agent due to an AE were 6.4%, 5.2%, and 9.1% in the placebo, 5</w:t>
      </w:r>
      <w:r w:rsidR="007C1257" w:rsidRPr="00A41A47">
        <w:t>0 mg</w:t>
      </w:r>
      <w:r w:rsidRPr="00A41A47">
        <w:t>, and 10</w:t>
      </w:r>
      <w:r w:rsidR="007C1257" w:rsidRPr="00A41A47">
        <w:t>0 mg</w:t>
      </w:r>
      <w:r w:rsidRPr="00A41A47">
        <w:t xml:space="preserve"> groups, respectively, with 32.7, 44.3, and 46.3 average weeks of follow-up, respectively. When adjusted for follow-up, the incidences per 100 subject-years of follow-up of AEs leading to discontinuation were 10.43, 6.16, and 10.44 in the placebo, 5</w:t>
      </w:r>
      <w:r w:rsidR="007C1257" w:rsidRPr="00A41A47">
        <w:t>0 mg</w:t>
      </w:r>
      <w:r w:rsidRPr="00A41A47">
        <w:t>, and 10</w:t>
      </w:r>
      <w:r w:rsidR="007C1257" w:rsidRPr="00A41A47">
        <w:t>0 mg</w:t>
      </w:r>
      <w:r w:rsidRPr="00A41A47">
        <w:t xml:space="preserve"> groups, respectively.</w:t>
      </w:r>
    </w:p>
    <w:p w:rsidR="00E51565" w:rsidRPr="00A41A47" w:rsidRDefault="00E51565" w:rsidP="00116ECD">
      <w:r w:rsidRPr="00A41A47">
        <w:t>The most frequently reported AEs leading to discontinuation of study agent were in the Gastrointestinal disorders SOC. Colitis ulcerative was the most common AE that resulted in discontinuation of study agent among randomized subjects and occurred among 1.9%, 3.9%, and 4.5% of subjects in the placebo, 5</w:t>
      </w:r>
      <w:r w:rsidR="007C1257" w:rsidRPr="00A41A47">
        <w:t>0 mg</w:t>
      </w:r>
      <w:r w:rsidRPr="00A41A47">
        <w:t>, and 10</w:t>
      </w:r>
      <w:r w:rsidR="007C1257" w:rsidRPr="00A41A47">
        <w:t>0 mg</w:t>
      </w:r>
      <w:r w:rsidRPr="00A41A47">
        <w:t xml:space="preserve"> groups, respectively.</w:t>
      </w:r>
    </w:p>
    <w:p w:rsidR="00E51565" w:rsidRPr="00E51565" w:rsidRDefault="00E51565" w:rsidP="00116ECD">
      <w:pPr>
        <w:pStyle w:val="Heading7"/>
        <w:rPr>
          <w:lang w:eastAsia="en-AU"/>
        </w:rPr>
      </w:pPr>
      <w:r w:rsidRPr="00E51565">
        <w:rPr>
          <w:lang w:eastAsia="en-AU"/>
        </w:rPr>
        <w:t>Other studies</w:t>
      </w:r>
    </w:p>
    <w:p w:rsidR="00E51565" w:rsidRPr="00A41A47" w:rsidRDefault="00E51565" w:rsidP="00116ECD">
      <w:r w:rsidRPr="00A41A47">
        <w:t xml:space="preserve">Through Week 6 in C0524T16, the proportion of subjects with SAEs was in the overall placebo and combined IV </w:t>
      </w:r>
      <w:proofErr w:type="spellStart"/>
      <w:r w:rsidRPr="00A41A47">
        <w:t>golimumab</w:t>
      </w:r>
      <w:proofErr w:type="spellEnd"/>
      <w:r w:rsidRPr="00A41A47">
        <w:t xml:space="preserve"> groups (2.6% and 3.8%, respectively; C0524T16). The only SAE that occurred in more than 1 subject was colitis ulcerative, occurring in 4 (1.9%) </w:t>
      </w:r>
      <w:proofErr w:type="spellStart"/>
      <w:r w:rsidRPr="00A41A47">
        <w:t>golimumab</w:t>
      </w:r>
      <w:proofErr w:type="spellEnd"/>
      <w:r w:rsidRPr="00A41A47">
        <w:t>-treated subjects a</w:t>
      </w:r>
      <w:r w:rsidR="00116ECD">
        <w:t>nd no placebo-treated subjects.</w:t>
      </w:r>
    </w:p>
    <w:p w:rsidR="00E51565" w:rsidRPr="00A41A47" w:rsidRDefault="00E51565" w:rsidP="00116ECD">
      <w:r w:rsidRPr="00A41A47">
        <w:t>Through Week 6 in C0524T17, the proportions of subjects with SAEs were 6.1%, 2.7%, and 3.3% in the placebo, 20</w:t>
      </w:r>
      <w:r w:rsidR="007C1257" w:rsidRPr="00A41A47">
        <w:t>0 mg</w:t>
      </w:r>
      <w:r w:rsidRPr="00A41A47">
        <w:t xml:space="preserve"> → 10</w:t>
      </w:r>
      <w:r w:rsidR="007C1257" w:rsidRPr="00A41A47">
        <w:t>0 mg</w:t>
      </w:r>
      <w:r w:rsidRPr="00A41A47">
        <w:t xml:space="preserve"> and 40</w:t>
      </w:r>
      <w:r w:rsidR="007C1257" w:rsidRPr="00A41A47">
        <w:t>0 mg</w:t>
      </w:r>
      <w:r w:rsidRPr="00A41A47">
        <w:t xml:space="preserve"> → 20</w:t>
      </w:r>
      <w:r w:rsidR="007C1257" w:rsidRPr="00A41A47">
        <w:t>0 mg</w:t>
      </w:r>
      <w:r w:rsidRPr="00A41A47">
        <w:t xml:space="preserve"> groups, respectively.</w:t>
      </w:r>
    </w:p>
    <w:p w:rsidR="00E51565" w:rsidRPr="00A41A47" w:rsidRDefault="00E51565" w:rsidP="00116ECD">
      <w:r w:rsidRPr="00A41A47">
        <w:t>The most common SAE in the placebo, 20</w:t>
      </w:r>
      <w:r w:rsidR="007C1257" w:rsidRPr="00A41A47">
        <w:t>0 mg</w:t>
      </w:r>
      <w:r w:rsidRPr="00A41A47">
        <w:t xml:space="preserve"> → 10</w:t>
      </w:r>
      <w:r w:rsidR="007C1257" w:rsidRPr="00A41A47">
        <w:t>0 mg</w:t>
      </w:r>
      <w:r w:rsidRPr="00A41A47">
        <w:t>, and 40</w:t>
      </w:r>
      <w:r w:rsidR="007C1257" w:rsidRPr="00A41A47">
        <w:t>0 mg</w:t>
      </w:r>
      <w:r w:rsidRPr="00A41A47">
        <w:t xml:space="preserve"> → 20</w:t>
      </w:r>
      <w:r w:rsidR="007C1257" w:rsidRPr="00A41A47">
        <w:t>0 mg</w:t>
      </w:r>
      <w:r w:rsidRPr="00A41A47">
        <w:t xml:space="preserve"> groups was ulcerative colitis (2.4%, 0.9%, and 1.2%, respectively). Anaemia was the only other SAE occurring in more than 1 subject receiving </w:t>
      </w:r>
      <w:proofErr w:type="spellStart"/>
      <w:r w:rsidRPr="00A41A47">
        <w:t>golimumab</w:t>
      </w:r>
      <w:proofErr w:type="spellEnd"/>
      <w:r w:rsidRPr="00A41A47">
        <w:t>, occurring in 0.6%, 0.6%, and 0.0% of subjects in the placebo, 20</w:t>
      </w:r>
      <w:r w:rsidR="007C1257" w:rsidRPr="00A41A47">
        <w:t>0 mg</w:t>
      </w:r>
      <w:r w:rsidRPr="00A41A47">
        <w:t xml:space="preserve"> → 10</w:t>
      </w:r>
      <w:r w:rsidR="007C1257" w:rsidRPr="00A41A47">
        <w:t>0 mg</w:t>
      </w:r>
      <w:r w:rsidRPr="00A41A47">
        <w:t xml:space="preserve"> and 40</w:t>
      </w:r>
      <w:r w:rsidR="007C1257" w:rsidRPr="00A41A47">
        <w:t>0 mg</w:t>
      </w:r>
      <w:r w:rsidRPr="00A41A47">
        <w:t xml:space="preserve"> → 20</w:t>
      </w:r>
      <w:r w:rsidR="007C1257" w:rsidRPr="00A41A47">
        <w:t>0 mg</w:t>
      </w:r>
      <w:r w:rsidRPr="00A41A47">
        <w:t xml:space="preserve"> groups, respectively.</w:t>
      </w:r>
    </w:p>
    <w:p w:rsidR="00E51565" w:rsidRPr="00E51565" w:rsidRDefault="00E51565" w:rsidP="00116ECD">
      <w:pPr>
        <w:pStyle w:val="Heading6"/>
        <w:rPr>
          <w:lang w:eastAsia="en-AU"/>
        </w:rPr>
      </w:pPr>
      <w:bookmarkStart w:id="138" w:name="_Toc241374325"/>
      <w:bookmarkStart w:id="139" w:name="_Ref272333477"/>
      <w:bookmarkStart w:id="140" w:name="_Toc272414667"/>
      <w:bookmarkStart w:id="141" w:name="_Toc290846305"/>
      <w:bookmarkStart w:id="142" w:name="_Toc290888842"/>
      <w:bookmarkStart w:id="143" w:name="_Toc373241035"/>
      <w:r w:rsidRPr="00E51565">
        <w:rPr>
          <w:lang w:eastAsia="en-AU"/>
        </w:rPr>
        <w:lastRenderedPageBreak/>
        <w:t>Discontinuation due to adverse events</w:t>
      </w:r>
      <w:bookmarkEnd w:id="138"/>
      <w:bookmarkEnd w:id="139"/>
      <w:bookmarkEnd w:id="140"/>
      <w:bookmarkEnd w:id="141"/>
      <w:bookmarkEnd w:id="142"/>
      <w:bookmarkEnd w:id="143"/>
    </w:p>
    <w:p w:rsidR="00E51565" w:rsidRPr="00E51565" w:rsidRDefault="00E51565" w:rsidP="00116ECD">
      <w:pPr>
        <w:pStyle w:val="Heading7"/>
        <w:rPr>
          <w:lang w:eastAsia="en-AU"/>
        </w:rPr>
      </w:pPr>
      <w:r w:rsidRPr="00E51565">
        <w:rPr>
          <w:lang w:eastAsia="en-AU"/>
        </w:rPr>
        <w:t xml:space="preserve">Pivotal </w:t>
      </w:r>
      <w:r w:rsidR="00116ECD">
        <w:rPr>
          <w:lang w:eastAsia="en-AU"/>
        </w:rPr>
        <w:t>s</w:t>
      </w:r>
      <w:r w:rsidR="00B13311">
        <w:rPr>
          <w:lang w:eastAsia="en-AU"/>
        </w:rPr>
        <w:t>tudy</w:t>
      </w:r>
      <w:r w:rsidRPr="00E51565">
        <w:rPr>
          <w:lang w:eastAsia="en-AU"/>
        </w:rPr>
        <w:t xml:space="preserve"> C0524T18</w:t>
      </w:r>
    </w:p>
    <w:p w:rsidR="00E51565" w:rsidRPr="00A41A47" w:rsidRDefault="00E51565" w:rsidP="00116ECD">
      <w:r w:rsidRPr="00A41A47">
        <w:t>The proportions of randomised subjects who discontinued study agent due to an AE were 6.4%, 5.2%, and 9.1% in the placebo, 5</w:t>
      </w:r>
      <w:r w:rsidR="007C1257" w:rsidRPr="00A41A47">
        <w:t>0 mg</w:t>
      </w:r>
      <w:r w:rsidRPr="00A41A47">
        <w:t>, and 10</w:t>
      </w:r>
      <w:r w:rsidR="007C1257" w:rsidRPr="00A41A47">
        <w:t>0 mg</w:t>
      </w:r>
      <w:r w:rsidRPr="00A41A47">
        <w:t xml:space="preserve"> groups, respectively, with 32.7, 44.3, and 46.3 average weeks of follow-up, respectively. When adjusted for follow-up, the incidences per 100 subject-years of follow-up of AEs leading to discontinuation were 10.43, 6.16, and 10.44 in the placebo, 5</w:t>
      </w:r>
      <w:r w:rsidR="007C1257" w:rsidRPr="00A41A47">
        <w:t>0 mg</w:t>
      </w:r>
      <w:r w:rsidRPr="00A41A47">
        <w:t>, and 10</w:t>
      </w:r>
      <w:r w:rsidR="007C1257" w:rsidRPr="00A41A47">
        <w:t>0 mg</w:t>
      </w:r>
      <w:r w:rsidRPr="00A41A47">
        <w:t xml:space="preserve"> groups, respectively.</w:t>
      </w:r>
    </w:p>
    <w:p w:rsidR="00E51565" w:rsidRPr="00A41A47" w:rsidRDefault="00E51565" w:rsidP="00116ECD">
      <w:r w:rsidRPr="00A41A47">
        <w:t>The most frequently reported AEs leading to discontinuation of study agent were in the Gastrointestinal disorders SOC. Colitis ulcerative was the most common AE that resulted in discontinuation of study agent among randomized subjects and occurred among 1.9%, 3.9%, and 4.5% of subjects in the placebo, 5</w:t>
      </w:r>
      <w:r w:rsidR="007C1257" w:rsidRPr="00A41A47">
        <w:t>0 mg</w:t>
      </w:r>
      <w:r w:rsidRPr="00A41A47">
        <w:t>, and 10</w:t>
      </w:r>
      <w:r w:rsidR="007C1257" w:rsidRPr="00A41A47">
        <w:t>0 mg</w:t>
      </w:r>
      <w:r w:rsidRPr="00A41A47">
        <w:t xml:space="preserve"> groups, respectively.</w:t>
      </w:r>
    </w:p>
    <w:p w:rsidR="00E51565" w:rsidRPr="00E51565" w:rsidRDefault="00E51565" w:rsidP="00116ECD">
      <w:pPr>
        <w:pStyle w:val="Heading7"/>
        <w:rPr>
          <w:lang w:eastAsia="en-AU"/>
        </w:rPr>
      </w:pPr>
      <w:r w:rsidRPr="00E51565">
        <w:rPr>
          <w:lang w:eastAsia="en-AU"/>
        </w:rPr>
        <w:t>Other studies</w:t>
      </w:r>
    </w:p>
    <w:p w:rsidR="00E51565" w:rsidRPr="00A41A47" w:rsidRDefault="00E51565" w:rsidP="00116ECD">
      <w:r w:rsidRPr="00A41A47">
        <w:t xml:space="preserve">In </w:t>
      </w:r>
      <w:r w:rsidR="00B13311">
        <w:t>Study</w:t>
      </w:r>
      <w:r w:rsidRPr="00A41A47">
        <w:t xml:space="preserve"> C0524T16 no discontinuations were possible.</w:t>
      </w:r>
    </w:p>
    <w:p w:rsidR="00E51565" w:rsidRPr="00A41A47" w:rsidRDefault="00E51565" w:rsidP="00116ECD">
      <w:r w:rsidRPr="00A41A47">
        <w:t>Through Week 6 in C0524T17, the proportions of subjects with an AE leading to study agent discontinuation were 0.9%, 0.3%, and 0.3% in the placebo, 20</w:t>
      </w:r>
      <w:r w:rsidR="007C1257" w:rsidRPr="00A41A47">
        <w:t>0 mg</w:t>
      </w:r>
      <w:r w:rsidRPr="00A41A47">
        <w:t xml:space="preserve"> → 10</w:t>
      </w:r>
      <w:r w:rsidR="007C1257" w:rsidRPr="00A41A47">
        <w:t>0 mg</w:t>
      </w:r>
      <w:r w:rsidRPr="00A41A47">
        <w:t>, and 40</w:t>
      </w:r>
      <w:r w:rsidR="007C1257" w:rsidRPr="00A41A47">
        <w:t>0 mg</w:t>
      </w:r>
      <w:r w:rsidRPr="00A41A47">
        <w:t xml:space="preserve"> → 20</w:t>
      </w:r>
      <w:r w:rsidR="007C1257" w:rsidRPr="00A41A47">
        <w:t>0 mg</w:t>
      </w:r>
      <w:r w:rsidRPr="00A41A47">
        <w:t xml:space="preserve"> groups, respectively. No AE (by preferred term) leading to discontinuation of study agent was reported in more than 1 subject in any treatment group.</w:t>
      </w:r>
    </w:p>
    <w:p w:rsidR="00E51565" w:rsidRPr="00E51565" w:rsidRDefault="00E51565" w:rsidP="00116ECD">
      <w:pPr>
        <w:pStyle w:val="Heading6"/>
        <w:rPr>
          <w:lang w:eastAsia="en-AU"/>
        </w:rPr>
      </w:pPr>
      <w:bookmarkStart w:id="144" w:name="_Toc373241036"/>
      <w:bookmarkStart w:id="145" w:name="_Toc241374321"/>
      <w:bookmarkStart w:id="146" w:name="_Ref271044780"/>
      <w:bookmarkStart w:id="147" w:name="_Ref271196640"/>
      <w:bookmarkStart w:id="148" w:name="_Ref272333085"/>
      <w:bookmarkStart w:id="149" w:name="_Toc272414668"/>
      <w:bookmarkStart w:id="150" w:name="_Toc290846306"/>
      <w:bookmarkStart w:id="151" w:name="_Toc290888843"/>
      <w:r w:rsidRPr="00E51565">
        <w:rPr>
          <w:lang w:eastAsia="en-AU"/>
        </w:rPr>
        <w:t>Laboratory tests</w:t>
      </w:r>
      <w:bookmarkEnd w:id="144"/>
    </w:p>
    <w:p w:rsidR="00E51565" w:rsidRPr="00E51565" w:rsidRDefault="00E51565" w:rsidP="00116ECD">
      <w:pPr>
        <w:pStyle w:val="Heading7"/>
        <w:rPr>
          <w:lang w:eastAsia="en-AU"/>
        </w:rPr>
      </w:pPr>
      <w:bookmarkStart w:id="152" w:name="_Ref358876103"/>
      <w:bookmarkStart w:id="153" w:name="_Toc373241037"/>
      <w:bookmarkStart w:id="154" w:name="_Toc272414672"/>
      <w:bookmarkStart w:id="155" w:name="_Toc290846310"/>
      <w:bookmarkStart w:id="156" w:name="_Toc290888847"/>
      <w:r w:rsidRPr="00E51565">
        <w:rPr>
          <w:lang w:eastAsia="en-AU"/>
        </w:rPr>
        <w:t xml:space="preserve">Antibodies to </w:t>
      </w:r>
      <w:proofErr w:type="spellStart"/>
      <w:r w:rsidRPr="00E51565">
        <w:rPr>
          <w:lang w:eastAsia="en-AU"/>
        </w:rPr>
        <w:t>Golimumab</w:t>
      </w:r>
      <w:bookmarkEnd w:id="152"/>
      <w:bookmarkEnd w:id="153"/>
      <w:proofErr w:type="spellEnd"/>
    </w:p>
    <w:p w:rsidR="00E51565" w:rsidRPr="00A41A47" w:rsidRDefault="00E51565" w:rsidP="00116ECD">
      <w:r w:rsidRPr="00A41A47">
        <w:t xml:space="preserve">During the induction studies, only 3 subjects were positive for antibodies to </w:t>
      </w:r>
      <w:proofErr w:type="spellStart"/>
      <w:r w:rsidRPr="00A41A47">
        <w:t>golimumab</w:t>
      </w:r>
      <w:proofErr w:type="spellEnd"/>
      <w:r w:rsidRPr="00A41A47">
        <w:t xml:space="preserve"> all in the SC </w:t>
      </w:r>
      <w:r w:rsidR="00B13311">
        <w:t>Study</w:t>
      </w:r>
      <w:r w:rsidRPr="00A41A47">
        <w:t xml:space="preserve"> C0524T17 only 1 of whom continued into this maintenance study.</w:t>
      </w:r>
    </w:p>
    <w:p w:rsidR="00E51565" w:rsidRPr="00A41A47" w:rsidRDefault="00E51565" w:rsidP="00116ECD">
      <w:r w:rsidRPr="00A41A47">
        <w:t xml:space="preserve">In </w:t>
      </w:r>
      <w:r w:rsidR="00B13311">
        <w:t>Study</w:t>
      </w:r>
      <w:r w:rsidRPr="00A41A47">
        <w:t xml:space="preserve"> C0524T18 of 455 randomized subjects, 20 (4.4%) were positive for antibodies to </w:t>
      </w:r>
      <w:proofErr w:type="spellStart"/>
      <w:r w:rsidRPr="00A41A47">
        <w:t>golimumab</w:t>
      </w:r>
      <w:proofErr w:type="spellEnd"/>
      <w:r w:rsidRPr="00A41A47">
        <w:t xml:space="preserve"> - the majority (16/20) exhibited low titres (under 1:640).</w:t>
      </w:r>
    </w:p>
    <w:p w:rsidR="00E51565" w:rsidRPr="00A41A47" w:rsidRDefault="00E51565" w:rsidP="00116ECD">
      <w:pPr>
        <w:pStyle w:val="ListBullet"/>
      </w:pPr>
      <w:r w:rsidRPr="00A41A47">
        <w:t>11 of 155 (7.1%) in the placebo group (they had</w:t>
      </w:r>
      <w:r w:rsidR="00116ECD">
        <w:t xml:space="preserve"> received </w:t>
      </w:r>
      <w:proofErr w:type="spellStart"/>
      <w:r w:rsidR="00116ECD">
        <w:t>golimumab</w:t>
      </w:r>
      <w:proofErr w:type="spellEnd"/>
      <w:r w:rsidR="00116ECD">
        <w:t xml:space="preserve"> induction),</w:t>
      </w:r>
    </w:p>
    <w:p w:rsidR="00E51565" w:rsidRPr="00A41A47" w:rsidRDefault="00E51565" w:rsidP="00116ECD">
      <w:pPr>
        <w:pStyle w:val="ListBullet"/>
      </w:pPr>
      <w:r w:rsidRPr="00A41A47">
        <w:t xml:space="preserve">4 of 152 (2.6%) in the </w:t>
      </w:r>
      <w:proofErr w:type="spellStart"/>
      <w:r w:rsidRPr="00A41A47">
        <w:t>golimumab</w:t>
      </w:r>
      <w:proofErr w:type="spellEnd"/>
      <w:r w:rsidRPr="00A41A47">
        <w:t xml:space="preserve"> 5</w:t>
      </w:r>
      <w:r w:rsidR="007C1257" w:rsidRPr="00A41A47">
        <w:t>0 mg</w:t>
      </w:r>
      <w:r w:rsidR="00116ECD">
        <w:t xml:space="preserve"> group,</w:t>
      </w:r>
    </w:p>
    <w:p w:rsidR="00E51565" w:rsidRPr="00A41A47" w:rsidRDefault="00E51565" w:rsidP="00116ECD">
      <w:pPr>
        <w:pStyle w:val="ListBullet"/>
      </w:pPr>
      <w:r w:rsidRPr="00A41A47">
        <w:t xml:space="preserve">5 of 148 (3.4%) in the </w:t>
      </w:r>
      <w:proofErr w:type="spellStart"/>
      <w:r w:rsidRPr="00A41A47">
        <w:t>golimumab</w:t>
      </w:r>
      <w:proofErr w:type="spellEnd"/>
      <w:r w:rsidRPr="00A41A47">
        <w:t xml:space="preserve"> 10</w:t>
      </w:r>
      <w:r w:rsidR="007C1257" w:rsidRPr="00A41A47">
        <w:t>0 mg</w:t>
      </w:r>
      <w:r w:rsidRPr="00A41A47">
        <w:t xml:space="preserve"> </w:t>
      </w:r>
      <w:r w:rsidRPr="00116ECD">
        <w:t>group</w:t>
      </w:r>
      <w:r w:rsidR="00116ECD">
        <w:t>.</w:t>
      </w:r>
    </w:p>
    <w:p w:rsidR="00E51565" w:rsidRPr="00A41A47" w:rsidRDefault="00E51565" w:rsidP="00116ECD">
      <w:r w:rsidRPr="00A41A47">
        <w:t xml:space="preserve">Of 1,103 treated subjects 32 subjects (2.9%) were positive for antibodies to </w:t>
      </w:r>
      <w:proofErr w:type="spellStart"/>
      <w:r w:rsidRPr="00A41A47">
        <w:t>golimumab</w:t>
      </w:r>
      <w:proofErr w:type="spellEnd"/>
      <w:r w:rsidRPr="00A41A47">
        <w:t xml:space="preserve"> - the majority (21/32)</w:t>
      </w:r>
      <w:r w:rsidR="00116ECD">
        <w:t xml:space="preserve"> had low titters (under 1:640):</w:t>
      </w:r>
    </w:p>
    <w:p w:rsidR="00E51565" w:rsidRPr="00A41A47" w:rsidRDefault="00E51565" w:rsidP="00116ECD">
      <w:pPr>
        <w:pStyle w:val="ListBullet"/>
      </w:pPr>
      <w:r w:rsidRPr="00A41A47">
        <w:t>11 of 155 (7.1%) in the randomized placebo group (they had</w:t>
      </w:r>
      <w:r w:rsidR="00116ECD">
        <w:t xml:space="preserve"> received </w:t>
      </w:r>
      <w:proofErr w:type="spellStart"/>
      <w:r w:rsidR="00116ECD">
        <w:t>golimumab</w:t>
      </w:r>
      <w:proofErr w:type="spellEnd"/>
      <w:r w:rsidR="00116ECD">
        <w:t xml:space="preserve"> induction),</w:t>
      </w:r>
    </w:p>
    <w:p w:rsidR="00E51565" w:rsidRPr="00A41A47" w:rsidRDefault="00E51565" w:rsidP="00116ECD">
      <w:pPr>
        <w:pStyle w:val="ListBullet"/>
      </w:pPr>
      <w:r w:rsidRPr="00A41A47">
        <w:t xml:space="preserve">2 of 56 (3.6%) in the nonrandomized placebo </w:t>
      </w:r>
      <w:proofErr w:type="spellStart"/>
      <w:r w:rsidRPr="00A41A47">
        <w:t>golimumab</w:t>
      </w:r>
      <w:proofErr w:type="spellEnd"/>
      <w:r w:rsidRPr="00A41A47">
        <w:t xml:space="preserve"> 10</w:t>
      </w:r>
      <w:r w:rsidR="007C1257" w:rsidRPr="00A41A47">
        <w:t>0 mg</w:t>
      </w:r>
      <w:r w:rsidRPr="00A41A47">
        <w:t xml:space="preserve"> group</w:t>
      </w:r>
      <w:r w:rsidR="00116ECD">
        <w:t>,</w:t>
      </w:r>
    </w:p>
    <w:p w:rsidR="00E51565" w:rsidRPr="00A41A47" w:rsidRDefault="00E51565" w:rsidP="00116ECD">
      <w:pPr>
        <w:pStyle w:val="ListBullet"/>
      </w:pPr>
      <w:r w:rsidRPr="00A41A47">
        <w:t xml:space="preserve">4 of 152 (2.6%) in the </w:t>
      </w:r>
      <w:proofErr w:type="spellStart"/>
      <w:r w:rsidRPr="00A41A47">
        <w:t>golimumab</w:t>
      </w:r>
      <w:proofErr w:type="spellEnd"/>
      <w:r w:rsidRPr="00A41A47">
        <w:t xml:space="preserve"> 5</w:t>
      </w:r>
      <w:r w:rsidR="007C1257" w:rsidRPr="00A41A47">
        <w:t>0 mg</w:t>
      </w:r>
      <w:r w:rsidR="00116ECD">
        <w:t xml:space="preserve"> group, and</w:t>
      </w:r>
    </w:p>
    <w:p w:rsidR="00E51565" w:rsidRPr="00A41A47" w:rsidRDefault="00E51565" w:rsidP="00116ECD">
      <w:pPr>
        <w:pStyle w:val="ListBullet"/>
      </w:pPr>
      <w:r w:rsidRPr="00A41A47">
        <w:t xml:space="preserve">15 of 740 (2.0%) subjects in the combined </w:t>
      </w:r>
      <w:proofErr w:type="spellStart"/>
      <w:r w:rsidRPr="00A41A47">
        <w:t>golimumab</w:t>
      </w:r>
      <w:proofErr w:type="spellEnd"/>
      <w:r w:rsidRPr="00A41A47">
        <w:t xml:space="preserve"> 10</w:t>
      </w:r>
      <w:r w:rsidR="007C1257" w:rsidRPr="00A41A47">
        <w:t>0 mg</w:t>
      </w:r>
      <w:r w:rsidR="00116ECD">
        <w:t xml:space="preserve"> group.</w:t>
      </w:r>
    </w:p>
    <w:p w:rsidR="00E51565" w:rsidRPr="00A41A47" w:rsidRDefault="00E51565" w:rsidP="00116ECD">
      <w:r w:rsidRPr="00A41A47">
        <w:t xml:space="preserve">In </w:t>
      </w:r>
      <w:r w:rsidR="00B13311">
        <w:t>Study</w:t>
      </w:r>
      <w:r w:rsidRPr="00A41A47">
        <w:t xml:space="preserve"> C0524T18 although the incidence of anti-</w:t>
      </w:r>
      <w:proofErr w:type="spellStart"/>
      <w:r w:rsidRPr="00A41A47">
        <w:t>golimumab</w:t>
      </w:r>
      <w:proofErr w:type="spellEnd"/>
      <w:r w:rsidRPr="00A41A47">
        <w:t xml:space="preserve"> antibodies was low overall (2.9%), the proportions of subjects who were positive for </w:t>
      </w:r>
      <w:proofErr w:type="spellStart"/>
      <w:r w:rsidRPr="00A41A47">
        <w:t>golimumab</w:t>
      </w:r>
      <w:proofErr w:type="spellEnd"/>
      <w:r w:rsidRPr="00A41A47">
        <w:t xml:space="preserve"> antibodies appeared to be higher in subjects randomized to placebo (7.1%) compared with the proportions in the other treatment groups (2.0% - 3.6%). The reason for this apparent difference is not known.</w:t>
      </w:r>
    </w:p>
    <w:p w:rsidR="00E51565" w:rsidRPr="00A41A47" w:rsidRDefault="00E51565" w:rsidP="00116ECD">
      <w:r w:rsidRPr="00A41A47">
        <w:t xml:space="preserve">Of 932 </w:t>
      </w:r>
      <w:proofErr w:type="spellStart"/>
      <w:r w:rsidRPr="00A41A47">
        <w:t>golimumab</w:t>
      </w:r>
      <w:proofErr w:type="spellEnd"/>
      <w:r w:rsidRPr="00A41A47">
        <w:t xml:space="preserve">-treated subjects who did not increase their dose and had appropriate samples for antibodies, 24 (2.6%) were positive for antibodies to </w:t>
      </w:r>
      <w:proofErr w:type="spellStart"/>
      <w:r w:rsidRPr="00A41A47">
        <w:t>golimumab</w:t>
      </w:r>
      <w:proofErr w:type="spellEnd"/>
      <w:r w:rsidRPr="00A41A47">
        <w:t xml:space="preserve"> The proportion of subjects who developed antibodies to </w:t>
      </w:r>
      <w:proofErr w:type="spellStart"/>
      <w:r w:rsidRPr="00A41A47">
        <w:t>golimumab</w:t>
      </w:r>
      <w:proofErr w:type="spellEnd"/>
      <w:r w:rsidRPr="00A41A47">
        <w:t xml:space="preserve"> was similar between subjects who received </w:t>
      </w:r>
      <w:proofErr w:type="spellStart"/>
      <w:r w:rsidRPr="00A41A47">
        <w:t>golimumab</w:t>
      </w:r>
      <w:proofErr w:type="spellEnd"/>
      <w:r w:rsidRPr="00A41A47">
        <w:t xml:space="preserve"> 5</w:t>
      </w:r>
      <w:r w:rsidR="007C1257" w:rsidRPr="00A41A47">
        <w:t>0 mg</w:t>
      </w:r>
      <w:r w:rsidRPr="00A41A47">
        <w:t xml:space="preserve"> (2/127 [1.6%]) and those who received </w:t>
      </w:r>
      <w:proofErr w:type="spellStart"/>
      <w:r w:rsidRPr="00A41A47">
        <w:t>golimumab</w:t>
      </w:r>
      <w:proofErr w:type="spellEnd"/>
      <w:r w:rsidRPr="00A41A47">
        <w:t xml:space="preserve"> 10</w:t>
      </w:r>
      <w:r w:rsidR="007C1257" w:rsidRPr="00A41A47">
        <w:t>0 mg</w:t>
      </w:r>
      <w:r w:rsidRPr="00A41A47">
        <w:t xml:space="preserve"> (15/726 [2.1%]).</w:t>
      </w:r>
    </w:p>
    <w:p w:rsidR="00E51565" w:rsidRPr="00A41A47" w:rsidRDefault="00E51565" w:rsidP="00116ECD">
      <w:r w:rsidRPr="00A41A47">
        <w:t xml:space="preserve">2 of 25 subjects (8.0%) in the </w:t>
      </w:r>
      <w:proofErr w:type="spellStart"/>
      <w:r w:rsidRPr="00A41A47">
        <w:t>golimumab</w:t>
      </w:r>
      <w:proofErr w:type="spellEnd"/>
      <w:r w:rsidRPr="00A41A47">
        <w:t xml:space="preserve"> 5</w:t>
      </w:r>
      <w:r w:rsidR="007C1257" w:rsidRPr="00A41A47">
        <w:t>0 mg</w:t>
      </w:r>
      <w:r w:rsidRPr="00A41A47">
        <w:t xml:space="preserve"> → 10</w:t>
      </w:r>
      <w:r w:rsidR="007C1257" w:rsidRPr="00A41A47">
        <w:t>0 mg</w:t>
      </w:r>
      <w:r w:rsidRPr="00A41A47">
        <w:t xml:space="preserve"> treatment group were positive for antibodies to </w:t>
      </w:r>
      <w:proofErr w:type="spellStart"/>
      <w:r w:rsidRPr="00A41A47">
        <w:t>golimumab</w:t>
      </w:r>
      <w:proofErr w:type="spellEnd"/>
      <w:r w:rsidRPr="00A41A47">
        <w:t xml:space="preserve">, in comparison, none (0/14) of the subjects in the </w:t>
      </w:r>
      <w:proofErr w:type="spellStart"/>
      <w:r w:rsidRPr="00A41A47">
        <w:t>golimumab</w:t>
      </w:r>
      <w:proofErr w:type="spellEnd"/>
      <w:r w:rsidRPr="00A41A47">
        <w:t xml:space="preserve"> 10</w:t>
      </w:r>
      <w:r w:rsidR="007C1257" w:rsidRPr="00A41A47">
        <w:t>0 mg</w:t>
      </w:r>
      <w:r w:rsidRPr="00A41A47">
        <w:t xml:space="preserve"> → 20</w:t>
      </w:r>
      <w:r w:rsidR="007C1257" w:rsidRPr="00A41A47">
        <w:t>0 mg</w:t>
      </w:r>
      <w:r w:rsidRPr="00A41A47">
        <w:t xml:space="preserve"> group were.</w:t>
      </w:r>
      <w:bookmarkStart w:id="157" w:name="_Toc373241138"/>
      <w:r w:rsidRPr="00A41A47">
        <w:t xml:space="preserve"> Median serum </w:t>
      </w:r>
      <w:proofErr w:type="spellStart"/>
      <w:r w:rsidRPr="00A41A47">
        <w:t>golimumab</w:t>
      </w:r>
      <w:proofErr w:type="spellEnd"/>
      <w:r w:rsidRPr="00A41A47">
        <w:t xml:space="preserve"> concentrations (mcg/mL) over time by </w:t>
      </w:r>
      <w:r w:rsidRPr="00A41A47">
        <w:lastRenderedPageBreak/>
        <w:t xml:space="preserve">antibody to </w:t>
      </w:r>
      <w:proofErr w:type="spellStart"/>
      <w:r w:rsidRPr="00A41A47">
        <w:t>golimumab</w:t>
      </w:r>
      <w:proofErr w:type="spellEnd"/>
      <w:r w:rsidRPr="00A41A47">
        <w:t xml:space="preserve"> status during this maintenance study through Week 54; treated subjects who were randomized to placebo, </w:t>
      </w:r>
      <w:proofErr w:type="spellStart"/>
      <w:r w:rsidRPr="00A41A47">
        <w:t>golimumab</w:t>
      </w:r>
      <w:proofErr w:type="spellEnd"/>
      <w:r w:rsidRPr="00A41A47">
        <w:t xml:space="preserve"> 5</w:t>
      </w:r>
      <w:r w:rsidR="007C1257" w:rsidRPr="00A41A47">
        <w:t>0 mg</w:t>
      </w:r>
      <w:r w:rsidRPr="00A41A47">
        <w:t xml:space="preserve">, or </w:t>
      </w:r>
      <w:proofErr w:type="spellStart"/>
      <w:r w:rsidRPr="00A41A47">
        <w:t>golimumab</w:t>
      </w:r>
      <w:proofErr w:type="spellEnd"/>
      <w:r w:rsidRPr="00A41A47">
        <w:t xml:space="preserve"> 10</w:t>
      </w:r>
      <w:r w:rsidR="007C1257" w:rsidRPr="00A41A47">
        <w:t>0 mg</w:t>
      </w:r>
      <w:r w:rsidRPr="00A41A47">
        <w:t xml:space="preserve"> treatment group</w:t>
      </w:r>
      <w:bookmarkEnd w:id="157"/>
    </w:p>
    <w:p w:rsidR="00E51565" w:rsidRPr="00E51565" w:rsidRDefault="00E51565" w:rsidP="00116ECD">
      <w:pPr>
        <w:pStyle w:val="Heading7"/>
        <w:rPr>
          <w:lang w:eastAsia="en-AU"/>
        </w:rPr>
      </w:pPr>
      <w:bookmarkStart w:id="158" w:name="_Toc373241038"/>
      <w:r w:rsidRPr="00E51565">
        <w:rPr>
          <w:lang w:eastAsia="en-AU"/>
        </w:rPr>
        <w:t xml:space="preserve">Effect on </w:t>
      </w:r>
      <w:r w:rsidR="00116ECD" w:rsidRPr="00116ECD">
        <w:t>c</w:t>
      </w:r>
      <w:r w:rsidRPr="00116ECD">
        <w:t>learance</w:t>
      </w:r>
      <w:r w:rsidRPr="00E51565">
        <w:rPr>
          <w:lang w:eastAsia="en-AU"/>
        </w:rPr>
        <w:t xml:space="preserve"> (</w:t>
      </w:r>
      <w:proofErr w:type="spellStart"/>
      <w:r w:rsidRPr="00E51565">
        <w:rPr>
          <w:lang w:eastAsia="en-AU"/>
        </w:rPr>
        <w:t>PopPK</w:t>
      </w:r>
      <w:proofErr w:type="spellEnd"/>
      <w:r w:rsidRPr="00E51565">
        <w:rPr>
          <w:lang w:eastAsia="en-AU"/>
        </w:rPr>
        <w:t xml:space="preserve"> </w:t>
      </w:r>
      <w:r w:rsidR="00116ECD">
        <w:rPr>
          <w:lang w:eastAsia="en-AU"/>
        </w:rPr>
        <w:t>s</w:t>
      </w:r>
      <w:r w:rsidRPr="00E51565">
        <w:rPr>
          <w:lang w:eastAsia="en-AU"/>
        </w:rPr>
        <w:t>tudy)</w:t>
      </w:r>
      <w:bookmarkEnd w:id="158"/>
    </w:p>
    <w:p w:rsidR="00E51565" w:rsidRPr="00B13311" w:rsidRDefault="00E51565" w:rsidP="00116ECD">
      <w:r w:rsidRPr="00B13311">
        <w:t xml:space="preserve">In the 34 subjects (2.8%) who developed immunogenicity against </w:t>
      </w:r>
      <w:proofErr w:type="spellStart"/>
      <w:r w:rsidRPr="00B13311">
        <w:t>golimumab</w:t>
      </w:r>
      <w:proofErr w:type="spellEnd"/>
      <w:r w:rsidRPr="00B13311">
        <w:t xml:space="preserve"> the model-predicted mean CL value for </w:t>
      </w:r>
      <w:proofErr w:type="spellStart"/>
      <w:r w:rsidRPr="00B13311">
        <w:t>golimumab</w:t>
      </w:r>
      <w:proofErr w:type="spellEnd"/>
      <w:r w:rsidRPr="00B13311">
        <w:t xml:space="preserve"> was 24.3% higher.</w:t>
      </w:r>
    </w:p>
    <w:p w:rsidR="00E51565" w:rsidRPr="00E51565" w:rsidRDefault="00E51565" w:rsidP="00116ECD">
      <w:pPr>
        <w:pStyle w:val="Heading7"/>
        <w:rPr>
          <w:lang w:eastAsia="en-AU"/>
        </w:rPr>
      </w:pPr>
      <w:bookmarkStart w:id="159" w:name="_Toc373241039"/>
      <w:r w:rsidRPr="00E51565">
        <w:rPr>
          <w:lang w:eastAsia="en-AU"/>
        </w:rPr>
        <w:t xml:space="preserve">Neutralizing </w:t>
      </w:r>
      <w:r w:rsidR="00116ECD">
        <w:rPr>
          <w:lang w:eastAsia="en-AU"/>
        </w:rPr>
        <w:t>a</w:t>
      </w:r>
      <w:r w:rsidRPr="00E51565">
        <w:rPr>
          <w:lang w:eastAsia="en-AU"/>
        </w:rPr>
        <w:t xml:space="preserve">ntibodies to </w:t>
      </w:r>
      <w:proofErr w:type="spellStart"/>
      <w:r w:rsidRPr="00116ECD">
        <w:t>Golimumab</w:t>
      </w:r>
      <w:bookmarkEnd w:id="159"/>
      <w:proofErr w:type="spellEnd"/>
    </w:p>
    <w:p w:rsidR="00E51565" w:rsidRPr="00B13311" w:rsidRDefault="00E51565" w:rsidP="00116ECD">
      <w:r w:rsidRPr="00B13311">
        <w:t xml:space="preserve">Of 19 randomized subjects who were positive for antibodies to </w:t>
      </w:r>
      <w:proofErr w:type="spellStart"/>
      <w:r w:rsidRPr="00B13311">
        <w:t>golimumab</w:t>
      </w:r>
      <w:proofErr w:type="spellEnd"/>
      <w:r w:rsidRPr="00B13311">
        <w:t xml:space="preserve"> and were evaluated for Neutralizing Antibodies to </w:t>
      </w:r>
      <w:proofErr w:type="spellStart"/>
      <w:r w:rsidRPr="00B13311">
        <w:t>Golimumab</w:t>
      </w:r>
      <w:proofErr w:type="spellEnd"/>
      <w:r w:rsidRPr="00B13311">
        <w:t>, 11 (57.9%) were positive. Among those who increased their maintenance dose 4/6 [66.7%] were positive.</w:t>
      </w:r>
    </w:p>
    <w:p w:rsidR="00E51565" w:rsidRPr="00B13311" w:rsidRDefault="00E51565" w:rsidP="00116ECD">
      <w:r w:rsidRPr="00B13311">
        <w:t xml:space="preserve">Of 31 treated subjects (including both randomized and nonrandomized subjects) who were positive for antibodies to </w:t>
      </w:r>
      <w:proofErr w:type="spellStart"/>
      <w:r w:rsidRPr="00B13311">
        <w:t>golimumab</w:t>
      </w:r>
      <w:proofErr w:type="spellEnd"/>
      <w:r w:rsidRPr="00B13311">
        <w:t xml:space="preserve">, and were evaluated for Neutralizing Antibodies to </w:t>
      </w:r>
      <w:proofErr w:type="spellStart"/>
      <w:r w:rsidRPr="00B13311">
        <w:t>Golimumab</w:t>
      </w:r>
      <w:proofErr w:type="spellEnd"/>
      <w:r w:rsidRPr="00B13311">
        <w:t>, 21 (67.7%) were positive.</w:t>
      </w:r>
    </w:p>
    <w:p w:rsidR="00E51565" w:rsidRPr="00B13311" w:rsidRDefault="00E51565" w:rsidP="00116ECD">
      <w:r w:rsidRPr="00B13311">
        <w:t xml:space="preserve">Median serum </w:t>
      </w:r>
      <w:proofErr w:type="spellStart"/>
      <w:r w:rsidRPr="00B13311">
        <w:t>golimumab</w:t>
      </w:r>
      <w:proofErr w:type="spellEnd"/>
      <w:r w:rsidRPr="00B13311">
        <w:t xml:space="preserve"> concentrations were lower in subjects who were positive for antibodies to </w:t>
      </w:r>
      <w:proofErr w:type="spellStart"/>
      <w:r w:rsidRPr="00B13311">
        <w:t>golimumab</w:t>
      </w:r>
      <w:proofErr w:type="spellEnd"/>
      <w:r w:rsidRPr="00B13311">
        <w:t xml:space="preserve"> compared with levels in subjects who were negative for antibodies to </w:t>
      </w:r>
      <w:proofErr w:type="spellStart"/>
      <w:r w:rsidRPr="00B13311">
        <w:t>golimumab</w:t>
      </w:r>
      <w:proofErr w:type="spellEnd"/>
      <w:r w:rsidRPr="00B13311">
        <w:t>.</w:t>
      </w:r>
    </w:p>
    <w:p w:rsidR="00E51565" w:rsidRPr="00E51565" w:rsidRDefault="00E51565" w:rsidP="00116ECD">
      <w:pPr>
        <w:pStyle w:val="Heading7"/>
        <w:rPr>
          <w:lang w:eastAsia="en-AU"/>
        </w:rPr>
      </w:pPr>
      <w:bookmarkStart w:id="160" w:name="_Toc373241040"/>
      <w:r w:rsidRPr="00E51565">
        <w:rPr>
          <w:lang w:eastAsia="en-AU"/>
        </w:rPr>
        <w:t>Haem</w:t>
      </w:r>
      <w:bookmarkStart w:id="161" w:name="Temp"/>
      <w:bookmarkEnd w:id="161"/>
      <w:r w:rsidRPr="00E51565">
        <w:rPr>
          <w:lang w:eastAsia="en-AU"/>
        </w:rPr>
        <w:t>atology</w:t>
      </w:r>
      <w:bookmarkEnd w:id="154"/>
      <w:bookmarkEnd w:id="155"/>
      <w:bookmarkEnd w:id="156"/>
      <w:bookmarkEnd w:id="160"/>
    </w:p>
    <w:p w:rsidR="00E51565" w:rsidRPr="00B13311" w:rsidRDefault="00E51565" w:rsidP="00116ECD">
      <w:r w:rsidRPr="00B13311">
        <w:t>Among all treated subjects, the most common markedly abnormal post baseline haematology laboratory value was a decrease in lymphocytes, reported in 34.9%, 25.3%, and 23.6% of subjects in the placebo, 5</w:t>
      </w:r>
      <w:r w:rsidR="007C1257" w:rsidRPr="00B13311">
        <w:t>0 mg</w:t>
      </w:r>
      <w:r w:rsidRPr="00B13311">
        <w:t>, and 10</w:t>
      </w:r>
      <w:r w:rsidR="007C1257" w:rsidRPr="00B13311">
        <w:t>0 mg</w:t>
      </w:r>
      <w:r w:rsidRPr="00B13311">
        <w:t xml:space="preserve"> groups, respectively with 19.2%, 14.9%, and 11.1%, respectively, having more than 1 markedly abnormal decrease. Any markedly abnormal decrease in absolute neutrophils was observed in 3.2%, 3.9%, and 5.8% of subjects in the placebo, 5</w:t>
      </w:r>
      <w:r w:rsidR="007C1257" w:rsidRPr="00B13311">
        <w:t>0 mg</w:t>
      </w:r>
      <w:r w:rsidRPr="00B13311">
        <w:t>, and 10</w:t>
      </w:r>
      <w:r w:rsidR="007C1257" w:rsidRPr="00B13311">
        <w:t>0 mg</w:t>
      </w:r>
      <w:r w:rsidRPr="00B13311">
        <w:t xml:space="preserve"> groups, respectively, with 1.1%, 1.3%, and 1.8%, respectively, having a markedly abnormal decrease in neutrophils on more than 1 occasion. Among these subjects, 8 subjects presented with a transient decrease in absolute neutrophils to levels </w:t>
      </w:r>
      <w:proofErr w:type="gramStart"/>
      <w:r w:rsidRPr="00B13311">
        <w:t>below 1.0 x 103 cells/</w:t>
      </w:r>
      <w:proofErr w:type="spellStart"/>
      <w:r w:rsidRPr="00B13311">
        <w:t>mcL</w:t>
      </w:r>
      <w:proofErr w:type="spellEnd"/>
      <w:proofErr w:type="gramEnd"/>
      <w:r w:rsidRPr="00B13311">
        <w:t xml:space="preserve">. Two additional subjects had a decrease in absolute neutrophils to levels </w:t>
      </w:r>
      <w:proofErr w:type="gramStart"/>
      <w:r w:rsidRPr="00B13311">
        <w:t xml:space="preserve">below 1.0 </w:t>
      </w:r>
      <w:r w:rsidR="00116ECD">
        <w:t>x 103 cells/</w:t>
      </w:r>
      <w:proofErr w:type="spellStart"/>
      <w:r w:rsidR="00116ECD">
        <w:t>mcL</w:t>
      </w:r>
      <w:proofErr w:type="spellEnd"/>
      <w:proofErr w:type="gramEnd"/>
      <w:r w:rsidR="00116ECD">
        <w:t xml:space="preserve"> on 2 occasions.</w:t>
      </w:r>
    </w:p>
    <w:p w:rsidR="00E51565" w:rsidRPr="00B13311" w:rsidRDefault="00E51565" w:rsidP="00116ECD">
      <w:r w:rsidRPr="00B13311">
        <w:t>Among all treated subjects, the maximum toxicity grades for post baseline haematology laboratory values were generally consistent across treatment groups and most were Grade 0 through Grade 2. Post baseline Grade 4 haematology values were generally transient events.</w:t>
      </w:r>
    </w:p>
    <w:p w:rsidR="00E51565" w:rsidRPr="00E51565" w:rsidRDefault="00E51565" w:rsidP="00116ECD">
      <w:pPr>
        <w:pStyle w:val="Heading7"/>
        <w:rPr>
          <w:lang w:eastAsia="en-AU"/>
        </w:rPr>
      </w:pPr>
      <w:bookmarkStart w:id="162" w:name="_Toc272414669"/>
      <w:bookmarkStart w:id="163" w:name="_Toc290846307"/>
      <w:bookmarkStart w:id="164" w:name="_Toc290888844"/>
      <w:bookmarkStart w:id="165" w:name="_Toc373241041"/>
      <w:r w:rsidRPr="00E51565">
        <w:rPr>
          <w:lang w:eastAsia="en-AU"/>
        </w:rPr>
        <w:t>Liver function</w:t>
      </w:r>
      <w:bookmarkEnd w:id="162"/>
      <w:bookmarkEnd w:id="163"/>
      <w:bookmarkEnd w:id="164"/>
      <w:bookmarkEnd w:id="165"/>
    </w:p>
    <w:p w:rsidR="00E51565" w:rsidRPr="00B13311" w:rsidRDefault="00E51565" w:rsidP="00116ECD">
      <w:r w:rsidRPr="00B13311">
        <w:t>In C0524T18 3 subjects had a concurrent elevations in ALT &gt; 3x ULN and total bilirubin &gt; 2x ULN (2 in the 5</w:t>
      </w:r>
      <w:r w:rsidR="007C1257" w:rsidRPr="00B13311">
        <w:t>0 mg</w:t>
      </w:r>
      <w:r w:rsidRPr="00B13311">
        <w:t xml:space="preserve"> group and 1 in the placebo group). None of the subjects had evidence of drug-induced liver injury as all events were transient and the subjects continued to receive study agent.</w:t>
      </w:r>
    </w:p>
    <w:p w:rsidR="00E51565" w:rsidRPr="00B13311" w:rsidRDefault="00E51565" w:rsidP="00116ECD">
      <w:r w:rsidRPr="00B13311">
        <w:t xml:space="preserve">In C0524T17 3 subjects in the placebo and 2 in the </w:t>
      </w:r>
      <w:proofErr w:type="spellStart"/>
      <w:r w:rsidRPr="00B13311">
        <w:t>golimumab</w:t>
      </w:r>
      <w:proofErr w:type="spellEnd"/>
      <w:r w:rsidRPr="00B13311">
        <w:t xml:space="preserve"> treatment groups had ALT and AST measurements both of which were ≥ 3 x ULN. Two subjects (10</w:t>
      </w:r>
      <w:r w:rsidR="007C1257" w:rsidRPr="00B13311">
        <w:t>0 mg</w:t>
      </w:r>
      <w:r w:rsidRPr="00B13311">
        <w:t xml:space="preserve"> → 5</w:t>
      </w:r>
      <w:r w:rsidR="007C1257" w:rsidRPr="00B13311">
        <w:t>0 mg</w:t>
      </w:r>
      <w:r w:rsidRPr="00B13311">
        <w:t xml:space="preserve"> and 40</w:t>
      </w:r>
      <w:r w:rsidR="007C1257" w:rsidRPr="00B13311">
        <w:t>0 mg</w:t>
      </w:r>
      <w:r w:rsidRPr="00B13311">
        <w:t xml:space="preserve"> → 20</w:t>
      </w:r>
      <w:r w:rsidR="007C1257" w:rsidRPr="00B13311">
        <w:t>0 mg</w:t>
      </w:r>
      <w:r w:rsidRPr="00B13311">
        <w:t>) presented with a maximum post baseline total bilirubin &gt; 2 x ULN that was not accompanied by clinically significant changes in ALT or AST.</w:t>
      </w:r>
    </w:p>
    <w:p w:rsidR="00E51565" w:rsidRPr="00B13311" w:rsidRDefault="00E51565" w:rsidP="00116ECD">
      <w:r w:rsidRPr="00B13311">
        <w:t xml:space="preserve">In C0524T16 only 1 subject treated with </w:t>
      </w:r>
      <w:proofErr w:type="spellStart"/>
      <w:r w:rsidRPr="00B13311">
        <w:t>golimumab</w:t>
      </w:r>
      <w:proofErr w:type="spellEnd"/>
      <w:r w:rsidRPr="00B13311">
        <w:t xml:space="preserve"> had a single, transient maximum post baseline ALT of ≥ 5 to &lt; 8 times the ULN and a single, transient maximum post baseline AST of ≥ 5 to &lt; 8 times the ULN. Total bilirubin was normal.</w:t>
      </w:r>
    </w:p>
    <w:p w:rsidR="00E51565" w:rsidRPr="00B13311" w:rsidRDefault="00E51565" w:rsidP="00116ECD">
      <w:r w:rsidRPr="00B13311">
        <w:t xml:space="preserve">Overall during the combined controlled and uncontrolled periods from Week 0 of an induction study through Week 54 of the maintenance study for all treated subjects with maximum post baseline ALT, measurements that were ≥ 3x ULN were 1.5% and 2.0% in the placebo and </w:t>
      </w:r>
      <w:proofErr w:type="spellStart"/>
      <w:r w:rsidRPr="00B13311">
        <w:t>golimumab</w:t>
      </w:r>
      <w:proofErr w:type="spellEnd"/>
      <w:r w:rsidRPr="00B13311">
        <w:t xml:space="preserve"> groups, respectively.</w:t>
      </w:r>
    </w:p>
    <w:p w:rsidR="00E51565" w:rsidRPr="00E51565" w:rsidRDefault="00E51565" w:rsidP="00116ECD">
      <w:pPr>
        <w:pStyle w:val="Heading7"/>
        <w:rPr>
          <w:lang w:eastAsia="en-AU"/>
        </w:rPr>
      </w:pPr>
      <w:bookmarkStart w:id="166" w:name="_Toc272414670"/>
      <w:bookmarkStart w:id="167" w:name="_Toc290846308"/>
      <w:bookmarkStart w:id="168" w:name="_Toc290888845"/>
      <w:bookmarkStart w:id="169" w:name="_Toc373241042"/>
      <w:r w:rsidRPr="00E51565">
        <w:rPr>
          <w:lang w:eastAsia="en-AU"/>
        </w:rPr>
        <w:lastRenderedPageBreak/>
        <w:t>Kidney function</w:t>
      </w:r>
      <w:bookmarkEnd w:id="166"/>
      <w:bookmarkEnd w:id="167"/>
      <w:bookmarkEnd w:id="168"/>
      <w:bookmarkEnd w:id="169"/>
    </w:p>
    <w:p w:rsidR="00E51565" w:rsidRPr="00B13311" w:rsidRDefault="00E51565" w:rsidP="00116ECD">
      <w:r w:rsidRPr="00B13311">
        <w:t>There were no persistently abnormal urea results and only 1 creatinine in each of placebo and 10</w:t>
      </w:r>
      <w:r w:rsidR="007C1257" w:rsidRPr="00B13311">
        <w:t>0 mg</w:t>
      </w:r>
      <w:r w:rsidRPr="00B13311">
        <w:t xml:space="preserve"> maintenance groups.</w:t>
      </w:r>
    </w:p>
    <w:p w:rsidR="00E51565" w:rsidRPr="00E51565" w:rsidRDefault="00E51565" w:rsidP="00116ECD">
      <w:pPr>
        <w:pStyle w:val="Heading7"/>
        <w:rPr>
          <w:lang w:eastAsia="en-AU"/>
        </w:rPr>
      </w:pPr>
      <w:bookmarkStart w:id="170" w:name="_Toc272414671"/>
      <w:bookmarkStart w:id="171" w:name="_Toc290846309"/>
      <w:bookmarkStart w:id="172" w:name="_Toc290888846"/>
      <w:bookmarkStart w:id="173" w:name="_Toc373241043"/>
      <w:r w:rsidRPr="00E51565">
        <w:rPr>
          <w:lang w:eastAsia="en-AU"/>
        </w:rPr>
        <w:t xml:space="preserve">Other clinical </w:t>
      </w:r>
      <w:r w:rsidRPr="00116ECD">
        <w:t>chemistry</w:t>
      </w:r>
      <w:bookmarkEnd w:id="170"/>
      <w:bookmarkEnd w:id="171"/>
      <w:bookmarkEnd w:id="172"/>
      <w:bookmarkEnd w:id="173"/>
    </w:p>
    <w:p w:rsidR="00E51565" w:rsidRPr="00B13311" w:rsidRDefault="00E51565" w:rsidP="00116ECD">
      <w:r w:rsidRPr="00B13311">
        <w:t xml:space="preserve">Subjects reporting more than 1 markedly abnormal post baseline clinical chemistry value were relatively rare but did occur among all treatment groups for markedly abnormal value of elevated potassium, with even less frequent </w:t>
      </w:r>
      <w:proofErr w:type="spellStart"/>
      <w:r w:rsidRPr="00B13311">
        <w:t>hyponaetraemia</w:t>
      </w:r>
      <w:proofErr w:type="spellEnd"/>
      <w:r w:rsidRPr="00B13311">
        <w:t xml:space="preserve"> on 1 occasion in 2 patients on maintenance 10</w:t>
      </w:r>
      <w:r w:rsidR="007C1257" w:rsidRPr="00B13311">
        <w:t>0 mg</w:t>
      </w:r>
      <w:r w:rsidRPr="00B13311">
        <w:t>.</w:t>
      </w:r>
    </w:p>
    <w:p w:rsidR="00E51565" w:rsidRPr="00E51565" w:rsidRDefault="00E51565" w:rsidP="00116ECD">
      <w:pPr>
        <w:pStyle w:val="Heading6"/>
        <w:rPr>
          <w:lang w:eastAsia="en-AU"/>
        </w:rPr>
      </w:pPr>
      <w:bookmarkStart w:id="174" w:name="_Toc272414676"/>
      <w:bookmarkStart w:id="175" w:name="_Toc290846314"/>
      <w:bookmarkStart w:id="176" w:name="_Toc290888851"/>
      <w:bookmarkStart w:id="177" w:name="_Toc373241044"/>
      <w:bookmarkEnd w:id="145"/>
      <w:bookmarkEnd w:id="146"/>
      <w:bookmarkEnd w:id="147"/>
      <w:bookmarkEnd w:id="148"/>
      <w:bookmarkEnd w:id="149"/>
      <w:bookmarkEnd w:id="150"/>
      <w:bookmarkEnd w:id="151"/>
      <w:r w:rsidRPr="00E51565">
        <w:rPr>
          <w:lang w:eastAsia="en-AU"/>
        </w:rPr>
        <w:t>Vital signs</w:t>
      </w:r>
      <w:bookmarkEnd w:id="174"/>
      <w:bookmarkEnd w:id="175"/>
      <w:bookmarkEnd w:id="176"/>
      <w:bookmarkEnd w:id="177"/>
    </w:p>
    <w:p w:rsidR="00E51565" w:rsidRPr="00B13311" w:rsidRDefault="00E51565" w:rsidP="00116ECD">
      <w:r w:rsidRPr="00B13311">
        <w:t>Not recorded.</w:t>
      </w:r>
    </w:p>
    <w:p w:rsidR="00E51565" w:rsidRPr="00E51565" w:rsidRDefault="00E51565" w:rsidP="00116ECD">
      <w:pPr>
        <w:pStyle w:val="Heading6"/>
        <w:rPr>
          <w:lang w:eastAsia="en-AU"/>
        </w:rPr>
      </w:pPr>
      <w:bookmarkStart w:id="178" w:name="_Toc241374326"/>
      <w:bookmarkStart w:id="179" w:name="_Ref272333048"/>
      <w:bookmarkStart w:id="180" w:name="_Toc272414679"/>
      <w:bookmarkStart w:id="181" w:name="_Toc290846317"/>
      <w:bookmarkStart w:id="182" w:name="_Toc290888854"/>
      <w:bookmarkStart w:id="183" w:name="_Toc373241045"/>
      <w:r w:rsidRPr="00E51565">
        <w:rPr>
          <w:lang w:eastAsia="en-AU"/>
        </w:rPr>
        <w:t>Post-</w:t>
      </w:r>
      <w:r w:rsidRPr="00116ECD">
        <w:t>marketing</w:t>
      </w:r>
      <w:r w:rsidRPr="00E51565">
        <w:rPr>
          <w:lang w:eastAsia="en-AU"/>
        </w:rPr>
        <w:t xml:space="preserve"> experience</w:t>
      </w:r>
      <w:bookmarkEnd w:id="178"/>
      <w:bookmarkEnd w:id="179"/>
      <w:bookmarkEnd w:id="180"/>
      <w:bookmarkEnd w:id="181"/>
      <w:bookmarkEnd w:id="182"/>
      <w:bookmarkEnd w:id="183"/>
    </w:p>
    <w:p w:rsidR="00E51565" w:rsidRPr="00B13311" w:rsidRDefault="00E51565" w:rsidP="00116ECD">
      <w:r w:rsidRPr="00B13311">
        <w:t>Nil submitted for this indication.</w:t>
      </w:r>
    </w:p>
    <w:p w:rsidR="00E51565" w:rsidRPr="00E51565" w:rsidRDefault="00E51565" w:rsidP="00116ECD">
      <w:pPr>
        <w:pStyle w:val="Heading6"/>
        <w:rPr>
          <w:lang w:eastAsia="en-AU"/>
        </w:rPr>
      </w:pPr>
      <w:bookmarkStart w:id="184" w:name="_Ref272333005"/>
      <w:bookmarkStart w:id="185" w:name="_Toc272414680"/>
      <w:bookmarkStart w:id="186" w:name="_Toc290846318"/>
      <w:bookmarkStart w:id="187" w:name="_Toc290888855"/>
      <w:bookmarkStart w:id="188" w:name="_Toc373241046"/>
      <w:r w:rsidRPr="00E51565">
        <w:rPr>
          <w:lang w:eastAsia="en-AU"/>
        </w:rPr>
        <w:t xml:space="preserve">Safety </w:t>
      </w:r>
      <w:r w:rsidRPr="00116ECD">
        <w:t>issues</w:t>
      </w:r>
      <w:r w:rsidRPr="00E51565">
        <w:rPr>
          <w:lang w:eastAsia="en-AU"/>
        </w:rPr>
        <w:t xml:space="preserve"> with the potential for major regulatory imp</w:t>
      </w:r>
      <w:bookmarkEnd w:id="184"/>
      <w:bookmarkEnd w:id="185"/>
      <w:r w:rsidRPr="00E51565">
        <w:rPr>
          <w:lang w:eastAsia="en-AU"/>
        </w:rPr>
        <w:t>act</w:t>
      </w:r>
      <w:bookmarkEnd w:id="186"/>
      <w:bookmarkEnd w:id="187"/>
      <w:bookmarkEnd w:id="188"/>
    </w:p>
    <w:p w:rsidR="00E51565" w:rsidRPr="00B13311" w:rsidRDefault="00E51565" w:rsidP="00116ECD">
      <w:r w:rsidRPr="00B13311">
        <w:t xml:space="preserve">Based on the PI included sepsis, pneumonia, TB, opportunistic infections, cellulitis, demyelination, CHF, hypersensitivity reactions, serum sickness-like and anaphylactic reactions, and </w:t>
      </w:r>
      <w:proofErr w:type="spellStart"/>
      <w:r w:rsidRPr="00B13311">
        <w:t>hepatobiliary</w:t>
      </w:r>
      <w:proofErr w:type="spellEnd"/>
      <w:r w:rsidRPr="00B13311">
        <w:t xml:space="preserve"> events.</w:t>
      </w:r>
    </w:p>
    <w:p w:rsidR="00E51565" w:rsidRPr="00E51565" w:rsidRDefault="00E51565" w:rsidP="00116ECD">
      <w:pPr>
        <w:pStyle w:val="Heading6"/>
        <w:rPr>
          <w:lang w:eastAsia="en-AU"/>
        </w:rPr>
      </w:pPr>
      <w:bookmarkStart w:id="189" w:name="_Toc373241047"/>
      <w:r w:rsidRPr="00E51565">
        <w:rPr>
          <w:lang w:eastAsia="en-AU"/>
        </w:rPr>
        <w:t>Infections</w:t>
      </w:r>
      <w:bookmarkEnd w:id="189"/>
    </w:p>
    <w:p w:rsidR="00E51565" w:rsidRPr="00B13311" w:rsidRDefault="00E51565" w:rsidP="00116ECD">
      <w:r w:rsidRPr="00B13311">
        <w:t xml:space="preserve">Rates of AEs of an infection among subjects who received </w:t>
      </w:r>
      <w:proofErr w:type="spellStart"/>
      <w:r w:rsidRPr="00B13311">
        <w:t>golimumab</w:t>
      </w:r>
      <w:proofErr w:type="spellEnd"/>
      <w:r w:rsidRPr="00B13311">
        <w:t xml:space="preserve"> in C0524T16 and C0524T17 and who were randomized in </w:t>
      </w:r>
      <w:proofErr w:type="gramStart"/>
      <w:r w:rsidRPr="00B13311">
        <w:t>C0524T18,</w:t>
      </w:r>
      <w:proofErr w:type="gramEnd"/>
      <w:r w:rsidRPr="00B13311">
        <w:t xml:space="preserve"> were: 35.3%, 43.5%, and 42.9%in the placebo, 5</w:t>
      </w:r>
      <w:r w:rsidR="007C1257" w:rsidRPr="00B13311">
        <w:t>0 mg</w:t>
      </w:r>
      <w:r w:rsidRPr="00B13311">
        <w:t>, and 10</w:t>
      </w:r>
      <w:r w:rsidR="007C1257" w:rsidRPr="00B13311">
        <w:t>0 mg</w:t>
      </w:r>
      <w:r w:rsidRPr="00B13311">
        <w:t xml:space="preserve"> groups, respectively. </w:t>
      </w:r>
      <w:proofErr w:type="spellStart"/>
      <w:r w:rsidRPr="00B13311">
        <w:t>Nasopharyngitis</w:t>
      </w:r>
      <w:proofErr w:type="spellEnd"/>
      <w:r w:rsidRPr="00B13311">
        <w:t xml:space="preserve"> was reported in 7.7%, 10.4%, and 11.7% of subjects in the placebo, 5</w:t>
      </w:r>
      <w:r w:rsidR="007C1257" w:rsidRPr="00B13311">
        <w:t>0 mg</w:t>
      </w:r>
      <w:r w:rsidRPr="00B13311">
        <w:t>, and 10</w:t>
      </w:r>
      <w:r w:rsidR="007C1257" w:rsidRPr="00B13311">
        <w:t>0 mg</w:t>
      </w:r>
      <w:r w:rsidRPr="00B13311">
        <w:t xml:space="preserve"> groups, respectively.</w:t>
      </w:r>
    </w:p>
    <w:p w:rsidR="00E51565" w:rsidRPr="00B13311" w:rsidRDefault="00E51565" w:rsidP="00116ECD">
      <w:r w:rsidRPr="00B13311">
        <w:t xml:space="preserve">When adjusted for follow-up, the incidence per 100 subject-years among subjects who received </w:t>
      </w:r>
      <w:proofErr w:type="spellStart"/>
      <w:r w:rsidRPr="00B13311">
        <w:t>golimumab</w:t>
      </w:r>
      <w:proofErr w:type="spellEnd"/>
      <w:r w:rsidRPr="00B13311">
        <w:t xml:space="preserve"> induction was 95.21 (CI: 78.39, 114.56), 100.41 (CI: 84.98, 117.82), and 85.76 (CI: 78.34, 93.69) in the placebo, 5</w:t>
      </w:r>
      <w:r w:rsidR="007C1257" w:rsidRPr="00B13311">
        <w:t>0 mg</w:t>
      </w:r>
      <w:r w:rsidRPr="00B13311">
        <w:t>, and 10</w:t>
      </w:r>
      <w:r w:rsidR="007C1257" w:rsidRPr="00B13311">
        <w:t>0 mg</w:t>
      </w:r>
      <w:r w:rsidRPr="00B13311">
        <w:t xml:space="preserve"> groups, respectively.</w:t>
      </w:r>
    </w:p>
    <w:p w:rsidR="00E51565" w:rsidRPr="00B13311" w:rsidRDefault="00E51565" w:rsidP="00116ECD">
      <w:r w:rsidRPr="00B13311">
        <w:t>The most common infections requiring treatment were pharyngitis (2.6%, 3.2%, and 3.2%) and sinusitis (1.9%, 3.2%, and 3.2%), in the placebo, 5</w:t>
      </w:r>
      <w:r w:rsidR="007C1257" w:rsidRPr="00B13311">
        <w:t>0 mg</w:t>
      </w:r>
      <w:r w:rsidRPr="00B13311">
        <w:t>, and 10</w:t>
      </w:r>
      <w:r w:rsidR="007C1257" w:rsidRPr="00B13311">
        <w:t>0 mg</w:t>
      </w:r>
      <w:r w:rsidRPr="00B13311">
        <w:t xml:space="preserve"> groups, respectively.</w:t>
      </w:r>
    </w:p>
    <w:p w:rsidR="00E51565" w:rsidRPr="00B13311" w:rsidRDefault="00E51565" w:rsidP="00116ECD">
      <w:r w:rsidRPr="00B13311">
        <w:t xml:space="preserve">Among subjects who received </w:t>
      </w:r>
      <w:proofErr w:type="spellStart"/>
      <w:r w:rsidRPr="00B13311">
        <w:t>golimumab</w:t>
      </w:r>
      <w:proofErr w:type="spellEnd"/>
      <w:r w:rsidRPr="00B13311">
        <w:t xml:space="preserve"> induction and were randomized in C0524T18 the proportion with an infection requiring oral or parenteral antimicrobial treatment was 18.6%, 26.6%, and 32.5% of subjects in the placebo, 5</w:t>
      </w:r>
      <w:r w:rsidR="007C1257" w:rsidRPr="00B13311">
        <w:t>0 mg</w:t>
      </w:r>
      <w:r w:rsidRPr="00B13311">
        <w:t>, and 10</w:t>
      </w:r>
      <w:r w:rsidR="007C1257" w:rsidRPr="00B13311">
        <w:t>0 mg</w:t>
      </w:r>
      <w:r w:rsidRPr="00B13311">
        <w:t xml:space="preserve"> groups, respectively.</w:t>
      </w:r>
    </w:p>
    <w:p w:rsidR="00E51565" w:rsidRPr="00B13311" w:rsidRDefault="00E51565" w:rsidP="00116ECD">
      <w:r w:rsidRPr="00B13311">
        <w:t xml:space="preserve">Among subjects who received </w:t>
      </w:r>
      <w:proofErr w:type="spellStart"/>
      <w:r w:rsidRPr="00B13311">
        <w:t>golimumab</w:t>
      </w:r>
      <w:proofErr w:type="spellEnd"/>
      <w:r w:rsidRPr="00B13311">
        <w:t xml:space="preserve"> in C0524T16 and C0524T17 who were randomized in C0524T18, the proportions of subjects with a serious infection were 2.6%, 3.2%, and 3.2%, respectively among the placebo, 5</w:t>
      </w:r>
      <w:r w:rsidR="007C1257" w:rsidRPr="00B13311">
        <w:t>0 mg</w:t>
      </w:r>
      <w:r w:rsidRPr="00B13311">
        <w:t>, and 10</w:t>
      </w:r>
      <w:r w:rsidR="007C1257" w:rsidRPr="00B13311">
        <w:t>0 mg</w:t>
      </w:r>
      <w:r w:rsidRPr="00B13311">
        <w:t xml:space="preserve"> maintenance treatment groups. The most common serious infection was appendicitis, which was reported in 0.0%, 0.0%, and 1.9% of subjects in the placebo, 5</w:t>
      </w:r>
      <w:r w:rsidR="007C1257" w:rsidRPr="00B13311">
        <w:t>0 mg</w:t>
      </w:r>
      <w:r w:rsidRPr="00B13311">
        <w:t>, and 10</w:t>
      </w:r>
      <w:r w:rsidR="007C1257" w:rsidRPr="00B13311">
        <w:t>0 mg</w:t>
      </w:r>
      <w:r w:rsidRPr="00B13311">
        <w:t xml:space="preserve"> groups.</w:t>
      </w:r>
    </w:p>
    <w:p w:rsidR="00E51565" w:rsidRPr="00B13311" w:rsidRDefault="00E51565" w:rsidP="00116ECD">
      <w:r w:rsidRPr="00B13311">
        <w:t xml:space="preserve">During the placebo-controlled period across disease populations, the incidence of sepsis per 100 subject-years of follow-up was 0.16 (CI: 0.00, 0.89) in the placebo group and 0.86 (CI: 0.49, 1.40) in the </w:t>
      </w:r>
      <w:proofErr w:type="spellStart"/>
      <w:r w:rsidRPr="00B13311">
        <w:t>golimumab</w:t>
      </w:r>
      <w:proofErr w:type="spellEnd"/>
      <w:r w:rsidRPr="00B13311">
        <w:t xml:space="preserve"> group with the 95% CI for the </w:t>
      </w:r>
      <w:proofErr w:type="spellStart"/>
      <w:r w:rsidRPr="00B13311">
        <w:t>golimumab</w:t>
      </w:r>
      <w:proofErr w:type="spellEnd"/>
      <w:r w:rsidRPr="00B13311">
        <w:t xml:space="preserve"> group overlapping the placebo group. Two cases of septic shock were reported among subjects with ulcerative colitis treated with </w:t>
      </w:r>
      <w:proofErr w:type="spellStart"/>
      <w:r w:rsidRPr="00B13311">
        <w:t>golimumab</w:t>
      </w:r>
      <w:proofErr w:type="spellEnd"/>
      <w:r w:rsidRPr="00B13311">
        <w:t xml:space="preserve"> during the placebo-controlled period with an incidence of 0.19 (CI: 0.02, 0.67) per 100 subject-years of follow-up, which was similar to the incidence across disease populations of 0.08 (CI: 0.03, 0.17).</w:t>
      </w:r>
    </w:p>
    <w:p w:rsidR="00E51565" w:rsidRPr="00B13311" w:rsidRDefault="00E51565" w:rsidP="00116ECD">
      <w:r w:rsidRPr="00B13311">
        <w:t xml:space="preserve">Among ulcerative colitis subjects treated with </w:t>
      </w:r>
      <w:proofErr w:type="spellStart"/>
      <w:r w:rsidRPr="00B13311">
        <w:t>golimumab</w:t>
      </w:r>
      <w:proofErr w:type="spellEnd"/>
      <w:r w:rsidRPr="00B13311">
        <w:t>, from Week 0 of an induction study through Week 54 of the maintenance study, 17 (1.4%) subjects had pneumonia with an incidence of 1.76 (CI: 1.06, 2.75) per 100 subject-years of follow-up compared with the incidence across disease populations of 3.03 (CI: 2.67, 3.42.</w:t>
      </w:r>
      <w:r w:rsidR="00515335">
        <w:t>)</w:t>
      </w:r>
    </w:p>
    <w:p w:rsidR="00E51565" w:rsidRPr="00B13311" w:rsidRDefault="00E51565" w:rsidP="00116ECD">
      <w:r w:rsidRPr="00B13311">
        <w:lastRenderedPageBreak/>
        <w:t xml:space="preserve">Four cases of active TB were reported from Week 0 of an induction study through Week 54 of the maintenance study, including 3 cases of disseminated TB. All 4 cases occurred in regions with endemic TB (India and Poland: 2 cases each). All subjects with TB were on concomitant </w:t>
      </w:r>
      <w:proofErr w:type="spellStart"/>
      <w:r w:rsidRPr="00B13311">
        <w:t>immunosuppressives</w:t>
      </w:r>
      <w:proofErr w:type="spellEnd"/>
      <w:r w:rsidRPr="00B13311">
        <w:t xml:space="preserve"> including high dose corticosteroids. The incidence of TB was 0.37 (CI: 0.10, 0.95) per 100 subject-years of follow-up), compared with the incidence across disease populations of 0.31 (CI: 0.21, 0.46).</w:t>
      </w:r>
    </w:p>
    <w:p w:rsidR="00E51565" w:rsidRPr="00B13311" w:rsidRDefault="00E51565" w:rsidP="00116ECD">
      <w:r w:rsidRPr="00B13311">
        <w:t>Opportunistic infections were reported in 4 subjects, 3 of whom were in the 10</w:t>
      </w:r>
      <w:r w:rsidR="007C1257" w:rsidRPr="00B13311">
        <w:t>0 mg</w:t>
      </w:r>
      <w:r w:rsidRPr="00B13311">
        <w:t xml:space="preserve"> maintenance group (2 with oesophageal Candida and 1 with multiple brain abscesses) and 1 in the placebo induction group who never received </w:t>
      </w:r>
      <w:proofErr w:type="spellStart"/>
      <w:r w:rsidRPr="00B13311">
        <w:t>golimumab</w:t>
      </w:r>
      <w:proofErr w:type="spellEnd"/>
      <w:r w:rsidRPr="00B13311">
        <w:t xml:space="preserve"> (candidiasis). The incidence of opportunistic infections was 0.28 (CI: 0.06, 0.81) per 100 subject-years of follow-up, compared with the incidence across disease populations of 0.23 (CI: 0.14, 0.36).</w:t>
      </w:r>
    </w:p>
    <w:p w:rsidR="00E51565" w:rsidRPr="00B13311" w:rsidRDefault="00E51565" w:rsidP="00116ECD">
      <w:r w:rsidRPr="00B13311">
        <w:t xml:space="preserve">Among ulcerative colitis subjects treated with </w:t>
      </w:r>
      <w:proofErr w:type="spellStart"/>
      <w:r w:rsidRPr="00B13311">
        <w:t>golimumab</w:t>
      </w:r>
      <w:proofErr w:type="spellEnd"/>
      <w:r w:rsidRPr="00B13311">
        <w:t>, from Week 0 of an induction study through Week 54 of the maintenance study, 11 (0.9%) subjects had cellulitis with an incidence</w:t>
      </w:r>
      <w:r w:rsidRPr="00E51565">
        <w:rPr>
          <w:lang w:eastAsia="en-AU"/>
        </w:rPr>
        <w:t xml:space="preserve"> </w:t>
      </w:r>
      <w:r w:rsidRPr="00B13311">
        <w:t>of 1.48 (CI: 0.85, 2.41) per 100 subject-years of follow-up, compared with the incidence across disease populations of 2.29 (CI: 1.98, 2.63).</w:t>
      </w:r>
    </w:p>
    <w:p w:rsidR="00E51565" w:rsidRPr="00E51565" w:rsidRDefault="00E51565" w:rsidP="00116ECD">
      <w:pPr>
        <w:pStyle w:val="Heading6"/>
        <w:rPr>
          <w:lang w:eastAsia="en-AU"/>
        </w:rPr>
      </w:pPr>
      <w:bookmarkStart w:id="190" w:name="_Toc373241048"/>
      <w:bookmarkStart w:id="191" w:name="_Toc272414683"/>
      <w:bookmarkStart w:id="192" w:name="_Toc290846321"/>
      <w:bookmarkStart w:id="193" w:name="_Toc290888858"/>
      <w:r w:rsidRPr="00E51565">
        <w:rPr>
          <w:lang w:eastAsia="en-AU"/>
        </w:rPr>
        <w:t xml:space="preserve">Congestive </w:t>
      </w:r>
      <w:r w:rsidR="00116ECD">
        <w:rPr>
          <w:lang w:eastAsia="en-AU"/>
        </w:rPr>
        <w:t>h</w:t>
      </w:r>
      <w:r w:rsidRPr="00E51565">
        <w:rPr>
          <w:lang w:eastAsia="en-AU"/>
        </w:rPr>
        <w:t xml:space="preserve">eart </w:t>
      </w:r>
      <w:r w:rsidR="00116ECD" w:rsidRPr="00116ECD">
        <w:t>f</w:t>
      </w:r>
      <w:r w:rsidRPr="00116ECD">
        <w:t>ailure</w:t>
      </w:r>
      <w:bookmarkEnd w:id="190"/>
    </w:p>
    <w:p w:rsidR="00E51565" w:rsidRPr="00B13311" w:rsidRDefault="00E51565" w:rsidP="00116ECD">
      <w:r w:rsidRPr="00B13311">
        <w:t xml:space="preserve">Congestive heart failure was reported for a single ulcerative colitis subject (2 events) who received SC </w:t>
      </w:r>
      <w:proofErr w:type="spellStart"/>
      <w:r w:rsidRPr="00B13311">
        <w:t>golimumab</w:t>
      </w:r>
      <w:proofErr w:type="spellEnd"/>
      <w:r w:rsidRPr="00B13311">
        <w:t xml:space="preserve"> 40</w:t>
      </w:r>
      <w:r w:rsidR="007C1257" w:rsidRPr="00B13311">
        <w:t>0 mg</w:t>
      </w:r>
      <w:r w:rsidRPr="00B13311">
        <w:t xml:space="preserve"> → 20</w:t>
      </w:r>
      <w:r w:rsidR="007C1257" w:rsidRPr="00B13311">
        <w:t>0 mg</w:t>
      </w:r>
      <w:r w:rsidRPr="00B13311">
        <w:t xml:space="preserve"> induction and was randomized into the 10</w:t>
      </w:r>
      <w:r w:rsidR="007C1257" w:rsidRPr="00B13311">
        <w:t>0 mg</w:t>
      </w:r>
      <w:r w:rsidRPr="00B13311">
        <w:t xml:space="preserve"> maintenance group; this incident had a fatal outcome.</w:t>
      </w:r>
    </w:p>
    <w:p w:rsidR="00E51565" w:rsidRPr="00E51565" w:rsidRDefault="00E51565" w:rsidP="00116ECD">
      <w:pPr>
        <w:pStyle w:val="Heading6"/>
        <w:rPr>
          <w:lang w:eastAsia="en-AU"/>
        </w:rPr>
      </w:pPr>
      <w:bookmarkStart w:id="194" w:name="_Toc373241049"/>
      <w:r w:rsidRPr="00E51565">
        <w:rPr>
          <w:lang w:eastAsia="en-AU"/>
        </w:rPr>
        <w:t>Demyelination</w:t>
      </w:r>
      <w:bookmarkEnd w:id="194"/>
    </w:p>
    <w:p w:rsidR="00E51565" w:rsidRPr="00B13311" w:rsidRDefault="00E51565" w:rsidP="00116ECD">
      <w:r w:rsidRPr="00B13311">
        <w:t xml:space="preserve">Demyelination was reported on Study Day 160 for one ulcerative colitis subject who received SC </w:t>
      </w:r>
      <w:proofErr w:type="spellStart"/>
      <w:r w:rsidRPr="00B13311">
        <w:t>golimumab</w:t>
      </w:r>
      <w:proofErr w:type="spellEnd"/>
      <w:r w:rsidRPr="00B13311">
        <w:t xml:space="preserve"> (40</w:t>
      </w:r>
      <w:r w:rsidR="007C1257" w:rsidRPr="00B13311">
        <w:t>0 mg</w:t>
      </w:r>
      <w:r w:rsidRPr="00B13311">
        <w:t xml:space="preserve"> → 20</w:t>
      </w:r>
      <w:r w:rsidR="007C1257" w:rsidRPr="00B13311">
        <w:t>0 mg</w:t>
      </w:r>
      <w:r w:rsidRPr="00B13311">
        <w:t>) induction followed by placebo maintenance. The subject’s symptoms improved after discontinuation of study drug without further treatment.</w:t>
      </w:r>
    </w:p>
    <w:p w:rsidR="00E51565" w:rsidRPr="00E51565" w:rsidRDefault="00116ECD" w:rsidP="00116ECD">
      <w:pPr>
        <w:pStyle w:val="Heading6"/>
        <w:rPr>
          <w:lang w:eastAsia="en-AU"/>
        </w:rPr>
      </w:pPr>
      <w:bookmarkStart w:id="195" w:name="_Toc373241050"/>
      <w:r>
        <w:rPr>
          <w:lang w:eastAsia="en-AU"/>
        </w:rPr>
        <w:t xml:space="preserve">Hypersensitivity </w:t>
      </w:r>
      <w:r w:rsidRPr="00116ECD">
        <w:t>r</w:t>
      </w:r>
      <w:r w:rsidR="00E51565" w:rsidRPr="00116ECD">
        <w:t>eactions</w:t>
      </w:r>
      <w:bookmarkEnd w:id="195"/>
    </w:p>
    <w:p w:rsidR="00E51565" w:rsidRPr="00B13311" w:rsidRDefault="00E51565" w:rsidP="00116ECD">
      <w:r w:rsidRPr="00B13311">
        <w:t xml:space="preserve">Among ulcerative colitis subjects treated with </w:t>
      </w:r>
      <w:proofErr w:type="spellStart"/>
      <w:r w:rsidRPr="00B13311">
        <w:t>golimumab</w:t>
      </w:r>
      <w:proofErr w:type="spellEnd"/>
      <w:r w:rsidRPr="00B13311">
        <w:t>, from Week 0 of an induction study through Week 54 of the maintenance study, 22 (1.8%) subjects had a hypersensitivity reaction with an incidence of 2.13 (CI: 1.35, 3.20), which was similar to the incidence across disease populations of 2.72 (CI: 2.38, 3.09). the highest incidence was on 20</w:t>
      </w:r>
      <w:r w:rsidR="007C1257" w:rsidRPr="00B13311">
        <w:t>0 mg</w:t>
      </w:r>
      <w:r w:rsidRPr="00B13311">
        <w:t xml:space="preserve"> (7.1%) with an incidence per 100 subject-years of 13.50 (CI 0.34, 75.20).</w:t>
      </w:r>
    </w:p>
    <w:p w:rsidR="00E51565" w:rsidRPr="00E51565" w:rsidRDefault="00E51565" w:rsidP="00116ECD">
      <w:pPr>
        <w:pStyle w:val="Heading6"/>
        <w:rPr>
          <w:lang w:eastAsia="en-AU"/>
        </w:rPr>
      </w:pPr>
      <w:bookmarkStart w:id="196" w:name="_Toc373241051"/>
      <w:r w:rsidRPr="00E51565">
        <w:rPr>
          <w:lang w:eastAsia="en-AU"/>
        </w:rPr>
        <w:t xml:space="preserve">Serum </w:t>
      </w:r>
      <w:r w:rsidR="00116ECD">
        <w:rPr>
          <w:lang w:eastAsia="en-AU"/>
        </w:rPr>
        <w:t>s</w:t>
      </w:r>
      <w:r w:rsidRPr="00E51565">
        <w:rPr>
          <w:lang w:eastAsia="en-AU"/>
        </w:rPr>
        <w:t>ickness-</w:t>
      </w:r>
      <w:r w:rsidRPr="00116ECD">
        <w:t>like</w:t>
      </w:r>
      <w:r w:rsidRPr="00E51565">
        <w:rPr>
          <w:lang w:eastAsia="en-AU"/>
        </w:rPr>
        <w:t xml:space="preserve"> and </w:t>
      </w:r>
      <w:r w:rsidR="00116ECD">
        <w:rPr>
          <w:lang w:eastAsia="en-AU"/>
        </w:rPr>
        <w:t>a</w:t>
      </w:r>
      <w:r w:rsidRPr="00E51565">
        <w:rPr>
          <w:lang w:eastAsia="en-AU"/>
        </w:rPr>
        <w:t xml:space="preserve">naphylactic </w:t>
      </w:r>
      <w:r w:rsidR="00116ECD" w:rsidRPr="00116ECD">
        <w:t>r</w:t>
      </w:r>
      <w:r w:rsidRPr="00116ECD">
        <w:t>eactions</w:t>
      </w:r>
      <w:bookmarkEnd w:id="196"/>
    </w:p>
    <w:p w:rsidR="00E51565" w:rsidRPr="00B13311" w:rsidRDefault="00E51565" w:rsidP="00116ECD">
      <w:r w:rsidRPr="00B13311">
        <w:t xml:space="preserve">Among ulcerative colitis subjects treated with </w:t>
      </w:r>
      <w:proofErr w:type="spellStart"/>
      <w:r w:rsidRPr="00B13311">
        <w:t>golimumab</w:t>
      </w:r>
      <w:proofErr w:type="spellEnd"/>
      <w:r w:rsidRPr="00B13311">
        <w:t xml:space="preserve"> from Week 0 of an induction study through Week 54 of the maintenance study, a single subject had a non-serious serum sickness-like reaction with an incidence of 0.09 (CI: 0.00, 0.52) per 100 subject-years of follow-up, compared with the incidence across disease populations of 0.07 (CI: 0.03, 0.15).</w:t>
      </w:r>
    </w:p>
    <w:p w:rsidR="00E51565" w:rsidRPr="00E51565" w:rsidRDefault="00E51565" w:rsidP="00116ECD">
      <w:pPr>
        <w:pStyle w:val="Heading6"/>
        <w:rPr>
          <w:lang w:eastAsia="en-AU"/>
        </w:rPr>
      </w:pPr>
      <w:bookmarkStart w:id="197" w:name="_Toc373241052"/>
      <w:r w:rsidRPr="00E51565">
        <w:rPr>
          <w:lang w:eastAsia="en-AU"/>
        </w:rPr>
        <w:t>Malignancies</w:t>
      </w:r>
      <w:bookmarkEnd w:id="197"/>
    </w:p>
    <w:p w:rsidR="00E51565" w:rsidRPr="00B13311" w:rsidRDefault="00E51565" w:rsidP="00116ECD">
      <w:r w:rsidRPr="00B13311">
        <w:t xml:space="preserve">In C0524T18 the sole malignancy on </w:t>
      </w:r>
      <w:proofErr w:type="spellStart"/>
      <w:r w:rsidRPr="00B13311">
        <w:t>golimumab</w:t>
      </w:r>
      <w:proofErr w:type="spellEnd"/>
      <w:r w:rsidRPr="00B13311">
        <w:t xml:space="preserve"> was lung adenocarcinoma in a patient with a 40-year history of smoking. </w:t>
      </w:r>
      <w:proofErr w:type="gramStart"/>
      <w:r w:rsidRPr="00B13311">
        <w:t>there</w:t>
      </w:r>
      <w:proofErr w:type="gramEnd"/>
      <w:r w:rsidRPr="00B13311">
        <w:t xml:space="preserve"> were 4 malignancies on placebo thyroid, rectal, colon and breast.</w:t>
      </w:r>
    </w:p>
    <w:p w:rsidR="00E51565" w:rsidRPr="00E51565" w:rsidRDefault="00E51565" w:rsidP="00116ECD">
      <w:pPr>
        <w:pStyle w:val="Heading5"/>
        <w:rPr>
          <w:lang w:eastAsia="en-AU"/>
        </w:rPr>
      </w:pPr>
      <w:bookmarkStart w:id="198" w:name="_Toc241374324"/>
      <w:bookmarkStart w:id="199" w:name="_Ref272331214"/>
      <w:bookmarkStart w:id="200" w:name="_Toc272414688"/>
      <w:bookmarkStart w:id="201" w:name="_Toc290846326"/>
      <w:bookmarkStart w:id="202" w:name="_Toc290888863"/>
      <w:bookmarkStart w:id="203" w:name="_Toc373241053"/>
      <w:bookmarkEnd w:id="191"/>
      <w:bookmarkEnd w:id="192"/>
      <w:bookmarkEnd w:id="193"/>
      <w:r w:rsidRPr="00E51565">
        <w:rPr>
          <w:lang w:eastAsia="en-AU"/>
        </w:rPr>
        <w:t xml:space="preserve">Safety related </w:t>
      </w:r>
      <w:r w:rsidRPr="00116ECD">
        <w:t>to</w:t>
      </w:r>
      <w:r w:rsidRPr="00E51565">
        <w:rPr>
          <w:lang w:eastAsia="en-AU"/>
        </w:rPr>
        <w:t xml:space="preserve"> drug-drug interactions and other interactions</w:t>
      </w:r>
      <w:bookmarkEnd w:id="198"/>
      <w:bookmarkEnd w:id="199"/>
      <w:bookmarkEnd w:id="200"/>
      <w:bookmarkEnd w:id="201"/>
      <w:bookmarkEnd w:id="202"/>
      <w:bookmarkEnd w:id="203"/>
    </w:p>
    <w:p w:rsidR="00E51565" w:rsidRPr="00E51565" w:rsidRDefault="00E51565" w:rsidP="00116ECD">
      <w:pPr>
        <w:pStyle w:val="Heading6"/>
        <w:rPr>
          <w:lang w:eastAsia="en-AU"/>
        </w:rPr>
      </w:pPr>
      <w:bookmarkStart w:id="204" w:name="_Toc373241054"/>
      <w:r w:rsidRPr="00E51565">
        <w:rPr>
          <w:lang w:eastAsia="en-AU"/>
        </w:rPr>
        <w:t xml:space="preserve">Interaction with </w:t>
      </w:r>
      <w:proofErr w:type="spellStart"/>
      <w:r w:rsidR="00116ECD">
        <w:rPr>
          <w:lang w:eastAsia="en-AU"/>
        </w:rPr>
        <w:t>i</w:t>
      </w:r>
      <w:r w:rsidRPr="00E51565">
        <w:rPr>
          <w:lang w:eastAsia="en-AU"/>
        </w:rPr>
        <w:t>mmunomodulators</w:t>
      </w:r>
      <w:bookmarkEnd w:id="204"/>
      <w:proofErr w:type="spellEnd"/>
    </w:p>
    <w:p w:rsidR="00E51565" w:rsidRPr="00B13311" w:rsidRDefault="00E51565" w:rsidP="00116ECD">
      <w:r w:rsidRPr="00B13311">
        <w:t xml:space="preserve">For randomized subjects in C0524T18, no trends were observed with regard to subjects’ baseline </w:t>
      </w:r>
      <w:proofErr w:type="spellStart"/>
      <w:r w:rsidRPr="00B13311">
        <w:t>immunomodulator</w:t>
      </w:r>
      <w:proofErr w:type="spellEnd"/>
      <w:r w:rsidRPr="00B13311">
        <w:t xml:space="preserve"> (6-MP/AZA/MTX) status (that is, receiving or not receiving them) and the proportion of subjects who died, discontinued study agent because of an AE, or who had an AE, SAE, infection, serious infection, malignant neoplasm, or injection site reaction. Because of the small number of subjects in each of the </w:t>
      </w:r>
      <w:proofErr w:type="spellStart"/>
      <w:r w:rsidRPr="00B13311">
        <w:t>immunomodulator</w:t>
      </w:r>
      <w:proofErr w:type="spellEnd"/>
      <w:r w:rsidRPr="00B13311">
        <w:t xml:space="preserve"> groups, any comparison between groups is limited and should be interpreted with caution.</w:t>
      </w:r>
    </w:p>
    <w:p w:rsidR="00E51565" w:rsidRPr="00E51565" w:rsidRDefault="00E51565" w:rsidP="00116ECD">
      <w:pPr>
        <w:pStyle w:val="Heading3"/>
      </w:pPr>
      <w:bookmarkStart w:id="205" w:name="_Toc241374328"/>
      <w:bookmarkStart w:id="206" w:name="_Toc272414691"/>
      <w:bookmarkStart w:id="207" w:name="_Toc290846329"/>
      <w:bookmarkStart w:id="208" w:name="_Toc290888866"/>
      <w:bookmarkStart w:id="209" w:name="_Toc373241055"/>
      <w:bookmarkStart w:id="210" w:name="_Toc390694752"/>
      <w:r w:rsidRPr="00E51565">
        <w:lastRenderedPageBreak/>
        <w:t>Evaluator’s overall conclusions on clinical safety</w:t>
      </w:r>
      <w:bookmarkEnd w:id="205"/>
      <w:bookmarkEnd w:id="206"/>
      <w:bookmarkEnd w:id="207"/>
      <w:bookmarkEnd w:id="208"/>
      <w:bookmarkEnd w:id="209"/>
      <w:bookmarkEnd w:id="210"/>
    </w:p>
    <w:p w:rsidR="00E51565" w:rsidRPr="00B13311" w:rsidRDefault="00E51565" w:rsidP="00116ECD">
      <w:r w:rsidRPr="00B13311">
        <w:t xml:space="preserve">There was an association of formation of antibodies to </w:t>
      </w:r>
      <w:proofErr w:type="spellStart"/>
      <w:r w:rsidRPr="00B13311">
        <w:t>golimumab</w:t>
      </w:r>
      <w:proofErr w:type="spellEnd"/>
      <w:r w:rsidRPr="00B13311">
        <w:t xml:space="preserve"> and median serum </w:t>
      </w:r>
      <w:proofErr w:type="spellStart"/>
      <w:r w:rsidRPr="00B13311">
        <w:t>golimumab</w:t>
      </w:r>
      <w:proofErr w:type="spellEnd"/>
      <w:r w:rsidRPr="00B13311">
        <w:t xml:space="preserve"> concentrations.</w:t>
      </w:r>
    </w:p>
    <w:p w:rsidR="00E51565" w:rsidRPr="00B13311" w:rsidRDefault="00E51565" w:rsidP="00116ECD">
      <w:r w:rsidRPr="00B13311">
        <w:t xml:space="preserve">There appear to be no new signals compared with the risks shown to be associated with long term </w:t>
      </w:r>
      <w:proofErr w:type="spellStart"/>
      <w:r w:rsidRPr="00B13311">
        <w:t>golimumab</w:t>
      </w:r>
      <w:proofErr w:type="spellEnd"/>
      <w:r w:rsidRPr="00B13311">
        <w:t xml:space="preserve"> treatment of other disorders.</w:t>
      </w:r>
    </w:p>
    <w:p w:rsidR="00C22678" w:rsidRDefault="00C22678" w:rsidP="00116ECD">
      <w:pPr>
        <w:pStyle w:val="Heading2"/>
      </w:pPr>
      <w:bookmarkStart w:id="211" w:name="_Toc390694753"/>
      <w:r>
        <w:t>First round benefit-risk assessment</w:t>
      </w:r>
      <w:bookmarkEnd w:id="211"/>
    </w:p>
    <w:p w:rsidR="00E51565" w:rsidRPr="00E51565" w:rsidRDefault="00E51565" w:rsidP="004C45A7">
      <w:pPr>
        <w:pStyle w:val="Heading3"/>
      </w:pPr>
      <w:bookmarkStart w:id="212" w:name="_Toc236802592"/>
      <w:bookmarkStart w:id="213" w:name="_Toc241374331"/>
      <w:bookmarkStart w:id="214" w:name="_Ref272160836"/>
      <w:bookmarkStart w:id="215" w:name="_Toc272414693"/>
      <w:bookmarkStart w:id="216" w:name="_Toc290846331"/>
      <w:bookmarkStart w:id="217" w:name="_Toc290888868"/>
      <w:bookmarkStart w:id="218" w:name="_Toc373241057"/>
      <w:bookmarkStart w:id="219" w:name="_Toc390694754"/>
      <w:r w:rsidRPr="00E51565">
        <w:t>First round assessment of benefits</w:t>
      </w:r>
      <w:bookmarkEnd w:id="212"/>
      <w:bookmarkEnd w:id="213"/>
      <w:bookmarkEnd w:id="214"/>
      <w:bookmarkEnd w:id="215"/>
      <w:bookmarkEnd w:id="216"/>
      <w:bookmarkEnd w:id="217"/>
      <w:bookmarkEnd w:id="218"/>
      <w:bookmarkEnd w:id="219"/>
    </w:p>
    <w:p w:rsidR="00E51565" w:rsidRPr="00E51565" w:rsidRDefault="00E51565" w:rsidP="004C45A7">
      <w:r w:rsidRPr="00E51565">
        <w:t xml:space="preserve">The benefits of </w:t>
      </w:r>
      <w:proofErr w:type="spellStart"/>
      <w:r w:rsidRPr="00E51565">
        <w:t>golimumab</w:t>
      </w:r>
      <w:proofErr w:type="spellEnd"/>
      <w:r w:rsidRPr="00E51565">
        <w:t xml:space="preserve"> in adult patients with moderately to severely active ulcerative colitis who have had an inadequate response to conventional therapy are:</w:t>
      </w:r>
    </w:p>
    <w:p w:rsidR="00E51565" w:rsidRPr="00E51565" w:rsidRDefault="00E51565" w:rsidP="004C45A7">
      <w:pPr>
        <w:pStyle w:val="ListBullet"/>
        <w:rPr>
          <w:lang w:eastAsia="en-AU"/>
        </w:rPr>
      </w:pPr>
      <w:r w:rsidRPr="00E51565">
        <w:rPr>
          <w:lang w:eastAsia="en-AU"/>
        </w:rPr>
        <w:t xml:space="preserve">Compared to placebo inducing and maintaining lower </w:t>
      </w:r>
      <w:r w:rsidRPr="004C45A7">
        <w:t>disease</w:t>
      </w:r>
      <w:r w:rsidRPr="00E51565">
        <w:rPr>
          <w:lang w:eastAsia="en-AU"/>
        </w:rPr>
        <w:t xml:space="preserve"> severity as assessed by signs and symptoms using the Mayo score.</w:t>
      </w:r>
    </w:p>
    <w:p w:rsidR="00E51565" w:rsidRPr="00E51565" w:rsidRDefault="00E51565" w:rsidP="004C45A7">
      <w:pPr>
        <w:pStyle w:val="Heading3"/>
      </w:pPr>
      <w:bookmarkStart w:id="220" w:name="_Toc236802596"/>
      <w:bookmarkStart w:id="221" w:name="_Toc241374334"/>
      <w:bookmarkStart w:id="222" w:name="_Ref272160964"/>
      <w:bookmarkStart w:id="223" w:name="_Toc272414694"/>
      <w:bookmarkStart w:id="224" w:name="_Toc290846332"/>
      <w:bookmarkStart w:id="225" w:name="_Toc290888869"/>
      <w:bookmarkStart w:id="226" w:name="_Toc373241058"/>
      <w:bookmarkStart w:id="227" w:name="_Toc390694755"/>
      <w:r w:rsidRPr="00E51565">
        <w:t xml:space="preserve">First round assessment of </w:t>
      </w:r>
      <w:r w:rsidRPr="004C45A7">
        <w:t>risks</w:t>
      </w:r>
      <w:bookmarkEnd w:id="220"/>
      <w:bookmarkEnd w:id="221"/>
      <w:bookmarkEnd w:id="222"/>
      <w:bookmarkEnd w:id="223"/>
      <w:bookmarkEnd w:id="224"/>
      <w:bookmarkEnd w:id="225"/>
      <w:bookmarkEnd w:id="226"/>
      <w:bookmarkEnd w:id="227"/>
    </w:p>
    <w:p w:rsidR="00E51565" w:rsidRPr="00E51565" w:rsidRDefault="00E51565" w:rsidP="004C45A7">
      <w:pPr>
        <w:rPr>
          <w:lang w:eastAsia="en-AU"/>
        </w:rPr>
      </w:pPr>
      <w:r w:rsidRPr="00E51565">
        <w:rPr>
          <w:lang w:eastAsia="en-AU"/>
        </w:rPr>
        <w:t xml:space="preserve">The risks of </w:t>
      </w:r>
      <w:proofErr w:type="spellStart"/>
      <w:r w:rsidRPr="00E51565">
        <w:rPr>
          <w:lang w:eastAsia="en-AU"/>
        </w:rPr>
        <w:t>golimumab</w:t>
      </w:r>
      <w:proofErr w:type="spellEnd"/>
      <w:r w:rsidRPr="00E51565">
        <w:rPr>
          <w:lang w:eastAsia="en-AU"/>
        </w:rPr>
        <w:t xml:space="preserve"> in the proposed usage are:</w:t>
      </w:r>
    </w:p>
    <w:p w:rsidR="00E51565" w:rsidRPr="00E51565" w:rsidRDefault="00E51565" w:rsidP="004C45A7">
      <w:pPr>
        <w:pStyle w:val="ListBullet"/>
      </w:pPr>
      <w:r w:rsidRPr="00E51565">
        <w:t xml:space="preserve">The proposed dosage is double that for </w:t>
      </w:r>
      <w:r w:rsidRPr="004C45A7">
        <w:t>other</w:t>
      </w:r>
      <w:r w:rsidRPr="00E51565">
        <w:t xml:space="preserve"> Indications.</w:t>
      </w:r>
    </w:p>
    <w:p w:rsidR="00E51565" w:rsidRPr="00E51565" w:rsidRDefault="00E51565" w:rsidP="004C45A7">
      <w:pPr>
        <w:pStyle w:val="ListBullet"/>
      </w:pPr>
      <w:r w:rsidRPr="00E51565">
        <w:t xml:space="preserve">Antibody formation was 3% (9/300) on </w:t>
      </w:r>
      <w:proofErr w:type="spellStart"/>
      <w:r w:rsidRPr="00E51565">
        <w:t>golimumab</w:t>
      </w:r>
      <w:proofErr w:type="spellEnd"/>
      <w:r w:rsidRPr="00E51565">
        <w:t xml:space="preserve"> and &amp; 7.1% (11/155) after an initial 1 IV or 2 SC doses. </w:t>
      </w:r>
      <w:r w:rsidRPr="00E51565">
        <w:footnoteReference w:id="25"/>
      </w:r>
      <w:r w:rsidRPr="00E51565">
        <w:t xml:space="preserve">. There was an association of formation of antibodies to </w:t>
      </w:r>
      <w:proofErr w:type="spellStart"/>
      <w:r w:rsidRPr="00E51565">
        <w:t>golimumab</w:t>
      </w:r>
      <w:proofErr w:type="spellEnd"/>
      <w:r w:rsidRPr="00E51565">
        <w:t xml:space="preserve"> and median serum </w:t>
      </w:r>
      <w:proofErr w:type="spellStart"/>
      <w:r w:rsidRPr="00E51565">
        <w:t>golimumab</w:t>
      </w:r>
      <w:proofErr w:type="spellEnd"/>
      <w:r w:rsidRPr="00E51565">
        <w:t xml:space="preserve"> concentrations.</w:t>
      </w:r>
    </w:p>
    <w:p w:rsidR="00E51565" w:rsidRPr="00E51565" w:rsidRDefault="00E51565" w:rsidP="004C45A7">
      <w:pPr>
        <w:pStyle w:val="ListBullet"/>
      </w:pPr>
      <w:r w:rsidRPr="00E51565">
        <w:t xml:space="preserve">5 (3.2%) of the “placebo” and 11 (3.6%) of the </w:t>
      </w:r>
      <w:proofErr w:type="spellStart"/>
      <w:r w:rsidRPr="00E51565">
        <w:t>golimumab</w:t>
      </w:r>
      <w:proofErr w:type="spellEnd"/>
      <w:r w:rsidRPr="00E51565">
        <w:t xml:space="preserve"> groups discontinued study agent due to lack of therapeutic effect</w:t>
      </w:r>
    </w:p>
    <w:p w:rsidR="00E51565" w:rsidRPr="00E51565" w:rsidRDefault="00E51565" w:rsidP="004C45A7">
      <w:pPr>
        <w:pStyle w:val="ListBullet"/>
      </w:pPr>
      <w:r w:rsidRPr="00E51565">
        <w:t>Ulcerative colitis was the most common AE leading to discontinuation of study agent.</w:t>
      </w:r>
    </w:p>
    <w:p w:rsidR="00E51565" w:rsidRPr="00E51565" w:rsidRDefault="00E51565" w:rsidP="00E51565">
      <w:pPr>
        <w:pStyle w:val="ListBullet"/>
      </w:pPr>
      <w:r w:rsidRPr="00E51565">
        <w:t>The main AEs associated with the use of anti - TNF</w:t>
      </w:r>
      <w:r>
        <w:t>α</w:t>
      </w:r>
      <w:r w:rsidRPr="00E51565">
        <w:t xml:space="preserve"> agents is infections (including TB and opportunistic infections). Others include hepatotoxicity, congestive heart failure, hematologic toxicity, neurologic or demyelinating events, malignancies, autoimmune disorders, administration reactions, anaphylactic reactions, and dela</w:t>
      </w:r>
      <w:r w:rsidR="004C45A7">
        <w:t>yed hypersensitivity reactions.</w:t>
      </w:r>
    </w:p>
    <w:p w:rsidR="00E51565" w:rsidRDefault="00E51565" w:rsidP="004C45A7">
      <w:pPr>
        <w:pStyle w:val="Heading3"/>
      </w:pPr>
      <w:bookmarkStart w:id="228" w:name="_Toc390694756"/>
      <w:r>
        <w:t xml:space="preserve">First round </w:t>
      </w:r>
      <w:r w:rsidRPr="004C45A7">
        <w:t>assessment</w:t>
      </w:r>
      <w:r>
        <w:t xml:space="preserve"> of benefit-risk balance</w:t>
      </w:r>
      <w:bookmarkEnd w:id="228"/>
    </w:p>
    <w:p w:rsidR="00C22678" w:rsidRPr="00586F98" w:rsidRDefault="00E51565" w:rsidP="004C45A7">
      <w:pPr>
        <w:rPr>
          <w:lang w:eastAsia="ja-JP"/>
        </w:rPr>
      </w:pPr>
      <w:r w:rsidRPr="00E51565">
        <w:rPr>
          <w:lang w:eastAsia="ja-JP"/>
        </w:rPr>
        <w:t xml:space="preserve">The benefit-risk balance of </w:t>
      </w:r>
      <w:proofErr w:type="spellStart"/>
      <w:r w:rsidRPr="00E51565">
        <w:rPr>
          <w:lang w:eastAsia="ja-JP"/>
        </w:rPr>
        <w:t>golimumab</w:t>
      </w:r>
      <w:proofErr w:type="spellEnd"/>
      <w:r w:rsidRPr="00E51565">
        <w:rPr>
          <w:lang w:eastAsia="ja-JP"/>
        </w:rPr>
        <w:t>, given the proposed usage, in patients who have had an inadequate response to conventional therapy is marginally favourable.</w:t>
      </w:r>
    </w:p>
    <w:p w:rsidR="00C22678" w:rsidRDefault="00C22678" w:rsidP="004C45A7">
      <w:pPr>
        <w:pStyle w:val="Heading2"/>
      </w:pPr>
      <w:bookmarkStart w:id="229" w:name="_Toc390694757"/>
      <w:r>
        <w:t xml:space="preserve">First round recommendation </w:t>
      </w:r>
      <w:r w:rsidRPr="004C45A7">
        <w:t>regarding</w:t>
      </w:r>
      <w:r>
        <w:t xml:space="preserve"> authorisation</w:t>
      </w:r>
      <w:bookmarkEnd w:id="229"/>
    </w:p>
    <w:p w:rsidR="00E51565" w:rsidRDefault="00E51565" w:rsidP="004C45A7">
      <w:pPr>
        <w:rPr>
          <w:lang w:eastAsia="ja-JP"/>
        </w:rPr>
      </w:pPr>
      <w:r>
        <w:rPr>
          <w:lang w:eastAsia="ja-JP"/>
        </w:rPr>
        <w:t>It is recommended that delegate approve the proposed Indication of:</w:t>
      </w:r>
    </w:p>
    <w:p w:rsidR="00E51565" w:rsidRPr="004C45A7" w:rsidRDefault="00E51565" w:rsidP="004C45A7">
      <w:pPr>
        <w:ind w:left="567"/>
        <w:rPr>
          <w:i/>
          <w:lang w:eastAsia="ja-JP"/>
        </w:rPr>
      </w:pPr>
      <w:proofErr w:type="gramStart"/>
      <w:r w:rsidRPr="004C45A7">
        <w:rPr>
          <w:i/>
          <w:lang w:eastAsia="ja-JP"/>
        </w:rPr>
        <w:t>The treatment of moderately to severely active ulcerative colitis in adult patients who have had an inadequate response to conventional therapy.</w:t>
      </w:r>
      <w:proofErr w:type="gramEnd"/>
    </w:p>
    <w:p w:rsidR="00C22678" w:rsidRDefault="00C22678" w:rsidP="004C45A7">
      <w:pPr>
        <w:pStyle w:val="Heading2"/>
      </w:pPr>
      <w:bookmarkStart w:id="230" w:name="_Toc390694758"/>
      <w:r>
        <w:lastRenderedPageBreak/>
        <w:t xml:space="preserve">Clinical </w:t>
      </w:r>
      <w:r w:rsidRPr="004C45A7">
        <w:t>questions</w:t>
      </w:r>
      <w:bookmarkEnd w:id="230"/>
    </w:p>
    <w:p w:rsidR="00C22678" w:rsidRPr="00586F98" w:rsidRDefault="00E51565" w:rsidP="004C45A7">
      <w:pPr>
        <w:rPr>
          <w:lang w:eastAsia="ja-JP"/>
        </w:rPr>
      </w:pPr>
      <w:r w:rsidRPr="00E51565">
        <w:rPr>
          <w:lang w:eastAsia="ja-JP"/>
        </w:rPr>
        <w:t>Please provide maintenance of response and remission rates that is response and remission at both Week 30 and Week 54 for subjects in Study C</w:t>
      </w:r>
      <w:r w:rsidR="00515335">
        <w:rPr>
          <w:lang w:eastAsia="ja-JP"/>
        </w:rPr>
        <w:t>0524</w:t>
      </w:r>
      <w:r w:rsidRPr="00E51565">
        <w:rPr>
          <w:lang w:eastAsia="ja-JP"/>
        </w:rPr>
        <w:t xml:space="preserve">T18 (PURSUIT- Maintenance) who had antibodies to </w:t>
      </w:r>
      <w:proofErr w:type="spellStart"/>
      <w:r w:rsidRPr="00E51565">
        <w:rPr>
          <w:lang w:eastAsia="ja-JP"/>
        </w:rPr>
        <w:t>golimumab</w:t>
      </w:r>
      <w:proofErr w:type="spellEnd"/>
      <w:r w:rsidRPr="00E51565">
        <w:rPr>
          <w:lang w:eastAsia="ja-JP"/>
        </w:rPr>
        <w:t xml:space="preserve"> during the study. The total number of subjects who had antibodies to </w:t>
      </w:r>
      <w:proofErr w:type="spellStart"/>
      <w:r w:rsidRPr="00E51565">
        <w:rPr>
          <w:lang w:eastAsia="ja-JP"/>
        </w:rPr>
        <w:t>golimumab</w:t>
      </w:r>
      <w:proofErr w:type="spellEnd"/>
      <w:r w:rsidRPr="00E51565">
        <w:rPr>
          <w:lang w:eastAsia="ja-JP"/>
        </w:rPr>
        <w:t xml:space="preserve"> during the study should also be stated.</w:t>
      </w:r>
    </w:p>
    <w:p w:rsidR="00C618F7" w:rsidRDefault="00C618F7" w:rsidP="004C45A7">
      <w:pPr>
        <w:pStyle w:val="Heading2"/>
      </w:pPr>
      <w:bookmarkStart w:id="231" w:name="_Toc390694759"/>
      <w:r>
        <w:t xml:space="preserve">Second round </w:t>
      </w:r>
      <w:r w:rsidRPr="004C45A7">
        <w:t>evaluation</w:t>
      </w:r>
      <w:r>
        <w:t xml:space="preserve"> of clinical data submitted in response to questions</w:t>
      </w:r>
      <w:bookmarkEnd w:id="231"/>
    </w:p>
    <w:p w:rsidR="00E51565" w:rsidRDefault="00E51565" w:rsidP="004C45A7">
      <w:r w:rsidRPr="00E51565">
        <w:t xml:space="preserve">The sponsor has attempted to answer, however the question cannot be accurately answered because there were 5 sub-populations treated with </w:t>
      </w:r>
      <w:proofErr w:type="spellStart"/>
      <w:r w:rsidRPr="00E51565">
        <w:t>golimumab</w:t>
      </w:r>
      <w:proofErr w:type="spellEnd"/>
      <w:r w:rsidRPr="00E51565">
        <w:t xml:space="preserve"> studied in one of the two preceding studies or in</w:t>
      </w:r>
      <w:r>
        <w:t xml:space="preserve"> the subsequent </w:t>
      </w:r>
      <w:r w:rsidR="00B13311">
        <w:t>Study</w:t>
      </w:r>
      <w:r>
        <w:t xml:space="preserve"> C05</w:t>
      </w:r>
      <w:r w:rsidR="00515335">
        <w:t>24</w:t>
      </w:r>
      <w:r w:rsidR="004C45A7">
        <w:t>T18.</w:t>
      </w:r>
    </w:p>
    <w:p w:rsidR="00E51565" w:rsidRDefault="00E51565" w:rsidP="004C45A7">
      <w:pPr>
        <w:pStyle w:val="ListBullet"/>
      </w:pPr>
      <w:r w:rsidRPr="00E51565">
        <w:t xml:space="preserve">those on placebo in the preceding studies and who </w:t>
      </w:r>
      <w:r w:rsidRPr="004C45A7">
        <w:t>were</w:t>
      </w:r>
      <w:r w:rsidRPr="00E51565">
        <w:t xml:space="preserve"> considered </w:t>
      </w:r>
      <w:proofErr w:type="spellStart"/>
      <w:r w:rsidRPr="00E51565">
        <w:t>nonresponders</w:t>
      </w:r>
      <w:proofErr w:type="spellEnd"/>
      <w:r w:rsidR="00B13311">
        <w:t xml:space="preserve"> </w:t>
      </w:r>
      <w:r w:rsidRPr="00E51565">
        <w:t xml:space="preserve">who were treated with </w:t>
      </w:r>
      <w:proofErr w:type="spellStart"/>
      <w:r w:rsidRPr="00E51565">
        <w:t>golimumab</w:t>
      </w:r>
      <w:proofErr w:type="spellEnd"/>
      <w:r w:rsidRPr="00E51565">
        <w:t xml:space="preserve"> in </w:t>
      </w:r>
      <w:r w:rsidR="00B13311">
        <w:t>Study</w:t>
      </w:r>
      <w:r w:rsidRPr="00E51565">
        <w:t xml:space="preserve"> C05</w:t>
      </w:r>
      <w:r w:rsidR="00515335">
        <w:t>24</w:t>
      </w:r>
      <w:r w:rsidR="004C45A7">
        <w:t>T18</w:t>
      </w:r>
    </w:p>
    <w:p w:rsidR="00E51565" w:rsidRDefault="00E51565" w:rsidP="004C45A7">
      <w:pPr>
        <w:pStyle w:val="ListBullet"/>
      </w:pPr>
      <w:proofErr w:type="gramStart"/>
      <w:r w:rsidRPr="00E51565">
        <w:t>those</w:t>
      </w:r>
      <w:proofErr w:type="gramEnd"/>
      <w:r w:rsidRPr="00E51565">
        <w:t xml:space="preserve"> on </w:t>
      </w:r>
      <w:proofErr w:type="spellStart"/>
      <w:r w:rsidRPr="00E51565">
        <w:t>golimumab</w:t>
      </w:r>
      <w:proofErr w:type="spellEnd"/>
      <w:r w:rsidRPr="00E51565">
        <w:t xml:space="preserve"> in the preceding studies and who were considered </w:t>
      </w:r>
      <w:proofErr w:type="spellStart"/>
      <w:r w:rsidRPr="00E51565">
        <w:t>nonresponders</w:t>
      </w:r>
      <w:proofErr w:type="spellEnd"/>
      <w:r w:rsidRPr="00E51565">
        <w:t xml:space="preserve"> who were treated with </w:t>
      </w:r>
      <w:proofErr w:type="spellStart"/>
      <w:r w:rsidRPr="00E51565">
        <w:t>golimumab</w:t>
      </w:r>
      <w:proofErr w:type="spellEnd"/>
      <w:r w:rsidRPr="00E51565">
        <w:t xml:space="preserve"> in </w:t>
      </w:r>
      <w:r w:rsidR="00B13311">
        <w:t>Study</w:t>
      </w:r>
      <w:r w:rsidRPr="00E51565">
        <w:t xml:space="preserve"> C05</w:t>
      </w:r>
      <w:r w:rsidR="00515335">
        <w:t>24</w:t>
      </w:r>
      <w:r w:rsidRPr="00E51565">
        <w:t>T18.</w:t>
      </w:r>
    </w:p>
    <w:p w:rsidR="00E51565" w:rsidRPr="00E51565" w:rsidRDefault="00E51565" w:rsidP="004C45A7">
      <w:r w:rsidRPr="00E51565">
        <w:t xml:space="preserve">These groups were not randomised in the study and only continued beyond </w:t>
      </w:r>
      <w:r w:rsidR="00B13311">
        <w:t>Week</w:t>
      </w:r>
      <w:r w:rsidRPr="00E51565">
        <w:t xml:space="preserve"> 16 if they </w:t>
      </w:r>
      <w:r w:rsidR="004C45A7">
        <w:t>became responders.</w:t>
      </w:r>
    </w:p>
    <w:p w:rsidR="00E51565" w:rsidRDefault="00E51565" w:rsidP="004C45A7">
      <w:r w:rsidRPr="00E51565">
        <w:t xml:space="preserve">The primary analysis population was subjects randomized at Week 0 of maintenance </w:t>
      </w:r>
      <w:r w:rsidR="00B13311">
        <w:t>Study</w:t>
      </w:r>
      <w:r>
        <w:t xml:space="preserve"> C05</w:t>
      </w:r>
      <w:r w:rsidR="00515335">
        <w:t>24</w:t>
      </w:r>
      <w:r>
        <w:t>T18</w:t>
      </w:r>
      <w:r w:rsidR="00B13311">
        <w:t xml:space="preserve"> </w:t>
      </w:r>
      <w:r w:rsidR="004C45A7">
        <w:t>which included.</w:t>
      </w:r>
    </w:p>
    <w:p w:rsidR="00E51565" w:rsidRDefault="00E51565" w:rsidP="004C45A7">
      <w:pPr>
        <w:pStyle w:val="ListBullet"/>
      </w:pPr>
      <w:r w:rsidRPr="00E51565">
        <w:t xml:space="preserve">those responders to </w:t>
      </w:r>
      <w:proofErr w:type="spellStart"/>
      <w:r w:rsidRPr="004C45A7">
        <w:t>golimumab</w:t>
      </w:r>
      <w:proofErr w:type="spellEnd"/>
      <w:r w:rsidRPr="00E51565">
        <w:t xml:space="preserve"> in the initial studies who were randomised to treatment </w:t>
      </w:r>
      <w:r>
        <w:t xml:space="preserve">with placebo in </w:t>
      </w:r>
      <w:r w:rsidR="00B13311">
        <w:t>Study</w:t>
      </w:r>
      <w:r>
        <w:t xml:space="preserve"> </w:t>
      </w:r>
      <w:r w:rsidR="004C45A7">
        <w:t>C0524T18</w:t>
      </w:r>
    </w:p>
    <w:p w:rsidR="00E51565" w:rsidRPr="00E51565" w:rsidRDefault="00E51565" w:rsidP="004C45A7">
      <w:pPr>
        <w:pStyle w:val="ListBullet"/>
      </w:pPr>
      <w:proofErr w:type="gramStart"/>
      <w:r w:rsidRPr="00E51565">
        <w:t>those</w:t>
      </w:r>
      <w:proofErr w:type="gramEnd"/>
      <w:r w:rsidRPr="00E51565">
        <w:t xml:space="preserve"> responders in the initial </w:t>
      </w:r>
      <w:r w:rsidRPr="004C45A7">
        <w:t>studies</w:t>
      </w:r>
      <w:r w:rsidRPr="00E51565">
        <w:t xml:space="preserve"> who were randomised to treatment with </w:t>
      </w:r>
      <w:proofErr w:type="spellStart"/>
      <w:r w:rsidRPr="00E51565">
        <w:t>golimumab</w:t>
      </w:r>
      <w:proofErr w:type="spellEnd"/>
      <w:r w:rsidRPr="00E51565">
        <w:t xml:space="preserve"> who were randomised to treatment with </w:t>
      </w:r>
      <w:proofErr w:type="spellStart"/>
      <w:r w:rsidRPr="00E51565">
        <w:t>golimumab</w:t>
      </w:r>
      <w:proofErr w:type="spellEnd"/>
      <w:r w:rsidRPr="00E51565">
        <w:t xml:space="preserve"> in </w:t>
      </w:r>
      <w:r w:rsidR="00B13311">
        <w:t>Study</w:t>
      </w:r>
      <w:r w:rsidRPr="00E51565">
        <w:t xml:space="preserve"> C05</w:t>
      </w:r>
      <w:r w:rsidR="00515335">
        <w:t>24</w:t>
      </w:r>
      <w:r w:rsidR="004C45A7">
        <w:t>T18.</w:t>
      </w:r>
    </w:p>
    <w:p w:rsidR="00E51565" w:rsidRPr="00E51565" w:rsidRDefault="00E51565" w:rsidP="004C45A7">
      <w:r w:rsidRPr="00E51565">
        <w:t xml:space="preserve">Thus only those responders on placebo in the initial studies did not received </w:t>
      </w:r>
      <w:proofErr w:type="spellStart"/>
      <w:r w:rsidRPr="00E51565">
        <w:t>golimumab</w:t>
      </w:r>
      <w:proofErr w:type="spellEnd"/>
      <w:r w:rsidRPr="00E51565">
        <w:t xml:space="preserve"> initially in </w:t>
      </w:r>
      <w:r w:rsidR="00B13311">
        <w:t>Study</w:t>
      </w:r>
      <w:r w:rsidRPr="00E51565">
        <w:t xml:space="preserve"> C</w:t>
      </w:r>
      <w:r w:rsidR="00515335">
        <w:t>0524</w:t>
      </w:r>
      <w:r w:rsidRPr="00E51565">
        <w:t xml:space="preserve">T18, however if they lost response they were given </w:t>
      </w:r>
      <w:proofErr w:type="spellStart"/>
      <w:r w:rsidRPr="00E51565">
        <w:t>golimumab</w:t>
      </w:r>
      <w:proofErr w:type="spellEnd"/>
      <w:r w:rsidRPr="00E51565">
        <w:t>. This accounts for the differences in the numbers in the reply</w:t>
      </w:r>
      <w:r>
        <w:t xml:space="preserve"> </w:t>
      </w:r>
      <w:r w:rsidR="004C45A7">
        <w:t>and in this evaluation.</w:t>
      </w:r>
    </w:p>
    <w:p w:rsidR="00E51565" w:rsidRPr="00E51565" w:rsidRDefault="00E51565" w:rsidP="004C45A7">
      <w:r w:rsidRPr="00E51565">
        <w:t xml:space="preserve">The sponsor in the section 31 response reiterates that the limited number of subjects who were positive for antibodies to </w:t>
      </w:r>
      <w:proofErr w:type="spellStart"/>
      <w:r w:rsidRPr="00E51565">
        <w:t>golimumab</w:t>
      </w:r>
      <w:proofErr w:type="spellEnd"/>
      <w:r w:rsidRPr="00E51565">
        <w:t xml:space="preserve"> in C0524T18 precludes a definitive conclusion regarding the impact of the presence of antibodies to </w:t>
      </w:r>
      <w:proofErr w:type="spellStart"/>
      <w:r w:rsidRPr="00E51565">
        <w:t>golimumab</w:t>
      </w:r>
      <w:proofErr w:type="spellEnd"/>
      <w:r w:rsidRPr="00E51565">
        <w:t xml:space="preserve"> on efficacy.</w:t>
      </w:r>
    </w:p>
    <w:p w:rsidR="00C618F7" w:rsidRDefault="00C618F7" w:rsidP="004C45A7">
      <w:pPr>
        <w:pStyle w:val="Heading2"/>
      </w:pPr>
      <w:bookmarkStart w:id="232" w:name="_Toc390694760"/>
      <w:r>
        <w:t>Second round benefit-risk assessment</w:t>
      </w:r>
      <w:bookmarkEnd w:id="232"/>
    </w:p>
    <w:p w:rsidR="00E51565" w:rsidRDefault="00E51565" w:rsidP="004C45A7">
      <w:pPr>
        <w:rPr>
          <w:lang w:eastAsia="ja-JP"/>
        </w:rPr>
      </w:pPr>
      <w:r>
        <w:rPr>
          <w:lang w:eastAsia="ja-JP"/>
        </w:rPr>
        <w:t xml:space="preserve">As before: The benefit-risk balance of </w:t>
      </w:r>
      <w:proofErr w:type="spellStart"/>
      <w:r>
        <w:rPr>
          <w:lang w:eastAsia="ja-JP"/>
        </w:rPr>
        <w:t>golimumab</w:t>
      </w:r>
      <w:proofErr w:type="spellEnd"/>
      <w:r>
        <w:rPr>
          <w:lang w:eastAsia="ja-JP"/>
        </w:rPr>
        <w:t>, given the proposed usage, in patients who have had an inadequate response to conventional therapy is marginally favourable.</w:t>
      </w:r>
    </w:p>
    <w:p w:rsidR="00C618F7" w:rsidRDefault="00C618F7" w:rsidP="004C45A7">
      <w:pPr>
        <w:pStyle w:val="Heading2"/>
      </w:pPr>
      <w:bookmarkStart w:id="233" w:name="_Toc390694761"/>
      <w:r>
        <w:t xml:space="preserve">Second round </w:t>
      </w:r>
      <w:r w:rsidRPr="004C45A7">
        <w:t>recommendation</w:t>
      </w:r>
      <w:r>
        <w:t xml:space="preserve"> regarding authorisation</w:t>
      </w:r>
      <w:bookmarkEnd w:id="233"/>
    </w:p>
    <w:p w:rsidR="00E51565" w:rsidRDefault="00E51565" w:rsidP="004C45A7">
      <w:pPr>
        <w:rPr>
          <w:lang w:eastAsia="ja-JP"/>
        </w:rPr>
      </w:pPr>
      <w:r>
        <w:rPr>
          <w:lang w:eastAsia="ja-JP"/>
        </w:rPr>
        <w:t>As before: It is recommended that delegate approve the proposed Indication of:</w:t>
      </w:r>
    </w:p>
    <w:p w:rsidR="00E51565" w:rsidRPr="004C45A7" w:rsidRDefault="00E51565" w:rsidP="004C45A7">
      <w:pPr>
        <w:ind w:left="567"/>
        <w:rPr>
          <w:i/>
          <w:lang w:eastAsia="ja-JP"/>
        </w:rPr>
      </w:pPr>
      <w:proofErr w:type="gramStart"/>
      <w:r w:rsidRPr="004C45A7">
        <w:rPr>
          <w:i/>
          <w:lang w:eastAsia="ja-JP"/>
        </w:rPr>
        <w:t>The treatment of moderately to severely active ulcerative colitis in adult patients who have had an inadequate response to conventional therapy.</w:t>
      </w:r>
      <w:proofErr w:type="gramEnd"/>
    </w:p>
    <w:p w:rsidR="00C618F7" w:rsidRDefault="00C618F7" w:rsidP="004C45A7">
      <w:pPr>
        <w:pStyle w:val="Heading2"/>
      </w:pPr>
      <w:bookmarkStart w:id="234" w:name="_Toc390694762"/>
      <w:r>
        <w:lastRenderedPageBreak/>
        <w:t>References</w:t>
      </w:r>
      <w:bookmarkEnd w:id="234"/>
    </w:p>
    <w:p w:rsidR="00E51565" w:rsidRDefault="00E51565" w:rsidP="004C45A7">
      <w:pPr>
        <w:pStyle w:val="ListBullet"/>
        <w:rPr>
          <w:lang w:eastAsia="ja-JP"/>
        </w:rPr>
      </w:pPr>
      <w:r>
        <w:rPr>
          <w:lang w:eastAsia="ja-JP"/>
        </w:rPr>
        <w:t xml:space="preserve">pp. 127 - 132 of </w:t>
      </w:r>
      <w:r w:rsidRPr="004C45A7">
        <w:t>Rules</w:t>
      </w:r>
      <w:r>
        <w:rPr>
          <w:lang w:eastAsia="ja-JP"/>
        </w:rPr>
        <w:t xml:space="preserve"> 1998 (3C) - 3CC6a Clinical Investigation of Medic</w:t>
      </w:r>
      <w:r w:rsidR="004C45A7">
        <w:rPr>
          <w:lang w:eastAsia="ja-JP"/>
        </w:rPr>
        <w:t>inal Products for Long-Term Use</w:t>
      </w:r>
    </w:p>
    <w:p w:rsidR="00E51565" w:rsidRDefault="00E51565" w:rsidP="004C45A7">
      <w:pPr>
        <w:pStyle w:val="ListBullet"/>
        <w:rPr>
          <w:lang w:eastAsia="ja-JP"/>
        </w:rPr>
      </w:pPr>
      <w:r>
        <w:rPr>
          <w:lang w:eastAsia="ja-JP"/>
        </w:rPr>
        <w:t>CPMP/EWP/</w:t>
      </w:r>
      <w:r w:rsidRPr="004C45A7">
        <w:t>2330</w:t>
      </w:r>
      <w:r>
        <w:rPr>
          <w:lang w:eastAsia="ja-JP"/>
        </w:rPr>
        <w:t>/99 Points to Consider on Application with</w:t>
      </w:r>
    </w:p>
    <w:p w:rsidR="00E51565" w:rsidRDefault="00E51565" w:rsidP="004C45A7">
      <w:pPr>
        <w:pStyle w:val="ListBullet2"/>
        <w:rPr>
          <w:lang w:eastAsia="ja-JP"/>
        </w:rPr>
      </w:pPr>
      <w:r>
        <w:rPr>
          <w:lang w:eastAsia="ja-JP"/>
        </w:rPr>
        <w:t>Meta-</w:t>
      </w:r>
      <w:r w:rsidRPr="004C45A7">
        <w:t>Analyses</w:t>
      </w:r>
      <w:r>
        <w:rPr>
          <w:lang w:eastAsia="ja-JP"/>
        </w:rPr>
        <w:t>;</w:t>
      </w:r>
    </w:p>
    <w:p w:rsidR="00B13311" w:rsidRDefault="00E51565" w:rsidP="00E51565">
      <w:pPr>
        <w:pStyle w:val="ListBullet2"/>
        <w:rPr>
          <w:lang w:eastAsia="ja-JP"/>
        </w:rPr>
      </w:pPr>
      <w:r>
        <w:rPr>
          <w:lang w:eastAsia="ja-JP"/>
        </w:rPr>
        <w:t>One Pivotal Study</w:t>
      </w:r>
      <w:bookmarkEnd w:id="2"/>
      <w:bookmarkEnd w:id="1"/>
      <w:bookmarkEnd w:id="3"/>
    </w:p>
    <w:p w:rsidR="003D1E62" w:rsidRPr="001D043B" w:rsidRDefault="008E7846" w:rsidP="002666AC">
      <w:pPr>
        <w:sectPr w:rsidR="003D1E62" w:rsidRPr="001D043B" w:rsidSect="008D770F">
          <w:headerReference w:type="even" r:id="rId25"/>
          <w:headerReference w:type="default" r:id="rId26"/>
          <w:footerReference w:type="default" r:id="rId27"/>
          <w:headerReference w:type="first" r:id="rId28"/>
          <w:footerReference w:type="first" r:id="rId29"/>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3761C2">
        <w:trPr>
          <w:trHeight w:hRule="exact" w:val="564"/>
        </w:trPr>
        <w:tc>
          <w:tcPr>
            <w:tcW w:w="9175" w:type="dxa"/>
          </w:tcPr>
          <w:p w:rsidR="00B3567E" w:rsidRPr="00487162" w:rsidRDefault="00B3567E" w:rsidP="003761C2">
            <w:pPr>
              <w:pStyle w:val="TGASignoff"/>
            </w:pPr>
            <w:r w:rsidRPr="00487162">
              <w:lastRenderedPageBreak/>
              <w:t>Therapeutic Goods Administration</w:t>
            </w:r>
          </w:p>
        </w:tc>
      </w:tr>
      <w:tr w:rsidR="00B3567E" w:rsidRPr="00487162" w:rsidTr="003761C2">
        <w:trPr>
          <w:trHeight w:val="1221"/>
        </w:trPr>
        <w:tc>
          <w:tcPr>
            <w:tcW w:w="9175" w:type="dxa"/>
            <w:tcMar>
              <w:top w:w="28" w:type="dxa"/>
            </w:tcMar>
          </w:tcPr>
          <w:p w:rsidR="00B3567E" w:rsidRPr="00487162" w:rsidRDefault="00B3567E" w:rsidP="003761C2">
            <w:pPr>
              <w:pStyle w:val="Address"/>
            </w:pPr>
            <w:r w:rsidRPr="00487162">
              <w:t>PO Box 100 Woden ACT 2606 Australia</w:t>
            </w:r>
          </w:p>
          <w:p w:rsidR="00B3567E" w:rsidRPr="00487162" w:rsidRDefault="00B3567E" w:rsidP="003761C2">
            <w:pPr>
              <w:pStyle w:val="Address"/>
            </w:pPr>
            <w:r w:rsidRPr="00487162">
              <w:t xml:space="preserve">Email: </w:t>
            </w:r>
            <w:hyperlink r:id="rId30" w:history="1">
              <w:r w:rsidRPr="008D770F">
                <w:rPr>
                  <w:rStyle w:val="Hyperlink"/>
                </w:rPr>
                <w:t>info@tga.gov.au</w:t>
              </w:r>
            </w:hyperlink>
            <w:r w:rsidR="00B13311">
              <w:t xml:space="preserve"> </w:t>
            </w:r>
            <w:r w:rsidRPr="00487162">
              <w:t>Phone: 1800 020 653</w:t>
            </w:r>
            <w:r w:rsidR="00B13311">
              <w:t xml:space="preserve"> </w:t>
            </w:r>
            <w:r w:rsidRPr="00487162">
              <w:t>Fax: 02 6232 8605</w:t>
            </w:r>
          </w:p>
          <w:p w:rsidR="00B3567E" w:rsidRPr="008D770F" w:rsidRDefault="005963B6" w:rsidP="003761C2">
            <w:pPr>
              <w:pStyle w:val="Address"/>
              <w:spacing w:line="260" w:lineRule="atLeast"/>
              <w:rPr>
                <w:b/>
                <w:color w:val="0000FF"/>
                <w:u w:val="single"/>
              </w:rPr>
            </w:pPr>
            <w:hyperlink r:id="rId31"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32"/>
      <w:headerReference w:type="default" r:id="rId33"/>
      <w:footerReference w:type="default" r:id="rId34"/>
      <w:headerReference w:type="first" r:id="rId35"/>
      <w:footerReference w:type="first" r:id="rId3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B6" w:rsidRDefault="005963B6" w:rsidP="00C40A36">
      <w:pPr>
        <w:spacing w:after="0"/>
      </w:pPr>
      <w:r>
        <w:separator/>
      </w:r>
    </w:p>
  </w:endnote>
  <w:endnote w:type="continuationSeparator" w:id="0">
    <w:p w:rsidR="005963B6" w:rsidRDefault="005963B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5963B6" w:rsidRPr="00487162" w:rsidTr="0053625B">
      <w:trPr>
        <w:trHeight w:val="269"/>
      </w:trPr>
      <w:tc>
        <w:tcPr>
          <w:tcW w:w="7938" w:type="dxa"/>
          <w:tcMar>
            <w:top w:w="142" w:type="dxa"/>
            <w:bottom w:w="0" w:type="dxa"/>
          </w:tcMar>
        </w:tcPr>
        <w:p w:rsidR="005963B6" w:rsidRPr="00487162" w:rsidRDefault="005963B6" w:rsidP="00937428">
          <w:pPr>
            <w:pStyle w:val="Footer"/>
          </w:pPr>
          <w:r>
            <w:t>Submission</w:t>
          </w:r>
          <w:r w:rsidRPr="00487162">
            <w:t xml:space="preserve"> PM-</w:t>
          </w:r>
          <w:r>
            <w:t xml:space="preserve">2013-00215-1-3 Extract from the Clinical Evaluation Report for </w:t>
          </w:r>
          <w:proofErr w:type="spellStart"/>
          <w:r>
            <w:t>Simponi</w:t>
          </w:r>
          <w:proofErr w:type="spellEnd"/>
          <w:r>
            <w:t xml:space="preserve"> </w:t>
          </w:r>
          <w:proofErr w:type="spellStart"/>
          <w:r>
            <w:t>golimumab</w:t>
          </w:r>
          <w:proofErr w:type="spellEnd"/>
        </w:p>
      </w:tc>
      <w:tc>
        <w:tcPr>
          <w:tcW w:w="923" w:type="dxa"/>
          <w:tcMar>
            <w:top w:w="142" w:type="dxa"/>
            <w:bottom w:w="0" w:type="dxa"/>
          </w:tcMar>
        </w:tcPr>
        <w:p w:rsidR="005963B6" w:rsidRPr="00487162" w:rsidRDefault="005963B6" w:rsidP="00D855D4">
          <w:pPr>
            <w:pStyle w:val="Footer"/>
            <w:jc w:val="right"/>
          </w:pPr>
          <w:r w:rsidRPr="00487162">
            <w:t xml:space="preserve">Page </w:t>
          </w:r>
          <w:r>
            <w:t>2</w:t>
          </w:r>
          <w:r w:rsidRPr="00487162">
            <w:t xml:space="preserve"> of </w:t>
          </w:r>
          <w:fldSimple w:instr=" NUMPAGES  \* Arabic ">
            <w:r w:rsidR="00835326">
              <w:rPr>
                <w:noProof/>
              </w:rPr>
              <w:t>42</w:t>
            </w:r>
          </w:fldSimple>
        </w:p>
      </w:tc>
    </w:tr>
  </w:tbl>
  <w:p w:rsidR="005963B6" w:rsidRDefault="005963B6"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5963B6" w:rsidRPr="00487162" w:rsidTr="00586F98">
      <w:trPr>
        <w:trHeight w:val="269"/>
      </w:trPr>
      <w:tc>
        <w:tcPr>
          <w:tcW w:w="7655" w:type="dxa"/>
          <w:tcMar>
            <w:top w:w="142" w:type="dxa"/>
            <w:bottom w:w="0" w:type="dxa"/>
          </w:tcMar>
        </w:tcPr>
        <w:p w:rsidR="005963B6" w:rsidRPr="00487162" w:rsidRDefault="005963B6" w:rsidP="00D855D4">
          <w:pPr>
            <w:pStyle w:val="Footer"/>
          </w:pPr>
          <w:r w:rsidRPr="00937428">
            <w:t xml:space="preserve">Submission PM-2013-00215-1-3 Extract from the Clinical Evaluation Report for </w:t>
          </w:r>
          <w:proofErr w:type="spellStart"/>
          <w:r w:rsidRPr="00937428">
            <w:t>Simponi</w:t>
          </w:r>
          <w:proofErr w:type="spellEnd"/>
          <w:r w:rsidRPr="00937428">
            <w:t xml:space="preserve"> </w:t>
          </w:r>
          <w:proofErr w:type="spellStart"/>
          <w:r w:rsidRPr="00937428">
            <w:t>golimumab</w:t>
          </w:r>
          <w:proofErr w:type="spellEnd"/>
        </w:p>
      </w:tc>
      <w:tc>
        <w:tcPr>
          <w:tcW w:w="1206" w:type="dxa"/>
          <w:tcMar>
            <w:top w:w="142" w:type="dxa"/>
            <w:bottom w:w="0" w:type="dxa"/>
          </w:tcMar>
        </w:tcPr>
        <w:p w:rsidR="005963B6" w:rsidRPr="00487162" w:rsidRDefault="005963B6" w:rsidP="00E45619">
          <w:pPr>
            <w:pStyle w:val="Footer"/>
            <w:jc w:val="right"/>
          </w:pPr>
          <w:r w:rsidRPr="00487162">
            <w:t xml:space="preserve">Page </w:t>
          </w:r>
          <w:r>
            <w:fldChar w:fldCharType="begin"/>
          </w:r>
          <w:r>
            <w:instrText>PAGE</w:instrText>
          </w:r>
          <w:r>
            <w:fldChar w:fldCharType="separate"/>
          </w:r>
          <w:r w:rsidR="00835326">
            <w:rPr>
              <w:noProof/>
            </w:rPr>
            <w:t>41</w:t>
          </w:r>
          <w:r>
            <w:rPr>
              <w:noProof/>
            </w:rPr>
            <w:fldChar w:fldCharType="end"/>
          </w:r>
          <w:r w:rsidRPr="00487162">
            <w:t xml:space="preserve"> of </w:t>
          </w:r>
          <w:fldSimple w:instr=" NUMPAGES  \* Arabic ">
            <w:r w:rsidR="00835326">
              <w:rPr>
                <w:noProof/>
              </w:rPr>
              <w:t>42</w:t>
            </w:r>
          </w:fldSimple>
        </w:p>
      </w:tc>
    </w:tr>
  </w:tbl>
  <w:p w:rsidR="005963B6" w:rsidRDefault="005963B6"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963B6" w:rsidRPr="00487162" w:rsidTr="00E45619">
      <w:trPr>
        <w:trHeight w:val="269"/>
      </w:trPr>
      <w:tc>
        <w:tcPr>
          <w:tcW w:w="4519" w:type="dxa"/>
          <w:tcBorders>
            <w:top w:val="single" w:sz="4" w:space="0" w:color="auto"/>
          </w:tcBorders>
          <w:tcMar>
            <w:top w:w="142" w:type="dxa"/>
            <w:bottom w:w="0" w:type="dxa"/>
          </w:tcMar>
        </w:tcPr>
        <w:p w:rsidR="005963B6" w:rsidRPr="00487162" w:rsidRDefault="005963B6" w:rsidP="00FE1DEE">
          <w:pPr>
            <w:pStyle w:val="Footer"/>
          </w:pPr>
          <w:r w:rsidRPr="00487162">
            <w:t>Document title, Part #, Section # - Section title</w:t>
          </w:r>
        </w:p>
        <w:p w:rsidR="005963B6" w:rsidRPr="00487162" w:rsidRDefault="005963B6" w:rsidP="00FE1DEE">
          <w:pPr>
            <w:pStyle w:val="Footer"/>
          </w:pPr>
          <w:r w:rsidRPr="00487162">
            <w:t>V1.0 October 2010</w:t>
          </w:r>
        </w:p>
      </w:tc>
      <w:tc>
        <w:tcPr>
          <w:tcW w:w="4342" w:type="dxa"/>
          <w:tcBorders>
            <w:top w:val="single" w:sz="4" w:space="0" w:color="auto"/>
          </w:tcBorders>
          <w:tcMar>
            <w:top w:w="142" w:type="dxa"/>
            <w:bottom w:w="0" w:type="dxa"/>
          </w:tcMar>
        </w:tcPr>
        <w:p w:rsidR="005963B6" w:rsidRPr="00487162" w:rsidRDefault="005963B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44</w:t>
            </w:r>
          </w:fldSimple>
        </w:p>
      </w:tc>
    </w:tr>
  </w:tbl>
  <w:p w:rsidR="005963B6" w:rsidRDefault="005963B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963B6" w:rsidTr="0010601F">
      <w:trPr>
        <w:trHeight w:val="108"/>
      </w:trPr>
      <w:tc>
        <w:tcPr>
          <w:tcW w:w="8875" w:type="dxa"/>
          <w:gridSpan w:val="2"/>
          <w:tcBorders>
            <w:bottom w:val="single" w:sz="4" w:space="0" w:color="auto"/>
          </w:tcBorders>
          <w:tcMar>
            <w:right w:w="284" w:type="dxa"/>
          </w:tcMar>
        </w:tcPr>
        <w:p w:rsidR="005963B6" w:rsidRDefault="005963B6" w:rsidP="006E08B3">
          <w:pPr>
            <w:pStyle w:val="Heading3"/>
          </w:pPr>
          <w:r>
            <w:t>Copyright</w:t>
          </w:r>
        </w:p>
        <w:p w:rsidR="005963B6" w:rsidRDefault="005963B6" w:rsidP="006E08B3">
          <w:r>
            <w:rPr>
              <w:rFonts w:cs="Arial"/>
            </w:rPr>
            <w:t>©</w:t>
          </w:r>
          <w:r>
            <w:t xml:space="preserve"> Commonwealth of Australia [add year]</w:t>
          </w:r>
        </w:p>
        <w:p w:rsidR="005963B6" w:rsidRDefault="005963B6" w:rsidP="006E08B3"/>
        <w:p w:rsidR="005963B6" w:rsidRDefault="005963B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963B6" w:rsidRDefault="005963B6" w:rsidP="006E08B3"/>
        <w:p w:rsidR="005963B6" w:rsidRDefault="005963B6" w:rsidP="006E08B3">
          <w:pPr>
            <w:pStyle w:val="Heading3"/>
          </w:pPr>
          <w:r>
            <w:t>Confidentiality</w:t>
          </w:r>
        </w:p>
        <w:p w:rsidR="005963B6" w:rsidRDefault="005963B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963B6" w:rsidRDefault="005963B6" w:rsidP="006E08B3"/>
        <w:p w:rsidR="005963B6" w:rsidRDefault="005963B6" w:rsidP="006E08B3">
          <w:r>
            <w:t>For submission made by individuals, all personal details, other than your name, will be removed from your submission before it is published on the TGA’s Internet site.</w:t>
          </w:r>
        </w:p>
        <w:p w:rsidR="005963B6" w:rsidRDefault="005963B6" w:rsidP="006E08B3"/>
        <w:p w:rsidR="005963B6" w:rsidRDefault="005963B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963B6" w:rsidTr="0010601F">
      <w:trPr>
        <w:trHeight w:val="417"/>
      </w:trPr>
      <w:tc>
        <w:tcPr>
          <w:tcW w:w="4519" w:type="dxa"/>
          <w:tcBorders>
            <w:top w:val="single" w:sz="4" w:space="0" w:color="auto"/>
          </w:tcBorders>
          <w:tcMar>
            <w:top w:w="142" w:type="dxa"/>
            <w:bottom w:w="0" w:type="dxa"/>
          </w:tcMar>
        </w:tcPr>
        <w:p w:rsidR="005963B6" w:rsidRDefault="005963B6" w:rsidP="006E08B3">
          <w:r>
            <w:t>Document title, Part #, Section # - Section title</w:t>
          </w:r>
        </w:p>
        <w:p w:rsidR="005963B6" w:rsidRDefault="005963B6" w:rsidP="006E08B3">
          <w:r>
            <w:t>V1.0 October 2010</w:t>
          </w:r>
        </w:p>
      </w:tc>
      <w:tc>
        <w:tcPr>
          <w:tcW w:w="4356" w:type="dxa"/>
          <w:tcBorders>
            <w:top w:val="single" w:sz="4" w:space="0" w:color="auto"/>
          </w:tcBorders>
          <w:tcMar>
            <w:top w:w="142" w:type="dxa"/>
            <w:bottom w:w="0" w:type="dxa"/>
          </w:tcMar>
        </w:tcPr>
        <w:p w:rsidR="005963B6" w:rsidRDefault="005963B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44</w:t>
            </w:r>
          </w:fldSimple>
          <w:r>
            <w:t xml:space="preserve"> </w:t>
          </w:r>
        </w:p>
      </w:tc>
    </w:tr>
  </w:tbl>
  <w:p w:rsidR="005963B6" w:rsidRDefault="00596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B6" w:rsidRDefault="005963B6" w:rsidP="00C40A36">
      <w:pPr>
        <w:spacing w:after="0"/>
      </w:pPr>
      <w:r>
        <w:separator/>
      </w:r>
    </w:p>
  </w:footnote>
  <w:footnote w:type="continuationSeparator" w:id="0">
    <w:p w:rsidR="005963B6" w:rsidRDefault="005963B6" w:rsidP="00C40A36">
      <w:pPr>
        <w:spacing w:after="0"/>
      </w:pPr>
      <w:r>
        <w:continuationSeparator/>
      </w:r>
    </w:p>
  </w:footnote>
  <w:footnote w:id="1">
    <w:p w:rsidR="005963B6" w:rsidRPr="00BE5F2D" w:rsidRDefault="005963B6" w:rsidP="00D42FC5">
      <w:pPr>
        <w:pStyle w:val="FootnoteText"/>
      </w:pPr>
      <w:r w:rsidRPr="00BE5F2D">
        <w:rPr>
          <w:rStyle w:val="FootnoteReference"/>
          <w:rFonts w:eastAsia="Cambria"/>
          <w:szCs w:val="18"/>
        </w:rPr>
        <w:footnoteRef/>
      </w:r>
      <w:r w:rsidRPr="00BE5F2D">
        <w:t xml:space="preserve"> Clinical response was defined as a decrease from Week 0 of C0524T16 or C0524T17 in the Mayo score by </w:t>
      </w:r>
      <w:r w:rsidRPr="00BE5F2D">
        <w:rPr>
          <w:rFonts w:cs="Cambria"/>
        </w:rPr>
        <w:t xml:space="preserve">≥ 30% and ≥ 3 points, </w:t>
      </w:r>
      <w:r w:rsidRPr="00BE5F2D">
        <w:t xml:space="preserve">with either a decrease in the rectal bleeding </w:t>
      </w:r>
      <w:proofErr w:type="spellStart"/>
      <w:r w:rsidRPr="00BE5F2D">
        <w:t>subscore</w:t>
      </w:r>
      <w:proofErr w:type="spellEnd"/>
      <w:r w:rsidRPr="00BE5F2D">
        <w:t xml:space="preserve"> of </w:t>
      </w:r>
      <w:r w:rsidRPr="00BE5F2D">
        <w:rPr>
          <w:rFonts w:cs="Cambria"/>
        </w:rPr>
        <w:t xml:space="preserve">≥ 1 or a rectal bleeding </w:t>
      </w:r>
      <w:proofErr w:type="spellStart"/>
      <w:r w:rsidRPr="00BE5F2D">
        <w:rPr>
          <w:rFonts w:cs="Cambria"/>
        </w:rPr>
        <w:t>subscore</w:t>
      </w:r>
      <w:proofErr w:type="spellEnd"/>
      <w:r w:rsidRPr="00BE5F2D">
        <w:rPr>
          <w:rFonts w:cs="Cambria"/>
        </w:rPr>
        <w:t xml:space="preserve"> of 0 or </w:t>
      </w:r>
      <w:r w:rsidRPr="00BE5F2D">
        <w:t xml:space="preserve">1. Subjects who lost clinical response at any time prior to Week 54 were considered not </w:t>
      </w:r>
      <w:r w:rsidRPr="00D42FC5">
        <w:t>to</w:t>
      </w:r>
      <w:r w:rsidRPr="00BE5F2D">
        <w:t xml:space="preserve"> be in clinical response for the primary endpoint analysis.</w:t>
      </w:r>
    </w:p>
  </w:footnote>
  <w:footnote w:id="2">
    <w:p w:rsidR="005963B6" w:rsidRPr="00BE5F2D" w:rsidRDefault="005963B6" w:rsidP="00D42FC5">
      <w:pPr>
        <w:pStyle w:val="FootnoteText"/>
      </w:pPr>
      <w:r w:rsidRPr="00BE5F2D">
        <w:rPr>
          <w:rStyle w:val="FootnoteReference"/>
          <w:rFonts w:eastAsia="Cambria"/>
          <w:szCs w:val="18"/>
        </w:rPr>
        <w:footnoteRef/>
      </w:r>
      <w:r w:rsidRPr="00BE5F2D">
        <w:t xml:space="preserve"> The Mayo score is calculated as the sum of 4 </w:t>
      </w:r>
      <w:proofErr w:type="spellStart"/>
      <w:r w:rsidRPr="00BE5F2D">
        <w:t>subscores</w:t>
      </w:r>
      <w:proofErr w:type="spellEnd"/>
      <w:r w:rsidRPr="00BE5F2D">
        <w:t xml:space="preserve"> of stool frequency, </w:t>
      </w:r>
      <w:r w:rsidRPr="00D42FC5">
        <w:t>rectal</w:t>
      </w:r>
      <w:r w:rsidRPr="00BE5F2D">
        <w:t xml:space="preserve"> bleeding, physician's global assessment, and findings of endoscopy and ranges from 0 to 12 points; a score of 6 to 10 points indicates moderately active disease, and a score of 11 to 12 points indicates severe disease. The partial Mayo score is the Mayo score excluding the endoscopy </w:t>
      </w:r>
      <w:proofErr w:type="spellStart"/>
      <w:r w:rsidRPr="00BE5F2D">
        <w:t>subscore</w:t>
      </w:r>
      <w:proofErr w:type="spellEnd"/>
      <w:r w:rsidRPr="00BE5F2D">
        <w:t xml:space="preserve"> and ranges from 0 to 9 points.</w:t>
      </w:r>
    </w:p>
  </w:footnote>
  <w:footnote w:id="3">
    <w:p w:rsidR="005963B6" w:rsidRDefault="005963B6" w:rsidP="00D42FC5">
      <w:pPr>
        <w:pStyle w:val="FootnoteText"/>
      </w:pPr>
      <w:r>
        <w:rPr>
          <w:rStyle w:val="FootnoteReference"/>
        </w:rPr>
        <w:footnoteRef/>
      </w:r>
      <w:r>
        <w:t xml:space="preserve"> </w:t>
      </w:r>
      <w:r w:rsidRPr="00830314">
        <w:t xml:space="preserve">that is were in clinical response to </w:t>
      </w:r>
      <w:proofErr w:type="spellStart"/>
      <w:r w:rsidRPr="00830314">
        <w:t>golimumab</w:t>
      </w:r>
      <w:proofErr w:type="spellEnd"/>
      <w:r w:rsidRPr="00830314">
        <w:t xml:space="preserve"> at Week 6 of an induction study;</w:t>
      </w:r>
    </w:p>
  </w:footnote>
  <w:footnote w:id="4">
    <w:p w:rsidR="005963B6" w:rsidRPr="00D42FC5" w:rsidRDefault="005963B6" w:rsidP="00D42FC5">
      <w:pPr>
        <w:pStyle w:val="FootnoteText"/>
      </w:pPr>
      <w:r>
        <w:rPr>
          <w:rStyle w:val="FootnoteReference"/>
        </w:rPr>
        <w:footnoteRef/>
      </w:r>
      <w:r>
        <w:t xml:space="preserve"> </w:t>
      </w:r>
      <w:r w:rsidRPr="00830314">
        <w:t>Do</w:t>
      </w:r>
      <w:r>
        <w:t>esn’t add up – sources Table 1.</w:t>
      </w:r>
    </w:p>
  </w:footnote>
  <w:footnote w:id="5">
    <w:p w:rsidR="005963B6" w:rsidRDefault="005963B6">
      <w:pPr>
        <w:pStyle w:val="FootnoteText"/>
      </w:pPr>
      <w:r>
        <w:rPr>
          <w:rStyle w:val="FootnoteReference"/>
        </w:rPr>
        <w:footnoteRef/>
      </w:r>
      <w:r>
        <w:t xml:space="preserve"> </w:t>
      </w:r>
      <w:proofErr w:type="spellStart"/>
      <w:proofErr w:type="gramStart"/>
      <w:r w:rsidRPr="00830314">
        <w:t>Golimumab</w:t>
      </w:r>
      <w:proofErr w:type="spellEnd"/>
      <w:r w:rsidRPr="00830314">
        <w:t xml:space="preserve"> and placebo induction </w:t>
      </w:r>
      <w:proofErr w:type="spellStart"/>
      <w:r w:rsidRPr="00830314">
        <w:t>nonresponders</w:t>
      </w:r>
      <w:proofErr w:type="spellEnd"/>
      <w:r w:rsidRPr="00830314">
        <w:t xml:space="preserve"> and placebo induction responders</w:t>
      </w:r>
      <w:r>
        <w:t>.</w:t>
      </w:r>
      <w:proofErr w:type="gramEnd"/>
    </w:p>
  </w:footnote>
  <w:footnote w:id="6">
    <w:p w:rsidR="005963B6" w:rsidRDefault="005963B6" w:rsidP="00D42FC5">
      <w:pPr>
        <w:pStyle w:val="FootnoteText"/>
      </w:pPr>
      <w:r>
        <w:rPr>
          <w:rStyle w:val="FootnoteReference"/>
          <w:rFonts w:eastAsia="Cambria"/>
        </w:rPr>
        <w:footnoteRef/>
      </w:r>
      <w:r>
        <w:t xml:space="preserve"> </w:t>
      </w:r>
      <w:r w:rsidRPr="0096728D">
        <w:t>Clinical Study Repor</w:t>
      </w:r>
      <w:r>
        <w:t xml:space="preserve">t </w:t>
      </w:r>
      <w:r w:rsidRPr="00D42FC5">
        <w:t>page</w:t>
      </w:r>
      <w:r>
        <w:t xml:space="preserve"> 15</w:t>
      </w:r>
    </w:p>
  </w:footnote>
  <w:footnote w:id="7">
    <w:p w:rsidR="005963B6" w:rsidRPr="00D42FC5" w:rsidRDefault="005963B6" w:rsidP="00D42FC5">
      <w:pPr>
        <w:pStyle w:val="FootnoteText"/>
      </w:pPr>
      <w:r>
        <w:rPr>
          <w:rStyle w:val="FootnoteReference"/>
          <w:rFonts w:eastAsia="Cambria"/>
        </w:rPr>
        <w:footnoteRef/>
      </w:r>
      <w:r>
        <w:t xml:space="preserve"> </w:t>
      </w:r>
      <w:proofErr w:type="gramStart"/>
      <w:r w:rsidRPr="006B4E64">
        <w:t>Following the dose response analysis</w:t>
      </w:r>
      <w:r>
        <w:t xml:space="preserve"> for this SC </w:t>
      </w:r>
      <w:r w:rsidRPr="006B4E64">
        <w:t xml:space="preserve">induction </w:t>
      </w:r>
      <w:r>
        <w:t>Study</w:t>
      </w:r>
      <w:r w:rsidRPr="006B4E64">
        <w:t xml:space="preserve"> C0524T17 and a review of the totality </w:t>
      </w:r>
      <w:r>
        <w:t xml:space="preserve">of the data from both </w:t>
      </w:r>
      <w:r w:rsidRPr="006B4E64">
        <w:t>stud</w:t>
      </w:r>
      <w:r>
        <w:t>ies.</w:t>
      </w:r>
      <w:proofErr w:type="gramEnd"/>
    </w:p>
  </w:footnote>
  <w:footnote w:id="8">
    <w:p w:rsidR="005963B6" w:rsidRDefault="005963B6" w:rsidP="00E51565">
      <w:pPr>
        <w:pStyle w:val="FootnoteText"/>
      </w:pPr>
      <w:r>
        <w:rPr>
          <w:rStyle w:val="FootnoteReference"/>
          <w:rFonts w:eastAsia="Cambria"/>
        </w:rPr>
        <w:footnoteRef/>
      </w:r>
      <w:r>
        <w:t xml:space="preserve"> </w:t>
      </w:r>
      <w:r w:rsidRPr="00F22718">
        <w:t xml:space="preserve">Revised Protocol </w:t>
      </w:r>
      <w:r>
        <w:t>Page 15</w:t>
      </w:r>
    </w:p>
  </w:footnote>
  <w:footnote w:id="9">
    <w:p w:rsidR="005963B6" w:rsidRPr="007C1257" w:rsidRDefault="005963B6" w:rsidP="002520A4">
      <w:pPr>
        <w:pStyle w:val="FootnoteText"/>
      </w:pPr>
      <w:r>
        <w:rPr>
          <w:rStyle w:val="FootnoteReference"/>
          <w:rFonts w:eastAsia="Cambria"/>
        </w:rPr>
        <w:footnoteRef/>
      </w:r>
      <w:r>
        <w:t xml:space="preserve"> </w:t>
      </w:r>
      <w:r w:rsidRPr="007C1257">
        <w:t>Revised Protocol page 19 this is not in the Revised Statistical Analysis Plan</w:t>
      </w:r>
    </w:p>
  </w:footnote>
  <w:footnote w:id="10">
    <w:p w:rsidR="005963B6" w:rsidRPr="007C1257" w:rsidRDefault="005963B6" w:rsidP="002520A4">
      <w:pPr>
        <w:pStyle w:val="FootnoteText"/>
      </w:pPr>
      <w:r w:rsidRPr="007C1257">
        <w:rPr>
          <w:rStyle w:val="FootnoteReference"/>
          <w:szCs w:val="18"/>
        </w:rPr>
        <w:footnoteRef/>
      </w:r>
      <w:r w:rsidRPr="007C1257">
        <w:t xml:space="preserve"> </w:t>
      </w:r>
      <w:proofErr w:type="gramStart"/>
      <w:r w:rsidRPr="007C1257">
        <w:t>defined</w:t>
      </w:r>
      <w:proofErr w:type="gramEnd"/>
      <w:r w:rsidRPr="007C1257">
        <w:t xml:space="preserve"> as a decrease from baseline in the Mayo score by ≥ 30% and ≥ 3 points, with either a decrease from baseline in the rectal bleeding </w:t>
      </w:r>
      <w:proofErr w:type="spellStart"/>
      <w:r w:rsidRPr="007C1257">
        <w:t>subscore</w:t>
      </w:r>
      <w:proofErr w:type="spellEnd"/>
      <w:r w:rsidRPr="007C1257">
        <w:t xml:space="preserve"> of ≥ 1 or a rectal bleeding </w:t>
      </w:r>
      <w:proofErr w:type="spellStart"/>
      <w:r w:rsidRPr="007C1257">
        <w:t>subscore</w:t>
      </w:r>
      <w:proofErr w:type="spellEnd"/>
      <w:r w:rsidRPr="007C1257">
        <w:t xml:space="preserve"> of 0 or 1 at Week 6.</w:t>
      </w:r>
    </w:p>
  </w:footnote>
  <w:footnote w:id="11">
    <w:p w:rsidR="005963B6" w:rsidRPr="002520A4" w:rsidRDefault="005963B6" w:rsidP="002520A4">
      <w:pPr>
        <w:pStyle w:val="FootnoteText"/>
      </w:pPr>
      <w:r>
        <w:rPr>
          <w:rStyle w:val="FootnoteReference"/>
          <w:rFonts w:eastAsia="Cambria"/>
        </w:rPr>
        <w:footnoteRef/>
      </w:r>
      <w:r>
        <w:t xml:space="preserve"> </w:t>
      </w:r>
      <w:r w:rsidRPr="003F2760">
        <w:t>Revised Statistical Analysis Plan</w:t>
      </w:r>
    </w:p>
  </w:footnote>
  <w:footnote w:id="12">
    <w:p w:rsidR="005963B6" w:rsidRPr="00840569" w:rsidRDefault="005963B6" w:rsidP="00E51565">
      <w:pPr>
        <w:pStyle w:val="FootnoteText"/>
      </w:pPr>
      <w:r w:rsidRPr="00840569">
        <w:rPr>
          <w:rStyle w:val="FootnoteReference"/>
          <w:rFonts w:eastAsia="Cambria"/>
        </w:rPr>
        <w:footnoteRef/>
      </w:r>
      <w:r w:rsidRPr="00840569">
        <w:t xml:space="preserve"> Which consisted of management representative(s) from </w:t>
      </w:r>
      <w:proofErr w:type="spellStart"/>
      <w:r w:rsidRPr="00840569">
        <w:t>Centocor</w:t>
      </w:r>
      <w:proofErr w:type="spellEnd"/>
      <w:r w:rsidRPr="00840569">
        <w:t xml:space="preserve"> and Schering-Plough</w:t>
      </w:r>
    </w:p>
  </w:footnote>
  <w:footnote w:id="13">
    <w:p w:rsidR="005963B6" w:rsidRPr="00635DD7" w:rsidRDefault="005963B6" w:rsidP="002520A4">
      <w:pPr>
        <w:pStyle w:val="FootnoteText"/>
      </w:pPr>
      <w:r>
        <w:rPr>
          <w:rStyle w:val="FootnoteReference"/>
          <w:rFonts w:eastAsia="Cambria"/>
        </w:rPr>
        <w:footnoteRef/>
      </w:r>
      <w:r>
        <w:t xml:space="preserve"> </w:t>
      </w:r>
      <w:r w:rsidRPr="00635DD7">
        <w:t xml:space="preserve">Prior to amendment 1, subjects were required to be at least refractory to or intolerant of corticosteroids and/or the </w:t>
      </w:r>
      <w:proofErr w:type="spellStart"/>
      <w:r w:rsidRPr="00635DD7">
        <w:t>immunomodulators</w:t>
      </w:r>
      <w:proofErr w:type="spellEnd"/>
      <w:r w:rsidRPr="00635DD7">
        <w:t xml:space="preserve"> 6-MP or AZA. With amendment 1, entry criteria were </w:t>
      </w:r>
      <w:r w:rsidRPr="002520A4">
        <w:t>modified</w:t>
      </w:r>
      <w:r w:rsidRPr="00635DD7">
        <w:t xml:space="preserve"> to allow subjects who were only refractory to or intolerant of oral 5-ASAs to be considered eligible to enter the study.</w:t>
      </w:r>
    </w:p>
  </w:footnote>
  <w:footnote w:id="14">
    <w:p w:rsidR="005963B6" w:rsidRPr="00635DD7" w:rsidRDefault="005963B6" w:rsidP="002520A4">
      <w:pPr>
        <w:pStyle w:val="FootnoteText"/>
      </w:pPr>
      <w:r w:rsidRPr="00635DD7">
        <w:rPr>
          <w:rStyle w:val="FootnoteReference"/>
          <w:rFonts w:eastAsia="Cambria"/>
          <w:szCs w:val="18"/>
        </w:rPr>
        <w:footnoteRef/>
      </w:r>
      <w:r w:rsidRPr="00635DD7">
        <w:t xml:space="preserve"> In 21 subjects it was the absence of a </w:t>
      </w:r>
      <w:r w:rsidRPr="002520A4">
        <w:t>biopsy</w:t>
      </w:r>
      <w:r w:rsidRPr="00635DD7">
        <w:t xml:space="preserve"> collected at the screening endoscopy procedure or the availability of a biopsy result obtained within the last year that was consistent with the diagnosis of ulcerative colitis.</w:t>
      </w:r>
    </w:p>
  </w:footnote>
  <w:footnote w:id="15">
    <w:p w:rsidR="005963B6" w:rsidRPr="002520A4" w:rsidRDefault="005963B6" w:rsidP="002520A4">
      <w:pPr>
        <w:pStyle w:val="FootnoteText"/>
      </w:pPr>
      <w:r w:rsidRPr="00635DD7">
        <w:rPr>
          <w:rStyle w:val="FootnoteReference"/>
          <w:rFonts w:eastAsia="Cambria"/>
          <w:szCs w:val="18"/>
        </w:rPr>
        <w:footnoteRef/>
      </w:r>
      <w:r w:rsidRPr="00635DD7">
        <w:t xml:space="preserve"> 13 subjects were related to a failure to maintain stable doses of concomitant medications before randomization for the intervals specified</w:t>
      </w:r>
    </w:p>
  </w:footnote>
  <w:footnote w:id="16">
    <w:p w:rsidR="005963B6" w:rsidRPr="00635DD7" w:rsidRDefault="005963B6" w:rsidP="002520A4">
      <w:pPr>
        <w:pStyle w:val="FootnoteText"/>
      </w:pPr>
      <w:r w:rsidRPr="00635DD7">
        <w:rPr>
          <w:rStyle w:val="FootnoteReference"/>
          <w:rFonts w:eastAsia="Cambria"/>
          <w:szCs w:val="18"/>
        </w:rPr>
        <w:footnoteRef/>
      </w:r>
      <w:r w:rsidRPr="00635DD7">
        <w:t xml:space="preserve"> In 35 subjects it was the absence at </w:t>
      </w:r>
      <w:r w:rsidRPr="002520A4">
        <w:t>randomization</w:t>
      </w:r>
      <w:r w:rsidRPr="00635DD7">
        <w:t xml:space="preserve"> of negative stool culture results for enteric pathogens</w:t>
      </w:r>
    </w:p>
  </w:footnote>
  <w:footnote w:id="17">
    <w:p w:rsidR="005963B6" w:rsidRPr="00635DD7" w:rsidRDefault="005963B6" w:rsidP="002520A4">
      <w:pPr>
        <w:pStyle w:val="FootnoteText"/>
      </w:pPr>
      <w:r w:rsidRPr="00635DD7">
        <w:rPr>
          <w:rStyle w:val="FootnoteReference"/>
          <w:rFonts w:eastAsia="Cambria"/>
          <w:szCs w:val="18"/>
        </w:rPr>
        <w:footnoteRef/>
      </w:r>
      <w:r w:rsidRPr="00635DD7">
        <w:t xml:space="preserve"> </w:t>
      </w:r>
      <w:proofErr w:type="gramStart"/>
      <w:r w:rsidRPr="00635DD7">
        <w:t>majority</w:t>
      </w:r>
      <w:proofErr w:type="gramEnd"/>
      <w:r w:rsidRPr="00635DD7">
        <w:t xml:space="preserve"> (57 subjects) were TB </w:t>
      </w:r>
      <w:r w:rsidRPr="002520A4">
        <w:t>screening</w:t>
      </w:r>
      <w:r w:rsidRPr="00635DD7">
        <w:t xml:space="preserve"> requirements.</w:t>
      </w:r>
    </w:p>
  </w:footnote>
  <w:footnote w:id="18">
    <w:p w:rsidR="005963B6" w:rsidRPr="002520A4" w:rsidRDefault="005963B6" w:rsidP="002520A4">
      <w:pPr>
        <w:pStyle w:val="FootnoteText"/>
      </w:pPr>
      <w:r>
        <w:rPr>
          <w:rStyle w:val="FootnoteReference"/>
          <w:rFonts w:eastAsia="Cambria"/>
        </w:rPr>
        <w:footnoteRef/>
      </w:r>
      <w:r>
        <w:t xml:space="preserve"> </w:t>
      </w:r>
      <w:r w:rsidRPr="00365547">
        <w:t>Ulcerative Colitis Revised Statistical Analysis Plan</w:t>
      </w:r>
      <w:r>
        <w:t xml:space="preserve"> page 9</w:t>
      </w:r>
    </w:p>
  </w:footnote>
  <w:footnote w:id="19">
    <w:p w:rsidR="005963B6" w:rsidRPr="005A25A0" w:rsidRDefault="005963B6" w:rsidP="005A25A0">
      <w:pPr>
        <w:pStyle w:val="FootnoteText"/>
      </w:pPr>
      <w:r>
        <w:rPr>
          <w:rStyle w:val="FootnoteReference"/>
          <w:rFonts w:eastAsia="Cambria"/>
        </w:rPr>
        <w:footnoteRef/>
      </w:r>
      <w:r>
        <w:t xml:space="preserve"> </w:t>
      </w:r>
      <w:proofErr w:type="gramStart"/>
      <w:r w:rsidRPr="006B4E64">
        <w:t>Following the subsequent dose response analysis</w:t>
      </w:r>
      <w:r>
        <w:t xml:space="preserve"> for the companion </w:t>
      </w:r>
      <w:proofErr w:type="spellStart"/>
      <w:r>
        <w:t>golimumab</w:t>
      </w:r>
      <w:proofErr w:type="spellEnd"/>
      <w:r>
        <w:t xml:space="preserve"> SC </w:t>
      </w:r>
      <w:r w:rsidRPr="006B4E64">
        <w:t xml:space="preserve">induction </w:t>
      </w:r>
      <w:r>
        <w:t>Study</w:t>
      </w:r>
      <w:r w:rsidRPr="006B4E64">
        <w:t xml:space="preserve"> C0524T17 and a review of the totality </w:t>
      </w:r>
      <w:r>
        <w:t xml:space="preserve">of the data from both </w:t>
      </w:r>
      <w:r w:rsidRPr="006B4E64">
        <w:t>stud</w:t>
      </w:r>
      <w:r>
        <w:t>ies.</w:t>
      </w:r>
      <w:proofErr w:type="gramEnd"/>
    </w:p>
  </w:footnote>
  <w:footnote w:id="20">
    <w:p w:rsidR="005963B6" w:rsidRPr="005A25A0" w:rsidRDefault="005963B6" w:rsidP="005A25A0">
      <w:pPr>
        <w:pStyle w:val="FootnoteText"/>
      </w:pPr>
      <w:r>
        <w:rPr>
          <w:rStyle w:val="FootnoteReference"/>
          <w:rFonts w:eastAsia="Cambria"/>
        </w:rPr>
        <w:footnoteRef/>
      </w:r>
      <w:r>
        <w:t xml:space="preserve"> </w:t>
      </w:r>
      <w:r w:rsidRPr="00F22718">
        <w:t xml:space="preserve">Revised Protocol </w:t>
      </w:r>
      <w:r>
        <w:t>Page 15</w:t>
      </w:r>
    </w:p>
  </w:footnote>
  <w:footnote w:id="21">
    <w:p w:rsidR="005963B6" w:rsidRPr="005A25A0" w:rsidRDefault="005963B6" w:rsidP="005A25A0">
      <w:pPr>
        <w:pStyle w:val="FootnoteText"/>
      </w:pPr>
    </w:p>
  </w:footnote>
  <w:footnote w:id="22">
    <w:p w:rsidR="005963B6" w:rsidRPr="00635DD7" w:rsidRDefault="005963B6" w:rsidP="005A25A0">
      <w:pPr>
        <w:pStyle w:val="FootnoteText"/>
      </w:pPr>
      <w:r w:rsidRPr="00840569">
        <w:rPr>
          <w:rStyle w:val="FootnoteReference"/>
          <w:rFonts w:eastAsia="Cambria"/>
        </w:rPr>
        <w:footnoteRef/>
      </w:r>
      <w:r w:rsidRPr="00840569">
        <w:t xml:space="preserve"> </w:t>
      </w:r>
      <w:r w:rsidRPr="00635DD7">
        <w:t xml:space="preserve">Ulcerative Colitis Revised Statistical Analysis Plan </w:t>
      </w:r>
      <w:r w:rsidRPr="005A25A0">
        <w:t>page</w:t>
      </w:r>
      <w:r w:rsidRPr="00635DD7">
        <w:t xml:space="preserve"> 9</w:t>
      </w:r>
    </w:p>
  </w:footnote>
  <w:footnote w:id="23">
    <w:p w:rsidR="005963B6" w:rsidRPr="00635DD7" w:rsidRDefault="005963B6" w:rsidP="005A25A0">
      <w:pPr>
        <w:pStyle w:val="FootnoteText"/>
      </w:pPr>
      <w:r w:rsidRPr="00635DD7">
        <w:rPr>
          <w:rStyle w:val="FootnoteReference"/>
          <w:szCs w:val="18"/>
        </w:rPr>
        <w:footnoteRef/>
      </w:r>
      <w:r w:rsidRPr="00635DD7">
        <w:t xml:space="preserve"> Revised Statistical Analysis Plan page 16 This differs from the statement in the Clinical Study Report page 42 The primary analysis population was subjects randomized in Part 2 after the dose selection, excluding those from site 7257.</w:t>
      </w:r>
    </w:p>
  </w:footnote>
  <w:footnote w:id="24">
    <w:p w:rsidR="005963B6" w:rsidRPr="005A25A0" w:rsidRDefault="005963B6" w:rsidP="005A25A0">
      <w:pPr>
        <w:pStyle w:val="FootnoteText"/>
      </w:pPr>
      <w:r w:rsidRPr="00635DD7">
        <w:rPr>
          <w:rStyle w:val="FootnoteReference"/>
          <w:rFonts w:eastAsia="Cambria"/>
          <w:szCs w:val="18"/>
        </w:rPr>
        <w:footnoteRef/>
      </w:r>
      <w:r w:rsidRPr="00635DD7">
        <w:t xml:space="preserve"> Which consisted of management representative(s) from </w:t>
      </w:r>
      <w:proofErr w:type="spellStart"/>
      <w:r w:rsidRPr="00635DD7">
        <w:t>Centocor</w:t>
      </w:r>
      <w:proofErr w:type="spellEnd"/>
      <w:r w:rsidRPr="00635DD7">
        <w:t xml:space="preserve"> and Schering-Plough</w:t>
      </w:r>
    </w:p>
  </w:footnote>
  <w:footnote w:id="25">
    <w:p w:rsidR="005963B6" w:rsidRDefault="005963B6" w:rsidP="004C45A7">
      <w:pPr>
        <w:pStyle w:val="FootnoteText"/>
      </w:pPr>
      <w:r>
        <w:rPr>
          <w:rStyle w:val="FootnoteReference"/>
          <w:rFonts w:eastAsia="Cambria"/>
        </w:rPr>
        <w:footnoteRef/>
      </w:r>
      <w:r>
        <w:t xml:space="preserve"> The “Placebo” maintenance group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pPr>
      <w:rPr>
        <w:noProof/>
        <w:lang w:eastAsia="en-AU"/>
      </w:rPr>
    </w:pPr>
    <w:r w:rsidRPr="002D545C">
      <w:rPr>
        <w:noProof/>
        <w:lang w:eastAsia="en-AU"/>
      </w:rPr>
      <w:drawing>
        <wp:anchor distT="0" distB="0" distL="114300" distR="114300" simplePos="0" relativeHeight="251659264" behindDoc="1" locked="0" layoutInCell="1" allowOverlap="1">
          <wp:simplePos x="0" y="0"/>
          <wp:positionH relativeFrom="column">
            <wp:posOffset>-1081709</wp:posOffset>
          </wp:positionH>
          <wp:positionV relativeFrom="paragraph">
            <wp:posOffset>-585470</wp:posOffset>
          </wp:positionV>
          <wp:extent cx="7572375" cy="10706100"/>
          <wp:effectExtent l="0" t="0" r="9525"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72375" cy="10706100"/>
                  </a:xfrm>
                  <a:prstGeom prst="rect">
                    <a:avLst/>
                  </a:prstGeom>
                </pic:spPr>
              </pic:pic>
            </a:graphicData>
          </a:graphic>
        </wp:anchor>
      </w:drawing>
    </w:r>
  </w:p>
  <w:p w:rsidR="005963B6" w:rsidRDefault="005963B6" w:rsidP="00593AD1">
    <w:pPr>
      <w:pStyle w:val="HeaderNoLine"/>
    </w:pPr>
    <w:r>
      <w:rPr>
        <w:noProof/>
        <w:lang w:eastAsia="en-AU"/>
      </w:rPr>
      <w:drawing>
        <wp:inline distT="0" distB="0" distL="0" distR="0">
          <wp:extent cx="5400040" cy="7632700"/>
          <wp:effectExtent l="0" t="0" r="0" b="6350"/>
          <wp:docPr id="8"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32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3B6" w:rsidRDefault="005963B6" w:rsidP="006E08B3">
    <w:r>
      <w:t>Therapeutic Goods Administration</w:t>
    </w:r>
  </w:p>
  <w:p w:rsidR="005963B6" w:rsidRDefault="005963B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26238A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3401E50"/>
    <w:lvl w:ilvl="0">
      <w:start w:val="1"/>
      <w:numFmt w:val="bullet"/>
      <w:lvlText w:val=""/>
      <w:lvlJc w:val="left"/>
      <w:pPr>
        <w:tabs>
          <w:tab w:val="num" w:pos="360"/>
        </w:tabs>
        <w:ind w:left="360" w:hanging="360"/>
      </w:pPr>
      <w:rPr>
        <w:rFonts w:ascii="Symbol" w:hAnsi="Symbol" w:hint="default"/>
      </w:rPr>
    </w:lvl>
  </w:abstractNum>
  <w:abstractNum w:abstractNumId="2">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22F00493"/>
    <w:multiLevelType w:val="hybridMultilevel"/>
    <w:tmpl w:val="7812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C02909"/>
    <w:multiLevelType w:val="hybridMultilevel"/>
    <w:tmpl w:val="A5A8AF8A"/>
    <w:lvl w:ilvl="0" w:tplc="25522D50">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6">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7">
    <w:nsid w:val="74C20126"/>
    <w:multiLevelType w:val="hybridMultilevel"/>
    <w:tmpl w:val="8AB25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3"/>
  </w:num>
  <w:num w:numId="4">
    <w:abstractNumId w:val="2"/>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5">
    <w:abstractNumId w:val="6"/>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68"/>
    <w:rsid w:val="00002031"/>
    <w:rsid w:val="00004734"/>
    <w:rsid w:val="00006B22"/>
    <w:rsid w:val="0001276A"/>
    <w:rsid w:val="000246AE"/>
    <w:rsid w:val="00025C67"/>
    <w:rsid w:val="00040ACB"/>
    <w:rsid w:val="0005559E"/>
    <w:rsid w:val="00077775"/>
    <w:rsid w:val="00090471"/>
    <w:rsid w:val="000A3AED"/>
    <w:rsid w:val="000A63AF"/>
    <w:rsid w:val="000B3532"/>
    <w:rsid w:val="000B3A75"/>
    <w:rsid w:val="000C690F"/>
    <w:rsid w:val="000D1295"/>
    <w:rsid w:val="000D391B"/>
    <w:rsid w:val="000D3D6D"/>
    <w:rsid w:val="000D4FC7"/>
    <w:rsid w:val="000F02F9"/>
    <w:rsid w:val="000F4869"/>
    <w:rsid w:val="000F5B42"/>
    <w:rsid w:val="000F6E6F"/>
    <w:rsid w:val="00104613"/>
    <w:rsid w:val="0010601F"/>
    <w:rsid w:val="0010788A"/>
    <w:rsid w:val="00107A31"/>
    <w:rsid w:val="00110EA5"/>
    <w:rsid w:val="00112F56"/>
    <w:rsid w:val="00113355"/>
    <w:rsid w:val="00116ECD"/>
    <w:rsid w:val="00125318"/>
    <w:rsid w:val="001305A2"/>
    <w:rsid w:val="00133238"/>
    <w:rsid w:val="0014197B"/>
    <w:rsid w:val="001447CD"/>
    <w:rsid w:val="001516B1"/>
    <w:rsid w:val="00154EBB"/>
    <w:rsid w:val="00156316"/>
    <w:rsid w:val="00163001"/>
    <w:rsid w:val="00163A4C"/>
    <w:rsid w:val="00165389"/>
    <w:rsid w:val="0017078F"/>
    <w:rsid w:val="0017693F"/>
    <w:rsid w:val="0018110E"/>
    <w:rsid w:val="00181684"/>
    <w:rsid w:val="001843C6"/>
    <w:rsid w:val="001850E0"/>
    <w:rsid w:val="001A2158"/>
    <w:rsid w:val="001A525F"/>
    <w:rsid w:val="001B09F9"/>
    <w:rsid w:val="001B5D98"/>
    <w:rsid w:val="001B6448"/>
    <w:rsid w:val="001E07CF"/>
    <w:rsid w:val="001E59F1"/>
    <w:rsid w:val="001F49EB"/>
    <w:rsid w:val="001F6ADA"/>
    <w:rsid w:val="001F6CBA"/>
    <w:rsid w:val="00201D4E"/>
    <w:rsid w:val="002076C9"/>
    <w:rsid w:val="00220B8A"/>
    <w:rsid w:val="002257F3"/>
    <w:rsid w:val="00227C75"/>
    <w:rsid w:val="00233456"/>
    <w:rsid w:val="002339A5"/>
    <w:rsid w:val="002520A4"/>
    <w:rsid w:val="00257848"/>
    <w:rsid w:val="002666AC"/>
    <w:rsid w:val="0027084A"/>
    <w:rsid w:val="00286434"/>
    <w:rsid w:val="00286C59"/>
    <w:rsid w:val="00287613"/>
    <w:rsid w:val="00292113"/>
    <w:rsid w:val="002942D1"/>
    <w:rsid w:val="0029501A"/>
    <w:rsid w:val="002B1638"/>
    <w:rsid w:val="002C63ED"/>
    <w:rsid w:val="002D545C"/>
    <w:rsid w:val="002D6161"/>
    <w:rsid w:val="002E4C9A"/>
    <w:rsid w:val="002F11F8"/>
    <w:rsid w:val="002F1DDF"/>
    <w:rsid w:val="002F3F56"/>
    <w:rsid w:val="002F44B5"/>
    <w:rsid w:val="00311AC0"/>
    <w:rsid w:val="0032583B"/>
    <w:rsid w:val="00327883"/>
    <w:rsid w:val="00335504"/>
    <w:rsid w:val="00342985"/>
    <w:rsid w:val="003521E8"/>
    <w:rsid w:val="003728F3"/>
    <w:rsid w:val="0037496E"/>
    <w:rsid w:val="003761C2"/>
    <w:rsid w:val="0037623D"/>
    <w:rsid w:val="00386150"/>
    <w:rsid w:val="003874CE"/>
    <w:rsid w:val="00390900"/>
    <w:rsid w:val="00396C92"/>
    <w:rsid w:val="003A416C"/>
    <w:rsid w:val="003A7F6C"/>
    <w:rsid w:val="003B1113"/>
    <w:rsid w:val="003B4D60"/>
    <w:rsid w:val="003B634F"/>
    <w:rsid w:val="003B7E39"/>
    <w:rsid w:val="003C58DC"/>
    <w:rsid w:val="003D0A3B"/>
    <w:rsid w:val="003D1E62"/>
    <w:rsid w:val="003E2486"/>
    <w:rsid w:val="003E3208"/>
    <w:rsid w:val="003F0B04"/>
    <w:rsid w:val="0040134E"/>
    <w:rsid w:val="00415D59"/>
    <w:rsid w:val="0043797D"/>
    <w:rsid w:val="00440A2D"/>
    <w:rsid w:val="004564A7"/>
    <w:rsid w:val="004617BF"/>
    <w:rsid w:val="00463658"/>
    <w:rsid w:val="004722CC"/>
    <w:rsid w:val="004936E4"/>
    <w:rsid w:val="00494B1E"/>
    <w:rsid w:val="00494E60"/>
    <w:rsid w:val="00497487"/>
    <w:rsid w:val="004A7E13"/>
    <w:rsid w:val="004B7B76"/>
    <w:rsid w:val="004C2DCA"/>
    <w:rsid w:val="004C45A7"/>
    <w:rsid w:val="004F0F38"/>
    <w:rsid w:val="004F4AF5"/>
    <w:rsid w:val="00501921"/>
    <w:rsid w:val="00515335"/>
    <w:rsid w:val="00530354"/>
    <w:rsid w:val="0053625B"/>
    <w:rsid w:val="005434C6"/>
    <w:rsid w:val="00543B39"/>
    <w:rsid w:val="00550096"/>
    <w:rsid w:val="00557FF9"/>
    <w:rsid w:val="005658D0"/>
    <w:rsid w:val="00576378"/>
    <w:rsid w:val="00577945"/>
    <w:rsid w:val="00577E38"/>
    <w:rsid w:val="00585322"/>
    <w:rsid w:val="005857C6"/>
    <w:rsid w:val="00586F98"/>
    <w:rsid w:val="00592F6E"/>
    <w:rsid w:val="00593AD1"/>
    <w:rsid w:val="005963B6"/>
    <w:rsid w:val="005A25A0"/>
    <w:rsid w:val="005A68B6"/>
    <w:rsid w:val="005C5570"/>
    <w:rsid w:val="005C79A4"/>
    <w:rsid w:val="005D5442"/>
    <w:rsid w:val="00603F32"/>
    <w:rsid w:val="00620406"/>
    <w:rsid w:val="00625E8E"/>
    <w:rsid w:val="00632398"/>
    <w:rsid w:val="00635DD7"/>
    <w:rsid w:val="00640FC3"/>
    <w:rsid w:val="00642020"/>
    <w:rsid w:val="00646206"/>
    <w:rsid w:val="0065337B"/>
    <w:rsid w:val="0065419D"/>
    <w:rsid w:val="006604D8"/>
    <w:rsid w:val="00664A5B"/>
    <w:rsid w:val="006763D2"/>
    <w:rsid w:val="00680C08"/>
    <w:rsid w:val="006931B1"/>
    <w:rsid w:val="006A15C0"/>
    <w:rsid w:val="006A17AE"/>
    <w:rsid w:val="006C130C"/>
    <w:rsid w:val="006C3E2A"/>
    <w:rsid w:val="006C642F"/>
    <w:rsid w:val="006D03E5"/>
    <w:rsid w:val="006D5D3E"/>
    <w:rsid w:val="006E08B3"/>
    <w:rsid w:val="006F17AC"/>
    <w:rsid w:val="006F1D37"/>
    <w:rsid w:val="006F2796"/>
    <w:rsid w:val="006F572E"/>
    <w:rsid w:val="007046D6"/>
    <w:rsid w:val="00705DB0"/>
    <w:rsid w:val="00722B57"/>
    <w:rsid w:val="0074253D"/>
    <w:rsid w:val="0074429B"/>
    <w:rsid w:val="007513B4"/>
    <w:rsid w:val="007615BC"/>
    <w:rsid w:val="00762F05"/>
    <w:rsid w:val="007652FF"/>
    <w:rsid w:val="00770EF1"/>
    <w:rsid w:val="00773EF7"/>
    <w:rsid w:val="00774E1D"/>
    <w:rsid w:val="0077675A"/>
    <w:rsid w:val="00780355"/>
    <w:rsid w:val="00785721"/>
    <w:rsid w:val="00793A59"/>
    <w:rsid w:val="007B6E9F"/>
    <w:rsid w:val="007C1216"/>
    <w:rsid w:val="007C1257"/>
    <w:rsid w:val="007C1AF7"/>
    <w:rsid w:val="007E6E27"/>
    <w:rsid w:val="007F7847"/>
    <w:rsid w:val="00805D27"/>
    <w:rsid w:val="00821776"/>
    <w:rsid w:val="00830314"/>
    <w:rsid w:val="008321F5"/>
    <w:rsid w:val="00832369"/>
    <w:rsid w:val="00834660"/>
    <w:rsid w:val="00835326"/>
    <w:rsid w:val="00836BC2"/>
    <w:rsid w:val="00841102"/>
    <w:rsid w:val="008414A0"/>
    <w:rsid w:val="0085641B"/>
    <w:rsid w:val="00857136"/>
    <w:rsid w:val="00886D15"/>
    <w:rsid w:val="00887DD8"/>
    <w:rsid w:val="00896018"/>
    <w:rsid w:val="008960DD"/>
    <w:rsid w:val="0089635C"/>
    <w:rsid w:val="008A2B9D"/>
    <w:rsid w:val="008A5E0B"/>
    <w:rsid w:val="008A6D59"/>
    <w:rsid w:val="008B4B03"/>
    <w:rsid w:val="008B596F"/>
    <w:rsid w:val="008B5A3E"/>
    <w:rsid w:val="008B720D"/>
    <w:rsid w:val="008C159F"/>
    <w:rsid w:val="008C1623"/>
    <w:rsid w:val="008C1850"/>
    <w:rsid w:val="008C51A9"/>
    <w:rsid w:val="008C579F"/>
    <w:rsid w:val="008D770F"/>
    <w:rsid w:val="008E7846"/>
    <w:rsid w:val="008F1CCC"/>
    <w:rsid w:val="008F2967"/>
    <w:rsid w:val="008F6943"/>
    <w:rsid w:val="00902A21"/>
    <w:rsid w:val="00920330"/>
    <w:rsid w:val="009219D7"/>
    <w:rsid w:val="00922D53"/>
    <w:rsid w:val="00923B70"/>
    <w:rsid w:val="00924482"/>
    <w:rsid w:val="00930237"/>
    <w:rsid w:val="00937428"/>
    <w:rsid w:val="00946EA5"/>
    <w:rsid w:val="0095160F"/>
    <w:rsid w:val="00963C08"/>
    <w:rsid w:val="0098585A"/>
    <w:rsid w:val="0098669D"/>
    <w:rsid w:val="009A4CED"/>
    <w:rsid w:val="009A690D"/>
    <w:rsid w:val="009B09D4"/>
    <w:rsid w:val="009B1D12"/>
    <w:rsid w:val="009B416B"/>
    <w:rsid w:val="009C4BD5"/>
    <w:rsid w:val="009D7B77"/>
    <w:rsid w:val="009E0BB0"/>
    <w:rsid w:val="009E3FBB"/>
    <w:rsid w:val="00A102E4"/>
    <w:rsid w:val="00A12C42"/>
    <w:rsid w:val="00A14DF7"/>
    <w:rsid w:val="00A20E68"/>
    <w:rsid w:val="00A235D9"/>
    <w:rsid w:val="00A3246D"/>
    <w:rsid w:val="00A36FA7"/>
    <w:rsid w:val="00A41A47"/>
    <w:rsid w:val="00A4704A"/>
    <w:rsid w:val="00A475B7"/>
    <w:rsid w:val="00A47AF7"/>
    <w:rsid w:val="00A47C3E"/>
    <w:rsid w:val="00A50226"/>
    <w:rsid w:val="00A60BAD"/>
    <w:rsid w:val="00A964D1"/>
    <w:rsid w:val="00AA0ED0"/>
    <w:rsid w:val="00AA3499"/>
    <w:rsid w:val="00AB7615"/>
    <w:rsid w:val="00AC2B40"/>
    <w:rsid w:val="00AC2BB2"/>
    <w:rsid w:val="00AC2C3C"/>
    <w:rsid w:val="00AC512D"/>
    <w:rsid w:val="00AE01C2"/>
    <w:rsid w:val="00AE65EB"/>
    <w:rsid w:val="00AE67A7"/>
    <w:rsid w:val="00AF1D94"/>
    <w:rsid w:val="00AF60C5"/>
    <w:rsid w:val="00B009C6"/>
    <w:rsid w:val="00B01548"/>
    <w:rsid w:val="00B02208"/>
    <w:rsid w:val="00B13311"/>
    <w:rsid w:val="00B1425E"/>
    <w:rsid w:val="00B21D29"/>
    <w:rsid w:val="00B25034"/>
    <w:rsid w:val="00B33588"/>
    <w:rsid w:val="00B33863"/>
    <w:rsid w:val="00B3567E"/>
    <w:rsid w:val="00B37D17"/>
    <w:rsid w:val="00B4175E"/>
    <w:rsid w:val="00B452CE"/>
    <w:rsid w:val="00B54C25"/>
    <w:rsid w:val="00B76B91"/>
    <w:rsid w:val="00B77EB1"/>
    <w:rsid w:val="00B811C6"/>
    <w:rsid w:val="00B85A87"/>
    <w:rsid w:val="00B92E08"/>
    <w:rsid w:val="00B96EBE"/>
    <w:rsid w:val="00BC622A"/>
    <w:rsid w:val="00BD45E3"/>
    <w:rsid w:val="00BE043D"/>
    <w:rsid w:val="00BE0A78"/>
    <w:rsid w:val="00BE5F2D"/>
    <w:rsid w:val="00BE6252"/>
    <w:rsid w:val="00BE79F0"/>
    <w:rsid w:val="00BF046D"/>
    <w:rsid w:val="00BF1190"/>
    <w:rsid w:val="00BF5D04"/>
    <w:rsid w:val="00C1164D"/>
    <w:rsid w:val="00C13047"/>
    <w:rsid w:val="00C16861"/>
    <w:rsid w:val="00C21A55"/>
    <w:rsid w:val="00C22678"/>
    <w:rsid w:val="00C404A6"/>
    <w:rsid w:val="00C40A36"/>
    <w:rsid w:val="00C44419"/>
    <w:rsid w:val="00C45E7B"/>
    <w:rsid w:val="00C471B1"/>
    <w:rsid w:val="00C618F7"/>
    <w:rsid w:val="00C6316B"/>
    <w:rsid w:val="00C634A9"/>
    <w:rsid w:val="00C64586"/>
    <w:rsid w:val="00C70D53"/>
    <w:rsid w:val="00C73D0B"/>
    <w:rsid w:val="00C772FF"/>
    <w:rsid w:val="00C801AF"/>
    <w:rsid w:val="00C80256"/>
    <w:rsid w:val="00C811C0"/>
    <w:rsid w:val="00C844A8"/>
    <w:rsid w:val="00CB6BC0"/>
    <w:rsid w:val="00CC1B7C"/>
    <w:rsid w:val="00CC727F"/>
    <w:rsid w:val="00CF15C3"/>
    <w:rsid w:val="00CF2B6F"/>
    <w:rsid w:val="00CF58B6"/>
    <w:rsid w:val="00CF63C9"/>
    <w:rsid w:val="00D017ED"/>
    <w:rsid w:val="00D040D3"/>
    <w:rsid w:val="00D04C65"/>
    <w:rsid w:val="00D224FE"/>
    <w:rsid w:val="00D42FC5"/>
    <w:rsid w:val="00D53A31"/>
    <w:rsid w:val="00D6493E"/>
    <w:rsid w:val="00D7301E"/>
    <w:rsid w:val="00D75222"/>
    <w:rsid w:val="00D83AE1"/>
    <w:rsid w:val="00D855D4"/>
    <w:rsid w:val="00D93466"/>
    <w:rsid w:val="00DA1124"/>
    <w:rsid w:val="00DB75B7"/>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565"/>
    <w:rsid w:val="00E51BB1"/>
    <w:rsid w:val="00E53E58"/>
    <w:rsid w:val="00E624A5"/>
    <w:rsid w:val="00E7344E"/>
    <w:rsid w:val="00E936E3"/>
    <w:rsid w:val="00EB0798"/>
    <w:rsid w:val="00EB40AD"/>
    <w:rsid w:val="00EB586E"/>
    <w:rsid w:val="00EB5FC8"/>
    <w:rsid w:val="00ED3CAD"/>
    <w:rsid w:val="00ED5A41"/>
    <w:rsid w:val="00EE1DE8"/>
    <w:rsid w:val="00F033EC"/>
    <w:rsid w:val="00F04F68"/>
    <w:rsid w:val="00F12670"/>
    <w:rsid w:val="00F14B27"/>
    <w:rsid w:val="00F3148D"/>
    <w:rsid w:val="00F325C5"/>
    <w:rsid w:val="00F32FE0"/>
    <w:rsid w:val="00F35298"/>
    <w:rsid w:val="00F47333"/>
    <w:rsid w:val="00F47E37"/>
    <w:rsid w:val="00F53C07"/>
    <w:rsid w:val="00F54B65"/>
    <w:rsid w:val="00F640B6"/>
    <w:rsid w:val="00F642AC"/>
    <w:rsid w:val="00F77904"/>
    <w:rsid w:val="00F80E40"/>
    <w:rsid w:val="00F848D9"/>
    <w:rsid w:val="00F94375"/>
    <w:rsid w:val="00FA5B82"/>
    <w:rsid w:val="00FA639E"/>
    <w:rsid w:val="00FC25E4"/>
    <w:rsid w:val="00FC27A6"/>
    <w:rsid w:val="00FC4EF7"/>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page number"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5"/>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625E8E"/>
    <w:pPr>
      <w:spacing w:before="0" w:after="240"/>
    </w:pPr>
    <w:rPr>
      <w:sz w:val="19"/>
    </w:rPr>
  </w:style>
  <w:style w:type="paragraph" w:customStyle="1" w:styleId="FigureTitle">
    <w:name w:val="Figure Title"/>
    <w:basedOn w:val="Normal"/>
    <w:rsid w:val="00625E8E"/>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D42FC5"/>
    <w:pPr>
      <w:spacing w:after="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2">
    <w:name w:val="Bullet 2"/>
    <w:basedOn w:val="Normal"/>
    <w:rsid w:val="00937428"/>
    <w:pPr>
      <w:numPr>
        <w:numId w:val="6"/>
      </w:numPr>
      <w:spacing w:after="0" w:line="240" w:lineRule="auto"/>
    </w:pPr>
    <w:rPr>
      <w:rFonts w:eastAsia="Times New Roman"/>
      <w:kern w:val="24"/>
      <w:lang w:eastAsia="en-AU"/>
    </w:rPr>
  </w:style>
  <w:style w:type="paragraph" w:styleId="FootnoteText">
    <w:name w:val="footnote text"/>
    <w:basedOn w:val="Normal"/>
    <w:link w:val="FootnoteTextChar"/>
    <w:rsid w:val="00D42F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18"/>
      <w:szCs w:val="20"/>
      <w:lang w:eastAsia="en-AU"/>
    </w:rPr>
  </w:style>
  <w:style w:type="character" w:customStyle="1" w:styleId="FootnoteTextChar">
    <w:name w:val="Footnote Text Char"/>
    <w:basedOn w:val="DefaultParagraphFont"/>
    <w:link w:val="FootnoteText"/>
    <w:rsid w:val="00D42FC5"/>
    <w:rPr>
      <w:rFonts w:ascii="Cambria" w:eastAsia="Times New Roman" w:hAnsi="Cambria" w:cs="Times New Roman"/>
      <w:kern w:val="16"/>
      <w:sz w:val="18"/>
      <w:szCs w:val="20"/>
      <w:lang w:eastAsia="en-AU"/>
    </w:rPr>
  </w:style>
  <w:style w:type="character" w:styleId="FootnoteReference">
    <w:name w:val="footnote reference"/>
    <w:basedOn w:val="DefaultParagraphFont"/>
    <w:rsid w:val="003761C2"/>
    <w:rPr>
      <w:vertAlign w:val="superscript"/>
    </w:rPr>
  </w:style>
  <w:style w:type="paragraph" w:styleId="ListParagraph">
    <w:name w:val="List Paragraph"/>
    <w:basedOn w:val="Normal"/>
    <w:uiPriority w:val="34"/>
    <w:qFormat/>
    <w:rsid w:val="003761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lang w:eastAsia="en-AU"/>
    </w:rPr>
  </w:style>
  <w:style w:type="character" w:styleId="PageNumber">
    <w:name w:val="page number"/>
    <w:basedOn w:val="DefaultParagraphFont"/>
    <w:rsid w:val="00E51565"/>
    <w:rPr>
      <w:sz w:val="20"/>
    </w:rPr>
  </w:style>
  <w:style w:type="character" w:styleId="CommentReference">
    <w:name w:val="annotation reference"/>
    <w:basedOn w:val="DefaultParagraphFont"/>
    <w:uiPriority w:val="99"/>
    <w:semiHidden/>
    <w:unhideWhenUsed/>
    <w:rsid w:val="00113355"/>
    <w:rPr>
      <w:sz w:val="16"/>
      <w:szCs w:val="16"/>
    </w:rPr>
  </w:style>
  <w:style w:type="paragraph" w:styleId="CommentText">
    <w:name w:val="annotation text"/>
    <w:basedOn w:val="Normal"/>
    <w:link w:val="CommentTextChar"/>
    <w:uiPriority w:val="99"/>
    <w:semiHidden/>
    <w:unhideWhenUsed/>
    <w:rsid w:val="00113355"/>
    <w:pPr>
      <w:spacing w:line="240" w:lineRule="auto"/>
    </w:pPr>
    <w:rPr>
      <w:sz w:val="20"/>
      <w:szCs w:val="20"/>
    </w:rPr>
  </w:style>
  <w:style w:type="character" w:customStyle="1" w:styleId="CommentTextChar">
    <w:name w:val="Comment Text Char"/>
    <w:basedOn w:val="DefaultParagraphFont"/>
    <w:link w:val="CommentText"/>
    <w:uiPriority w:val="99"/>
    <w:semiHidden/>
    <w:rsid w:val="0011335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13355"/>
    <w:rPr>
      <w:b/>
      <w:bCs/>
    </w:rPr>
  </w:style>
  <w:style w:type="character" w:customStyle="1" w:styleId="CommentSubjectChar">
    <w:name w:val="Comment Subject Char"/>
    <w:basedOn w:val="CommentTextChar"/>
    <w:link w:val="CommentSubject"/>
    <w:uiPriority w:val="99"/>
    <w:semiHidden/>
    <w:rsid w:val="00113355"/>
    <w:rPr>
      <w:rFonts w:ascii="Cambria" w:eastAsia="Cambria"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page number"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5"/>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5"/>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5"/>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5"/>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5"/>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5"/>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lang w:eastAsia="ja-JP"/>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625E8E"/>
    <w:pPr>
      <w:spacing w:before="0" w:after="240"/>
    </w:pPr>
    <w:rPr>
      <w:sz w:val="19"/>
    </w:rPr>
  </w:style>
  <w:style w:type="paragraph" w:customStyle="1" w:styleId="FigureTitle">
    <w:name w:val="Figure Title"/>
    <w:basedOn w:val="Normal"/>
    <w:rsid w:val="00625E8E"/>
    <w:pPr>
      <w:keepNext/>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D42FC5"/>
    <w:pPr>
      <w:spacing w:after="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2">
    <w:name w:val="Bullet 2"/>
    <w:basedOn w:val="Normal"/>
    <w:rsid w:val="00937428"/>
    <w:pPr>
      <w:numPr>
        <w:numId w:val="6"/>
      </w:numPr>
      <w:spacing w:after="0" w:line="240" w:lineRule="auto"/>
    </w:pPr>
    <w:rPr>
      <w:rFonts w:eastAsia="Times New Roman"/>
      <w:kern w:val="24"/>
      <w:lang w:eastAsia="en-AU"/>
    </w:rPr>
  </w:style>
  <w:style w:type="paragraph" w:styleId="FootnoteText">
    <w:name w:val="footnote text"/>
    <w:basedOn w:val="Normal"/>
    <w:link w:val="FootnoteTextChar"/>
    <w:rsid w:val="00D42F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18"/>
      <w:szCs w:val="20"/>
      <w:lang w:eastAsia="en-AU"/>
    </w:rPr>
  </w:style>
  <w:style w:type="character" w:customStyle="1" w:styleId="FootnoteTextChar">
    <w:name w:val="Footnote Text Char"/>
    <w:basedOn w:val="DefaultParagraphFont"/>
    <w:link w:val="FootnoteText"/>
    <w:rsid w:val="00D42FC5"/>
    <w:rPr>
      <w:rFonts w:ascii="Cambria" w:eastAsia="Times New Roman" w:hAnsi="Cambria" w:cs="Times New Roman"/>
      <w:kern w:val="16"/>
      <w:sz w:val="18"/>
      <w:szCs w:val="20"/>
      <w:lang w:eastAsia="en-AU"/>
    </w:rPr>
  </w:style>
  <w:style w:type="character" w:styleId="FootnoteReference">
    <w:name w:val="footnote reference"/>
    <w:basedOn w:val="DefaultParagraphFont"/>
    <w:rsid w:val="003761C2"/>
    <w:rPr>
      <w:vertAlign w:val="superscript"/>
    </w:rPr>
  </w:style>
  <w:style w:type="paragraph" w:styleId="ListParagraph">
    <w:name w:val="List Paragraph"/>
    <w:basedOn w:val="Normal"/>
    <w:uiPriority w:val="34"/>
    <w:qFormat/>
    <w:rsid w:val="003761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lang w:eastAsia="en-AU"/>
    </w:rPr>
  </w:style>
  <w:style w:type="character" w:styleId="PageNumber">
    <w:name w:val="page number"/>
    <w:basedOn w:val="DefaultParagraphFont"/>
    <w:rsid w:val="00E51565"/>
    <w:rPr>
      <w:sz w:val="20"/>
    </w:rPr>
  </w:style>
  <w:style w:type="character" w:styleId="CommentReference">
    <w:name w:val="annotation reference"/>
    <w:basedOn w:val="DefaultParagraphFont"/>
    <w:uiPriority w:val="99"/>
    <w:semiHidden/>
    <w:unhideWhenUsed/>
    <w:rsid w:val="00113355"/>
    <w:rPr>
      <w:sz w:val="16"/>
      <w:szCs w:val="16"/>
    </w:rPr>
  </w:style>
  <w:style w:type="paragraph" w:styleId="CommentText">
    <w:name w:val="annotation text"/>
    <w:basedOn w:val="Normal"/>
    <w:link w:val="CommentTextChar"/>
    <w:uiPriority w:val="99"/>
    <w:semiHidden/>
    <w:unhideWhenUsed/>
    <w:rsid w:val="00113355"/>
    <w:pPr>
      <w:spacing w:line="240" w:lineRule="auto"/>
    </w:pPr>
    <w:rPr>
      <w:sz w:val="20"/>
      <w:szCs w:val="20"/>
    </w:rPr>
  </w:style>
  <w:style w:type="character" w:customStyle="1" w:styleId="CommentTextChar">
    <w:name w:val="Comment Text Char"/>
    <w:basedOn w:val="DefaultParagraphFont"/>
    <w:link w:val="CommentText"/>
    <w:uiPriority w:val="99"/>
    <w:semiHidden/>
    <w:rsid w:val="0011335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13355"/>
    <w:rPr>
      <w:b/>
      <w:bCs/>
    </w:rPr>
  </w:style>
  <w:style w:type="character" w:customStyle="1" w:styleId="CommentSubjectChar">
    <w:name w:val="Comment Subject Char"/>
    <w:basedOn w:val="CommentTextChar"/>
    <w:link w:val="CommentSubject"/>
    <w:uiPriority w:val="99"/>
    <w:semiHidden/>
    <w:rsid w:val="00113355"/>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image" Target="media/image12.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5.xml"/><Relationship Id="rId36" Type="http://schemas.openxmlformats.org/officeDocument/2006/relationships/footer" Target="footer5.xml"/><Relationship Id="rId10" Type="http://schemas.openxmlformats.org/officeDocument/2006/relationships/hyperlink" Target="http://www.tga.gov.au/hp/information-medicines-pi.htm" TargetMode="External"/><Relationship Id="rId19" Type="http://schemas.openxmlformats.org/officeDocument/2006/relationships/image" Target="media/image7.png"/><Relationship Id="rId31" Type="http://schemas.openxmlformats.org/officeDocument/2006/relationships/hyperlink" Target="http://www.tga.gov.au" TargetMode="Externa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hyperlink" Target="mailto:info@tga.gov.au" TargetMode="External"/><Relationship Id="rId35"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E0B14-D778-42E9-8BD9-3BE3076A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42</Pages>
  <Words>14758</Words>
  <Characters>84125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Extract from the Clinical Evaluation Report for [...]</vt:lpstr>
    </vt:vector>
  </TitlesOfParts>
  <Company>Department of Health Therapeutic Goods Administration</Company>
  <LinksUpToDate>false</LinksUpToDate>
  <CharactersWithSpaces>98686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Extract from the Clinical Evaluation Report for golimumab (rmc)</dc:title>
  <dc:subject>prescription medicine regulation</dc:subject>
  <dc:creator>Therapeutic Goods Administration</dc:creator>
  <cp:keywords>clinical, evaluation, report, medicine, assessment, regulation, australia, golimumab, rmc, simponi, janssen-cilag</cp:keywords>
  <cp:lastModifiedBy>dixonj</cp:lastModifiedBy>
  <cp:revision>16</cp:revision>
  <cp:lastPrinted>2014-05-14T05:17:00Z</cp:lastPrinted>
  <dcterms:created xsi:type="dcterms:W3CDTF">2014-05-16T01:35:00Z</dcterms:created>
  <dcterms:modified xsi:type="dcterms:W3CDTF">2014-06-16T05:11:00Z</dcterms:modified>
  <cp:category>external publication</cp:category>
</cp:coreProperties>
</file>