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9863"/>
        <w:tblOverlap w:val="never"/>
        <w:tblW w:w="3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tblGrid>
      <w:tr w:rsidR="008E7846" w:rsidRPr="00487162" w:rsidTr="00BF1190">
        <w:trPr>
          <w:trHeight w:val="1863"/>
        </w:trPr>
        <w:tc>
          <w:tcPr>
            <w:tcW w:w="3652" w:type="dxa"/>
            <w:tcBorders>
              <w:top w:val="nil"/>
              <w:left w:val="nil"/>
              <w:bottom w:val="nil"/>
              <w:right w:val="nil"/>
            </w:tcBorders>
          </w:tcPr>
          <w:p w:rsidR="008E7846" w:rsidRPr="00096AA7" w:rsidRDefault="00BD42F6" w:rsidP="00BD42F6">
            <w:pPr>
              <w:rPr>
                <w:rFonts w:ascii="Arial" w:hAnsi="Arial" w:cs="Arial"/>
                <w:b/>
                <w:color w:val="002C47"/>
                <w:sz w:val="36"/>
                <w:szCs w:val="36"/>
              </w:rPr>
            </w:pPr>
            <w:r>
              <w:rPr>
                <w:rFonts w:ascii="Arial" w:hAnsi="Arial" w:cs="Arial"/>
                <w:b/>
                <w:color w:val="002C47"/>
                <w:sz w:val="36"/>
                <w:szCs w:val="36"/>
              </w:rPr>
              <w:t>June 2017</w:t>
            </w:r>
          </w:p>
        </w:tc>
      </w:tr>
    </w:tbl>
    <w:tbl>
      <w:tblPr>
        <w:tblpPr w:leftFromText="180" w:rightFromText="180" w:vertAnchor="page" w:tblpY="3316"/>
        <w:tblW w:w="9079" w:type="dxa"/>
        <w:tblLayout w:type="fixed"/>
        <w:tblLook w:val="04A0" w:firstRow="1" w:lastRow="0" w:firstColumn="1" w:lastColumn="0" w:noHBand="0" w:noVBand="1"/>
      </w:tblPr>
      <w:tblGrid>
        <w:gridCol w:w="9079"/>
      </w:tblGrid>
      <w:tr w:rsidR="0032583B" w:rsidRPr="00A964D1" w:rsidTr="0032583B">
        <w:trPr>
          <w:trHeight w:val="868"/>
        </w:trPr>
        <w:tc>
          <w:tcPr>
            <w:tcW w:w="9079" w:type="dxa"/>
          </w:tcPr>
          <w:p w:rsidR="0032583B" w:rsidRPr="00A964D1" w:rsidRDefault="0032583B" w:rsidP="00BD42F6">
            <w:pPr>
              <w:pStyle w:val="Title"/>
              <w:rPr>
                <w:color w:val="FFFFFF" w:themeColor="background1"/>
              </w:rPr>
            </w:pPr>
            <w:r w:rsidRPr="00A964D1">
              <w:rPr>
                <w:color w:val="FFFFFF" w:themeColor="background1"/>
              </w:rPr>
              <w:t xml:space="preserve">Australian Public Assessment Report for </w:t>
            </w:r>
            <w:bookmarkStart w:id="0" w:name="_GoBack"/>
            <w:proofErr w:type="spellStart"/>
            <w:r w:rsidR="00BD42F6" w:rsidRPr="00BD42F6">
              <w:rPr>
                <w:color w:val="FFFFFF" w:themeColor="background1"/>
              </w:rPr>
              <w:t>Golimumab</w:t>
            </w:r>
            <w:proofErr w:type="spellEnd"/>
            <w:r w:rsidR="00BD42F6" w:rsidRPr="00BD42F6">
              <w:rPr>
                <w:color w:val="FFFFFF" w:themeColor="background1"/>
              </w:rPr>
              <w:t xml:space="preserve"> (</w:t>
            </w:r>
            <w:proofErr w:type="spellStart"/>
            <w:r w:rsidR="00BD42F6" w:rsidRPr="00BD42F6">
              <w:rPr>
                <w:color w:val="FFFFFF" w:themeColor="background1"/>
              </w:rPr>
              <w:t>rmc</w:t>
            </w:r>
            <w:proofErr w:type="spellEnd"/>
            <w:r w:rsidR="00BD42F6" w:rsidRPr="00BD42F6">
              <w:rPr>
                <w:color w:val="FFFFFF" w:themeColor="background1"/>
              </w:rPr>
              <w:t>)</w:t>
            </w:r>
            <w:bookmarkEnd w:id="0"/>
          </w:p>
        </w:tc>
      </w:tr>
      <w:tr w:rsidR="0032583B" w:rsidRPr="00B64760" w:rsidTr="0032583B">
        <w:tc>
          <w:tcPr>
            <w:tcW w:w="9079" w:type="dxa"/>
          </w:tcPr>
          <w:p w:rsidR="0032583B" w:rsidRPr="008E7846" w:rsidRDefault="0032583B" w:rsidP="00BD42F6">
            <w:pPr>
              <w:pStyle w:val="Subtitle"/>
              <w:rPr>
                <w:color w:val="FFFFFF" w:themeColor="background1"/>
              </w:rPr>
            </w:pPr>
            <w:r w:rsidRPr="008E7846">
              <w:rPr>
                <w:color w:val="FFFFFF" w:themeColor="background1"/>
              </w:rPr>
              <w:t xml:space="preserve">Proprietary Product Name: </w:t>
            </w:r>
            <w:proofErr w:type="spellStart"/>
            <w:r w:rsidR="00BD42F6">
              <w:rPr>
                <w:color w:val="FFFFFF" w:themeColor="background1"/>
              </w:rPr>
              <w:t>Simponi</w:t>
            </w:r>
            <w:proofErr w:type="spellEnd"/>
            <w:r w:rsidRPr="008E7846">
              <w:rPr>
                <w:color w:val="FFFFFF" w:themeColor="background1"/>
              </w:rPr>
              <w:t xml:space="preserve"> </w:t>
            </w:r>
          </w:p>
        </w:tc>
      </w:tr>
      <w:tr w:rsidR="0032583B" w:rsidRPr="00B64760" w:rsidTr="0032583B">
        <w:trPr>
          <w:trHeight w:val="486"/>
        </w:trPr>
        <w:tc>
          <w:tcPr>
            <w:tcW w:w="9079" w:type="dxa"/>
          </w:tcPr>
          <w:p w:rsidR="0032583B" w:rsidRPr="008E7846" w:rsidRDefault="0032583B" w:rsidP="00BD42F6">
            <w:pPr>
              <w:pStyle w:val="Subtitle"/>
              <w:rPr>
                <w:color w:val="FFFFFF" w:themeColor="background1"/>
              </w:rPr>
            </w:pPr>
            <w:r w:rsidRPr="008E7846">
              <w:rPr>
                <w:color w:val="FFFFFF" w:themeColor="background1"/>
              </w:rPr>
              <w:t>Sponsor:</w:t>
            </w:r>
            <w:r w:rsidR="00004149">
              <w:rPr>
                <w:color w:val="FFFFFF" w:themeColor="background1"/>
              </w:rPr>
              <w:t xml:space="preserve"> </w:t>
            </w:r>
            <w:r w:rsidR="00BD42F6" w:rsidRPr="00BD42F6">
              <w:rPr>
                <w:color w:val="FFFFFF" w:themeColor="background1"/>
              </w:rPr>
              <w:t xml:space="preserve">Janssen </w:t>
            </w:r>
            <w:proofErr w:type="spellStart"/>
            <w:r w:rsidR="00BD42F6" w:rsidRPr="00BD42F6">
              <w:rPr>
                <w:color w:val="FFFFFF" w:themeColor="background1"/>
              </w:rPr>
              <w:t>Cilag</w:t>
            </w:r>
            <w:proofErr w:type="spellEnd"/>
            <w:r w:rsidR="00BD42F6" w:rsidRPr="00BD42F6">
              <w:rPr>
                <w:color w:val="FFFFFF" w:themeColor="background1"/>
              </w:rPr>
              <w:t xml:space="preserve"> Pty Ltd</w:t>
            </w:r>
            <w:r w:rsidRPr="008E7846">
              <w:rPr>
                <w:color w:val="FFFFFF" w:themeColor="background1"/>
              </w:rPr>
              <w:t xml:space="preserve"> </w:t>
            </w:r>
          </w:p>
        </w:tc>
      </w:tr>
    </w:tbl>
    <w:p w:rsidR="008E7846" w:rsidRPr="0085156D" w:rsidRDefault="008E7846" w:rsidP="0085156D">
      <w:r w:rsidRPr="0085156D">
        <w:br w:type="page"/>
      </w:r>
    </w:p>
    <w:p w:rsidR="008E7846" w:rsidRPr="001F6CBA" w:rsidRDefault="008E7846" w:rsidP="008E7846">
      <w:pPr>
        <w:pStyle w:val="NonTOCHeading2"/>
      </w:pPr>
      <w:r w:rsidRPr="001F6CBA">
        <w:lastRenderedPageBreak/>
        <w:t>About the Therapeutic Goods Administration (TGA)</w:t>
      </w:r>
    </w:p>
    <w:p w:rsidR="008E7846" w:rsidRDefault="008E7846" w:rsidP="008E7846">
      <w:pPr>
        <w:pStyle w:val="ListBullet"/>
        <w:numPr>
          <w:ilvl w:val="0"/>
          <w:numId w:val="3"/>
        </w:numPr>
        <w:ind w:left="357" w:hanging="357"/>
      </w:pPr>
      <w:r>
        <w:t xml:space="preserve">The Therapeutic Goods Administration (TGA) is </w:t>
      </w:r>
      <w:r w:rsidR="00E624A5">
        <w:t xml:space="preserve">part </w:t>
      </w:r>
      <w:r>
        <w:t>of the Australian Government Department of Health and is responsible for regulating medicines and medical devices.</w:t>
      </w:r>
    </w:p>
    <w:p w:rsidR="008E7846" w:rsidRDefault="00C80137" w:rsidP="008E7846">
      <w:pPr>
        <w:pStyle w:val="ListBullet"/>
        <w:numPr>
          <w:ilvl w:val="0"/>
          <w:numId w:val="3"/>
        </w:numPr>
        <w:ind w:left="357" w:hanging="357"/>
      </w:pPr>
      <w:r>
        <w:t xml:space="preserve">The </w:t>
      </w:r>
      <w:r w:rsidR="008E7846">
        <w:t xml:space="preserve">TGA administers the </w:t>
      </w:r>
      <w:r w:rsidR="008E7846" w:rsidRPr="00F640B6">
        <w:rPr>
          <w:i/>
        </w:rPr>
        <w:t>Therapeutic Goods Act 1989</w:t>
      </w:r>
      <w:r w:rsidR="00785717">
        <w:rPr>
          <w:i/>
        </w:rPr>
        <w:t xml:space="preserve"> </w:t>
      </w:r>
      <w:r w:rsidR="00785717" w:rsidRPr="00785717">
        <w:t>(the Act)</w:t>
      </w:r>
      <w:r w:rsidR="008E7846" w:rsidRPr="00785717">
        <w:t>,</w:t>
      </w:r>
      <w:r w:rsidR="008E7846">
        <w:t xml:space="preserve"> applying a risk management approach designed to ensure therapeutic goods supplied in Australia meet acceptable standards of quality, safety and efficacy (performance) when necessary.</w:t>
      </w:r>
    </w:p>
    <w:p w:rsidR="008E7846" w:rsidRDefault="008E7846" w:rsidP="008E7846">
      <w:pPr>
        <w:pStyle w:val="ListBullet"/>
        <w:numPr>
          <w:ilvl w:val="0"/>
          <w:numId w:val="3"/>
        </w:numPr>
        <w:ind w:left="357" w:hanging="357"/>
      </w:pPr>
      <w:r>
        <w:t>The work of the TGA is based on applying scientific and clinical expertise to decision-making, to ensure that the benefits to consumers outweigh any risks associated with the use of medicines and medical devices.</w:t>
      </w:r>
    </w:p>
    <w:p w:rsidR="008E7846" w:rsidRDefault="008E7846" w:rsidP="008E7846">
      <w:pPr>
        <w:pStyle w:val="ListBullet"/>
        <w:numPr>
          <w:ilvl w:val="0"/>
          <w:numId w:val="3"/>
        </w:numPr>
        <w:ind w:left="357" w:hanging="357"/>
      </w:pPr>
      <w:r>
        <w:t>The TGA relies on the public, healthcare professionals and industry to report problems with medicines or medical devices. TGA investigates reports received by it to determine any necessary regulatory action.</w:t>
      </w:r>
    </w:p>
    <w:p w:rsidR="00441C3F" w:rsidRDefault="008E7846" w:rsidP="00441C3F">
      <w:pPr>
        <w:pStyle w:val="ListBullet"/>
        <w:numPr>
          <w:ilvl w:val="0"/>
          <w:numId w:val="3"/>
        </w:numPr>
        <w:ind w:left="357" w:hanging="357"/>
      </w:pPr>
      <w:r>
        <w:t xml:space="preserve">To report a problem with a medicine or medical device, please see the information on </w:t>
      </w:r>
      <w:r w:rsidR="00441C3F">
        <w:t>the TGA website &lt;</w:t>
      </w:r>
      <w:hyperlink r:id="rId9" w:history="1">
        <w:r w:rsidR="00441C3F">
          <w:rPr>
            <w:rStyle w:val="Hyperlink"/>
          </w:rPr>
          <w:t>https://www.tga.gov.au</w:t>
        </w:r>
      </w:hyperlink>
      <w:r w:rsidR="00441C3F">
        <w:t>&gt;.</w:t>
      </w:r>
    </w:p>
    <w:p w:rsidR="008E7846" w:rsidRDefault="008E7846" w:rsidP="00875A6B">
      <w:pPr>
        <w:pStyle w:val="NonTOCHeading2"/>
      </w:pPr>
      <w:r>
        <w:t xml:space="preserve">About </w:t>
      </w:r>
      <w:proofErr w:type="spellStart"/>
      <w:r>
        <w:t>AusPARs</w:t>
      </w:r>
      <w:proofErr w:type="spellEnd"/>
    </w:p>
    <w:p w:rsidR="008E7846" w:rsidRDefault="008E7846" w:rsidP="008E7846">
      <w:pPr>
        <w:pStyle w:val="ListBullet"/>
        <w:numPr>
          <w:ilvl w:val="0"/>
          <w:numId w:val="3"/>
        </w:numPr>
        <w:ind w:left="357" w:hanging="357"/>
      </w:pPr>
      <w:r>
        <w:t>An Australian Public Assessment Re</w:t>
      </w:r>
      <w:r w:rsidR="00133A1B">
        <w:t>port</w:t>
      </w:r>
      <w:r>
        <w:t xml:space="preserve"> (AusPAR) provides information about the evaluation of a prescription medicine and the considerations that led the TGA to approve or not approve a pr</w:t>
      </w:r>
      <w:r w:rsidR="00441C3F">
        <w:t>escription medicine submission.</w:t>
      </w:r>
    </w:p>
    <w:p w:rsidR="008E7846" w:rsidRDefault="008E7846" w:rsidP="008E7846">
      <w:pPr>
        <w:pStyle w:val="ListBullet"/>
        <w:numPr>
          <w:ilvl w:val="0"/>
          <w:numId w:val="3"/>
        </w:numPr>
        <w:ind w:left="357" w:hanging="357"/>
      </w:pPr>
      <w:proofErr w:type="spellStart"/>
      <w:r>
        <w:t>AusPARs</w:t>
      </w:r>
      <w:proofErr w:type="spellEnd"/>
      <w:r>
        <w:t xml:space="preserve"> are prepared and published by the TGA.</w:t>
      </w:r>
    </w:p>
    <w:p w:rsidR="008E7846" w:rsidRDefault="008E7846" w:rsidP="008E7846">
      <w:pPr>
        <w:pStyle w:val="ListBullet"/>
        <w:numPr>
          <w:ilvl w:val="0"/>
          <w:numId w:val="3"/>
        </w:numPr>
        <w:ind w:left="357" w:hanging="357"/>
      </w:pPr>
      <w:r>
        <w:t>An AusPAR is prepared for submissions that relate to new chemical entities, generic medicines, major variations and extensions of indications.</w:t>
      </w:r>
    </w:p>
    <w:p w:rsidR="008E7846" w:rsidRDefault="008E7846" w:rsidP="008E7846">
      <w:pPr>
        <w:pStyle w:val="ListBullet"/>
        <w:numPr>
          <w:ilvl w:val="0"/>
          <w:numId w:val="3"/>
        </w:numPr>
        <w:ind w:left="357" w:hanging="357"/>
      </w:pPr>
      <w:r>
        <w:t>An AusPAR is a static document</w:t>
      </w:r>
      <w:r w:rsidR="00133A1B">
        <w:t>;</w:t>
      </w:r>
      <w:r>
        <w:t xml:space="preserve"> it provide</w:t>
      </w:r>
      <w:r w:rsidR="00133A1B">
        <w:t>s</w:t>
      </w:r>
      <w:r>
        <w:t xml:space="preserve"> information that relates to a submission at a particular point in time.</w:t>
      </w:r>
    </w:p>
    <w:p w:rsidR="00B452CE" w:rsidRDefault="008E7846" w:rsidP="00FF5755">
      <w:pPr>
        <w:pStyle w:val="ListBullet"/>
        <w:numPr>
          <w:ilvl w:val="0"/>
          <w:numId w:val="3"/>
        </w:numPr>
        <w:ind w:left="357" w:hanging="357"/>
      </w:pPr>
      <w:r>
        <w:t>A new AusPAR will be developed to reflect changes to indications and/or major variations to a prescription medicine subject to evaluation by the TGA.</w:t>
      </w:r>
    </w:p>
    <w:p w:rsidR="00924482" w:rsidRPr="00DF1D7F" w:rsidRDefault="00924482" w:rsidP="00F54B65">
      <w:pPr>
        <w:pStyle w:val="LegalSubheading"/>
        <w:spacing w:before="3120"/>
      </w:pPr>
      <w:r w:rsidRPr="00DF1D7F">
        <w:t>Copyright</w:t>
      </w:r>
    </w:p>
    <w:p w:rsidR="00924482" w:rsidRDefault="00924482" w:rsidP="00924482">
      <w:pPr>
        <w:pStyle w:val="LegalCopy"/>
      </w:pPr>
      <w:r w:rsidRPr="00191B3B">
        <w:rPr>
          <w:rFonts w:cs="Arial"/>
          <w:lang w:val="en-GB"/>
        </w:rPr>
        <w:t>© Comm</w:t>
      </w:r>
      <w:r>
        <w:rPr>
          <w:rFonts w:cs="Arial"/>
          <w:lang w:val="en-GB"/>
        </w:rPr>
        <w:t>onwealth of Australia 201</w:t>
      </w:r>
      <w:r w:rsidR="00EF59DC">
        <w:rPr>
          <w:rFonts w:cs="Arial"/>
          <w:lang w:val="en-GB"/>
        </w:rPr>
        <w:t>6</w:t>
      </w:r>
      <w:r w:rsidRPr="00191B3B">
        <w:rPr>
          <w:rFonts w:cs="Arial"/>
          <w:lang w:val="en-GB"/>
        </w:rPr>
        <w:br/>
      </w:r>
      <w:proofErr w:type="gramStart"/>
      <w:r w:rsidRPr="00191B3B">
        <w:rPr>
          <w:rFonts w:cs="Arial"/>
          <w:lang w:val="en-GB"/>
        </w:rPr>
        <w:t>This</w:t>
      </w:r>
      <w:proofErr w:type="gramEnd"/>
      <w:r w:rsidRPr="00191B3B">
        <w:rPr>
          <w:rFonts w:cs="Arial"/>
          <w:lang w:val="en-GB"/>
        </w:rPr>
        <w:t xml:space="preserve">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191B3B">
        <w:rPr>
          <w:rFonts w:cs="Arial"/>
          <w:i/>
          <w:lang w:val="en-GB"/>
        </w:rPr>
        <w:t>Copyright Act 1968</w:t>
      </w:r>
      <w:r w:rsidRPr="00191B3B">
        <w:rPr>
          <w:rFonts w:cs="Arial"/>
          <w:lang w:val="en-GB"/>
        </w:rPr>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t>
      </w:r>
      <w:proofErr w:type="spellStart"/>
      <w:r w:rsidRPr="00191B3B">
        <w:rPr>
          <w:rFonts w:cs="Arial"/>
          <w:lang w:val="en-GB"/>
        </w:rPr>
        <w:t>Woden</w:t>
      </w:r>
      <w:proofErr w:type="spellEnd"/>
      <w:r w:rsidRPr="00191B3B">
        <w:rPr>
          <w:rFonts w:cs="Arial"/>
          <w:lang w:val="en-GB"/>
        </w:rPr>
        <w:t xml:space="preserve"> ACT 2606 or emailed to &lt;</w:t>
      </w:r>
      <w:hyperlink r:id="rId10" w:history="1">
        <w:r w:rsidRPr="00191B3B">
          <w:rPr>
            <w:rStyle w:val="Hyperlink"/>
            <w:rFonts w:cs="Arial"/>
            <w:lang w:val="en-GB"/>
          </w:rPr>
          <w:t>tga.copyright@tga.gov.au</w:t>
        </w:r>
      </w:hyperlink>
      <w:r w:rsidRPr="00191B3B">
        <w:rPr>
          <w:rFonts w:cs="Arial"/>
        </w:rPr>
        <w:t>&gt;.</w:t>
      </w:r>
    </w:p>
    <w:p w:rsidR="00924482" w:rsidRDefault="00924482" w:rsidP="00924482">
      <w:pPr>
        <w:pStyle w:val="LegalCopy"/>
        <w:sectPr w:rsidR="00924482" w:rsidSect="003D1E62">
          <w:headerReference w:type="default" r:id="rId11"/>
          <w:footerReference w:type="default" r:id="rId12"/>
          <w:headerReference w:type="first" r:id="rId13"/>
          <w:pgSz w:w="11906" w:h="16838" w:code="9"/>
          <w:pgMar w:top="426" w:right="1701" w:bottom="0" w:left="1701" w:header="907" w:footer="142" w:gutter="0"/>
          <w:pgNumType w:fmt="lowerRoman" w:start="1"/>
          <w:cols w:space="708"/>
          <w:titlePg/>
          <w:docGrid w:linePitch="360"/>
        </w:sectPr>
      </w:pPr>
    </w:p>
    <w:bookmarkStart w:id="1" w:name="_Toc247691501" w:displacedByCustomXml="next"/>
    <w:bookmarkStart w:id="2" w:name="_Toc196046425" w:displacedByCustomXml="next"/>
    <w:sdt>
      <w:sdtPr>
        <w:rPr>
          <w:rFonts w:ascii="Cambria" w:hAnsi="Cambria"/>
          <w:b w:val="0"/>
          <w:bCs/>
          <w:sz w:val="22"/>
        </w:rPr>
        <w:id w:val="5618007"/>
        <w:docPartObj>
          <w:docPartGallery w:val="Table of Contents"/>
          <w:docPartUnique/>
        </w:docPartObj>
      </w:sdtPr>
      <w:sdtEndPr>
        <w:rPr>
          <w:b/>
          <w:bCs w:val="0"/>
          <w:sz w:val="25"/>
        </w:rPr>
      </w:sdtEndPr>
      <w:sdtContent>
        <w:p w:rsidR="0089635C" w:rsidRPr="0089635C" w:rsidRDefault="0089635C" w:rsidP="0010788A">
          <w:pPr>
            <w:pStyle w:val="Contents"/>
          </w:pPr>
          <w:r w:rsidRPr="0010788A">
            <w:t>Contents</w:t>
          </w:r>
        </w:p>
        <w:p w:rsidR="00101E94" w:rsidRDefault="00DB6124">
          <w:pPr>
            <w:pStyle w:val="TOC2"/>
            <w:rPr>
              <w:rFonts w:asciiTheme="minorHAnsi" w:eastAsiaTheme="minorEastAsia" w:hAnsiTheme="minorHAnsi" w:cstheme="minorBidi"/>
              <w:b w:val="0"/>
              <w:noProof/>
              <w:sz w:val="22"/>
              <w:lang w:eastAsia="en-AU"/>
            </w:rPr>
          </w:pPr>
          <w:r>
            <w:fldChar w:fldCharType="begin"/>
          </w:r>
          <w:r w:rsidR="0089635C">
            <w:instrText xml:space="preserve"> TOC \o "1-3" \h \z \u </w:instrText>
          </w:r>
          <w:r>
            <w:fldChar w:fldCharType="separate"/>
          </w:r>
          <w:hyperlink w:anchor="_Toc487718614" w:history="1">
            <w:r w:rsidR="00101E94" w:rsidRPr="0094462E">
              <w:rPr>
                <w:rStyle w:val="Hyperlink"/>
                <w:noProof/>
              </w:rPr>
              <w:t>Common abbreviations</w:t>
            </w:r>
            <w:r w:rsidR="00101E94">
              <w:rPr>
                <w:noProof/>
                <w:webHidden/>
              </w:rPr>
              <w:tab/>
            </w:r>
            <w:r w:rsidR="00101E94">
              <w:rPr>
                <w:noProof/>
                <w:webHidden/>
              </w:rPr>
              <w:fldChar w:fldCharType="begin"/>
            </w:r>
            <w:r w:rsidR="00101E94">
              <w:rPr>
                <w:noProof/>
                <w:webHidden/>
              </w:rPr>
              <w:instrText xml:space="preserve"> PAGEREF _Toc487718614 \h </w:instrText>
            </w:r>
            <w:r w:rsidR="00101E94">
              <w:rPr>
                <w:noProof/>
                <w:webHidden/>
              </w:rPr>
            </w:r>
            <w:r w:rsidR="00101E94">
              <w:rPr>
                <w:noProof/>
                <w:webHidden/>
              </w:rPr>
              <w:fldChar w:fldCharType="separate"/>
            </w:r>
            <w:r w:rsidR="00101E94">
              <w:rPr>
                <w:noProof/>
                <w:webHidden/>
              </w:rPr>
              <w:t>4</w:t>
            </w:r>
            <w:r w:rsidR="00101E94">
              <w:rPr>
                <w:noProof/>
                <w:webHidden/>
              </w:rPr>
              <w:fldChar w:fldCharType="end"/>
            </w:r>
          </w:hyperlink>
        </w:p>
        <w:p w:rsidR="00101E94" w:rsidRDefault="00101E94">
          <w:pPr>
            <w:pStyle w:val="TOC2"/>
            <w:rPr>
              <w:rFonts w:asciiTheme="minorHAnsi" w:eastAsiaTheme="minorEastAsia" w:hAnsiTheme="minorHAnsi" w:cstheme="minorBidi"/>
              <w:b w:val="0"/>
              <w:noProof/>
              <w:sz w:val="22"/>
              <w:lang w:eastAsia="en-AU"/>
            </w:rPr>
          </w:pPr>
          <w:hyperlink w:anchor="_Toc487718615" w:history="1">
            <w:r w:rsidRPr="0094462E">
              <w:rPr>
                <w:rStyle w:val="Hyperlink"/>
                <w:noProof/>
              </w:rPr>
              <w:t>I. Introduction to product submission</w:t>
            </w:r>
            <w:r>
              <w:rPr>
                <w:noProof/>
                <w:webHidden/>
              </w:rPr>
              <w:tab/>
            </w:r>
            <w:r>
              <w:rPr>
                <w:noProof/>
                <w:webHidden/>
              </w:rPr>
              <w:fldChar w:fldCharType="begin"/>
            </w:r>
            <w:r>
              <w:rPr>
                <w:noProof/>
                <w:webHidden/>
              </w:rPr>
              <w:instrText xml:space="preserve"> PAGEREF _Toc487718615 \h </w:instrText>
            </w:r>
            <w:r>
              <w:rPr>
                <w:noProof/>
                <w:webHidden/>
              </w:rPr>
            </w:r>
            <w:r>
              <w:rPr>
                <w:noProof/>
                <w:webHidden/>
              </w:rPr>
              <w:fldChar w:fldCharType="separate"/>
            </w:r>
            <w:r>
              <w:rPr>
                <w:noProof/>
                <w:webHidden/>
              </w:rPr>
              <w:t>7</w:t>
            </w:r>
            <w:r>
              <w:rPr>
                <w:noProof/>
                <w:webHidden/>
              </w:rPr>
              <w:fldChar w:fldCharType="end"/>
            </w:r>
          </w:hyperlink>
        </w:p>
        <w:p w:rsidR="00101E94" w:rsidRDefault="00FC4250">
          <w:pPr>
            <w:pStyle w:val="TOC3"/>
            <w:rPr>
              <w:rFonts w:asciiTheme="minorHAnsi" w:eastAsiaTheme="minorEastAsia" w:hAnsiTheme="minorHAnsi" w:cstheme="minorBidi"/>
              <w:noProof/>
              <w:lang w:eastAsia="en-AU"/>
            </w:rPr>
          </w:pPr>
          <w:hyperlink w:anchor="_Toc487718616" w:history="1">
            <w:r w:rsidR="00101E94" w:rsidRPr="0094462E">
              <w:rPr>
                <w:rStyle w:val="Hyperlink"/>
                <w:noProof/>
                <w:lang w:eastAsia="en-AU"/>
              </w:rPr>
              <w:t>Submission details</w:t>
            </w:r>
            <w:r w:rsidR="00101E94">
              <w:rPr>
                <w:noProof/>
                <w:webHidden/>
              </w:rPr>
              <w:tab/>
            </w:r>
            <w:r w:rsidR="00101E94">
              <w:rPr>
                <w:noProof/>
                <w:webHidden/>
              </w:rPr>
              <w:fldChar w:fldCharType="begin"/>
            </w:r>
            <w:r w:rsidR="00101E94">
              <w:rPr>
                <w:noProof/>
                <w:webHidden/>
              </w:rPr>
              <w:instrText xml:space="preserve"> PAGEREF _Toc487718616 \h </w:instrText>
            </w:r>
            <w:r w:rsidR="00101E94">
              <w:rPr>
                <w:noProof/>
                <w:webHidden/>
              </w:rPr>
            </w:r>
            <w:r w:rsidR="00101E94">
              <w:rPr>
                <w:noProof/>
                <w:webHidden/>
              </w:rPr>
              <w:fldChar w:fldCharType="separate"/>
            </w:r>
            <w:r w:rsidR="00101E94">
              <w:rPr>
                <w:noProof/>
                <w:webHidden/>
              </w:rPr>
              <w:t>7</w:t>
            </w:r>
            <w:r w:rsidR="00101E94">
              <w:rPr>
                <w:noProof/>
                <w:webHidden/>
              </w:rPr>
              <w:fldChar w:fldCharType="end"/>
            </w:r>
          </w:hyperlink>
        </w:p>
        <w:p w:rsidR="00101E94" w:rsidRDefault="00FC4250">
          <w:pPr>
            <w:pStyle w:val="TOC3"/>
            <w:rPr>
              <w:rFonts w:asciiTheme="minorHAnsi" w:eastAsiaTheme="minorEastAsia" w:hAnsiTheme="minorHAnsi" w:cstheme="minorBidi"/>
              <w:noProof/>
              <w:lang w:eastAsia="en-AU"/>
            </w:rPr>
          </w:pPr>
          <w:hyperlink w:anchor="_Toc487718617" w:history="1">
            <w:r w:rsidR="00101E94" w:rsidRPr="0094462E">
              <w:rPr>
                <w:rStyle w:val="Hyperlink"/>
                <w:noProof/>
              </w:rPr>
              <w:t>Product background</w:t>
            </w:r>
            <w:r w:rsidR="00101E94">
              <w:rPr>
                <w:noProof/>
                <w:webHidden/>
              </w:rPr>
              <w:tab/>
            </w:r>
            <w:r w:rsidR="00101E94">
              <w:rPr>
                <w:noProof/>
                <w:webHidden/>
              </w:rPr>
              <w:fldChar w:fldCharType="begin"/>
            </w:r>
            <w:r w:rsidR="00101E94">
              <w:rPr>
                <w:noProof/>
                <w:webHidden/>
              </w:rPr>
              <w:instrText xml:space="preserve"> PAGEREF _Toc487718617 \h </w:instrText>
            </w:r>
            <w:r w:rsidR="00101E94">
              <w:rPr>
                <w:noProof/>
                <w:webHidden/>
              </w:rPr>
            </w:r>
            <w:r w:rsidR="00101E94">
              <w:rPr>
                <w:noProof/>
                <w:webHidden/>
              </w:rPr>
              <w:fldChar w:fldCharType="separate"/>
            </w:r>
            <w:r w:rsidR="00101E94">
              <w:rPr>
                <w:noProof/>
                <w:webHidden/>
              </w:rPr>
              <w:t>8</w:t>
            </w:r>
            <w:r w:rsidR="00101E94">
              <w:rPr>
                <w:noProof/>
                <w:webHidden/>
              </w:rPr>
              <w:fldChar w:fldCharType="end"/>
            </w:r>
          </w:hyperlink>
        </w:p>
        <w:p w:rsidR="00101E94" w:rsidRDefault="00FC4250">
          <w:pPr>
            <w:pStyle w:val="TOC3"/>
            <w:rPr>
              <w:rFonts w:asciiTheme="minorHAnsi" w:eastAsiaTheme="minorEastAsia" w:hAnsiTheme="minorHAnsi" w:cstheme="minorBidi"/>
              <w:noProof/>
              <w:lang w:eastAsia="en-AU"/>
            </w:rPr>
          </w:pPr>
          <w:hyperlink w:anchor="_Toc487718618" w:history="1">
            <w:r w:rsidR="00101E94" w:rsidRPr="0094462E">
              <w:rPr>
                <w:rStyle w:val="Hyperlink"/>
                <w:noProof/>
              </w:rPr>
              <w:t>Regulatory status</w:t>
            </w:r>
            <w:r w:rsidR="00101E94">
              <w:rPr>
                <w:noProof/>
                <w:webHidden/>
              </w:rPr>
              <w:tab/>
            </w:r>
            <w:r w:rsidR="00101E94">
              <w:rPr>
                <w:noProof/>
                <w:webHidden/>
              </w:rPr>
              <w:fldChar w:fldCharType="begin"/>
            </w:r>
            <w:r w:rsidR="00101E94">
              <w:rPr>
                <w:noProof/>
                <w:webHidden/>
              </w:rPr>
              <w:instrText xml:space="preserve"> PAGEREF _Toc487718618 \h </w:instrText>
            </w:r>
            <w:r w:rsidR="00101E94">
              <w:rPr>
                <w:noProof/>
                <w:webHidden/>
              </w:rPr>
            </w:r>
            <w:r w:rsidR="00101E94">
              <w:rPr>
                <w:noProof/>
                <w:webHidden/>
              </w:rPr>
              <w:fldChar w:fldCharType="separate"/>
            </w:r>
            <w:r w:rsidR="00101E94">
              <w:rPr>
                <w:noProof/>
                <w:webHidden/>
              </w:rPr>
              <w:t>10</w:t>
            </w:r>
            <w:r w:rsidR="00101E94">
              <w:rPr>
                <w:noProof/>
                <w:webHidden/>
              </w:rPr>
              <w:fldChar w:fldCharType="end"/>
            </w:r>
          </w:hyperlink>
        </w:p>
        <w:p w:rsidR="00101E94" w:rsidRDefault="00FC4250">
          <w:pPr>
            <w:pStyle w:val="TOC3"/>
            <w:rPr>
              <w:rFonts w:asciiTheme="minorHAnsi" w:eastAsiaTheme="minorEastAsia" w:hAnsiTheme="minorHAnsi" w:cstheme="minorBidi"/>
              <w:noProof/>
              <w:lang w:eastAsia="en-AU"/>
            </w:rPr>
          </w:pPr>
          <w:hyperlink w:anchor="_Toc487718619" w:history="1">
            <w:r w:rsidR="00101E94" w:rsidRPr="0094462E">
              <w:rPr>
                <w:rStyle w:val="Hyperlink"/>
                <w:noProof/>
              </w:rPr>
              <w:t>Product Information</w:t>
            </w:r>
            <w:r w:rsidR="00101E94">
              <w:rPr>
                <w:noProof/>
                <w:webHidden/>
              </w:rPr>
              <w:tab/>
            </w:r>
            <w:r w:rsidR="00101E94">
              <w:rPr>
                <w:noProof/>
                <w:webHidden/>
              </w:rPr>
              <w:fldChar w:fldCharType="begin"/>
            </w:r>
            <w:r w:rsidR="00101E94">
              <w:rPr>
                <w:noProof/>
                <w:webHidden/>
              </w:rPr>
              <w:instrText xml:space="preserve"> PAGEREF _Toc487718619 \h </w:instrText>
            </w:r>
            <w:r w:rsidR="00101E94">
              <w:rPr>
                <w:noProof/>
                <w:webHidden/>
              </w:rPr>
            </w:r>
            <w:r w:rsidR="00101E94">
              <w:rPr>
                <w:noProof/>
                <w:webHidden/>
              </w:rPr>
              <w:fldChar w:fldCharType="separate"/>
            </w:r>
            <w:r w:rsidR="00101E94">
              <w:rPr>
                <w:noProof/>
                <w:webHidden/>
              </w:rPr>
              <w:t>10</w:t>
            </w:r>
            <w:r w:rsidR="00101E94">
              <w:rPr>
                <w:noProof/>
                <w:webHidden/>
              </w:rPr>
              <w:fldChar w:fldCharType="end"/>
            </w:r>
          </w:hyperlink>
        </w:p>
        <w:p w:rsidR="00101E94" w:rsidRDefault="00FC4250">
          <w:pPr>
            <w:pStyle w:val="TOC2"/>
            <w:rPr>
              <w:rFonts w:asciiTheme="minorHAnsi" w:eastAsiaTheme="minorEastAsia" w:hAnsiTheme="minorHAnsi" w:cstheme="minorBidi"/>
              <w:b w:val="0"/>
              <w:noProof/>
              <w:sz w:val="22"/>
              <w:lang w:eastAsia="en-AU"/>
            </w:rPr>
          </w:pPr>
          <w:hyperlink w:anchor="_Toc487718620" w:history="1">
            <w:r w:rsidR="00101E94" w:rsidRPr="0094462E">
              <w:rPr>
                <w:rStyle w:val="Hyperlink"/>
                <w:noProof/>
              </w:rPr>
              <w:t>II. Quality findings</w:t>
            </w:r>
            <w:r w:rsidR="00101E94">
              <w:rPr>
                <w:noProof/>
                <w:webHidden/>
              </w:rPr>
              <w:tab/>
            </w:r>
            <w:r w:rsidR="00101E94">
              <w:rPr>
                <w:noProof/>
                <w:webHidden/>
              </w:rPr>
              <w:fldChar w:fldCharType="begin"/>
            </w:r>
            <w:r w:rsidR="00101E94">
              <w:rPr>
                <w:noProof/>
                <w:webHidden/>
              </w:rPr>
              <w:instrText xml:space="preserve"> PAGEREF _Toc487718620 \h </w:instrText>
            </w:r>
            <w:r w:rsidR="00101E94">
              <w:rPr>
                <w:noProof/>
                <w:webHidden/>
              </w:rPr>
            </w:r>
            <w:r w:rsidR="00101E94">
              <w:rPr>
                <w:noProof/>
                <w:webHidden/>
              </w:rPr>
              <w:fldChar w:fldCharType="separate"/>
            </w:r>
            <w:r w:rsidR="00101E94">
              <w:rPr>
                <w:noProof/>
                <w:webHidden/>
              </w:rPr>
              <w:t>10</w:t>
            </w:r>
            <w:r w:rsidR="00101E94">
              <w:rPr>
                <w:noProof/>
                <w:webHidden/>
              </w:rPr>
              <w:fldChar w:fldCharType="end"/>
            </w:r>
          </w:hyperlink>
        </w:p>
        <w:p w:rsidR="00101E94" w:rsidRDefault="00FC4250">
          <w:pPr>
            <w:pStyle w:val="TOC2"/>
            <w:rPr>
              <w:rFonts w:asciiTheme="minorHAnsi" w:eastAsiaTheme="minorEastAsia" w:hAnsiTheme="minorHAnsi" w:cstheme="minorBidi"/>
              <w:b w:val="0"/>
              <w:noProof/>
              <w:sz w:val="22"/>
              <w:lang w:eastAsia="en-AU"/>
            </w:rPr>
          </w:pPr>
          <w:hyperlink w:anchor="_Toc487718621" w:history="1">
            <w:r w:rsidR="00101E94" w:rsidRPr="0094462E">
              <w:rPr>
                <w:rStyle w:val="Hyperlink"/>
                <w:noProof/>
              </w:rPr>
              <w:t>III. Nonclinical findings</w:t>
            </w:r>
            <w:r w:rsidR="00101E94">
              <w:rPr>
                <w:noProof/>
                <w:webHidden/>
              </w:rPr>
              <w:tab/>
            </w:r>
            <w:r w:rsidR="00101E94">
              <w:rPr>
                <w:noProof/>
                <w:webHidden/>
              </w:rPr>
              <w:fldChar w:fldCharType="begin"/>
            </w:r>
            <w:r w:rsidR="00101E94">
              <w:rPr>
                <w:noProof/>
                <w:webHidden/>
              </w:rPr>
              <w:instrText xml:space="preserve"> PAGEREF _Toc487718621 \h </w:instrText>
            </w:r>
            <w:r w:rsidR="00101E94">
              <w:rPr>
                <w:noProof/>
                <w:webHidden/>
              </w:rPr>
            </w:r>
            <w:r w:rsidR="00101E94">
              <w:rPr>
                <w:noProof/>
                <w:webHidden/>
              </w:rPr>
              <w:fldChar w:fldCharType="separate"/>
            </w:r>
            <w:r w:rsidR="00101E94">
              <w:rPr>
                <w:noProof/>
                <w:webHidden/>
              </w:rPr>
              <w:t>10</w:t>
            </w:r>
            <w:r w:rsidR="00101E94">
              <w:rPr>
                <w:noProof/>
                <w:webHidden/>
              </w:rPr>
              <w:fldChar w:fldCharType="end"/>
            </w:r>
          </w:hyperlink>
        </w:p>
        <w:p w:rsidR="00101E94" w:rsidRDefault="00FC4250">
          <w:pPr>
            <w:pStyle w:val="TOC2"/>
            <w:rPr>
              <w:rFonts w:asciiTheme="minorHAnsi" w:eastAsiaTheme="minorEastAsia" w:hAnsiTheme="minorHAnsi" w:cstheme="minorBidi"/>
              <w:b w:val="0"/>
              <w:noProof/>
              <w:sz w:val="22"/>
              <w:lang w:eastAsia="en-AU"/>
            </w:rPr>
          </w:pPr>
          <w:hyperlink w:anchor="_Toc487718622" w:history="1">
            <w:r w:rsidR="00101E94" w:rsidRPr="0094462E">
              <w:rPr>
                <w:rStyle w:val="Hyperlink"/>
                <w:noProof/>
              </w:rPr>
              <w:t>IV. Clinical findings</w:t>
            </w:r>
            <w:r w:rsidR="00101E94">
              <w:rPr>
                <w:noProof/>
                <w:webHidden/>
              </w:rPr>
              <w:tab/>
            </w:r>
            <w:r w:rsidR="00101E94">
              <w:rPr>
                <w:noProof/>
                <w:webHidden/>
              </w:rPr>
              <w:fldChar w:fldCharType="begin"/>
            </w:r>
            <w:r w:rsidR="00101E94">
              <w:rPr>
                <w:noProof/>
                <w:webHidden/>
              </w:rPr>
              <w:instrText xml:space="preserve"> PAGEREF _Toc487718622 \h </w:instrText>
            </w:r>
            <w:r w:rsidR="00101E94">
              <w:rPr>
                <w:noProof/>
                <w:webHidden/>
              </w:rPr>
            </w:r>
            <w:r w:rsidR="00101E94">
              <w:rPr>
                <w:noProof/>
                <w:webHidden/>
              </w:rPr>
              <w:fldChar w:fldCharType="separate"/>
            </w:r>
            <w:r w:rsidR="00101E94">
              <w:rPr>
                <w:noProof/>
                <w:webHidden/>
              </w:rPr>
              <w:t>10</w:t>
            </w:r>
            <w:r w:rsidR="00101E94">
              <w:rPr>
                <w:noProof/>
                <w:webHidden/>
              </w:rPr>
              <w:fldChar w:fldCharType="end"/>
            </w:r>
          </w:hyperlink>
        </w:p>
        <w:p w:rsidR="00101E94" w:rsidRDefault="00FC4250">
          <w:pPr>
            <w:pStyle w:val="TOC3"/>
            <w:rPr>
              <w:rFonts w:asciiTheme="minorHAnsi" w:eastAsiaTheme="minorEastAsia" w:hAnsiTheme="minorHAnsi" w:cstheme="minorBidi"/>
              <w:noProof/>
              <w:lang w:eastAsia="en-AU"/>
            </w:rPr>
          </w:pPr>
          <w:hyperlink w:anchor="_Toc487718623" w:history="1">
            <w:r w:rsidR="00101E94" w:rsidRPr="0094462E">
              <w:rPr>
                <w:rStyle w:val="Hyperlink"/>
                <w:noProof/>
              </w:rPr>
              <w:t>Introduction</w:t>
            </w:r>
            <w:r w:rsidR="00101E94">
              <w:rPr>
                <w:noProof/>
                <w:webHidden/>
              </w:rPr>
              <w:tab/>
            </w:r>
            <w:r w:rsidR="00101E94">
              <w:rPr>
                <w:noProof/>
                <w:webHidden/>
              </w:rPr>
              <w:fldChar w:fldCharType="begin"/>
            </w:r>
            <w:r w:rsidR="00101E94">
              <w:rPr>
                <w:noProof/>
                <w:webHidden/>
              </w:rPr>
              <w:instrText xml:space="preserve"> PAGEREF _Toc487718623 \h </w:instrText>
            </w:r>
            <w:r w:rsidR="00101E94">
              <w:rPr>
                <w:noProof/>
                <w:webHidden/>
              </w:rPr>
            </w:r>
            <w:r w:rsidR="00101E94">
              <w:rPr>
                <w:noProof/>
                <w:webHidden/>
              </w:rPr>
              <w:fldChar w:fldCharType="separate"/>
            </w:r>
            <w:r w:rsidR="00101E94">
              <w:rPr>
                <w:noProof/>
                <w:webHidden/>
              </w:rPr>
              <w:t>10</w:t>
            </w:r>
            <w:r w:rsidR="00101E94">
              <w:rPr>
                <w:noProof/>
                <w:webHidden/>
              </w:rPr>
              <w:fldChar w:fldCharType="end"/>
            </w:r>
          </w:hyperlink>
        </w:p>
        <w:p w:rsidR="00101E94" w:rsidRDefault="00FC4250">
          <w:pPr>
            <w:pStyle w:val="TOC3"/>
            <w:rPr>
              <w:rFonts w:asciiTheme="minorHAnsi" w:eastAsiaTheme="minorEastAsia" w:hAnsiTheme="minorHAnsi" w:cstheme="minorBidi"/>
              <w:noProof/>
              <w:lang w:eastAsia="en-AU"/>
            </w:rPr>
          </w:pPr>
          <w:hyperlink w:anchor="_Toc487718624" w:history="1">
            <w:r w:rsidR="00101E94" w:rsidRPr="0094462E">
              <w:rPr>
                <w:rStyle w:val="Hyperlink"/>
                <w:noProof/>
              </w:rPr>
              <w:t>Pharmacokinetics</w:t>
            </w:r>
            <w:r w:rsidR="00101E94">
              <w:rPr>
                <w:noProof/>
                <w:webHidden/>
              </w:rPr>
              <w:tab/>
            </w:r>
            <w:r w:rsidR="00101E94">
              <w:rPr>
                <w:noProof/>
                <w:webHidden/>
              </w:rPr>
              <w:fldChar w:fldCharType="begin"/>
            </w:r>
            <w:r w:rsidR="00101E94">
              <w:rPr>
                <w:noProof/>
                <w:webHidden/>
              </w:rPr>
              <w:instrText xml:space="preserve"> PAGEREF _Toc487718624 \h </w:instrText>
            </w:r>
            <w:r w:rsidR="00101E94">
              <w:rPr>
                <w:noProof/>
                <w:webHidden/>
              </w:rPr>
            </w:r>
            <w:r w:rsidR="00101E94">
              <w:rPr>
                <w:noProof/>
                <w:webHidden/>
              </w:rPr>
              <w:fldChar w:fldCharType="separate"/>
            </w:r>
            <w:r w:rsidR="00101E94">
              <w:rPr>
                <w:noProof/>
                <w:webHidden/>
              </w:rPr>
              <w:t>12</w:t>
            </w:r>
            <w:r w:rsidR="00101E94">
              <w:rPr>
                <w:noProof/>
                <w:webHidden/>
              </w:rPr>
              <w:fldChar w:fldCharType="end"/>
            </w:r>
          </w:hyperlink>
        </w:p>
        <w:p w:rsidR="00101E94" w:rsidRDefault="00FC4250">
          <w:pPr>
            <w:pStyle w:val="TOC3"/>
            <w:rPr>
              <w:rFonts w:asciiTheme="minorHAnsi" w:eastAsiaTheme="minorEastAsia" w:hAnsiTheme="minorHAnsi" w:cstheme="minorBidi"/>
              <w:noProof/>
              <w:lang w:eastAsia="en-AU"/>
            </w:rPr>
          </w:pPr>
          <w:hyperlink w:anchor="_Toc487718625" w:history="1">
            <w:r w:rsidR="00101E94" w:rsidRPr="0094462E">
              <w:rPr>
                <w:rStyle w:val="Hyperlink"/>
                <w:noProof/>
              </w:rPr>
              <w:t>Pharmacodynamics</w:t>
            </w:r>
            <w:r w:rsidR="00101E94">
              <w:rPr>
                <w:noProof/>
                <w:webHidden/>
              </w:rPr>
              <w:tab/>
            </w:r>
            <w:r w:rsidR="00101E94">
              <w:rPr>
                <w:noProof/>
                <w:webHidden/>
              </w:rPr>
              <w:fldChar w:fldCharType="begin"/>
            </w:r>
            <w:r w:rsidR="00101E94">
              <w:rPr>
                <w:noProof/>
                <w:webHidden/>
              </w:rPr>
              <w:instrText xml:space="preserve"> PAGEREF _Toc487718625 \h </w:instrText>
            </w:r>
            <w:r w:rsidR="00101E94">
              <w:rPr>
                <w:noProof/>
                <w:webHidden/>
              </w:rPr>
            </w:r>
            <w:r w:rsidR="00101E94">
              <w:rPr>
                <w:noProof/>
                <w:webHidden/>
              </w:rPr>
              <w:fldChar w:fldCharType="separate"/>
            </w:r>
            <w:r w:rsidR="00101E94">
              <w:rPr>
                <w:noProof/>
                <w:webHidden/>
              </w:rPr>
              <w:t>13</w:t>
            </w:r>
            <w:r w:rsidR="00101E94">
              <w:rPr>
                <w:noProof/>
                <w:webHidden/>
              </w:rPr>
              <w:fldChar w:fldCharType="end"/>
            </w:r>
          </w:hyperlink>
        </w:p>
        <w:p w:rsidR="00101E94" w:rsidRDefault="00FC4250">
          <w:pPr>
            <w:pStyle w:val="TOC3"/>
            <w:rPr>
              <w:rFonts w:asciiTheme="minorHAnsi" w:eastAsiaTheme="minorEastAsia" w:hAnsiTheme="minorHAnsi" w:cstheme="minorBidi"/>
              <w:noProof/>
              <w:lang w:eastAsia="en-AU"/>
            </w:rPr>
          </w:pPr>
          <w:hyperlink w:anchor="_Toc487718626" w:history="1">
            <w:r w:rsidR="00101E94" w:rsidRPr="0094462E">
              <w:rPr>
                <w:rStyle w:val="Hyperlink"/>
                <w:noProof/>
              </w:rPr>
              <w:t>Dosage selection for the pivotal studies</w:t>
            </w:r>
            <w:r w:rsidR="00101E94">
              <w:rPr>
                <w:noProof/>
                <w:webHidden/>
              </w:rPr>
              <w:tab/>
            </w:r>
            <w:r w:rsidR="00101E94">
              <w:rPr>
                <w:noProof/>
                <w:webHidden/>
              </w:rPr>
              <w:fldChar w:fldCharType="begin"/>
            </w:r>
            <w:r w:rsidR="00101E94">
              <w:rPr>
                <w:noProof/>
                <w:webHidden/>
              </w:rPr>
              <w:instrText xml:space="preserve"> PAGEREF _Toc487718626 \h </w:instrText>
            </w:r>
            <w:r w:rsidR="00101E94">
              <w:rPr>
                <w:noProof/>
                <w:webHidden/>
              </w:rPr>
            </w:r>
            <w:r w:rsidR="00101E94">
              <w:rPr>
                <w:noProof/>
                <w:webHidden/>
              </w:rPr>
              <w:fldChar w:fldCharType="separate"/>
            </w:r>
            <w:r w:rsidR="00101E94">
              <w:rPr>
                <w:noProof/>
                <w:webHidden/>
              </w:rPr>
              <w:t>13</w:t>
            </w:r>
            <w:r w:rsidR="00101E94">
              <w:rPr>
                <w:noProof/>
                <w:webHidden/>
              </w:rPr>
              <w:fldChar w:fldCharType="end"/>
            </w:r>
          </w:hyperlink>
        </w:p>
        <w:p w:rsidR="00101E94" w:rsidRDefault="00FC4250">
          <w:pPr>
            <w:pStyle w:val="TOC3"/>
            <w:rPr>
              <w:rFonts w:asciiTheme="minorHAnsi" w:eastAsiaTheme="minorEastAsia" w:hAnsiTheme="minorHAnsi" w:cstheme="minorBidi"/>
              <w:noProof/>
              <w:lang w:eastAsia="en-AU"/>
            </w:rPr>
          </w:pPr>
          <w:hyperlink w:anchor="_Toc487718627" w:history="1">
            <w:r w:rsidR="00101E94" w:rsidRPr="0094462E">
              <w:rPr>
                <w:rStyle w:val="Hyperlink"/>
                <w:noProof/>
              </w:rPr>
              <w:t>Efficacy</w:t>
            </w:r>
            <w:r w:rsidR="00101E94">
              <w:rPr>
                <w:noProof/>
                <w:webHidden/>
              </w:rPr>
              <w:tab/>
            </w:r>
            <w:r w:rsidR="00101E94">
              <w:rPr>
                <w:noProof/>
                <w:webHidden/>
              </w:rPr>
              <w:fldChar w:fldCharType="begin"/>
            </w:r>
            <w:r w:rsidR="00101E94">
              <w:rPr>
                <w:noProof/>
                <w:webHidden/>
              </w:rPr>
              <w:instrText xml:space="preserve"> PAGEREF _Toc487718627 \h </w:instrText>
            </w:r>
            <w:r w:rsidR="00101E94">
              <w:rPr>
                <w:noProof/>
                <w:webHidden/>
              </w:rPr>
            </w:r>
            <w:r w:rsidR="00101E94">
              <w:rPr>
                <w:noProof/>
                <w:webHidden/>
              </w:rPr>
              <w:fldChar w:fldCharType="separate"/>
            </w:r>
            <w:r w:rsidR="00101E94">
              <w:rPr>
                <w:noProof/>
                <w:webHidden/>
              </w:rPr>
              <w:t>13</w:t>
            </w:r>
            <w:r w:rsidR="00101E94">
              <w:rPr>
                <w:noProof/>
                <w:webHidden/>
              </w:rPr>
              <w:fldChar w:fldCharType="end"/>
            </w:r>
          </w:hyperlink>
        </w:p>
        <w:p w:rsidR="00101E94" w:rsidRDefault="00FC4250">
          <w:pPr>
            <w:pStyle w:val="TOC3"/>
            <w:rPr>
              <w:rFonts w:asciiTheme="minorHAnsi" w:eastAsiaTheme="minorEastAsia" w:hAnsiTheme="minorHAnsi" w:cstheme="minorBidi"/>
              <w:noProof/>
              <w:lang w:eastAsia="en-AU"/>
            </w:rPr>
          </w:pPr>
          <w:hyperlink w:anchor="_Toc487718628" w:history="1">
            <w:r w:rsidR="00101E94" w:rsidRPr="0094462E">
              <w:rPr>
                <w:rStyle w:val="Hyperlink"/>
                <w:noProof/>
              </w:rPr>
              <w:t>Safety</w:t>
            </w:r>
            <w:r w:rsidR="00101E94">
              <w:rPr>
                <w:noProof/>
                <w:webHidden/>
              </w:rPr>
              <w:tab/>
            </w:r>
            <w:r w:rsidR="00101E94">
              <w:rPr>
                <w:noProof/>
                <w:webHidden/>
              </w:rPr>
              <w:fldChar w:fldCharType="begin"/>
            </w:r>
            <w:r w:rsidR="00101E94">
              <w:rPr>
                <w:noProof/>
                <w:webHidden/>
              </w:rPr>
              <w:instrText xml:space="preserve"> PAGEREF _Toc487718628 \h </w:instrText>
            </w:r>
            <w:r w:rsidR="00101E94">
              <w:rPr>
                <w:noProof/>
                <w:webHidden/>
              </w:rPr>
            </w:r>
            <w:r w:rsidR="00101E94">
              <w:rPr>
                <w:noProof/>
                <w:webHidden/>
              </w:rPr>
              <w:fldChar w:fldCharType="separate"/>
            </w:r>
            <w:r w:rsidR="00101E94">
              <w:rPr>
                <w:noProof/>
                <w:webHidden/>
              </w:rPr>
              <w:t>14</w:t>
            </w:r>
            <w:r w:rsidR="00101E94">
              <w:rPr>
                <w:noProof/>
                <w:webHidden/>
              </w:rPr>
              <w:fldChar w:fldCharType="end"/>
            </w:r>
          </w:hyperlink>
        </w:p>
        <w:p w:rsidR="00101E94" w:rsidRDefault="00FC4250">
          <w:pPr>
            <w:pStyle w:val="TOC3"/>
            <w:rPr>
              <w:rFonts w:asciiTheme="minorHAnsi" w:eastAsiaTheme="minorEastAsia" w:hAnsiTheme="minorHAnsi" w:cstheme="minorBidi"/>
              <w:noProof/>
              <w:lang w:eastAsia="en-AU"/>
            </w:rPr>
          </w:pPr>
          <w:hyperlink w:anchor="_Toc487718629" w:history="1">
            <w:r w:rsidR="00101E94" w:rsidRPr="0094462E">
              <w:rPr>
                <w:rStyle w:val="Hyperlink"/>
                <w:noProof/>
              </w:rPr>
              <w:t>First round benefit-risk assessment</w:t>
            </w:r>
            <w:r w:rsidR="00101E94">
              <w:rPr>
                <w:noProof/>
                <w:webHidden/>
              </w:rPr>
              <w:tab/>
            </w:r>
            <w:r w:rsidR="00101E94">
              <w:rPr>
                <w:noProof/>
                <w:webHidden/>
              </w:rPr>
              <w:fldChar w:fldCharType="begin"/>
            </w:r>
            <w:r w:rsidR="00101E94">
              <w:rPr>
                <w:noProof/>
                <w:webHidden/>
              </w:rPr>
              <w:instrText xml:space="preserve"> PAGEREF _Toc487718629 \h </w:instrText>
            </w:r>
            <w:r w:rsidR="00101E94">
              <w:rPr>
                <w:noProof/>
                <w:webHidden/>
              </w:rPr>
            </w:r>
            <w:r w:rsidR="00101E94">
              <w:rPr>
                <w:noProof/>
                <w:webHidden/>
              </w:rPr>
              <w:fldChar w:fldCharType="separate"/>
            </w:r>
            <w:r w:rsidR="00101E94">
              <w:rPr>
                <w:noProof/>
                <w:webHidden/>
              </w:rPr>
              <w:t>15</w:t>
            </w:r>
            <w:r w:rsidR="00101E94">
              <w:rPr>
                <w:noProof/>
                <w:webHidden/>
              </w:rPr>
              <w:fldChar w:fldCharType="end"/>
            </w:r>
          </w:hyperlink>
        </w:p>
        <w:p w:rsidR="00101E94" w:rsidRDefault="00FC4250">
          <w:pPr>
            <w:pStyle w:val="TOC3"/>
            <w:rPr>
              <w:rFonts w:asciiTheme="minorHAnsi" w:eastAsiaTheme="minorEastAsia" w:hAnsiTheme="minorHAnsi" w:cstheme="minorBidi"/>
              <w:noProof/>
              <w:lang w:eastAsia="en-AU"/>
            </w:rPr>
          </w:pPr>
          <w:hyperlink w:anchor="_Toc487718630" w:history="1">
            <w:r w:rsidR="00101E94" w:rsidRPr="0094462E">
              <w:rPr>
                <w:rStyle w:val="Hyperlink"/>
                <w:noProof/>
              </w:rPr>
              <w:t>First round recommendation regarding authorisation</w:t>
            </w:r>
            <w:r w:rsidR="00101E94">
              <w:rPr>
                <w:noProof/>
                <w:webHidden/>
              </w:rPr>
              <w:tab/>
            </w:r>
            <w:r w:rsidR="00101E94">
              <w:rPr>
                <w:noProof/>
                <w:webHidden/>
              </w:rPr>
              <w:fldChar w:fldCharType="begin"/>
            </w:r>
            <w:r w:rsidR="00101E94">
              <w:rPr>
                <w:noProof/>
                <w:webHidden/>
              </w:rPr>
              <w:instrText xml:space="preserve"> PAGEREF _Toc487718630 \h </w:instrText>
            </w:r>
            <w:r w:rsidR="00101E94">
              <w:rPr>
                <w:noProof/>
                <w:webHidden/>
              </w:rPr>
            </w:r>
            <w:r w:rsidR="00101E94">
              <w:rPr>
                <w:noProof/>
                <w:webHidden/>
              </w:rPr>
              <w:fldChar w:fldCharType="separate"/>
            </w:r>
            <w:r w:rsidR="00101E94">
              <w:rPr>
                <w:noProof/>
                <w:webHidden/>
              </w:rPr>
              <w:t>16</w:t>
            </w:r>
            <w:r w:rsidR="00101E94">
              <w:rPr>
                <w:noProof/>
                <w:webHidden/>
              </w:rPr>
              <w:fldChar w:fldCharType="end"/>
            </w:r>
          </w:hyperlink>
        </w:p>
        <w:p w:rsidR="00101E94" w:rsidRDefault="00FC4250">
          <w:pPr>
            <w:pStyle w:val="TOC3"/>
            <w:rPr>
              <w:rFonts w:asciiTheme="minorHAnsi" w:eastAsiaTheme="minorEastAsia" w:hAnsiTheme="minorHAnsi" w:cstheme="minorBidi"/>
              <w:noProof/>
              <w:lang w:eastAsia="en-AU"/>
            </w:rPr>
          </w:pPr>
          <w:hyperlink w:anchor="_Toc487718631" w:history="1">
            <w:r w:rsidR="00101E94" w:rsidRPr="0094462E">
              <w:rPr>
                <w:rStyle w:val="Hyperlink"/>
                <w:noProof/>
              </w:rPr>
              <w:t>Second round evaluation of clinical data submitted in response to questions</w:t>
            </w:r>
            <w:r w:rsidR="00101E94">
              <w:rPr>
                <w:noProof/>
                <w:webHidden/>
              </w:rPr>
              <w:tab/>
            </w:r>
            <w:r w:rsidR="00101E94">
              <w:rPr>
                <w:noProof/>
                <w:webHidden/>
              </w:rPr>
              <w:fldChar w:fldCharType="begin"/>
            </w:r>
            <w:r w:rsidR="00101E94">
              <w:rPr>
                <w:noProof/>
                <w:webHidden/>
              </w:rPr>
              <w:instrText xml:space="preserve"> PAGEREF _Toc487718631 \h </w:instrText>
            </w:r>
            <w:r w:rsidR="00101E94">
              <w:rPr>
                <w:noProof/>
                <w:webHidden/>
              </w:rPr>
            </w:r>
            <w:r w:rsidR="00101E94">
              <w:rPr>
                <w:noProof/>
                <w:webHidden/>
              </w:rPr>
              <w:fldChar w:fldCharType="separate"/>
            </w:r>
            <w:r w:rsidR="00101E94">
              <w:rPr>
                <w:noProof/>
                <w:webHidden/>
              </w:rPr>
              <w:t>17</w:t>
            </w:r>
            <w:r w:rsidR="00101E94">
              <w:rPr>
                <w:noProof/>
                <w:webHidden/>
              </w:rPr>
              <w:fldChar w:fldCharType="end"/>
            </w:r>
          </w:hyperlink>
        </w:p>
        <w:p w:rsidR="00101E94" w:rsidRDefault="00FC4250">
          <w:pPr>
            <w:pStyle w:val="TOC3"/>
            <w:rPr>
              <w:rFonts w:asciiTheme="minorHAnsi" w:eastAsiaTheme="minorEastAsia" w:hAnsiTheme="minorHAnsi" w:cstheme="minorBidi"/>
              <w:noProof/>
              <w:lang w:eastAsia="en-AU"/>
            </w:rPr>
          </w:pPr>
          <w:hyperlink w:anchor="_Toc487718632" w:history="1">
            <w:r w:rsidR="00101E94" w:rsidRPr="0094462E">
              <w:rPr>
                <w:rStyle w:val="Hyperlink"/>
                <w:noProof/>
              </w:rPr>
              <w:t>Second round benefit-risk assessment</w:t>
            </w:r>
            <w:r w:rsidR="00101E94">
              <w:rPr>
                <w:noProof/>
                <w:webHidden/>
              </w:rPr>
              <w:tab/>
            </w:r>
            <w:r w:rsidR="00101E94">
              <w:rPr>
                <w:noProof/>
                <w:webHidden/>
              </w:rPr>
              <w:fldChar w:fldCharType="begin"/>
            </w:r>
            <w:r w:rsidR="00101E94">
              <w:rPr>
                <w:noProof/>
                <w:webHidden/>
              </w:rPr>
              <w:instrText xml:space="preserve"> PAGEREF _Toc487718632 \h </w:instrText>
            </w:r>
            <w:r w:rsidR="00101E94">
              <w:rPr>
                <w:noProof/>
                <w:webHidden/>
              </w:rPr>
            </w:r>
            <w:r w:rsidR="00101E94">
              <w:rPr>
                <w:noProof/>
                <w:webHidden/>
              </w:rPr>
              <w:fldChar w:fldCharType="separate"/>
            </w:r>
            <w:r w:rsidR="00101E94">
              <w:rPr>
                <w:noProof/>
                <w:webHidden/>
              </w:rPr>
              <w:t>17</w:t>
            </w:r>
            <w:r w:rsidR="00101E94">
              <w:rPr>
                <w:noProof/>
                <w:webHidden/>
              </w:rPr>
              <w:fldChar w:fldCharType="end"/>
            </w:r>
          </w:hyperlink>
        </w:p>
        <w:p w:rsidR="00101E94" w:rsidRDefault="00FC4250">
          <w:pPr>
            <w:pStyle w:val="TOC2"/>
            <w:rPr>
              <w:rFonts w:asciiTheme="minorHAnsi" w:eastAsiaTheme="minorEastAsia" w:hAnsiTheme="minorHAnsi" w:cstheme="minorBidi"/>
              <w:b w:val="0"/>
              <w:noProof/>
              <w:sz w:val="22"/>
              <w:lang w:eastAsia="en-AU"/>
            </w:rPr>
          </w:pPr>
          <w:hyperlink w:anchor="_Toc487718633" w:history="1">
            <w:r w:rsidR="00101E94" w:rsidRPr="0094462E">
              <w:rPr>
                <w:rStyle w:val="Hyperlink"/>
                <w:noProof/>
              </w:rPr>
              <w:t>V. Pharmacovigilance findings</w:t>
            </w:r>
            <w:r w:rsidR="00101E94">
              <w:rPr>
                <w:noProof/>
                <w:webHidden/>
              </w:rPr>
              <w:tab/>
            </w:r>
            <w:r w:rsidR="00101E94">
              <w:rPr>
                <w:noProof/>
                <w:webHidden/>
              </w:rPr>
              <w:fldChar w:fldCharType="begin"/>
            </w:r>
            <w:r w:rsidR="00101E94">
              <w:rPr>
                <w:noProof/>
                <w:webHidden/>
              </w:rPr>
              <w:instrText xml:space="preserve"> PAGEREF _Toc487718633 \h </w:instrText>
            </w:r>
            <w:r w:rsidR="00101E94">
              <w:rPr>
                <w:noProof/>
                <w:webHidden/>
              </w:rPr>
            </w:r>
            <w:r w:rsidR="00101E94">
              <w:rPr>
                <w:noProof/>
                <w:webHidden/>
              </w:rPr>
              <w:fldChar w:fldCharType="separate"/>
            </w:r>
            <w:r w:rsidR="00101E94">
              <w:rPr>
                <w:noProof/>
                <w:webHidden/>
              </w:rPr>
              <w:t>17</w:t>
            </w:r>
            <w:r w:rsidR="00101E94">
              <w:rPr>
                <w:noProof/>
                <w:webHidden/>
              </w:rPr>
              <w:fldChar w:fldCharType="end"/>
            </w:r>
          </w:hyperlink>
        </w:p>
        <w:p w:rsidR="00101E94" w:rsidRDefault="00FC4250">
          <w:pPr>
            <w:pStyle w:val="TOC3"/>
            <w:rPr>
              <w:rFonts w:asciiTheme="minorHAnsi" w:eastAsiaTheme="minorEastAsia" w:hAnsiTheme="minorHAnsi" w:cstheme="minorBidi"/>
              <w:noProof/>
              <w:lang w:eastAsia="en-AU"/>
            </w:rPr>
          </w:pPr>
          <w:hyperlink w:anchor="_Toc487718634" w:history="1">
            <w:r w:rsidR="00101E94" w:rsidRPr="0094462E">
              <w:rPr>
                <w:rStyle w:val="Hyperlink"/>
                <w:noProof/>
                <w:lang w:eastAsia="en-AU"/>
              </w:rPr>
              <w:t>Risk management plan</w:t>
            </w:r>
            <w:r w:rsidR="00101E94">
              <w:rPr>
                <w:noProof/>
                <w:webHidden/>
              </w:rPr>
              <w:tab/>
            </w:r>
            <w:r w:rsidR="00101E94">
              <w:rPr>
                <w:noProof/>
                <w:webHidden/>
              </w:rPr>
              <w:fldChar w:fldCharType="begin"/>
            </w:r>
            <w:r w:rsidR="00101E94">
              <w:rPr>
                <w:noProof/>
                <w:webHidden/>
              </w:rPr>
              <w:instrText xml:space="preserve"> PAGEREF _Toc487718634 \h </w:instrText>
            </w:r>
            <w:r w:rsidR="00101E94">
              <w:rPr>
                <w:noProof/>
                <w:webHidden/>
              </w:rPr>
            </w:r>
            <w:r w:rsidR="00101E94">
              <w:rPr>
                <w:noProof/>
                <w:webHidden/>
              </w:rPr>
              <w:fldChar w:fldCharType="separate"/>
            </w:r>
            <w:r w:rsidR="00101E94">
              <w:rPr>
                <w:noProof/>
                <w:webHidden/>
              </w:rPr>
              <w:t>17</w:t>
            </w:r>
            <w:r w:rsidR="00101E94">
              <w:rPr>
                <w:noProof/>
                <w:webHidden/>
              </w:rPr>
              <w:fldChar w:fldCharType="end"/>
            </w:r>
          </w:hyperlink>
        </w:p>
        <w:p w:rsidR="00101E94" w:rsidRDefault="00FC4250">
          <w:pPr>
            <w:pStyle w:val="TOC2"/>
            <w:rPr>
              <w:rFonts w:asciiTheme="minorHAnsi" w:eastAsiaTheme="minorEastAsia" w:hAnsiTheme="minorHAnsi" w:cstheme="minorBidi"/>
              <w:b w:val="0"/>
              <w:noProof/>
              <w:sz w:val="22"/>
              <w:lang w:eastAsia="en-AU"/>
            </w:rPr>
          </w:pPr>
          <w:hyperlink w:anchor="_Toc487718635" w:history="1">
            <w:r w:rsidR="00101E94" w:rsidRPr="0094462E">
              <w:rPr>
                <w:rStyle w:val="Hyperlink"/>
                <w:noProof/>
              </w:rPr>
              <w:t>VI. Overall conclusion and risk/benefit assessment</w:t>
            </w:r>
            <w:r w:rsidR="00101E94">
              <w:rPr>
                <w:noProof/>
                <w:webHidden/>
              </w:rPr>
              <w:tab/>
            </w:r>
            <w:r w:rsidR="00101E94">
              <w:rPr>
                <w:noProof/>
                <w:webHidden/>
              </w:rPr>
              <w:fldChar w:fldCharType="begin"/>
            </w:r>
            <w:r w:rsidR="00101E94">
              <w:rPr>
                <w:noProof/>
                <w:webHidden/>
              </w:rPr>
              <w:instrText xml:space="preserve"> PAGEREF _Toc487718635 \h </w:instrText>
            </w:r>
            <w:r w:rsidR="00101E94">
              <w:rPr>
                <w:noProof/>
                <w:webHidden/>
              </w:rPr>
            </w:r>
            <w:r w:rsidR="00101E94">
              <w:rPr>
                <w:noProof/>
                <w:webHidden/>
              </w:rPr>
              <w:fldChar w:fldCharType="separate"/>
            </w:r>
            <w:r w:rsidR="00101E94">
              <w:rPr>
                <w:noProof/>
                <w:webHidden/>
              </w:rPr>
              <w:t>24</w:t>
            </w:r>
            <w:r w:rsidR="00101E94">
              <w:rPr>
                <w:noProof/>
                <w:webHidden/>
              </w:rPr>
              <w:fldChar w:fldCharType="end"/>
            </w:r>
          </w:hyperlink>
        </w:p>
        <w:p w:rsidR="00101E94" w:rsidRDefault="00FC4250">
          <w:pPr>
            <w:pStyle w:val="TOC3"/>
            <w:rPr>
              <w:rFonts w:asciiTheme="minorHAnsi" w:eastAsiaTheme="minorEastAsia" w:hAnsiTheme="minorHAnsi" w:cstheme="minorBidi"/>
              <w:noProof/>
              <w:lang w:eastAsia="en-AU"/>
            </w:rPr>
          </w:pPr>
          <w:hyperlink w:anchor="_Toc487718636" w:history="1">
            <w:r w:rsidR="00101E94" w:rsidRPr="0094462E">
              <w:rPr>
                <w:rStyle w:val="Hyperlink"/>
                <w:noProof/>
              </w:rPr>
              <w:t>Quality</w:t>
            </w:r>
            <w:r w:rsidR="00101E94">
              <w:rPr>
                <w:noProof/>
                <w:webHidden/>
              </w:rPr>
              <w:tab/>
            </w:r>
            <w:r w:rsidR="00101E94">
              <w:rPr>
                <w:noProof/>
                <w:webHidden/>
              </w:rPr>
              <w:fldChar w:fldCharType="begin"/>
            </w:r>
            <w:r w:rsidR="00101E94">
              <w:rPr>
                <w:noProof/>
                <w:webHidden/>
              </w:rPr>
              <w:instrText xml:space="preserve"> PAGEREF _Toc487718636 \h </w:instrText>
            </w:r>
            <w:r w:rsidR="00101E94">
              <w:rPr>
                <w:noProof/>
                <w:webHidden/>
              </w:rPr>
            </w:r>
            <w:r w:rsidR="00101E94">
              <w:rPr>
                <w:noProof/>
                <w:webHidden/>
              </w:rPr>
              <w:fldChar w:fldCharType="separate"/>
            </w:r>
            <w:r w:rsidR="00101E94">
              <w:rPr>
                <w:noProof/>
                <w:webHidden/>
              </w:rPr>
              <w:t>24</w:t>
            </w:r>
            <w:r w:rsidR="00101E94">
              <w:rPr>
                <w:noProof/>
                <w:webHidden/>
              </w:rPr>
              <w:fldChar w:fldCharType="end"/>
            </w:r>
          </w:hyperlink>
        </w:p>
        <w:p w:rsidR="00101E94" w:rsidRDefault="00FC4250">
          <w:pPr>
            <w:pStyle w:val="TOC3"/>
            <w:rPr>
              <w:rFonts w:asciiTheme="minorHAnsi" w:eastAsiaTheme="minorEastAsia" w:hAnsiTheme="minorHAnsi" w:cstheme="minorBidi"/>
              <w:noProof/>
              <w:lang w:eastAsia="en-AU"/>
            </w:rPr>
          </w:pPr>
          <w:hyperlink w:anchor="_Toc487718637" w:history="1">
            <w:r w:rsidR="00101E94" w:rsidRPr="0094462E">
              <w:rPr>
                <w:rStyle w:val="Hyperlink"/>
                <w:noProof/>
              </w:rPr>
              <w:t>Nonclinical</w:t>
            </w:r>
            <w:r w:rsidR="00101E94">
              <w:rPr>
                <w:noProof/>
                <w:webHidden/>
              </w:rPr>
              <w:tab/>
            </w:r>
            <w:r w:rsidR="00101E94">
              <w:rPr>
                <w:noProof/>
                <w:webHidden/>
              </w:rPr>
              <w:fldChar w:fldCharType="begin"/>
            </w:r>
            <w:r w:rsidR="00101E94">
              <w:rPr>
                <w:noProof/>
                <w:webHidden/>
              </w:rPr>
              <w:instrText xml:space="preserve"> PAGEREF _Toc487718637 \h </w:instrText>
            </w:r>
            <w:r w:rsidR="00101E94">
              <w:rPr>
                <w:noProof/>
                <w:webHidden/>
              </w:rPr>
            </w:r>
            <w:r w:rsidR="00101E94">
              <w:rPr>
                <w:noProof/>
                <w:webHidden/>
              </w:rPr>
              <w:fldChar w:fldCharType="separate"/>
            </w:r>
            <w:r w:rsidR="00101E94">
              <w:rPr>
                <w:noProof/>
                <w:webHidden/>
              </w:rPr>
              <w:t>25</w:t>
            </w:r>
            <w:r w:rsidR="00101E94">
              <w:rPr>
                <w:noProof/>
                <w:webHidden/>
              </w:rPr>
              <w:fldChar w:fldCharType="end"/>
            </w:r>
          </w:hyperlink>
        </w:p>
        <w:p w:rsidR="00101E94" w:rsidRDefault="00FC4250">
          <w:pPr>
            <w:pStyle w:val="TOC3"/>
            <w:rPr>
              <w:rFonts w:asciiTheme="minorHAnsi" w:eastAsiaTheme="minorEastAsia" w:hAnsiTheme="minorHAnsi" w:cstheme="minorBidi"/>
              <w:noProof/>
              <w:lang w:eastAsia="en-AU"/>
            </w:rPr>
          </w:pPr>
          <w:hyperlink w:anchor="_Toc487718638" w:history="1">
            <w:r w:rsidR="00101E94" w:rsidRPr="0094462E">
              <w:rPr>
                <w:rStyle w:val="Hyperlink"/>
                <w:noProof/>
              </w:rPr>
              <w:t>Clinical</w:t>
            </w:r>
            <w:r w:rsidR="00101E94">
              <w:rPr>
                <w:noProof/>
                <w:webHidden/>
              </w:rPr>
              <w:tab/>
            </w:r>
            <w:r w:rsidR="00101E94">
              <w:rPr>
                <w:noProof/>
                <w:webHidden/>
              </w:rPr>
              <w:fldChar w:fldCharType="begin"/>
            </w:r>
            <w:r w:rsidR="00101E94">
              <w:rPr>
                <w:noProof/>
                <w:webHidden/>
              </w:rPr>
              <w:instrText xml:space="preserve"> PAGEREF _Toc487718638 \h </w:instrText>
            </w:r>
            <w:r w:rsidR="00101E94">
              <w:rPr>
                <w:noProof/>
                <w:webHidden/>
              </w:rPr>
            </w:r>
            <w:r w:rsidR="00101E94">
              <w:rPr>
                <w:noProof/>
                <w:webHidden/>
              </w:rPr>
              <w:fldChar w:fldCharType="separate"/>
            </w:r>
            <w:r w:rsidR="00101E94">
              <w:rPr>
                <w:noProof/>
                <w:webHidden/>
              </w:rPr>
              <w:t>25</w:t>
            </w:r>
            <w:r w:rsidR="00101E94">
              <w:rPr>
                <w:noProof/>
                <w:webHidden/>
              </w:rPr>
              <w:fldChar w:fldCharType="end"/>
            </w:r>
          </w:hyperlink>
        </w:p>
        <w:p w:rsidR="00101E94" w:rsidRDefault="00FC4250">
          <w:pPr>
            <w:pStyle w:val="TOC3"/>
            <w:rPr>
              <w:rFonts w:asciiTheme="minorHAnsi" w:eastAsiaTheme="minorEastAsia" w:hAnsiTheme="minorHAnsi" w:cstheme="minorBidi"/>
              <w:noProof/>
              <w:lang w:eastAsia="en-AU"/>
            </w:rPr>
          </w:pPr>
          <w:hyperlink w:anchor="_Toc487718639" w:history="1">
            <w:r w:rsidR="00101E94" w:rsidRPr="0094462E">
              <w:rPr>
                <w:rStyle w:val="Hyperlink"/>
                <w:noProof/>
                <w:lang w:eastAsia="en-AU"/>
              </w:rPr>
              <w:t>Risk management plan</w:t>
            </w:r>
            <w:r w:rsidR="00101E94">
              <w:rPr>
                <w:noProof/>
                <w:webHidden/>
              </w:rPr>
              <w:tab/>
            </w:r>
            <w:r w:rsidR="00101E94">
              <w:rPr>
                <w:noProof/>
                <w:webHidden/>
              </w:rPr>
              <w:fldChar w:fldCharType="begin"/>
            </w:r>
            <w:r w:rsidR="00101E94">
              <w:rPr>
                <w:noProof/>
                <w:webHidden/>
              </w:rPr>
              <w:instrText xml:space="preserve"> PAGEREF _Toc487718639 \h </w:instrText>
            </w:r>
            <w:r w:rsidR="00101E94">
              <w:rPr>
                <w:noProof/>
                <w:webHidden/>
              </w:rPr>
            </w:r>
            <w:r w:rsidR="00101E94">
              <w:rPr>
                <w:noProof/>
                <w:webHidden/>
              </w:rPr>
              <w:fldChar w:fldCharType="separate"/>
            </w:r>
            <w:r w:rsidR="00101E94">
              <w:rPr>
                <w:noProof/>
                <w:webHidden/>
              </w:rPr>
              <w:t>28</w:t>
            </w:r>
            <w:r w:rsidR="00101E94">
              <w:rPr>
                <w:noProof/>
                <w:webHidden/>
              </w:rPr>
              <w:fldChar w:fldCharType="end"/>
            </w:r>
          </w:hyperlink>
        </w:p>
        <w:p w:rsidR="00101E94" w:rsidRDefault="00FC4250">
          <w:pPr>
            <w:pStyle w:val="TOC3"/>
            <w:rPr>
              <w:rFonts w:asciiTheme="minorHAnsi" w:eastAsiaTheme="minorEastAsia" w:hAnsiTheme="minorHAnsi" w:cstheme="minorBidi"/>
              <w:noProof/>
              <w:lang w:eastAsia="en-AU"/>
            </w:rPr>
          </w:pPr>
          <w:hyperlink w:anchor="_Toc487718640" w:history="1">
            <w:r w:rsidR="00101E94" w:rsidRPr="0094462E">
              <w:rPr>
                <w:rStyle w:val="Hyperlink"/>
                <w:noProof/>
              </w:rPr>
              <w:t>Risk-benefit analysis</w:t>
            </w:r>
            <w:r w:rsidR="00101E94">
              <w:rPr>
                <w:noProof/>
                <w:webHidden/>
              </w:rPr>
              <w:tab/>
            </w:r>
            <w:r w:rsidR="00101E94">
              <w:rPr>
                <w:noProof/>
                <w:webHidden/>
              </w:rPr>
              <w:fldChar w:fldCharType="begin"/>
            </w:r>
            <w:r w:rsidR="00101E94">
              <w:rPr>
                <w:noProof/>
                <w:webHidden/>
              </w:rPr>
              <w:instrText xml:space="preserve"> PAGEREF _Toc487718640 \h </w:instrText>
            </w:r>
            <w:r w:rsidR="00101E94">
              <w:rPr>
                <w:noProof/>
                <w:webHidden/>
              </w:rPr>
            </w:r>
            <w:r w:rsidR="00101E94">
              <w:rPr>
                <w:noProof/>
                <w:webHidden/>
              </w:rPr>
              <w:fldChar w:fldCharType="separate"/>
            </w:r>
            <w:r w:rsidR="00101E94">
              <w:rPr>
                <w:noProof/>
                <w:webHidden/>
              </w:rPr>
              <w:t>28</w:t>
            </w:r>
            <w:r w:rsidR="00101E94">
              <w:rPr>
                <w:noProof/>
                <w:webHidden/>
              </w:rPr>
              <w:fldChar w:fldCharType="end"/>
            </w:r>
          </w:hyperlink>
        </w:p>
        <w:p w:rsidR="00101E94" w:rsidRDefault="00FC4250">
          <w:pPr>
            <w:pStyle w:val="TOC3"/>
            <w:rPr>
              <w:rFonts w:asciiTheme="minorHAnsi" w:eastAsiaTheme="minorEastAsia" w:hAnsiTheme="minorHAnsi" w:cstheme="minorBidi"/>
              <w:noProof/>
              <w:lang w:eastAsia="en-AU"/>
            </w:rPr>
          </w:pPr>
          <w:hyperlink w:anchor="_Toc487718641" w:history="1">
            <w:r w:rsidR="00101E94" w:rsidRPr="0094462E">
              <w:rPr>
                <w:rStyle w:val="Hyperlink"/>
                <w:noProof/>
              </w:rPr>
              <w:t>Outcome</w:t>
            </w:r>
            <w:r w:rsidR="00101E94">
              <w:rPr>
                <w:noProof/>
                <w:webHidden/>
              </w:rPr>
              <w:tab/>
            </w:r>
            <w:r w:rsidR="00101E94">
              <w:rPr>
                <w:noProof/>
                <w:webHidden/>
              </w:rPr>
              <w:fldChar w:fldCharType="begin"/>
            </w:r>
            <w:r w:rsidR="00101E94">
              <w:rPr>
                <w:noProof/>
                <w:webHidden/>
              </w:rPr>
              <w:instrText xml:space="preserve"> PAGEREF _Toc487718641 \h </w:instrText>
            </w:r>
            <w:r w:rsidR="00101E94">
              <w:rPr>
                <w:noProof/>
                <w:webHidden/>
              </w:rPr>
            </w:r>
            <w:r w:rsidR="00101E94">
              <w:rPr>
                <w:noProof/>
                <w:webHidden/>
              </w:rPr>
              <w:fldChar w:fldCharType="separate"/>
            </w:r>
            <w:r w:rsidR="00101E94">
              <w:rPr>
                <w:noProof/>
                <w:webHidden/>
              </w:rPr>
              <w:t>33</w:t>
            </w:r>
            <w:r w:rsidR="00101E94">
              <w:rPr>
                <w:noProof/>
                <w:webHidden/>
              </w:rPr>
              <w:fldChar w:fldCharType="end"/>
            </w:r>
          </w:hyperlink>
        </w:p>
        <w:p w:rsidR="00101E94" w:rsidRDefault="00FC4250">
          <w:pPr>
            <w:pStyle w:val="TOC2"/>
            <w:rPr>
              <w:rFonts w:asciiTheme="minorHAnsi" w:eastAsiaTheme="minorEastAsia" w:hAnsiTheme="minorHAnsi" w:cstheme="minorBidi"/>
              <w:b w:val="0"/>
              <w:noProof/>
              <w:sz w:val="22"/>
              <w:lang w:eastAsia="en-AU"/>
            </w:rPr>
          </w:pPr>
          <w:hyperlink w:anchor="_Toc487718642" w:history="1">
            <w:r w:rsidR="00101E94" w:rsidRPr="0094462E">
              <w:rPr>
                <w:rStyle w:val="Hyperlink"/>
                <w:noProof/>
              </w:rPr>
              <w:t>Attachment 1. Product Information</w:t>
            </w:r>
            <w:r w:rsidR="00101E94">
              <w:rPr>
                <w:noProof/>
                <w:webHidden/>
              </w:rPr>
              <w:tab/>
            </w:r>
            <w:r w:rsidR="00101E94">
              <w:rPr>
                <w:noProof/>
                <w:webHidden/>
              </w:rPr>
              <w:fldChar w:fldCharType="begin"/>
            </w:r>
            <w:r w:rsidR="00101E94">
              <w:rPr>
                <w:noProof/>
                <w:webHidden/>
              </w:rPr>
              <w:instrText xml:space="preserve"> PAGEREF _Toc487718642 \h </w:instrText>
            </w:r>
            <w:r w:rsidR="00101E94">
              <w:rPr>
                <w:noProof/>
                <w:webHidden/>
              </w:rPr>
            </w:r>
            <w:r w:rsidR="00101E94">
              <w:rPr>
                <w:noProof/>
                <w:webHidden/>
              </w:rPr>
              <w:fldChar w:fldCharType="separate"/>
            </w:r>
            <w:r w:rsidR="00101E94">
              <w:rPr>
                <w:noProof/>
                <w:webHidden/>
              </w:rPr>
              <w:t>34</w:t>
            </w:r>
            <w:r w:rsidR="00101E94">
              <w:rPr>
                <w:noProof/>
                <w:webHidden/>
              </w:rPr>
              <w:fldChar w:fldCharType="end"/>
            </w:r>
          </w:hyperlink>
        </w:p>
        <w:p w:rsidR="00101E94" w:rsidRDefault="00FC4250">
          <w:pPr>
            <w:pStyle w:val="TOC2"/>
            <w:rPr>
              <w:rFonts w:asciiTheme="minorHAnsi" w:eastAsiaTheme="minorEastAsia" w:hAnsiTheme="minorHAnsi" w:cstheme="minorBidi"/>
              <w:b w:val="0"/>
              <w:noProof/>
              <w:sz w:val="22"/>
              <w:lang w:eastAsia="en-AU"/>
            </w:rPr>
          </w:pPr>
          <w:hyperlink w:anchor="_Toc487718643" w:history="1">
            <w:r w:rsidR="00101E94" w:rsidRPr="0094462E">
              <w:rPr>
                <w:rStyle w:val="Hyperlink"/>
                <w:noProof/>
                <w:lang w:eastAsia="en-AU"/>
              </w:rPr>
              <w:t>Attachment 2. Extract from the Clinical Evaluation Report</w:t>
            </w:r>
            <w:r w:rsidR="00101E94">
              <w:rPr>
                <w:noProof/>
                <w:webHidden/>
              </w:rPr>
              <w:tab/>
            </w:r>
            <w:r w:rsidR="00101E94">
              <w:rPr>
                <w:noProof/>
                <w:webHidden/>
              </w:rPr>
              <w:fldChar w:fldCharType="begin"/>
            </w:r>
            <w:r w:rsidR="00101E94">
              <w:rPr>
                <w:noProof/>
                <w:webHidden/>
              </w:rPr>
              <w:instrText xml:space="preserve"> PAGEREF _Toc487718643 \h </w:instrText>
            </w:r>
            <w:r w:rsidR="00101E94">
              <w:rPr>
                <w:noProof/>
                <w:webHidden/>
              </w:rPr>
            </w:r>
            <w:r w:rsidR="00101E94">
              <w:rPr>
                <w:noProof/>
                <w:webHidden/>
              </w:rPr>
              <w:fldChar w:fldCharType="separate"/>
            </w:r>
            <w:r w:rsidR="00101E94">
              <w:rPr>
                <w:noProof/>
                <w:webHidden/>
              </w:rPr>
              <w:t>34</w:t>
            </w:r>
            <w:r w:rsidR="00101E94">
              <w:rPr>
                <w:noProof/>
                <w:webHidden/>
              </w:rPr>
              <w:fldChar w:fldCharType="end"/>
            </w:r>
          </w:hyperlink>
        </w:p>
        <w:p w:rsidR="003A7F6C" w:rsidRPr="00B811C6" w:rsidRDefault="00DB6124" w:rsidP="00B811C6">
          <w:pPr>
            <w:pStyle w:val="TOC2"/>
          </w:pPr>
          <w:r>
            <w:fldChar w:fldCharType="end"/>
          </w:r>
        </w:p>
      </w:sdtContent>
    </w:sdt>
    <w:bookmarkStart w:id="3" w:name="_Toc314842482" w:displacedByCustomXml="prev"/>
    <w:p w:rsidR="00FD119B" w:rsidRDefault="00FD119B">
      <w:pPr>
        <w:spacing w:before="0" w:after="200" w:line="0" w:lineRule="auto"/>
      </w:pPr>
      <w:r>
        <w:br w:type="page"/>
      </w:r>
    </w:p>
    <w:p w:rsidR="00FD119B" w:rsidRDefault="00441C3F" w:rsidP="004F0C4A">
      <w:pPr>
        <w:pStyle w:val="Heading2"/>
      </w:pPr>
      <w:bookmarkStart w:id="4" w:name="_Toc351716269"/>
      <w:bookmarkStart w:id="5" w:name="_Toc351718881"/>
      <w:bookmarkStart w:id="6" w:name="_Toc355338616"/>
      <w:bookmarkStart w:id="7" w:name="_Toc356306144"/>
      <w:bookmarkStart w:id="8" w:name="_Toc487718614"/>
      <w:r>
        <w:lastRenderedPageBreak/>
        <w:t>Common</w:t>
      </w:r>
      <w:r w:rsidR="00FD119B" w:rsidRPr="00FD119B">
        <w:t xml:space="preserve"> abbreviations</w:t>
      </w:r>
      <w:bookmarkEnd w:id="4"/>
      <w:bookmarkEnd w:id="5"/>
      <w:bookmarkEnd w:id="6"/>
      <w:bookmarkEnd w:id="7"/>
      <w:bookmarkEnd w:id="8"/>
    </w:p>
    <w:tbl>
      <w:tblPr>
        <w:tblStyle w:val="TableTGAblue"/>
        <w:tblW w:w="0" w:type="auto"/>
        <w:tblLayout w:type="fixed"/>
        <w:tblLook w:val="04A0" w:firstRow="1" w:lastRow="0" w:firstColumn="1" w:lastColumn="0" w:noHBand="0" w:noVBand="1"/>
      </w:tblPr>
      <w:tblGrid>
        <w:gridCol w:w="1951"/>
        <w:gridCol w:w="6769"/>
      </w:tblGrid>
      <w:tr w:rsidR="00CF6DB0" w:rsidRPr="00CF6DB0" w:rsidTr="00101E94">
        <w:trPr>
          <w:cnfStyle w:val="100000000000" w:firstRow="1" w:lastRow="0" w:firstColumn="0" w:lastColumn="0" w:oddVBand="0" w:evenVBand="0" w:oddHBand="0" w:evenHBand="0" w:firstRowFirstColumn="0" w:firstRowLastColumn="0" w:lastRowFirstColumn="0" w:lastRowLastColumn="0"/>
        </w:trPr>
        <w:tc>
          <w:tcPr>
            <w:tcW w:w="1951" w:type="dxa"/>
          </w:tcPr>
          <w:p w:rsidR="00CF6DB0" w:rsidRPr="00CF6DB0" w:rsidRDefault="00CF6DB0" w:rsidP="00101E94">
            <w:pPr>
              <w:rPr>
                <w:b w:val="0"/>
              </w:rPr>
            </w:pPr>
            <w:r w:rsidRPr="00CF6DB0">
              <w:t>Abbreviation</w:t>
            </w:r>
          </w:p>
        </w:tc>
        <w:tc>
          <w:tcPr>
            <w:tcW w:w="6769" w:type="dxa"/>
          </w:tcPr>
          <w:p w:rsidR="00CF6DB0" w:rsidRPr="00CF6DB0" w:rsidRDefault="00CF6DB0" w:rsidP="00101E94">
            <w:pPr>
              <w:rPr>
                <w:b w:val="0"/>
              </w:rPr>
            </w:pPr>
            <w:r w:rsidRPr="00CF6DB0">
              <w:t>Meaning</w:t>
            </w:r>
          </w:p>
        </w:tc>
      </w:tr>
      <w:tr w:rsidR="00CF6DB0" w:rsidRPr="00CF6DB0" w:rsidTr="00101E94">
        <w:tc>
          <w:tcPr>
            <w:tcW w:w="1951" w:type="dxa"/>
          </w:tcPr>
          <w:p w:rsidR="00CF6DB0" w:rsidRPr="00CF6DB0" w:rsidRDefault="00CF6DB0" w:rsidP="00101E94">
            <w:pPr>
              <w:rPr>
                <w:color w:val="000000"/>
              </w:rPr>
            </w:pPr>
            <w:r w:rsidRPr="00CF6DB0">
              <w:rPr>
                <w:color w:val="000000"/>
              </w:rPr>
              <w:t>ADR</w:t>
            </w:r>
          </w:p>
        </w:tc>
        <w:tc>
          <w:tcPr>
            <w:tcW w:w="6769" w:type="dxa"/>
          </w:tcPr>
          <w:p w:rsidR="00CF6DB0" w:rsidRPr="00CF6DB0" w:rsidRDefault="00CF6DB0" w:rsidP="00101E94">
            <w:pPr>
              <w:rPr>
                <w:color w:val="000000"/>
              </w:rPr>
            </w:pPr>
            <w:r w:rsidRPr="00CF6DB0">
              <w:rPr>
                <w:color w:val="000000"/>
              </w:rPr>
              <w:t>adverse drug reaction</w:t>
            </w:r>
          </w:p>
        </w:tc>
      </w:tr>
      <w:tr w:rsidR="00CF6DB0" w:rsidRPr="00CF6DB0" w:rsidTr="00101E94">
        <w:tc>
          <w:tcPr>
            <w:tcW w:w="1951" w:type="dxa"/>
          </w:tcPr>
          <w:p w:rsidR="00CF6DB0" w:rsidRPr="00CF6DB0" w:rsidRDefault="00CF6DB0" w:rsidP="00101E94">
            <w:pPr>
              <w:rPr>
                <w:color w:val="000000"/>
              </w:rPr>
            </w:pPr>
            <w:r w:rsidRPr="00CF6DB0">
              <w:rPr>
                <w:color w:val="000000"/>
              </w:rPr>
              <w:t>AE(s)</w:t>
            </w:r>
          </w:p>
        </w:tc>
        <w:tc>
          <w:tcPr>
            <w:tcW w:w="6769" w:type="dxa"/>
          </w:tcPr>
          <w:p w:rsidR="00CF6DB0" w:rsidRPr="00CF6DB0" w:rsidRDefault="00CF6DB0" w:rsidP="00101E94">
            <w:pPr>
              <w:rPr>
                <w:color w:val="000000"/>
              </w:rPr>
            </w:pPr>
            <w:r w:rsidRPr="00CF6DB0">
              <w:rPr>
                <w:color w:val="000000"/>
              </w:rPr>
              <w:t>Adverse event(s)</w:t>
            </w:r>
          </w:p>
        </w:tc>
      </w:tr>
      <w:tr w:rsidR="00CF6DB0" w:rsidRPr="00CF6DB0" w:rsidTr="00101E94">
        <w:tc>
          <w:tcPr>
            <w:tcW w:w="1951" w:type="dxa"/>
          </w:tcPr>
          <w:p w:rsidR="00CF6DB0" w:rsidRPr="00CF6DB0" w:rsidRDefault="00CF6DB0" w:rsidP="00101E94">
            <w:pPr>
              <w:rPr>
                <w:color w:val="000000"/>
              </w:rPr>
            </w:pPr>
            <w:r w:rsidRPr="00CF6DB0">
              <w:rPr>
                <w:color w:val="000000"/>
              </w:rPr>
              <w:t>ALT</w:t>
            </w:r>
          </w:p>
        </w:tc>
        <w:tc>
          <w:tcPr>
            <w:tcW w:w="6769" w:type="dxa"/>
          </w:tcPr>
          <w:p w:rsidR="00CF6DB0" w:rsidRPr="00CF6DB0" w:rsidRDefault="00CF6DB0" w:rsidP="00101E94">
            <w:pPr>
              <w:rPr>
                <w:color w:val="000000"/>
              </w:rPr>
            </w:pPr>
            <w:r w:rsidRPr="00CF6DB0">
              <w:rPr>
                <w:color w:val="000000"/>
              </w:rPr>
              <w:t>Alanine aminotransferase</w:t>
            </w:r>
          </w:p>
        </w:tc>
      </w:tr>
      <w:tr w:rsidR="00CF6DB0" w:rsidRPr="00CF6DB0" w:rsidTr="00101E94">
        <w:tc>
          <w:tcPr>
            <w:tcW w:w="1951" w:type="dxa"/>
          </w:tcPr>
          <w:p w:rsidR="00CF6DB0" w:rsidRPr="00CF6DB0" w:rsidRDefault="00CF6DB0" w:rsidP="00101E94">
            <w:pPr>
              <w:rPr>
                <w:color w:val="000000"/>
              </w:rPr>
            </w:pPr>
            <w:r w:rsidRPr="00CF6DB0">
              <w:rPr>
                <w:color w:val="000000"/>
              </w:rPr>
              <w:t>AS</w:t>
            </w:r>
          </w:p>
        </w:tc>
        <w:tc>
          <w:tcPr>
            <w:tcW w:w="6769" w:type="dxa"/>
          </w:tcPr>
          <w:p w:rsidR="00CF6DB0" w:rsidRPr="00CF6DB0" w:rsidRDefault="00CF6DB0" w:rsidP="00101E94">
            <w:pPr>
              <w:rPr>
                <w:color w:val="000000"/>
              </w:rPr>
            </w:pPr>
            <w:r w:rsidRPr="00CF6DB0">
              <w:rPr>
                <w:color w:val="000000"/>
              </w:rPr>
              <w:t>Ankylosing spondylitis</w:t>
            </w:r>
          </w:p>
        </w:tc>
      </w:tr>
      <w:tr w:rsidR="00CF6DB0" w:rsidRPr="00CF6DB0" w:rsidTr="00101E94">
        <w:tc>
          <w:tcPr>
            <w:tcW w:w="1951" w:type="dxa"/>
          </w:tcPr>
          <w:p w:rsidR="00CF6DB0" w:rsidRPr="00CF6DB0" w:rsidRDefault="00CF6DB0" w:rsidP="00101E94">
            <w:pPr>
              <w:rPr>
                <w:color w:val="000000"/>
              </w:rPr>
            </w:pPr>
            <w:proofErr w:type="spellStart"/>
            <w:r w:rsidRPr="00CF6DB0">
              <w:rPr>
                <w:color w:val="000000"/>
              </w:rPr>
              <w:t>ASaT</w:t>
            </w:r>
            <w:proofErr w:type="spellEnd"/>
          </w:p>
        </w:tc>
        <w:tc>
          <w:tcPr>
            <w:tcW w:w="6769" w:type="dxa"/>
          </w:tcPr>
          <w:p w:rsidR="00CF6DB0" w:rsidRPr="00CF6DB0" w:rsidRDefault="00CF6DB0" w:rsidP="00101E94">
            <w:pPr>
              <w:rPr>
                <w:color w:val="000000"/>
              </w:rPr>
            </w:pPr>
            <w:r w:rsidRPr="00CF6DB0">
              <w:rPr>
                <w:color w:val="000000"/>
              </w:rPr>
              <w:t>All Subjects as Treated set</w:t>
            </w:r>
          </w:p>
        </w:tc>
      </w:tr>
      <w:tr w:rsidR="00CF6DB0" w:rsidRPr="00CF6DB0" w:rsidTr="00101E94">
        <w:tc>
          <w:tcPr>
            <w:tcW w:w="1951" w:type="dxa"/>
          </w:tcPr>
          <w:p w:rsidR="00CF6DB0" w:rsidRPr="00CF6DB0" w:rsidRDefault="00CF6DB0" w:rsidP="00101E94">
            <w:pPr>
              <w:rPr>
                <w:color w:val="000000"/>
              </w:rPr>
            </w:pPr>
            <w:r w:rsidRPr="00CF6DB0">
              <w:rPr>
                <w:color w:val="000000"/>
              </w:rPr>
              <w:t>ASAS</w:t>
            </w:r>
          </w:p>
        </w:tc>
        <w:tc>
          <w:tcPr>
            <w:tcW w:w="6769" w:type="dxa"/>
          </w:tcPr>
          <w:p w:rsidR="00CF6DB0" w:rsidRPr="00CF6DB0" w:rsidRDefault="00CF6DB0" w:rsidP="00101E94">
            <w:pPr>
              <w:rPr>
                <w:color w:val="000000"/>
              </w:rPr>
            </w:pPr>
            <w:r w:rsidRPr="00CF6DB0">
              <w:rPr>
                <w:color w:val="000000"/>
              </w:rPr>
              <w:t xml:space="preserve">Assessment in </w:t>
            </w:r>
            <w:proofErr w:type="spellStart"/>
            <w:r w:rsidRPr="00CF6DB0">
              <w:rPr>
                <w:color w:val="000000"/>
              </w:rPr>
              <w:t>Spondyloarthritis</w:t>
            </w:r>
            <w:proofErr w:type="spellEnd"/>
            <w:r w:rsidRPr="00CF6DB0">
              <w:rPr>
                <w:color w:val="000000"/>
              </w:rPr>
              <w:t xml:space="preserve"> International Society</w:t>
            </w:r>
          </w:p>
        </w:tc>
      </w:tr>
      <w:tr w:rsidR="00CF6DB0" w:rsidRPr="00CF6DB0" w:rsidTr="00101E94">
        <w:tc>
          <w:tcPr>
            <w:tcW w:w="1951" w:type="dxa"/>
          </w:tcPr>
          <w:p w:rsidR="00CF6DB0" w:rsidRPr="00CF6DB0" w:rsidRDefault="00CF6DB0" w:rsidP="00101E94">
            <w:pPr>
              <w:rPr>
                <w:color w:val="000000"/>
              </w:rPr>
            </w:pPr>
            <w:r w:rsidRPr="00CF6DB0">
              <w:rPr>
                <w:color w:val="000000"/>
              </w:rPr>
              <w:t>ASDAS-C</w:t>
            </w:r>
          </w:p>
        </w:tc>
        <w:tc>
          <w:tcPr>
            <w:tcW w:w="6769" w:type="dxa"/>
          </w:tcPr>
          <w:p w:rsidR="00CF6DB0" w:rsidRPr="00CF6DB0" w:rsidRDefault="00CF6DB0" w:rsidP="00101E94">
            <w:pPr>
              <w:rPr>
                <w:color w:val="000000"/>
              </w:rPr>
            </w:pPr>
            <w:r w:rsidRPr="00CF6DB0">
              <w:rPr>
                <w:color w:val="000000"/>
              </w:rPr>
              <w:t>Ankylosing Spondylitis Disease Activity Score CRP</w:t>
            </w:r>
          </w:p>
        </w:tc>
      </w:tr>
      <w:tr w:rsidR="00CF6DB0" w:rsidRPr="00CF6DB0" w:rsidTr="00101E94">
        <w:tc>
          <w:tcPr>
            <w:tcW w:w="1951" w:type="dxa"/>
          </w:tcPr>
          <w:p w:rsidR="00CF6DB0" w:rsidRPr="00CF6DB0" w:rsidRDefault="00CF6DB0" w:rsidP="00101E94">
            <w:pPr>
              <w:rPr>
                <w:color w:val="000000"/>
              </w:rPr>
            </w:pPr>
            <w:proofErr w:type="spellStart"/>
            <w:r w:rsidRPr="00CF6DB0">
              <w:rPr>
                <w:color w:val="000000"/>
              </w:rPr>
              <w:t>ASQoL</w:t>
            </w:r>
            <w:proofErr w:type="spellEnd"/>
          </w:p>
        </w:tc>
        <w:tc>
          <w:tcPr>
            <w:tcW w:w="6769" w:type="dxa"/>
          </w:tcPr>
          <w:p w:rsidR="00CF6DB0" w:rsidRPr="00CF6DB0" w:rsidRDefault="00CF6DB0" w:rsidP="00101E94">
            <w:pPr>
              <w:rPr>
                <w:color w:val="000000"/>
              </w:rPr>
            </w:pPr>
            <w:r w:rsidRPr="00CF6DB0">
              <w:rPr>
                <w:color w:val="000000"/>
              </w:rPr>
              <w:t>Ankylosing Spondylitis Quality of Life Questionnaire</w:t>
            </w:r>
          </w:p>
        </w:tc>
      </w:tr>
      <w:tr w:rsidR="00CF6DB0" w:rsidRPr="00CF6DB0" w:rsidTr="00101E94">
        <w:tc>
          <w:tcPr>
            <w:tcW w:w="1951" w:type="dxa"/>
          </w:tcPr>
          <w:p w:rsidR="00CF6DB0" w:rsidRPr="00CF6DB0" w:rsidRDefault="00CF6DB0" w:rsidP="00101E94">
            <w:pPr>
              <w:rPr>
                <w:color w:val="000000"/>
              </w:rPr>
            </w:pPr>
            <w:r w:rsidRPr="00CF6DB0">
              <w:rPr>
                <w:color w:val="000000"/>
              </w:rPr>
              <w:t>AST</w:t>
            </w:r>
          </w:p>
        </w:tc>
        <w:tc>
          <w:tcPr>
            <w:tcW w:w="6769" w:type="dxa"/>
          </w:tcPr>
          <w:p w:rsidR="00CF6DB0" w:rsidRPr="00CF6DB0" w:rsidRDefault="00CF6DB0" w:rsidP="00101E94">
            <w:pPr>
              <w:rPr>
                <w:color w:val="000000"/>
              </w:rPr>
            </w:pPr>
            <w:r w:rsidRPr="00CF6DB0">
              <w:rPr>
                <w:color w:val="000000"/>
              </w:rPr>
              <w:t>aspartate aminotransferase</w:t>
            </w:r>
          </w:p>
        </w:tc>
      </w:tr>
      <w:tr w:rsidR="00CF6DB0" w:rsidRPr="00CF6DB0" w:rsidTr="00101E94">
        <w:tc>
          <w:tcPr>
            <w:tcW w:w="1951" w:type="dxa"/>
          </w:tcPr>
          <w:p w:rsidR="00CF6DB0" w:rsidRPr="00CF6DB0" w:rsidRDefault="00CF6DB0" w:rsidP="00101E94">
            <w:pPr>
              <w:rPr>
                <w:color w:val="000000"/>
              </w:rPr>
            </w:pPr>
            <w:r w:rsidRPr="00CF6DB0">
              <w:rPr>
                <w:color w:val="000000"/>
              </w:rPr>
              <w:t>ATC</w:t>
            </w:r>
          </w:p>
        </w:tc>
        <w:tc>
          <w:tcPr>
            <w:tcW w:w="6769" w:type="dxa"/>
          </w:tcPr>
          <w:p w:rsidR="00CF6DB0" w:rsidRPr="00CF6DB0" w:rsidRDefault="00CF6DB0" w:rsidP="00101E94">
            <w:pPr>
              <w:rPr>
                <w:color w:val="000000"/>
              </w:rPr>
            </w:pPr>
            <w:r w:rsidRPr="00CF6DB0">
              <w:rPr>
                <w:color w:val="000000"/>
              </w:rPr>
              <w:t>Anatomical Therapeutic Chemical</w:t>
            </w:r>
          </w:p>
        </w:tc>
      </w:tr>
      <w:tr w:rsidR="00CF6DB0" w:rsidRPr="00CF6DB0" w:rsidTr="00101E94">
        <w:tc>
          <w:tcPr>
            <w:tcW w:w="1951" w:type="dxa"/>
          </w:tcPr>
          <w:p w:rsidR="00CF6DB0" w:rsidRPr="00CF6DB0" w:rsidRDefault="00CF6DB0" w:rsidP="00101E94">
            <w:pPr>
              <w:rPr>
                <w:color w:val="000000"/>
              </w:rPr>
            </w:pPr>
            <w:r w:rsidRPr="00CF6DB0">
              <w:rPr>
                <w:color w:val="000000"/>
              </w:rPr>
              <w:t xml:space="preserve">Axial </w:t>
            </w:r>
            <w:proofErr w:type="spellStart"/>
            <w:r w:rsidRPr="00CF6DB0">
              <w:rPr>
                <w:color w:val="000000"/>
              </w:rPr>
              <w:t>SpA</w:t>
            </w:r>
            <w:proofErr w:type="spellEnd"/>
          </w:p>
        </w:tc>
        <w:tc>
          <w:tcPr>
            <w:tcW w:w="6769" w:type="dxa"/>
          </w:tcPr>
          <w:p w:rsidR="00CF6DB0" w:rsidRPr="00CF6DB0" w:rsidRDefault="00CF6DB0" w:rsidP="00101E94">
            <w:pPr>
              <w:rPr>
                <w:color w:val="000000"/>
              </w:rPr>
            </w:pPr>
            <w:r w:rsidRPr="00CF6DB0">
              <w:rPr>
                <w:color w:val="000000"/>
              </w:rPr>
              <w:t xml:space="preserve">axial </w:t>
            </w:r>
            <w:proofErr w:type="spellStart"/>
            <w:r w:rsidRPr="00CF6DB0">
              <w:rPr>
                <w:color w:val="000000"/>
              </w:rPr>
              <w:t>spondyloarthritis</w:t>
            </w:r>
            <w:proofErr w:type="spellEnd"/>
          </w:p>
        </w:tc>
      </w:tr>
      <w:tr w:rsidR="00CF6DB0" w:rsidRPr="00CF6DB0" w:rsidTr="00101E94">
        <w:tc>
          <w:tcPr>
            <w:tcW w:w="1951" w:type="dxa"/>
          </w:tcPr>
          <w:p w:rsidR="00CF6DB0" w:rsidRPr="00CF6DB0" w:rsidRDefault="00CF6DB0" w:rsidP="00101E94">
            <w:pPr>
              <w:rPr>
                <w:color w:val="000000"/>
              </w:rPr>
            </w:pPr>
            <w:r w:rsidRPr="00CF6DB0">
              <w:rPr>
                <w:color w:val="000000"/>
              </w:rPr>
              <w:t>BASDAI</w:t>
            </w:r>
          </w:p>
        </w:tc>
        <w:tc>
          <w:tcPr>
            <w:tcW w:w="6769" w:type="dxa"/>
          </w:tcPr>
          <w:p w:rsidR="00CF6DB0" w:rsidRPr="00CF6DB0" w:rsidRDefault="00CF6DB0" w:rsidP="00101E94">
            <w:pPr>
              <w:rPr>
                <w:color w:val="000000"/>
              </w:rPr>
            </w:pPr>
            <w:r w:rsidRPr="00CF6DB0">
              <w:rPr>
                <w:color w:val="000000"/>
              </w:rPr>
              <w:t>Bath Ankylosing Spondylitis Disease Activity Index</w:t>
            </w:r>
          </w:p>
        </w:tc>
      </w:tr>
      <w:tr w:rsidR="00CF6DB0" w:rsidRPr="00CF6DB0" w:rsidTr="00101E94">
        <w:tc>
          <w:tcPr>
            <w:tcW w:w="1951" w:type="dxa"/>
          </w:tcPr>
          <w:p w:rsidR="00CF6DB0" w:rsidRPr="00CF6DB0" w:rsidRDefault="00CF6DB0" w:rsidP="00101E94">
            <w:pPr>
              <w:rPr>
                <w:color w:val="000000"/>
              </w:rPr>
            </w:pPr>
            <w:r w:rsidRPr="00CF6DB0">
              <w:rPr>
                <w:color w:val="000000"/>
              </w:rPr>
              <w:t>BASFI</w:t>
            </w:r>
          </w:p>
        </w:tc>
        <w:tc>
          <w:tcPr>
            <w:tcW w:w="6769" w:type="dxa"/>
          </w:tcPr>
          <w:p w:rsidR="00CF6DB0" w:rsidRPr="00CF6DB0" w:rsidRDefault="00CF6DB0" w:rsidP="00101E94">
            <w:pPr>
              <w:rPr>
                <w:color w:val="000000"/>
              </w:rPr>
            </w:pPr>
            <w:r w:rsidRPr="00CF6DB0">
              <w:rPr>
                <w:color w:val="000000"/>
              </w:rPr>
              <w:t>Bath Ankylosing Spondylitis Functional Index</w:t>
            </w:r>
          </w:p>
        </w:tc>
      </w:tr>
      <w:tr w:rsidR="00CF6DB0" w:rsidRPr="00CF6DB0" w:rsidTr="00101E94">
        <w:tc>
          <w:tcPr>
            <w:tcW w:w="1951" w:type="dxa"/>
          </w:tcPr>
          <w:p w:rsidR="00CF6DB0" w:rsidRPr="00CF6DB0" w:rsidRDefault="00CF6DB0" w:rsidP="00101E94">
            <w:pPr>
              <w:rPr>
                <w:color w:val="000000"/>
              </w:rPr>
            </w:pPr>
            <w:r w:rsidRPr="00CF6DB0">
              <w:rPr>
                <w:color w:val="000000"/>
              </w:rPr>
              <w:t>BASMI</w:t>
            </w:r>
          </w:p>
        </w:tc>
        <w:tc>
          <w:tcPr>
            <w:tcW w:w="6769" w:type="dxa"/>
          </w:tcPr>
          <w:p w:rsidR="00CF6DB0" w:rsidRPr="00CF6DB0" w:rsidRDefault="00CF6DB0" w:rsidP="00101E94">
            <w:pPr>
              <w:rPr>
                <w:color w:val="000000"/>
              </w:rPr>
            </w:pPr>
            <w:r w:rsidRPr="00CF6DB0">
              <w:rPr>
                <w:color w:val="000000"/>
              </w:rPr>
              <w:t>Bath Ankylosing Spondylitis Metrology Index</w:t>
            </w:r>
          </w:p>
        </w:tc>
      </w:tr>
      <w:tr w:rsidR="00CF6DB0" w:rsidRPr="00CF6DB0" w:rsidTr="00101E94">
        <w:tc>
          <w:tcPr>
            <w:tcW w:w="1951" w:type="dxa"/>
          </w:tcPr>
          <w:p w:rsidR="00CF6DB0" w:rsidRPr="00CF6DB0" w:rsidRDefault="00CF6DB0" w:rsidP="00101E94">
            <w:pPr>
              <w:rPr>
                <w:color w:val="000000"/>
              </w:rPr>
            </w:pPr>
            <w:r w:rsidRPr="00CF6DB0">
              <w:rPr>
                <w:color w:val="000000"/>
              </w:rPr>
              <w:t>CHMP</w:t>
            </w:r>
          </w:p>
        </w:tc>
        <w:tc>
          <w:tcPr>
            <w:tcW w:w="6769" w:type="dxa"/>
          </w:tcPr>
          <w:p w:rsidR="00CF6DB0" w:rsidRPr="00CF6DB0" w:rsidRDefault="00CF6DB0" w:rsidP="00101E94">
            <w:pPr>
              <w:rPr>
                <w:color w:val="000000"/>
              </w:rPr>
            </w:pPr>
            <w:r w:rsidRPr="00CF6DB0">
              <w:rPr>
                <w:color w:val="000000"/>
              </w:rPr>
              <w:t>Committee for Medicinal Products for Human Use</w:t>
            </w:r>
          </w:p>
        </w:tc>
      </w:tr>
      <w:tr w:rsidR="00CF6DB0" w:rsidRPr="00CF6DB0" w:rsidTr="00101E94">
        <w:tc>
          <w:tcPr>
            <w:tcW w:w="1951" w:type="dxa"/>
          </w:tcPr>
          <w:p w:rsidR="00CF6DB0" w:rsidRPr="00CF6DB0" w:rsidRDefault="00CF6DB0" w:rsidP="00101E94">
            <w:pPr>
              <w:rPr>
                <w:color w:val="000000"/>
              </w:rPr>
            </w:pPr>
            <w:r w:rsidRPr="00CF6DB0">
              <w:rPr>
                <w:color w:val="000000"/>
              </w:rPr>
              <w:t>CI</w:t>
            </w:r>
          </w:p>
        </w:tc>
        <w:tc>
          <w:tcPr>
            <w:tcW w:w="6769" w:type="dxa"/>
          </w:tcPr>
          <w:p w:rsidR="00CF6DB0" w:rsidRPr="00CF6DB0" w:rsidRDefault="00CF6DB0" w:rsidP="00101E94">
            <w:pPr>
              <w:rPr>
                <w:color w:val="000000"/>
              </w:rPr>
            </w:pPr>
            <w:r w:rsidRPr="00CF6DB0">
              <w:rPr>
                <w:color w:val="000000"/>
              </w:rPr>
              <w:t>Confidence interval</w:t>
            </w:r>
          </w:p>
        </w:tc>
      </w:tr>
      <w:tr w:rsidR="00CF6DB0" w:rsidRPr="00CF6DB0" w:rsidTr="00101E94">
        <w:tc>
          <w:tcPr>
            <w:tcW w:w="1951" w:type="dxa"/>
          </w:tcPr>
          <w:p w:rsidR="00CF6DB0" w:rsidRPr="00CF6DB0" w:rsidRDefault="00CF6DB0" w:rsidP="00101E94">
            <w:pPr>
              <w:rPr>
                <w:color w:val="000000"/>
              </w:rPr>
            </w:pPr>
            <w:r w:rsidRPr="00CF6DB0">
              <w:rPr>
                <w:color w:val="000000"/>
              </w:rPr>
              <w:t>CMI</w:t>
            </w:r>
          </w:p>
        </w:tc>
        <w:tc>
          <w:tcPr>
            <w:tcW w:w="6769" w:type="dxa"/>
          </w:tcPr>
          <w:p w:rsidR="00CF6DB0" w:rsidRPr="00CF6DB0" w:rsidRDefault="00CF6DB0" w:rsidP="00101E94">
            <w:pPr>
              <w:rPr>
                <w:color w:val="000000"/>
              </w:rPr>
            </w:pPr>
            <w:r w:rsidRPr="00CF6DB0">
              <w:rPr>
                <w:color w:val="000000"/>
              </w:rPr>
              <w:t>Consumer Medicines Information</w:t>
            </w:r>
          </w:p>
        </w:tc>
      </w:tr>
      <w:tr w:rsidR="00CF6DB0" w:rsidRPr="00CF6DB0" w:rsidTr="00101E94">
        <w:tc>
          <w:tcPr>
            <w:tcW w:w="1951" w:type="dxa"/>
          </w:tcPr>
          <w:p w:rsidR="00CF6DB0" w:rsidRPr="00CF6DB0" w:rsidRDefault="00CF6DB0" w:rsidP="00101E94">
            <w:pPr>
              <w:rPr>
                <w:color w:val="000000"/>
              </w:rPr>
            </w:pPr>
            <w:r w:rsidRPr="00CF6DB0">
              <w:rPr>
                <w:color w:val="000000"/>
              </w:rPr>
              <w:t>CRP</w:t>
            </w:r>
          </w:p>
        </w:tc>
        <w:tc>
          <w:tcPr>
            <w:tcW w:w="6769" w:type="dxa"/>
          </w:tcPr>
          <w:p w:rsidR="00CF6DB0" w:rsidRPr="00CF6DB0" w:rsidRDefault="00CF6DB0" w:rsidP="00101E94">
            <w:pPr>
              <w:rPr>
                <w:color w:val="000000"/>
              </w:rPr>
            </w:pPr>
            <w:r w:rsidRPr="00CF6DB0">
              <w:rPr>
                <w:color w:val="000000"/>
              </w:rPr>
              <w:t>C-reactive protein</w:t>
            </w:r>
          </w:p>
        </w:tc>
      </w:tr>
      <w:tr w:rsidR="00CF6DB0" w:rsidRPr="00CF6DB0" w:rsidTr="00101E94">
        <w:tc>
          <w:tcPr>
            <w:tcW w:w="1951" w:type="dxa"/>
          </w:tcPr>
          <w:p w:rsidR="00CF6DB0" w:rsidRPr="00CF6DB0" w:rsidRDefault="00CF6DB0" w:rsidP="00101E94">
            <w:pPr>
              <w:rPr>
                <w:color w:val="000000"/>
              </w:rPr>
            </w:pPr>
            <w:r w:rsidRPr="00CF6DB0">
              <w:rPr>
                <w:color w:val="000000"/>
              </w:rPr>
              <w:t>CSR</w:t>
            </w:r>
          </w:p>
        </w:tc>
        <w:tc>
          <w:tcPr>
            <w:tcW w:w="6769" w:type="dxa"/>
          </w:tcPr>
          <w:p w:rsidR="00CF6DB0" w:rsidRPr="00CF6DB0" w:rsidRDefault="00CF6DB0" w:rsidP="00101E94">
            <w:pPr>
              <w:rPr>
                <w:color w:val="000000"/>
              </w:rPr>
            </w:pPr>
            <w:r w:rsidRPr="00CF6DB0">
              <w:rPr>
                <w:color w:val="000000"/>
              </w:rPr>
              <w:t>Clinical Study Report</w:t>
            </w:r>
          </w:p>
        </w:tc>
      </w:tr>
      <w:tr w:rsidR="00CF6DB0" w:rsidRPr="00CF6DB0" w:rsidTr="00101E94">
        <w:tc>
          <w:tcPr>
            <w:tcW w:w="1951" w:type="dxa"/>
          </w:tcPr>
          <w:p w:rsidR="00CF6DB0" w:rsidRPr="00CF6DB0" w:rsidRDefault="00CF6DB0" w:rsidP="00101E94">
            <w:pPr>
              <w:rPr>
                <w:color w:val="000000"/>
              </w:rPr>
            </w:pPr>
            <w:r w:rsidRPr="00CF6DB0">
              <w:rPr>
                <w:color w:val="000000"/>
              </w:rPr>
              <w:t>DMARDs</w:t>
            </w:r>
          </w:p>
        </w:tc>
        <w:tc>
          <w:tcPr>
            <w:tcW w:w="6769" w:type="dxa"/>
          </w:tcPr>
          <w:p w:rsidR="00CF6DB0" w:rsidRPr="00CF6DB0" w:rsidRDefault="00CF6DB0" w:rsidP="00101E94">
            <w:pPr>
              <w:rPr>
                <w:color w:val="000000"/>
              </w:rPr>
            </w:pPr>
            <w:r w:rsidRPr="00CF6DB0">
              <w:rPr>
                <w:color w:val="000000"/>
              </w:rPr>
              <w:t>Disease-modifying anti-rheumatic drugs</w:t>
            </w:r>
          </w:p>
        </w:tc>
      </w:tr>
      <w:tr w:rsidR="00CF6DB0" w:rsidRPr="00CF6DB0" w:rsidTr="00101E94">
        <w:tc>
          <w:tcPr>
            <w:tcW w:w="1951" w:type="dxa"/>
          </w:tcPr>
          <w:p w:rsidR="00CF6DB0" w:rsidRPr="00CF6DB0" w:rsidRDefault="00CF6DB0" w:rsidP="00101E94">
            <w:pPr>
              <w:rPr>
                <w:color w:val="000000"/>
              </w:rPr>
            </w:pPr>
            <w:r w:rsidRPr="00CF6DB0">
              <w:rPr>
                <w:color w:val="000000"/>
              </w:rPr>
              <w:t>ECLIA</w:t>
            </w:r>
          </w:p>
        </w:tc>
        <w:tc>
          <w:tcPr>
            <w:tcW w:w="6769" w:type="dxa"/>
          </w:tcPr>
          <w:p w:rsidR="00CF6DB0" w:rsidRPr="00CF6DB0" w:rsidRDefault="00CF6DB0" w:rsidP="00101E94">
            <w:pPr>
              <w:rPr>
                <w:color w:val="000000"/>
              </w:rPr>
            </w:pPr>
            <w:proofErr w:type="spellStart"/>
            <w:r w:rsidRPr="00CF6DB0">
              <w:rPr>
                <w:color w:val="000000"/>
              </w:rPr>
              <w:t>electrochemiluminescent</w:t>
            </w:r>
            <w:proofErr w:type="spellEnd"/>
            <w:r w:rsidRPr="00CF6DB0">
              <w:rPr>
                <w:color w:val="000000"/>
              </w:rPr>
              <w:t xml:space="preserve"> immunoassay</w:t>
            </w:r>
          </w:p>
        </w:tc>
      </w:tr>
      <w:tr w:rsidR="00CF6DB0" w:rsidRPr="00CF6DB0" w:rsidTr="00101E94">
        <w:tc>
          <w:tcPr>
            <w:tcW w:w="1951" w:type="dxa"/>
          </w:tcPr>
          <w:p w:rsidR="00CF6DB0" w:rsidRPr="00CF6DB0" w:rsidRDefault="00CF6DB0" w:rsidP="00101E94">
            <w:pPr>
              <w:rPr>
                <w:color w:val="000000"/>
              </w:rPr>
            </w:pPr>
            <w:r w:rsidRPr="00CF6DB0">
              <w:rPr>
                <w:color w:val="000000"/>
              </w:rPr>
              <w:t>EMA</w:t>
            </w:r>
          </w:p>
        </w:tc>
        <w:tc>
          <w:tcPr>
            <w:tcW w:w="6769" w:type="dxa"/>
          </w:tcPr>
          <w:p w:rsidR="00CF6DB0" w:rsidRPr="00CF6DB0" w:rsidRDefault="00CF6DB0" w:rsidP="00101E94">
            <w:pPr>
              <w:rPr>
                <w:color w:val="000000"/>
              </w:rPr>
            </w:pPr>
            <w:r w:rsidRPr="00CF6DB0">
              <w:rPr>
                <w:color w:val="000000"/>
              </w:rPr>
              <w:t>European Medicines Agency</w:t>
            </w:r>
          </w:p>
        </w:tc>
      </w:tr>
      <w:tr w:rsidR="00CF6DB0" w:rsidRPr="00CF6DB0" w:rsidTr="00101E94">
        <w:tc>
          <w:tcPr>
            <w:tcW w:w="1951" w:type="dxa"/>
          </w:tcPr>
          <w:p w:rsidR="00CF6DB0" w:rsidRPr="00CF6DB0" w:rsidRDefault="00CF6DB0" w:rsidP="00101E94">
            <w:pPr>
              <w:rPr>
                <w:color w:val="000000"/>
              </w:rPr>
            </w:pPr>
            <w:r w:rsidRPr="00CF6DB0">
              <w:rPr>
                <w:color w:val="000000"/>
              </w:rPr>
              <w:t>EQ-5D</w:t>
            </w:r>
          </w:p>
        </w:tc>
        <w:tc>
          <w:tcPr>
            <w:tcW w:w="6769" w:type="dxa"/>
          </w:tcPr>
          <w:p w:rsidR="00CF6DB0" w:rsidRPr="00CF6DB0" w:rsidRDefault="00CF6DB0" w:rsidP="00101E94">
            <w:pPr>
              <w:rPr>
                <w:color w:val="000000"/>
              </w:rPr>
            </w:pPr>
            <w:r w:rsidRPr="00CF6DB0">
              <w:rPr>
                <w:color w:val="000000"/>
              </w:rPr>
              <w:t>EuroQol-5D Health Questionnaire</w:t>
            </w:r>
          </w:p>
        </w:tc>
      </w:tr>
      <w:tr w:rsidR="00CF6DB0" w:rsidRPr="00CF6DB0" w:rsidTr="00101E94">
        <w:tc>
          <w:tcPr>
            <w:tcW w:w="1951" w:type="dxa"/>
          </w:tcPr>
          <w:p w:rsidR="00CF6DB0" w:rsidRPr="00CF6DB0" w:rsidRDefault="00CF6DB0" w:rsidP="00101E94">
            <w:pPr>
              <w:rPr>
                <w:color w:val="000000"/>
              </w:rPr>
            </w:pPr>
            <w:r w:rsidRPr="00CF6DB0">
              <w:rPr>
                <w:color w:val="000000"/>
              </w:rPr>
              <w:t>EU</w:t>
            </w:r>
          </w:p>
        </w:tc>
        <w:tc>
          <w:tcPr>
            <w:tcW w:w="6769" w:type="dxa"/>
          </w:tcPr>
          <w:p w:rsidR="00CF6DB0" w:rsidRPr="00CF6DB0" w:rsidRDefault="00CF6DB0" w:rsidP="00101E94">
            <w:pPr>
              <w:rPr>
                <w:color w:val="000000"/>
              </w:rPr>
            </w:pPr>
            <w:r w:rsidRPr="00CF6DB0">
              <w:rPr>
                <w:color w:val="000000"/>
              </w:rPr>
              <w:t>European Union</w:t>
            </w:r>
          </w:p>
        </w:tc>
      </w:tr>
      <w:tr w:rsidR="00CF6DB0" w:rsidRPr="00CF6DB0" w:rsidTr="00101E94">
        <w:tc>
          <w:tcPr>
            <w:tcW w:w="1951" w:type="dxa"/>
          </w:tcPr>
          <w:p w:rsidR="00CF6DB0" w:rsidRPr="00CF6DB0" w:rsidRDefault="00CF6DB0" w:rsidP="00101E94">
            <w:pPr>
              <w:rPr>
                <w:color w:val="000000"/>
              </w:rPr>
            </w:pPr>
            <w:r w:rsidRPr="00CF6DB0">
              <w:rPr>
                <w:color w:val="000000"/>
              </w:rPr>
              <w:t>FAS</w:t>
            </w:r>
          </w:p>
        </w:tc>
        <w:tc>
          <w:tcPr>
            <w:tcW w:w="6769" w:type="dxa"/>
          </w:tcPr>
          <w:p w:rsidR="00CF6DB0" w:rsidRPr="00CF6DB0" w:rsidRDefault="00CF6DB0" w:rsidP="00101E94">
            <w:pPr>
              <w:rPr>
                <w:color w:val="000000"/>
              </w:rPr>
            </w:pPr>
            <w:r w:rsidRPr="00CF6DB0">
              <w:rPr>
                <w:color w:val="000000"/>
              </w:rPr>
              <w:t>Full Analysis Set</w:t>
            </w:r>
          </w:p>
        </w:tc>
      </w:tr>
      <w:tr w:rsidR="00CF6DB0" w:rsidRPr="00CF6DB0" w:rsidTr="00101E94">
        <w:tc>
          <w:tcPr>
            <w:tcW w:w="1951" w:type="dxa"/>
          </w:tcPr>
          <w:p w:rsidR="00CF6DB0" w:rsidRPr="00CF6DB0" w:rsidRDefault="00CF6DB0" w:rsidP="00101E94">
            <w:pPr>
              <w:rPr>
                <w:color w:val="000000"/>
              </w:rPr>
            </w:pPr>
            <w:r w:rsidRPr="00CF6DB0">
              <w:rPr>
                <w:color w:val="000000"/>
              </w:rPr>
              <w:lastRenderedPageBreak/>
              <w:t>GCP</w:t>
            </w:r>
          </w:p>
        </w:tc>
        <w:tc>
          <w:tcPr>
            <w:tcW w:w="6769" w:type="dxa"/>
          </w:tcPr>
          <w:p w:rsidR="00CF6DB0" w:rsidRPr="00CF6DB0" w:rsidRDefault="00CF6DB0" w:rsidP="00101E94">
            <w:pPr>
              <w:rPr>
                <w:color w:val="000000"/>
              </w:rPr>
            </w:pPr>
            <w:r w:rsidRPr="00CF6DB0">
              <w:rPr>
                <w:color w:val="000000"/>
              </w:rPr>
              <w:t>Good Clinical Practice</w:t>
            </w:r>
          </w:p>
        </w:tc>
      </w:tr>
      <w:tr w:rsidR="00CF6DB0" w:rsidRPr="00CF6DB0" w:rsidTr="00101E94">
        <w:tc>
          <w:tcPr>
            <w:tcW w:w="1951" w:type="dxa"/>
          </w:tcPr>
          <w:p w:rsidR="00CF6DB0" w:rsidRPr="00CF6DB0" w:rsidRDefault="00CF6DB0" w:rsidP="00101E94">
            <w:pPr>
              <w:rPr>
                <w:color w:val="000000"/>
              </w:rPr>
            </w:pPr>
            <w:r w:rsidRPr="00CF6DB0">
              <w:rPr>
                <w:color w:val="000000"/>
              </w:rPr>
              <w:t>GLM</w:t>
            </w:r>
          </w:p>
        </w:tc>
        <w:tc>
          <w:tcPr>
            <w:tcW w:w="6769" w:type="dxa"/>
          </w:tcPr>
          <w:p w:rsidR="00CF6DB0" w:rsidRPr="00CF6DB0" w:rsidRDefault="00CF6DB0" w:rsidP="00101E94">
            <w:pPr>
              <w:rPr>
                <w:color w:val="000000"/>
              </w:rPr>
            </w:pPr>
            <w:proofErr w:type="spellStart"/>
            <w:r w:rsidRPr="00CF6DB0">
              <w:rPr>
                <w:color w:val="000000"/>
              </w:rPr>
              <w:t>Golimumab</w:t>
            </w:r>
            <w:proofErr w:type="spellEnd"/>
          </w:p>
        </w:tc>
      </w:tr>
      <w:tr w:rsidR="00CF6DB0" w:rsidRPr="00CF6DB0" w:rsidTr="00101E94">
        <w:tc>
          <w:tcPr>
            <w:tcW w:w="1951" w:type="dxa"/>
          </w:tcPr>
          <w:p w:rsidR="00CF6DB0" w:rsidRPr="00CF6DB0" w:rsidRDefault="00CF6DB0" w:rsidP="00101E94">
            <w:pPr>
              <w:rPr>
                <w:color w:val="000000"/>
              </w:rPr>
            </w:pPr>
            <w:r w:rsidRPr="00CF6DB0">
              <w:rPr>
                <w:color w:val="000000"/>
              </w:rPr>
              <w:t>HLA-B27</w:t>
            </w:r>
          </w:p>
        </w:tc>
        <w:tc>
          <w:tcPr>
            <w:tcW w:w="6769" w:type="dxa"/>
          </w:tcPr>
          <w:p w:rsidR="00CF6DB0" w:rsidRPr="00CF6DB0" w:rsidRDefault="00CF6DB0" w:rsidP="00101E94">
            <w:pPr>
              <w:rPr>
                <w:color w:val="000000"/>
              </w:rPr>
            </w:pPr>
            <w:r w:rsidRPr="00CF6DB0">
              <w:rPr>
                <w:color w:val="000000"/>
              </w:rPr>
              <w:t>human leukocyte antigen B27</w:t>
            </w:r>
          </w:p>
        </w:tc>
      </w:tr>
      <w:tr w:rsidR="00CF6DB0" w:rsidRPr="00CF6DB0" w:rsidTr="00101E94">
        <w:tc>
          <w:tcPr>
            <w:tcW w:w="1951" w:type="dxa"/>
          </w:tcPr>
          <w:p w:rsidR="00CF6DB0" w:rsidRPr="00CF6DB0" w:rsidRDefault="00CF6DB0" w:rsidP="00101E94">
            <w:pPr>
              <w:rPr>
                <w:color w:val="000000"/>
              </w:rPr>
            </w:pPr>
            <w:r w:rsidRPr="00CF6DB0">
              <w:rPr>
                <w:color w:val="000000"/>
              </w:rPr>
              <w:t>ICH</w:t>
            </w:r>
          </w:p>
        </w:tc>
        <w:tc>
          <w:tcPr>
            <w:tcW w:w="6769" w:type="dxa"/>
          </w:tcPr>
          <w:p w:rsidR="00CF6DB0" w:rsidRPr="00CF6DB0" w:rsidRDefault="00CF6DB0" w:rsidP="00101E94">
            <w:pPr>
              <w:rPr>
                <w:color w:val="000000"/>
              </w:rPr>
            </w:pPr>
            <w:r w:rsidRPr="00CF6DB0">
              <w:rPr>
                <w:color w:val="000000"/>
              </w:rPr>
              <w:t>International Conference on Harmonisation</w:t>
            </w:r>
          </w:p>
        </w:tc>
      </w:tr>
      <w:tr w:rsidR="00CF6DB0" w:rsidRPr="00CF6DB0" w:rsidTr="00101E94">
        <w:tc>
          <w:tcPr>
            <w:tcW w:w="1951" w:type="dxa"/>
          </w:tcPr>
          <w:p w:rsidR="00CF6DB0" w:rsidRPr="00CF6DB0" w:rsidRDefault="00CF6DB0" w:rsidP="00101E94">
            <w:pPr>
              <w:rPr>
                <w:color w:val="000000"/>
              </w:rPr>
            </w:pPr>
            <w:r w:rsidRPr="00CF6DB0">
              <w:rPr>
                <w:color w:val="000000"/>
              </w:rPr>
              <w:t>IVRS</w:t>
            </w:r>
          </w:p>
        </w:tc>
        <w:tc>
          <w:tcPr>
            <w:tcW w:w="6769" w:type="dxa"/>
          </w:tcPr>
          <w:p w:rsidR="00CF6DB0" w:rsidRPr="00CF6DB0" w:rsidRDefault="00CF6DB0" w:rsidP="00101E94">
            <w:pPr>
              <w:rPr>
                <w:color w:val="000000"/>
              </w:rPr>
            </w:pPr>
            <w:r w:rsidRPr="00CF6DB0">
              <w:rPr>
                <w:color w:val="000000"/>
              </w:rPr>
              <w:t>Interactive Voice Response System</w:t>
            </w:r>
          </w:p>
        </w:tc>
      </w:tr>
      <w:tr w:rsidR="00CF6DB0" w:rsidRPr="00CF6DB0" w:rsidTr="00101E94">
        <w:tc>
          <w:tcPr>
            <w:tcW w:w="1951" w:type="dxa"/>
          </w:tcPr>
          <w:p w:rsidR="00CF6DB0" w:rsidRPr="00CF6DB0" w:rsidRDefault="00CF6DB0" w:rsidP="00101E94">
            <w:pPr>
              <w:rPr>
                <w:color w:val="000000"/>
              </w:rPr>
            </w:pPr>
            <w:r w:rsidRPr="00CF6DB0">
              <w:rPr>
                <w:color w:val="000000"/>
              </w:rPr>
              <w:t>IWRS</w:t>
            </w:r>
          </w:p>
        </w:tc>
        <w:tc>
          <w:tcPr>
            <w:tcW w:w="6769" w:type="dxa"/>
          </w:tcPr>
          <w:p w:rsidR="00CF6DB0" w:rsidRPr="00CF6DB0" w:rsidRDefault="00CF6DB0" w:rsidP="00101E94">
            <w:pPr>
              <w:rPr>
                <w:color w:val="000000"/>
              </w:rPr>
            </w:pPr>
            <w:r w:rsidRPr="00CF6DB0">
              <w:rPr>
                <w:color w:val="000000"/>
              </w:rPr>
              <w:t>Interactive Web Response System</w:t>
            </w:r>
          </w:p>
        </w:tc>
      </w:tr>
      <w:tr w:rsidR="00CF6DB0" w:rsidRPr="00CF6DB0" w:rsidTr="00101E94">
        <w:tc>
          <w:tcPr>
            <w:tcW w:w="1951" w:type="dxa"/>
          </w:tcPr>
          <w:p w:rsidR="00CF6DB0" w:rsidRPr="00CF6DB0" w:rsidRDefault="00CF6DB0" w:rsidP="00101E94">
            <w:pPr>
              <w:rPr>
                <w:color w:val="000000"/>
              </w:rPr>
            </w:pPr>
            <w:proofErr w:type="spellStart"/>
            <w:r w:rsidRPr="00CF6DB0">
              <w:rPr>
                <w:color w:val="000000"/>
              </w:rPr>
              <w:t>MedDRA</w:t>
            </w:r>
            <w:proofErr w:type="spellEnd"/>
          </w:p>
        </w:tc>
        <w:tc>
          <w:tcPr>
            <w:tcW w:w="6769" w:type="dxa"/>
          </w:tcPr>
          <w:p w:rsidR="00CF6DB0" w:rsidRPr="00CF6DB0" w:rsidRDefault="00CF6DB0" w:rsidP="00101E94">
            <w:pPr>
              <w:rPr>
                <w:color w:val="000000"/>
              </w:rPr>
            </w:pPr>
            <w:r w:rsidRPr="00CF6DB0">
              <w:rPr>
                <w:color w:val="000000"/>
              </w:rPr>
              <w:t>Medical Dictionary for Regulatory Activities</w:t>
            </w:r>
          </w:p>
        </w:tc>
      </w:tr>
      <w:tr w:rsidR="00CF6DB0" w:rsidRPr="00CF6DB0" w:rsidTr="00101E94">
        <w:tc>
          <w:tcPr>
            <w:tcW w:w="1951" w:type="dxa"/>
          </w:tcPr>
          <w:p w:rsidR="00CF6DB0" w:rsidRPr="00CF6DB0" w:rsidRDefault="00CF6DB0" w:rsidP="00101E94">
            <w:pPr>
              <w:rPr>
                <w:color w:val="000000"/>
              </w:rPr>
            </w:pPr>
            <w:r w:rsidRPr="00CF6DB0">
              <w:rPr>
                <w:color w:val="000000"/>
              </w:rPr>
              <w:t>mg</w:t>
            </w:r>
          </w:p>
        </w:tc>
        <w:tc>
          <w:tcPr>
            <w:tcW w:w="6769" w:type="dxa"/>
          </w:tcPr>
          <w:p w:rsidR="00CF6DB0" w:rsidRPr="00CF6DB0" w:rsidRDefault="00CF6DB0" w:rsidP="00101E94">
            <w:pPr>
              <w:rPr>
                <w:color w:val="000000"/>
              </w:rPr>
            </w:pPr>
            <w:r w:rsidRPr="00CF6DB0">
              <w:rPr>
                <w:color w:val="000000"/>
              </w:rPr>
              <w:t>milligram</w:t>
            </w:r>
          </w:p>
        </w:tc>
      </w:tr>
      <w:tr w:rsidR="00CF6DB0" w:rsidRPr="00CF6DB0" w:rsidTr="00101E94">
        <w:tc>
          <w:tcPr>
            <w:tcW w:w="1951" w:type="dxa"/>
          </w:tcPr>
          <w:p w:rsidR="00CF6DB0" w:rsidRPr="00CF6DB0" w:rsidRDefault="00CF6DB0" w:rsidP="00101E94">
            <w:pPr>
              <w:rPr>
                <w:color w:val="000000"/>
              </w:rPr>
            </w:pPr>
            <w:r w:rsidRPr="00CF6DB0">
              <w:rPr>
                <w:color w:val="000000"/>
              </w:rPr>
              <w:t>MRI</w:t>
            </w:r>
          </w:p>
        </w:tc>
        <w:tc>
          <w:tcPr>
            <w:tcW w:w="6769" w:type="dxa"/>
          </w:tcPr>
          <w:p w:rsidR="00CF6DB0" w:rsidRPr="00CF6DB0" w:rsidRDefault="00CF6DB0" w:rsidP="00101E94">
            <w:pPr>
              <w:rPr>
                <w:color w:val="000000"/>
              </w:rPr>
            </w:pPr>
            <w:r w:rsidRPr="00CF6DB0">
              <w:rPr>
                <w:color w:val="000000"/>
              </w:rPr>
              <w:t>magnetic resonance imaging</w:t>
            </w:r>
          </w:p>
        </w:tc>
      </w:tr>
      <w:tr w:rsidR="00CF6DB0" w:rsidRPr="00CF6DB0" w:rsidTr="00101E94">
        <w:tc>
          <w:tcPr>
            <w:tcW w:w="1951" w:type="dxa"/>
          </w:tcPr>
          <w:p w:rsidR="00CF6DB0" w:rsidRPr="00CF6DB0" w:rsidRDefault="00CF6DB0" w:rsidP="00101E94">
            <w:pPr>
              <w:rPr>
                <w:color w:val="000000"/>
              </w:rPr>
            </w:pPr>
            <w:r w:rsidRPr="00CF6DB0">
              <w:rPr>
                <w:color w:val="000000"/>
              </w:rPr>
              <w:t>NMSC</w:t>
            </w:r>
          </w:p>
        </w:tc>
        <w:tc>
          <w:tcPr>
            <w:tcW w:w="6769" w:type="dxa"/>
          </w:tcPr>
          <w:p w:rsidR="00CF6DB0" w:rsidRPr="00CF6DB0" w:rsidRDefault="00CF6DB0" w:rsidP="00101E94">
            <w:pPr>
              <w:rPr>
                <w:color w:val="000000"/>
              </w:rPr>
            </w:pPr>
            <w:r w:rsidRPr="00CF6DB0">
              <w:rPr>
                <w:color w:val="000000"/>
              </w:rPr>
              <w:t>non-melanoma skin cancer</w:t>
            </w:r>
          </w:p>
        </w:tc>
      </w:tr>
      <w:tr w:rsidR="00CF6DB0" w:rsidRPr="00CF6DB0" w:rsidTr="00101E94">
        <w:tc>
          <w:tcPr>
            <w:tcW w:w="1951" w:type="dxa"/>
          </w:tcPr>
          <w:p w:rsidR="00CF6DB0" w:rsidRPr="00CF6DB0" w:rsidRDefault="00CF6DB0" w:rsidP="00101E94">
            <w:pPr>
              <w:rPr>
                <w:color w:val="000000"/>
              </w:rPr>
            </w:pPr>
            <w:r w:rsidRPr="00CF6DB0">
              <w:rPr>
                <w:color w:val="000000"/>
              </w:rPr>
              <w:t xml:space="preserve">nr-Axial </w:t>
            </w:r>
            <w:proofErr w:type="spellStart"/>
            <w:r w:rsidRPr="00CF6DB0">
              <w:rPr>
                <w:color w:val="000000"/>
              </w:rPr>
              <w:t>SpA</w:t>
            </w:r>
            <w:proofErr w:type="spellEnd"/>
          </w:p>
        </w:tc>
        <w:tc>
          <w:tcPr>
            <w:tcW w:w="6769" w:type="dxa"/>
          </w:tcPr>
          <w:p w:rsidR="00CF6DB0" w:rsidRPr="00CF6DB0" w:rsidRDefault="00CF6DB0" w:rsidP="00101E94">
            <w:pPr>
              <w:rPr>
                <w:color w:val="000000"/>
              </w:rPr>
            </w:pPr>
            <w:r w:rsidRPr="00CF6DB0">
              <w:rPr>
                <w:color w:val="000000"/>
              </w:rPr>
              <w:t xml:space="preserve">non-radiographic axial </w:t>
            </w:r>
            <w:proofErr w:type="spellStart"/>
            <w:r w:rsidRPr="00CF6DB0">
              <w:rPr>
                <w:color w:val="000000"/>
              </w:rPr>
              <w:t>spondyloarthritis</w:t>
            </w:r>
            <w:proofErr w:type="spellEnd"/>
          </w:p>
        </w:tc>
      </w:tr>
      <w:tr w:rsidR="00CF6DB0" w:rsidRPr="00CF6DB0" w:rsidTr="00101E94">
        <w:tc>
          <w:tcPr>
            <w:tcW w:w="1951" w:type="dxa"/>
          </w:tcPr>
          <w:p w:rsidR="00CF6DB0" w:rsidRPr="00CF6DB0" w:rsidRDefault="00CF6DB0" w:rsidP="00101E94">
            <w:pPr>
              <w:rPr>
                <w:color w:val="000000"/>
              </w:rPr>
            </w:pPr>
            <w:r w:rsidRPr="00CF6DB0">
              <w:rPr>
                <w:color w:val="000000"/>
              </w:rPr>
              <w:t>NSAIDs</w:t>
            </w:r>
          </w:p>
        </w:tc>
        <w:tc>
          <w:tcPr>
            <w:tcW w:w="6769" w:type="dxa"/>
          </w:tcPr>
          <w:p w:rsidR="00CF6DB0" w:rsidRPr="00CF6DB0" w:rsidRDefault="00CF6DB0" w:rsidP="00101E94">
            <w:pPr>
              <w:rPr>
                <w:color w:val="000000"/>
              </w:rPr>
            </w:pPr>
            <w:r w:rsidRPr="00CF6DB0">
              <w:rPr>
                <w:color w:val="000000"/>
              </w:rPr>
              <w:t>non-steroidal anti-inflammatory drugs</w:t>
            </w:r>
          </w:p>
        </w:tc>
      </w:tr>
      <w:tr w:rsidR="00CF6DB0" w:rsidRPr="00CF6DB0" w:rsidTr="00101E94">
        <w:tc>
          <w:tcPr>
            <w:tcW w:w="1951" w:type="dxa"/>
          </w:tcPr>
          <w:p w:rsidR="00CF6DB0" w:rsidRPr="00CF6DB0" w:rsidRDefault="00CF6DB0" w:rsidP="00101E94">
            <w:pPr>
              <w:rPr>
                <w:color w:val="000000"/>
              </w:rPr>
            </w:pPr>
            <w:r w:rsidRPr="00CF6DB0">
              <w:rPr>
                <w:color w:val="000000"/>
              </w:rPr>
              <w:t>PD</w:t>
            </w:r>
          </w:p>
        </w:tc>
        <w:tc>
          <w:tcPr>
            <w:tcW w:w="6769" w:type="dxa"/>
          </w:tcPr>
          <w:p w:rsidR="00CF6DB0" w:rsidRPr="00CF6DB0" w:rsidRDefault="00CF6DB0" w:rsidP="00101E94">
            <w:pPr>
              <w:rPr>
                <w:color w:val="000000"/>
              </w:rPr>
            </w:pPr>
            <w:proofErr w:type="spellStart"/>
            <w:r w:rsidRPr="00CF6DB0">
              <w:rPr>
                <w:color w:val="000000"/>
              </w:rPr>
              <w:t>pharmacodynamic</w:t>
            </w:r>
            <w:proofErr w:type="spellEnd"/>
          </w:p>
        </w:tc>
      </w:tr>
      <w:tr w:rsidR="00CF6DB0" w:rsidRPr="00CF6DB0" w:rsidTr="00101E94">
        <w:tc>
          <w:tcPr>
            <w:tcW w:w="1951" w:type="dxa"/>
          </w:tcPr>
          <w:p w:rsidR="00CF6DB0" w:rsidRPr="00CF6DB0" w:rsidRDefault="00CF6DB0" w:rsidP="00101E94">
            <w:pPr>
              <w:rPr>
                <w:color w:val="000000"/>
              </w:rPr>
            </w:pPr>
            <w:r w:rsidRPr="00CF6DB0">
              <w:rPr>
                <w:color w:val="000000"/>
              </w:rPr>
              <w:t>PI</w:t>
            </w:r>
          </w:p>
        </w:tc>
        <w:tc>
          <w:tcPr>
            <w:tcW w:w="6769" w:type="dxa"/>
          </w:tcPr>
          <w:p w:rsidR="00CF6DB0" w:rsidRPr="00CF6DB0" w:rsidRDefault="00CF6DB0" w:rsidP="00101E94">
            <w:pPr>
              <w:rPr>
                <w:color w:val="000000"/>
              </w:rPr>
            </w:pPr>
            <w:r w:rsidRPr="00CF6DB0">
              <w:rPr>
                <w:color w:val="000000"/>
              </w:rPr>
              <w:t>Product Information</w:t>
            </w:r>
          </w:p>
        </w:tc>
      </w:tr>
      <w:tr w:rsidR="00CF6DB0" w:rsidRPr="00CF6DB0" w:rsidTr="00101E94">
        <w:tc>
          <w:tcPr>
            <w:tcW w:w="1951" w:type="dxa"/>
          </w:tcPr>
          <w:p w:rsidR="00CF6DB0" w:rsidRPr="00CF6DB0" w:rsidRDefault="00CF6DB0" w:rsidP="00101E94">
            <w:pPr>
              <w:rPr>
                <w:color w:val="000000"/>
              </w:rPr>
            </w:pPr>
            <w:r w:rsidRPr="00CF6DB0">
              <w:rPr>
                <w:color w:val="000000"/>
              </w:rPr>
              <w:t>PK</w:t>
            </w:r>
          </w:p>
        </w:tc>
        <w:tc>
          <w:tcPr>
            <w:tcW w:w="6769" w:type="dxa"/>
          </w:tcPr>
          <w:p w:rsidR="00CF6DB0" w:rsidRPr="00CF6DB0" w:rsidRDefault="00CF6DB0" w:rsidP="00101E94">
            <w:pPr>
              <w:rPr>
                <w:color w:val="000000"/>
              </w:rPr>
            </w:pPr>
            <w:r w:rsidRPr="00CF6DB0">
              <w:rPr>
                <w:color w:val="000000"/>
              </w:rPr>
              <w:t>pharmacokinetic</w:t>
            </w:r>
          </w:p>
        </w:tc>
      </w:tr>
      <w:tr w:rsidR="00CF6DB0" w:rsidRPr="00CF6DB0" w:rsidTr="00101E94">
        <w:tc>
          <w:tcPr>
            <w:tcW w:w="1951" w:type="dxa"/>
          </w:tcPr>
          <w:p w:rsidR="00CF6DB0" w:rsidRPr="00CF6DB0" w:rsidRDefault="00CF6DB0" w:rsidP="00101E94">
            <w:pPr>
              <w:rPr>
                <w:color w:val="000000"/>
              </w:rPr>
            </w:pPr>
            <w:r w:rsidRPr="00CF6DB0">
              <w:rPr>
                <w:color w:val="000000"/>
              </w:rPr>
              <w:t>PLC</w:t>
            </w:r>
          </w:p>
        </w:tc>
        <w:tc>
          <w:tcPr>
            <w:tcW w:w="6769" w:type="dxa"/>
          </w:tcPr>
          <w:p w:rsidR="00CF6DB0" w:rsidRPr="00CF6DB0" w:rsidRDefault="00CF6DB0" w:rsidP="00101E94">
            <w:pPr>
              <w:rPr>
                <w:color w:val="000000"/>
              </w:rPr>
            </w:pPr>
            <w:r w:rsidRPr="00CF6DB0">
              <w:rPr>
                <w:color w:val="000000"/>
              </w:rPr>
              <w:t>placebo</w:t>
            </w:r>
          </w:p>
        </w:tc>
      </w:tr>
      <w:tr w:rsidR="00CF6DB0" w:rsidRPr="00CF6DB0" w:rsidTr="00101E94">
        <w:tc>
          <w:tcPr>
            <w:tcW w:w="1951" w:type="dxa"/>
          </w:tcPr>
          <w:p w:rsidR="00CF6DB0" w:rsidRPr="00CF6DB0" w:rsidRDefault="00CF6DB0" w:rsidP="00101E94">
            <w:pPr>
              <w:rPr>
                <w:color w:val="000000"/>
              </w:rPr>
            </w:pPr>
            <w:proofErr w:type="spellStart"/>
            <w:r w:rsidRPr="00CF6DB0">
              <w:rPr>
                <w:color w:val="000000"/>
              </w:rPr>
              <w:t>PsA</w:t>
            </w:r>
            <w:proofErr w:type="spellEnd"/>
          </w:p>
        </w:tc>
        <w:tc>
          <w:tcPr>
            <w:tcW w:w="6769" w:type="dxa"/>
          </w:tcPr>
          <w:p w:rsidR="00CF6DB0" w:rsidRPr="00CF6DB0" w:rsidRDefault="00CF6DB0" w:rsidP="00101E94">
            <w:pPr>
              <w:rPr>
                <w:color w:val="000000"/>
              </w:rPr>
            </w:pPr>
            <w:r w:rsidRPr="00CF6DB0">
              <w:rPr>
                <w:color w:val="000000"/>
              </w:rPr>
              <w:t>Psoriatic arthritis</w:t>
            </w:r>
          </w:p>
        </w:tc>
      </w:tr>
      <w:tr w:rsidR="00CF6DB0" w:rsidRPr="00CF6DB0" w:rsidTr="00101E94">
        <w:tc>
          <w:tcPr>
            <w:tcW w:w="1951" w:type="dxa"/>
          </w:tcPr>
          <w:p w:rsidR="00CF6DB0" w:rsidRPr="00CF6DB0" w:rsidRDefault="00CF6DB0" w:rsidP="00101E94">
            <w:pPr>
              <w:rPr>
                <w:color w:val="000000"/>
              </w:rPr>
            </w:pPr>
            <w:r w:rsidRPr="00CF6DB0">
              <w:rPr>
                <w:color w:val="000000"/>
              </w:rPr>
              <w:t>PT(s)</w:t>
            </w:r>
          </w:p>
        </w:tc>
        <w:tc>
          <w:tcPr>
            <w:tcW w:w="6769" w:type="dxa"/>
          </w:tcPr>
          <w:p w:rsidR="00CF6DB0" w:rsidRPr="00CF6DB0" w:rsidRDefault="00CF6DB0" w:rsidP="00101E94">
            <w:pPr>
              <w:rPr>
                <w:color w:val="000000"/>
              </w:rPr>
            </w:pPr>
            <w:r w:rsidRPr="00CF6DB0">
              <w:rPr>
                <w:color w:val="000000"/>
              </w:rPr>
              <w:t>Preferred Term(s)</w:t>
            </w:r>
          </w:p>
        </w:tc>
      </w:tr>
      <w:tr w:rsidR="00CF6DB0" w:rsidRPr="00CF6DB0" w:rsidTr="00101E94">
        <w:tc>
          <w:tcPr>
            <w:tcW w:w="1951" w:type="dxa"/>
          </w:tcPr>
          <w:p w:rsidR="00CF6DB0" w:rsidRPr="00CF6DB0" w:rsidRDefault="00CF6DB0" w:rsidP="00101E94">
            <w:pPr>
              <w:rPr>
                <w:color w:val="000000"/>
              </w:rPr>
            </w:pPr>
            <w:r w:rsidRPr="00CF6DB0">
              <w:rPr>
                <w:color w:val="000000"/>
              </w:rPr>
              <w:t>RA</w:t>
            </w:r>
          </w:p>
        </w:tc>
        <w:tc>
          <w:tcPr>
            <w:tcW w:w="6769" w:type="dxa"/>
          </w:tcPr>
          <w:p w:rsidR="00CF6DB0" w:rsidRPr="00CF6DB0" w:rsidRDefault="00CF6DB0" w:rsidP="00101E94">
            <w:pPr>
              <w:rPr>
                <w:color w:val="000000"/>
              </w:rPr>
            </w:pPr>
            <w:r w:rsidRPr="00CF6DB0">
              <w:rPr>
                <w:color w:val="000000"/>
              </w:rPr>
              <w:t>Rheumatoid arthritis</w:t>
            </w:r>
          </w:p>
        </w:tc>
      </w:tr>
      <w:tr w:rsidR="00CF6DB0" w:rsidRPr="00CF6DB0" w:rsidTr="00101E94">
        <w:tc>
          <w:tcPr>
            <w:tcW w:w="1951" w:type="dxa"/>
          </w:tcPr>
          <w:p w:rsidR="00CF6DB0" w:rsidRPr="00CF6DB0" w:rsidRDefault="00CF6DB0" w:rsidP="00101E94">
            <w:pPr>
              <w:rPr>
                <w:color w:val="000000"/>
              </w:rPr>
            </w:pPr>
            <w:proofErr w:type="spellStart"/>
            <w:r w:rsidRPr="00CF6DB0">
              <w:rPr>
                <w:color w:val="000000"/>
              </w:rPr>
              <w:t>rmc</w:t>
            </w:r>
            <w:proofErr w:type="spellEnd"/>
          </w:p>
        </w:tc>
        <w:tc>
          <w:tcPr>
            <w:tcW w:w="6769" w:type="dxa"/>
          </w:tcPr>
          <w:p w:rsidR="00CF6DB0" w:rsidRPr="00CF6DB0" w:rsidRDefault="00CF6DB0" w:rsidP="00101E94">
            <w:pPr>
              <w:rPr>
                <w:color w:val="000000"/>
              </w:rPr>
            </w:pPr>
            <w:r w:rsidRPr="00CF6DB0">
              <w:rPr>
                <w:color w:val="000000"/>
              </w:rPr>
              <w:t>denotes production using recombinant mouse cells</w:t>
            </w:r>
          </w:p>
        </w:tc>
      </w:tr>
      <w:tr w:rsidR="00CF6DB0" w:rsidRPr="00CF6DB0" w:rsidTr="00101E94">
        <w:tc>
          <w:tcPr>
            <w:tcW w:w="1951" w:type="dxa"/>
          </w:tcPr>
          <w:p w:rsidR="00CF6DB0" w:rsidRPr="00CF6DB0" w:rsidRDefault="00CF6DB0" w:rsidP="00101E94">
            <w:pPr>
              <w:rPr>
                <w:color w:val="000000"/>
              </w:rPr>
            </w:pPr>
            <w:r w:rsidRPr="00CF6DB0">
              <w:rPr>
                <w:color w:val="000000"/>
              </w:rPr>
              <w:t>SC</w:t>
            </w:r>
          </w:p>
        </w:tc>
        <w:tc>
          <w:tcPr>
            <w:tcW w:w="6769" w:type="dxa"/>
          </w:tcPr>
          <w:p w:rsidR="00CF6DB0" w:rsidRPr="00CF6DB0" w:rsidRDefault="00CF6DB0" w:rsidP="00101E94">
            <w:pPr>
              <w:rPr>
                <w:color w:val="000000"/>
              </w:rPr>
            </w:pPr>
            <w:r w:rsidRPr="00CF6DB0">
              <w:rPr>
                <w:color w:val="000000"/>
              </w:rPr>
              <w:t>subcutaneous</w:t>
            </w:r>
          </w:p>
        </w:tc>
      </w:tr>
      <w:tr w:rsidR="00CF6DB0" w:rsidRPr="00CF6DB0" w:rsidTr="00101E94">
        <w:tc>
          <w:tcPr>
            <w:tcW w:w="1951" w:type="dxa"/>
          </w:tcPr>
          <w:p w:rsidR="00CF6DB0" w:rsidRPr="00CF6DB0" w:rsidRDefault="00CF6DB0" w:rsidP="00101E94">
            <w:pPr>
              <w:rPr>
                <w:color w:val="000000"/>
              </w:rPr>
            </w:pPr>
            <w:r w:rsidRPr="00CF6DB0">
              <w:rPr>
                <w:color w:val="000000"/>
              </w:rPr>
              <w:t>SF-36</w:t>
            </w:r>
          </w:p>
        </w:tc>
        <w:tc>
          <w:tcPr>
            <w:tcW w:w="6769" w:type="dxa"/>
          </w:tcPr>
          <w:p w:rsidR="00CF6DB0" w:rsidRPr="00CF6DB0" w:rsidRDefault="00CF6DB0" w:rsidP="00101E94">
            <w:pPr>
              <w:rPr>
                <w:color w:val="000000"/>
              </w:rPr>
            </w:pPr>
            <w:r w:rsidRPr="00CF6DB0">
              <w:rPr>
                <w:color w:val="000000"/>
              </w:rPr>
              <w:t>Short Form 36</w:t>
            </w:r>
          </w:p>
        </w:tc>
      </w:tr>
      <w:tr w:rsidR="00CF6DB0" w:rsidRPr="00CF6DB0" w:rsidTr="00101E94">
        <w:tc>
          <w:tcPr>
            <w:tcW w:w="1951" w:type="dxa"/>
          </w:tcPr>
          <w:p w:rsidR="00CF6DB0" w:rsidRPr="00CF6DB0" w:rsidRDefault="00CF6DB0" w:rsidP="00101E94">
            <w:pPr>
              <w:rPr>
                <w:color w:val="000000"/>
              </w:rPr>
            </w:pPr>
            <w:proofErr w:type="spellStart"/>
            <w:r w:rsidRPr="00CF6DB0">
              <w:rPr>
                <w:color w:val="000000"/>
              </w:rPr>
              <w:t>SmPC</w:t>
            </w:r>
            <w:proofErr w:type="spellEnd"/>
          </w:p>
        </w:tc>
        <w:tc>
          <w:tcPr>
            <w:tcW w:w="6769" w:type="dxa"/>
          </w:tcPr>
          <w:p w:rsidR="00CF6DB0" w:rsidRPr="00CF6DB0" w:rsidRDefault="00CF6DB0" w:rsidP="00101E94">
            <w:pPr>
              <w:rPr>
                <w:color w:val="000000"/>
              </w:rPr>
            </w:pPr>
            <w:r w:rsidRPr="00CF6DB0">
              <w:rPr>
                <w:color w:val="000000"/>
              </w:rPr>
              <w:t>Summary of Product Characteristics</w:t>
            </w:r>
          </w:p>
        </w:tc>
      </w:tr>
      <w:tr w:rsidR="00CF6DB0" w:rsidRPr="00CF6DB0" w:rsidTr="00101E94">
        <w:tc>
          <w:tcPr>
            <w:tcW w:w="1951" w:type="dxa"/>
          </w:tcPr>
          <w:p w:rsidR="00CF6DB0" w:rsidRPr="00CF6DB0" w:rsidRDefault="00CF6DB0" w:rsidP="00101E94">
            <w:pPr>
              <w:rPr>
                <w:color w:val="000000"/>
              </w:rPr>
            </w:pPr>
            <w:r w:rsidRPr="00CF6DB0">
              <w:rPr>
                <w:color w:val="000000"/>
              </w:rPr>
              <w:t>SPARCC</w:t>
            </w:r>
          </w:p>
        </w:tc>
        <w:tc>
          <w:tcPr>
            <w:tcW w:w="6769" w:type="dxa"/>
          </w:tcPr>
          <w:p w:rsidR="00CF6DB0" w:rsidRPr="00CF6DB0" w:rsidRDefault="00CF6DB0" w:rsidP="00101E94">
            <w:pPr>
              <w:rPr>
                <w:color w:val="000000"/>
              </w:rPr>
            </w:pPr>
            <w:r w:rsidRPr="00CF6DB0">
              <w:rPr>
                <w:color w:val="000000"/>
              </w:rPr>
              <w:t xml:space="preserve">the </w:t>
            </w:r>
            <w:proofErr w:type="spellStart"/>
            <w:r w:rsidRPr="00CF6DB0">
              <w:rPr>
                <w:color w:val="000000"/>
              </w:rPr>
              <w:t>Spondyloarthritis</w:t>
            </w:r>
            <w:proofErr w:type="spellEnd"/>
            <w:r w:rsidRPr="00CF6DB0">
              <w:rPr>
                <w:color w:val="000000"/>
              </w:rPr>
              <w:t xml:space="preserve"> Research Consortium of Canada</w:t>
            </w:r>
          </w:p>
        </w:tc>
      </w:tr>
      <w:tr w:rsidR="00CF6DB0" w:rsidRPr="00CF6DB0" w:rsidTr="00101E94">
        <w:tc>
          <w:tcPr>
            <w:tcW w:w="1951" w:type="dxa"/>
          </w:tcPr>
          <w:p w:rsidR="00CF6DB0" w:rsidRPr="00CF6DB0" w:rsidRDefault="00CF6DB0" w:rsidP="00101E94">
            <w:pPr>
              <w:rPr>
                <w:color w:val="000000"/>
              </w:rPr>
            </w:pPr>
            <w:r w:rsidRPr="00CF6DB0">
              <w:rPr>
                <w:color w:val="000000"/>
              </w:rPr>
              <w:t>TB</w:t>
            </w:r>
          </w:p>
        </w:tc>
        <w:tc>
          <w:tcPr>
            <w:tcW w:w="6769" w:type="dxa"/>
          </w:tcPr>
          <w:p w:rsidR="00CF6DB0" w:rsidRPr="00CF6DB0" w:rsidRDefault="00CF6DB0" w:rsidP="00101E94">
            <w:pPr>
              <w:rPr>
                <w:color w:val="000000"/>
              </w:rPr>
            </w:pPr>
            <w:r w:rsidRPr="00CF6DB0">
              <w:rPr>
                <w:color w:val="000000"/>
              </w:rPr>
              <w:t>tuberculosis</w:t>
            </w:r>
          </w:p>
        </w:tc>
      </w:tr>
      <w:tr w:rsidR="00CF6DB0" w:rsidRPr="00CF6DB0" w:rsidTr="00101E94">
        <w:tc>
          <w:tcPr>
            <w:tcW w:w="1951" w:type="dxa"/>
          </w:tcPr>
          <w:p w:rsidR="00CF6DB0" w:rsidRPr="00CF6DB0" w:rsidRDefault="00CF6DB0" w:rsidP="00101E94">
            <w:pPr>
              <w:rPr>
                <w:color w:val="000000"/>
              </w:rPr>
            </w:pPr>
            <w:r w:rsidRPr="00CF6DB0">
              <w:rPr>
                <w:color w:val="000000"/>
              </w:rPr>
              <w:t>TGA</w:t>
            </w:r>
          </w:p>
        </w:tc>
        <w:tc>
          <w:tcPr>
            <w:tcW w:w="6769" w:type="dxa"/>
          </w:tcPr>
          <w:p w:rsidR="00CF6DB0" w:rsidRPr="00CF6DB0" w:rsidRDefault="00CF6DB0" w:rsidP="00101E94">
            <w:pPr>
              <w:rPr>
                <w:color w:val="000000"/>
              </w:rPr>
            </w:pPr>
            <w:r w:rsidRPr="00CF6DB0">
              <w:rPr>
                <w:color w:val="000000"/>
              </w:rPr>
              <w:t>Therapeutic Goods Administration</w:t>
            </w:r>
          </w:p>
        </w:tc>
      </w:tr>
      <w:tr w:rsidR="00CF6DB0" w:rsidRPr="00CF6DB0" w:rsidTr="00101E94">
        <w:tc>
          <w:tcPr>
            <w:tcW w:w="1951" w:type="dxa"/>
          </w:tcPr>
          <w:p w:rsidR="00CF6DB0" w:rsidRPr="00CF6DB0" w:rsidRDefault="00CF6DB0" w:rsidP="00101E94">
            <w:pPr>
              <w:rPr>
                <w:color w:val="000000"/>
              </w:rPr>
            </w:pPr>
            <w:r w:rsidRPr="00CF6DB0">
              <w:rPr>
                <w:color w:val="000000"/>
              </w:rPr>
              <w:lastRenderedPageBreak/>
              <w:t>TNF-α</w:t>
            </w:r>
          </w:p>
        </w:tc>
        <w:tc>
          <w:tcPr>
            <w:tcW w:w="6769" w:type="dxa"/>
          </w:tcPr>
          <w:p w:rsidR="00CF6DB0" w:rsidRPr="00CF6DB0" w:rsidRDefault="00CF6DB0" w:rsidP="00101E94">
            <w:pPr>
              <w:rPr>
                <w:color w:val="000000"/>
              </w:rPr>
            </w:pPr>
            <w:r w:rsidRPr="00CF6DB0">
              <w:rPr>
                <w:color w:val="000000"/>
              </w:rPr>
              <w:t>tumour necrosis factor alpha</w:t>
            </w:r>
          </w:p>
        </w:tc>
      </w:tr>
      <w:tr w:rsidR="00CF6DB0" w:rsidRPr="00CF6DB0" w:rsidTr="00101E94">
        <w:tc>
          <w:tcPr>
            <w:tcW w:w="1951" w:type="dxa"/>
          </w:tcPr>
          <w:p w:rsidR="00CF6DB0" w:rsidRPr="00CF6DB0" w:rsidRDefault="00CF6DB0" w:rsidP="00101E94">
            <w:pPr>
              <w:rPr>
                <w:color w:val="000000"/>
              </w:rPr>
            </w:pPr>
            <w:r w:rsidRPr="00CF6DB0">
              <w:rPr>
                <w:color w:val="000000"/>
              </w:rPr>
              <w:t>UC</w:t>
            </w:r>
          </w:p>
        </w:tc>
        <w:tc>
          <w:tcPr>
            <w:tcW w:w="6769" w:type="dxa"/>
          </w:tcPr>
          <w:p w:rsidR="00CF6DB0" w:rsidRPr="00CF6DB0" w:rsidRDefault="00CF6DB0" w:rsidP="00101E94">
            <w:pPr>
              <w:rPr>
                <w:color w:val="000000"/>
              </w:rPr>
            </w:pPr>
            <w:r w:rsidRPr="00CF6DB0">
              <w:rPr>
                <w:color w:val="000000"/>
              </w:rPr>
              <w:t>ulcerative colitis</w:t>
            </w:r>
          </w:p>
        </w:tc>
      </w:tr>
      <w:tr w:rsidR="00CF6DB0" w:rsidRPr="00CF6DB0" w:rsidTr="00101E94">
        <w:tc>
          <w:tcPr>
            <w:tcW w:w="1951" w:type="dxa"/>
          </w:tcPr>
          <w:p w:rsidR="00CF6DB0" w:rsidRPr="00CF6DB0" w:rsidRDefault="00CF6DB0" w:rsidP="00101E94">
            <w:pPr>
              <w:rPr>
                <w:color w:val="000000"/>
              </w:rPr>
            </w:pPr>
            <w:r w:rsidRPr="00CF6DB0">
              <w:rPr>
                <w:color w:val="000000"/>
              </w:rPr>
              <w:t>ULN</w:t>
            </w:r>
          </w:p>
        </w:tc>
        <w:tc>
          <w:tcPr>
            <w:tcW w:w="6769" w:type="dxa"/>
          </w:tcPr>
          <w:p w:rsidR="00CF6DB0" w:rsidRPr="00CF6DB0" w:rsidRDefault="00CF6DB0" w:rsidP="00101E94">
            <w:pPr>
              <w:rPr>
                <w:color w:val="000000"/>
              </w:rPr>
            </w:pPr>
            <w:r w:rsidRPr="00CF6DB0">
              <w:rPr>
                <w:color w:val="000000"/>
              </w:rPr>
              <w:t>upper limit of normal</w:t>
            </w:r>
          </w:p>
        </w:tc>
      </w:tr>
      <w:tr w:rsidR="00CF6DB0" w:rsidRPr="00CF6DB0" w:rsidTr="00101E94">
        <w:tc>
          <w:tcPr>
            <w:tcW w:w="1951" w:type="dxa"/>
          </w:tcPr>
          <w:p w:rsidR="00CF6DB0" w:rsidRPr="00CF6DB0" w:rsidRDefault="00CF6DB0" w:rsidP="00101E94">
            <w:pPr>
              <w:rPr>
                <w:color w:val="000000"/>
              </w:rPr>
            </w:pPr>
            <w:r w:rsidRPr="00CF6DB0">
              <w:rPr>
                <w:color w:val="000000"/>
              </w:rPr>
              <w:t>URTI</w:t>
            </w:r>
          </w:p>
        </w:tc>
        <w:tc>
          <w:tcPr>
            <w:tcW w:w="6769" w:type="dxa"/>
          </w:tcPr>
          <w:p w:rsidR="00CF6DB0" w:rsidRPr="00CF6DB0" w:rsidRDefault="00CF6DB0" w:rsidP="00101E94">
            <w:pPr>
              <w:rPr>
                <w:color w:val="000000"/>
              </w:rPr>
            </w:pPr>
            <w:r w:rsidRPr="00CF6DB0">
              <w:rPr>
                <w:color w:val="000000"/>
              </w:rPr>
              <w:t>upper respiratory tract infection(s)</w:t>
            </w:r>
          </w:p>
        </w:tc>
      </w:tr>
      <w:tr w:rsidR="00CF6DB0" w:rsidRPr="00CF6DB0" w:rsidTr="00101E94">
        <w:tc>
          <w:tcPr>
            <w:tcW w:w="1951" w:type="dxa"/>
          </w:tcPr>
          <w:p w:rsidR="00CF6DB0" w:rsidRPr="00CF6DB0" w:rsidRDefault="00CF6DB0" w:rsidP="00101E94">
            <w:pPr>
              <w:rPr>
                <w:color w:val="000000"/>
              </w:rPr>
            </w:pPr>
            <w:r w:rsidRPr="00CF6DB0">
              <w:rPr>
                <w:color w:val="000000"/>
              </w:rPr>
              <w:t>USA</w:t>
            </w:r>
          </w:p>
        </w:tc>
        <w:tc>
          <w:tcPr>
            <w:tcW w:w="6769" w:type="dxa"/>
          </w:tcPr>
          <w:p w:rsidR="00CF6DB0" w:rsidRPr="00CF6DB0" w:rsidRDefault="00CF6DB0" w:rsidP="00101E94">
            <w:pPr>
              <w:rPr>
                <w:color w:val="000000"/>
              </w:rPr>
            </w:pPr>
            <w:r w:rsidRPr="00CF6DB0">
              <w:rPr>
                <w:color w:val="000000"/>
              </w:rPr>
              <w:t>United States of America</w:t>
            </w:r>
          </w:p>
        </w:tc>
      </w:tr>
      <w:tr w:rsidR="00CF6DB0" w:rsidRPr="00CF6DB0" w:rsidTr="00101E94">
        <w:tc>
          <w:tcPr>
            <w:tcW w:w="1951" w:type="dxa"/>
          </w:tcPr>
          <w:p w:rsidR="00CF6DB0" w:rsidRPr="00CF6DB0" w:rsidRDefault="00CF6DB0" w:rsidP="00101E94">
            <w:pPr>
              <w:rPr>
                <w:color w:val="000000"/>
              </w:rPr>
            </w:pPr>
            <w:proofErr w:type="spellStart"/>
            <w:r w:rsidRPr="00CF6DB0">
              <w:rPr>
                <w:color w:val="000000"/>
              </w:rPr>
              <w:t>wk</w:t>
            </w:r>
            <w:proofErr w:type="spellEnd"/>
            <w:r w:rsidRPr="00CF6DB0">
              <w:rPr>
                <w:color w:val="000000"/>
              </w:rPr>
              <w:t>(s)</w:t>
            </w:r>
          </w:p>
        </w:tc>
        <w:tc>
          <w:tcPr>
            <w:tcW w:w="6769" w:type="dxa"/>
          </w:tcPr>
          <w:p w:rsidR="00CF6DB0" w:rsidRPr="00CF6DB0" w:rsidRDefault="00CF6DB0" w:rsidP="00101E94">
            <w:pPr>
              <w:rPr>
                <w:color w:val="000000"/>
              </w:rPr>
            </w:pPr>
            <w:r w:rsidRPr="00CF6DB0">
              <w:rPr>
                <w:color w:val="000000"/>
              </w:rPr>
              <w:t>week(s)</w:t>
            </w:r>
          </w:p>
        </w:tc>
      </w:tr>
    </w:tbl>
    <w:p w:rsidR="00FD119B" w:rsidRDefault="00FD119B" w:rsidP="00FD119B"/>
    <w:p w:rsidR="00FD119B" w:rsidRPr="00FD119B" w:rsidRDefault="00FD119B" w:rsidP="00FD119B">
      <w:pPr>
        <w:spacing w:before="0" w:after="200" w:line="0" w:lineRule="auto"/>
        <w:rPr>
          <w:b/>
          <w:i/>
          <w:sz w:val="24"/>
          <w:szCs w:val="24"/>
        </w:rPr>
      </w:pPr>
      <w:r w:rsidRPr="00FD119B">
        <w:rPr>
          <w:b/>
          <w:i/>
          <w:sz w:val="24"/>
          <w:szCs w:val="24"/>
        </w:rPr>
        <w:br w:type="page"/>
      </w:r>
    </w:p>
    <w:p w:rsidR="008E7846" w:rsidRDefault="00F53C07" w:rsidP="008E7846">
      <w:pPr>
        <w:pStyle w:val="Heading2"/>
      </w:pPr>
      <w:bookmarkStart w:id="9" w:name="_Toc487718615"/>
      <w:r>
        <w:lastRenderedPageBreak/>
        <w:t>I.</w:t>
      </w:r>
      <w:r w:rsidR="008E7846">
        <w:t xml:space="preserve"> Introduction to product submission</w:t>
      </w:r>
      <w:bookmarkEnd w:id="9"/>
      <w:bookmarkEnd w:id="3"/>
      <w:bookmarkEnd w:id="1"/>
    </w:p>
    <w:p w:rsidR="008E7846" w:rsidRDefault="008E7846" w:rsidP="008E7846">
      <w:pPr>
        <w:pStyle w:val="Heading3"/>
        <w:rPr>
          <w:lang w:eastAsia="en-AU"/>
        </w:rPr>
      </w:pPr>
      <w:bookmarkStart w:id="10" w:name="_Toc247691502"/>
      <w:bookmarkStart w:id="11" w:name="_Toc314842483"/>
      <w:bookmarkStart w:id="12" w:name="_Toc487718616"/>
      <w:r>
        <w:rPr>
          <w:lang w:eastAsia="en-AU"/>
        </w:rPr>
        <w:t>Submission details</w:t>
      </w:r>
      <w:bookmarkEnd w:id="10"/>
      <w:bookmarkEnd w:id="11"/>
      <w:bookmarkEnd w:id="12"/>
    </w:p>
    <w:tbl>
      <w:tblPr>
        <w:tblW w:w="9214" w:type="dxa"/>
        <w:tblInd w:w="108" w:type="dxa"/>
        <w:tblLook w:val="01E0" w:firstRow="1" w:lastRow="1" w:firstColumn="1" w:lastColumn="1" w:noHBand="0" w:noVBand="0"/>
      </w:tblPr>
      <w:tblGrid>
        <w:gridCol w:w="2907"/>
        <w:gridCol w:w="6307"/>
      </w:tblGrid>
      <w:tr w:rsidR="008E7846" w:rsidRPr="003D1E62" w:rsidTr="00645808">
        <w:trPr>
          <w:trHeight w:hRule="exact" w:val="454"/>
        </w:trPr>
        <w:tc>
          <w:tcPr>
            <w:tcW w:w="2907" w:type="dxa"/>
          </w:tcPr>
          <w:p w:rsidR="008E7846" w:rsidRPr="003D1E62" w:rsidRDefault="001B5C90" w:rsidP="001B5C90">
            <w:pPr>
              <w:rPr>
                <w:i/>
              </w:rPr>
            </w:pPr>
            <w:r>
              <w:rPr>
                <w:i/>
              </w:rPr>
              <w:t>Type of s</w:t>
            </w:r>
            <w:r w:rsidR="008E7846" w:rsidRPr="003D1E62">
              <w:rPr>
                <w:i/>
              </w:rPr>
              <w:t>ubmission</w:t>
            </w:r>
            <w:r>
              <w:rPr>
                <w:i/>
              </w:rPr>
              <w:t>:</w:t>
            </w:r>
          </w:p>
        </w:tc>
        <w:tc>
          <w:tcPr>
            <w:tcW w:w="6307" w:type="dxa"/>
          </w:tcPr>
          <w:p w:rsidR="008E7846" w:rsidRPr="003D1E62" w:rsidRDefault="00BD42F6" w:rsidP="00BD42F6">
            <w:r>
              <w:t>Extension of Indications</w:t>
            </w:r>
          </w:p>
        </w:tc>
      </w:tr>
      <w:tr w:rsidR="008E7846" w:rsidRPr="003D1E62" w:rsidTr="00645808">
        <w:trPr>
          <w:trHeight w:hRule="exact" w:val="454"/>
        </w:trPr>
        <w:tc>
          <w:tcPr>
            <w:tcW w:w="2907" w:type="dxa"/>
          </w:tcPr>
          <w:p w:rsidR="008E7846" w:rsidRPr="003D1E62" w:rsidRDefault="008E7846" w:rsidP="003D1E62">
            <w:r w:rsidRPr="003D1E62">
              <w:rPr>
                <w:i/>
              </w:rPr>
              <w:t>Decision</w:t>
            </w:r>
            <w:r w:rsidRPr="003D1E62">
              <w:t>:</w:t>
            </w:r>
          </w:p>
        </w:tc>
        <w:tc>
          <w:tcPr>
            <w:tcW w:w="6307" w:type="dxa"/>
          </w:tcPr>
          <w:p w:rsidR="008E7846" w:rsidRPr="003D1E62" w:rsidRDefault="00BD42F6" w:rsidP="001B5C90">
            <w:r>
              <w:t>Approved</w:t>
            </w:r>
          </w:p>
        </w:tc>
      </w:tr>
      <w:tr w:rsidR="008E7846" w:rsidRPr="003D1E62" w:rsidTr="00645808">
        <w:trPr>
          <w:trHeight w:hRule="exact" w:val="454"/>
        </w:trPr>
        <w:tc>
          <w:tcPr>
            <w:tcW w:w="2907" w:type="dxa"/>
          </w:tcPr>
          <w:p w:rsidR="008E7846" w:rsidRPr="003D1E62" w:rsidRDefault="008E7846" w:rsidP="001B5C90">
            <w:pPr>
              <w:rPr>
                <w:i/>
              </w:rPr>
            </w:pPr>
            <w:r w:rsidRPr="003D1E62">
              <w:rPr>
                <w:i/>
              </w:rPr>
              <w:t xml:space="preserve">Date of </w:t>
            </w:r>
            <w:r w:rsidR="001B5C90">
              <w:rPr>
                <w:i/>
              </w:rPr>
              <w:t>d</w:t>
            </w:r>
            <w:r w:rsidRPr="003D1E62">
              <w:rPr>
                <w:i/>
              </w:rPr>
              <w:t>ecision:</w:t>
            </w:r>
          </w:p>
        </w:tc>
        <w:tc>
          <w:tcPr>
            <w:tcW w:w="6307" w:type="dxa"/>
          </w:tcPr>
          <w:p w:rsidR="008E7846" w:rsidRPr="003D1E62" w:rsidRDefault="007319E1" w:rsidP="001B5C90">
            <w:r>
              <w:t>2 September 2016</w:t>
            </w:r>
          </w:p>
        </w:tc>
      </w:tr>
      <w:tr w:rsidR="00ED2922" w:rsidRPr="003D1E62" w:rsidTr="00645808">
        <w:trPr>
          <w:trHeight w:hRule="exact" w:val="454"/>
        </w:trPr>
        <w:tc>
          <w:tcPr>
            <w:tcW w:w="2907" w:type="dxa"/>
          </w:tcPr>
          <w:p w:rsidR="00ED2922" w:rsidRPr="00441C3F" w:rsidRDefault="00ED2922" w:rsidP="001B5C90">
            <w:pPr>
              <w:rPr>
                <w:i/>
              </w:rPr>
            </w:pPr>
            <w:r w:rsidRPr="00441C3F">
              <w:rPr>
                <w:i/>
              </w:rPr>
              <w:t>Date of entry onto ARTG</w:t>
            </w:r>
          </w:p>
        </w:tc>
        <w:tc>
          <w:tcPr>
            <w:tcW w:w="6307" w:type="dxa"/>
          </w:tcPr>
          <w:p w:rsidR="00ED2922" w:rsidRPr="00441C3F" w:rsidRDefault="007319E1" w:rsidP="00EC463D">
            <w:pPr>
              <w:rPr>
                <w:i/>
              </w:rPr>
            </w:pPr>
            <w:r>
              <w:t>9 September 2016</w:t>
            </w:r>
          </w:p>
        </w:tc>
      </w:tr>
      <w:tr w:rsidR="008E7846" w:rsidRPr="00487162" w:rsidTr="00645808">
        <w:tc>
          <w:tcPr>
            <w:tcW w:w="2907" w:type="dxa"/>
          </w:tcPr>
          <w:p w:rsidR="008E7846" w:rsidRPr="00487162" w:rsidRDefault="001B5C90" w:rsidP="00E45619">
            <w:pPr>
              <w:rPr>
                <w:i/>
              </w:rPr>
            </w:pPr>
            <w:r>
              <w:rPr>
                <w:i/>
              </w:rPr>
              <w:t>Active ingredient(s):</w:t>
            </w:r>
          </w:p>
        </w:tc>
        <w:tc>
          <w:tcPr>
            <w:tcW w:w="6307" w:type="dxa"/>
          </w:tcPr>
          <w:p w:rsidR="008E7846" w:rsidRPr="00487162" w:rsidRDefault="00BD42F6" w:rsidP="00E45619">
            <w:proofErr w:type="spellStart"/>
            <w:r w:rsidRPr="00BD42F6">
              <w:t>Golimumab</w:t>
            </w:r>
            <w:proofErr w:type="spellEnd"/>
            <w:r w:rsidRPr="00BD42F6">
              <w:t xml:space="preserve"> (</w:t>
            </w:r>
            <w:proofErr w:type="spellStart"/>
            <w:r w:rsidRPr="00BD42F6">
              <w:t>rmc</w:t>
            </w:r>
            <w:proofErr w:type="spellEnd"/>
            <w:r w:rsidRPr="00BD42F6">
              <w:t>)</w:t>
            </w:r>
          </w:p>
        </w:tc>
      </w:tr>
      <w:tr w:rsidR="008E7846" w:rsidRPr="00487162" w:rsidTr="00645808">
        <w:tc>
          <w:tcPr>
            <w:tcW w:w="2907" w:type="dxa"/>
          </w:tcPr>
          <w:p w:rsidR="008E7846" w:rsidRPr="00487162" w:rsidRDefault="008E7846" w:rsidP="001B5C90">
            <w:pPr>
              <w:rPr>
                <w:i/>
              </w:rPr>
            </w:pPr>
            <w:r w:rsidRPr="00487162">
              <w:rPr>
                <w:i/>
              </w:rPr>
              <w:t>Product</w:t>
            </w:r>
            <w:r w:rsidR="001B5C90">
              <w:rPr>
                <w:i/>
              </w:rPr>
              <w:t xml:space="preserve"> name(s):</w:t>
            </w:r>
          </w:p>
        </w:tc>
        <w:tc>
          <w:tcPr>
            <w:tcW w:w="6307" w:type="dxa"/>
          </w:tcPr>
          <w:p w:rsidR="008E7846" w:rsidRPr="00487162" w:rsidRDefault="00BD42F6" w:rsidP="00E45619">
            <w:proofErr w:type="spellStart"/>
            <w:r>
              <w:t>Simponi</w:t>
            </w:r>
            <w:proofErr w:type="spellEnd"/>
          </w:p>
        </w:tc>
      </w:tr>
      <w:tr w:rsidR="008E7846" w:rsidRPr="00487162" w:rsidTr="00645808">
        <w:tc>
          <w:tcPr>
            <w:tcW w:w="2907" w:type="dxa"/>
          </w:tcPr>
          <w:p w:rsidR="008E7846" w:rsidRPr="00487162" w:rsidRDefault="008E7846" w:rsidP="001B5C90">
            <w:pPr>
              <w:rPr>
                <w:i/>
              </w:rPr>
            </w:pPr>
            <w:r w:rsidRPr="00487162">
              <w:rPr>
                <w:i/>
              </w:rPr>
              <w:t xml:space="preserve">Sponsor’s </w:t>
            </w:r>
            <w:r w:rsidR="001B5C90">
              <w:rPr>
                <w:i/>
              </w:rPr>
              <w:t>n</w:t>
            </w:r>
            <w:r w:rsidRPr="00487162">
              <w:rPr>
                <w:i/>
              </w:rPr>
              <w:t xml:space="preserve">ame and </w:t>
            </w:r>
            <w:r w:rsidR="001B5C90">
              <w:rPr>
                <w:i/>
              </w:rPr>
              <w:t>a</w:t>
            </w:r>
            <w:r w:rsidRPr="00487162">
              <w:rPr>
                <w:i/>
              </w:rPr>
              <w:t>ddress:</w:t>
            </w:r>
          </w:p>
        </w:tc>
        <w:tc>
          <w:tcPr>
            <w:tcW w:w="6307" w:type="dxa"/>
          </w:tcPr>
          <w:p w:rsidR="00203F1E" w:rsidRDefault="00203F1E" w:rsidP="00203F1E">
            <w:r w:rsidRPr="00203F1E">
              <w:t>Janssen-</w:t>
            </w:r>
            <w:proofErr w:type="spellStart"/>
            <w:r w:rsidRPr="00203F1E">
              <w:t>Cilag</w:t>
            </w:r>
            <w:proofErr w:type="spellEnd"/>
            <w:r w:rsidRPr="00203F1E">
              <w:t xml:space="preserve"> Pty Ltd</w:t>
            </w:r>
          </w:p>
          <w:p w:rsidR="00203F1E" w:rsidRDefault="00203F1E" w:rsidP="00203F1E">
            <w:r>
              <w:t>1-5 Khartoum Road,</w:t>
            </w:r>
          </w:p>
          <w:p w:rsidR="008E7846" w:rsidRPr="00487162" w:rsidRDefault="00203F1E" w:rsidP="00203F1E">
            <w:r>
              <w:t>Macquarie Park NSW 2113</w:t>
            </w:r>
          </w:p>
        </w:tc>
      </w:tr>
      <w:tr w:rsidR="008E7846" w:rsidRPr="00487162" w:rsidTr="00645808">
        <w:tc>
          <w:tcPr>
            <w:tcW w:w="2907" w:type="dxa"/>
          </w:tcPr>
          <w:p w:rsidR="008E7846" w:rsidRPr="00487162" w:rsidRDefault="001B5C90" w:rsidP="00E45619">
            <w:pPr>
              <w:rPr>
                <w:i/>
              </w:rPr>
            </w:pPr>
            <w:r>
              <w:rPr>
                <w:i/>
              </w:rPr>
              <w:t>Dose form(s):</w:t>
            </w:r>
          </w:p>
        </w:tc>
        <w:tc>
          <w:tcPr>
            <w:tcW w:w="6307" w:type="dxa"/>
          </w:tcPr>
          <w:p w:rsidR="008E7846" w:rsidRPr="00487162" w:rsidRDefault="00B96E1C" w:rsidP="00E0459F">
            <w:r>
              <w:t xml:space="preserve">Sterile </w:t>
            </w:r>
            <w:r w:rsidR="00E0459F">
              <w:t>S</w:t>
            </w:r>
            <w:r>
              <w:t>olution</w:t>
            </w:r>
            <w:r w:rsidR="00E0459F">
              <w:t xml:space="preserve"> for Injection</w:t>
            </w:r>
            <w:r w:rsidR="007319E1">
              <w:t>.</w:t>
            </w:r>
            <w:r w:rsidR="00004149">
              <w:t xml:space="preserve"> </w:t>
            </w:r>
          </w:p>
        </w:tc>
      </w:tr>
      <w:tr w:rsidR="008E7846" w:rsidRPr="00487162" w:rsidTr="00645808">
        <w:tc>
          <w:tcPr>
            <w:tcW w:w="2907" w:type="dxa"/>
          </w:tcPr>
          <w:p w:rsidR="008E7846" w:rsidRPr="00487162" w:rsidRDefault="008E7846" w:rsidP="00E45619">
            <w:pPr>
              <w:rPr>
                <w:i/>
              </w:rPr>
            </w:pPr>
            <w:r w:rsidRPr="00487162">
              <w:rPr>
                <w:i/>
              </w:rPr>
              <w:t xml:space="preserve">Strength(s): </w:t>
            </w:r>
          </w:p>
        </w:tc>
        <w:tc>
          <w:tcPr>
            <w:tcW w:w="6307" w:type="dxa"/>
          </w:tcPr>
          <w:p w:rsidR="008E7846" w:rsidRPr="00487162" w:rsidRDefault="00B96E1C" w:rsidP="00B96E1C">
            <w:r>
              <w:t xml:space="preserve">50 mg of </w:t>
            </w:r>
            <w:proofErr w:type="spellStart"/>
            <w:r>
              <w:t>golimumab</w:t>
            </w:r>
            <w:proofErr w:type="spellEnd"/>
            <w:r>
              <w:t xml:space="preserve"> in 0.5 mL and 100 mg</w:t>
            </w:r>
            <w:r w:rsidR="00004149">
              <w:t xml:space="preserve"> </w:t>
            </w:r>
            <w:r>
              <w:t>of</w:t>
            </w:r>
            <w:r w:rsidR="00004149">
              <w:t xml:space="preserve"> </w:t>
            </w:r>
            <w:proofErr w:type="spellStart"/>
            <w:r>
              <w:t>golimumab</w:t>
            </w:r>
            <w:proofErr w:type="spellEnd"/>
            <w:r w:rsidR="00004149">
              <w:t xml:space="preserve"> </w:t>
            </w:r>
            <w:r>
              <w:t>in</w:t>
            </w:r>
            <w:r w:rsidR="00004149">
              <w:t xml:space="preserve"> </w:t>
            </w:r>
            <w:r>
              <w:t>1</w:t>
            </w:r>
            <w:r w:rsidR="00004149">
              <w:t xml:space="preserve"> </w:t>
            </w:r>
            <w:r>
              <w:t>mL</w:t>
            </w:r>
          </w:p>
        </w:tc>
      </w:tr>
      <w:tr w:rsidR="008E7846" w:rsidRPr="00487162" w:rsidTr="00645808">
        <w:tc>
          <w:tcPr>
            <w:tcW w:w="2907" w:type="dxa"/>
          </w:tcPr>
          <w:p w:rsidR="008E7846" w:rsidRPr="00487162" w:rsidRDefault="008E7846" w:rsidP="00E45619">
            <w:pPr>
              <w:rPr>
                <w:i/>
              </w:rPr>
            </w:pPr>
            <w:r w:rsidRPr="00487162">
              <w:rPr>
                <w:i/>
              </w:rPr>
              <w:t>Container(s):</w:t>
            </w:r>
          </w:p>
        </w:tc>
        <w:tc>
          <w:tcPr>
            <w:tcW w:w="6307" w:type="dxa"/>
          </w:tcPr>
          <w:p w:rsidR="008E7846" w:rsidRPr="00487162" w:rsidRDefault="00B96E1C" w:rsidP="00E0459F">
            <w:r>
              <w:t>Pre-filled glass syringe</w:t>
            </w:r>
            <w:r w:rsidR="00E0459F">
              <w:t xml:space="preserve"> with fixed stainless steel needle. This syringe is contained in a single-use pre-filled pen called ‘</w:t>
            </w:r>
            <w:proofErr w:type="spellStart"/>
            <w:r w:rsidR="00E0459F">
              <w:t>SmartJect</w:t>
            </w:r>
            <w:proofErr w:type="spellEnd"/>
            <w:r w:rsidR="00E0459F">
              <w:t>’.</w:t>
            </w:r>
          </w:p>
        </w:tc>
      </w:tr>
      <w:tr w:rsidR="008E7846" w:rsidRPr="00487162" w:rsidTr="00645808">
        <w:tc>
          <w:tcPr>
            <w:tcW w:w="2907" w:type="dxa"/>
          </w:tcPr>
          <w:p w:rsidR="008E7846" w:rsidRPr="00487162" w:rsidRDefault="008E7846" w:rsidP="00E45619">
            <w:pPr>
              <w:rPr>
                <w:i/>
              </w:rPr>
            </w:pPr>
            <w:r w:rsidRPr="00487162">
              <w:rPr>
                <w:i/>
              </w:rPr>
              <w:t>Pack size(s):</w:t>
            </w:r>
          </w:p>
        </w:tc>
        <w:tc>
          <w:tcPr>
            <w:tcW w:w="6307" w:type="dxa"/>
          </w:tcPr>
          <w:p w:rsidR="008E7846" w:rsidRPr="00487162" w:rsidRDefault="00B96E1C" w:rsidP="00E45619">
            <w:r>
              <w:t>1 or 3</w:t>
            </w:r>
          </w:p>
        </w:tc>
      </w:tr>
      <w:tr w:rsidR="008E7846" w:rsidRPr="00487162" w:rsidTr="00645808">
        <w:tc>
          <w:tcPr>
            <w:tcW w:w="2907" w:type="dxa"/>
          </w:tcPr>
          <w:p w:rsidR="008E7846" w:rsidRPr="00487162" w:rsidRDefault="008E7846" w:rsidP="001B5C90">
            <w:pPr>
              <w:rPr>
                <w:i/>
              </w:rPr>
            </w:pPr>
            <w:r w:rsidRPr="00487162">
              <w:rPr>
                <w:i/>
              </w:rPr>
              <w:t xml:space="preserve">Approved </w:t>
            </w:r>
            <w:r w:rsidR="001B5C90">
              <w:rPr>
                <w:i/>
              </w:rPr>
              <w:t>t</w:t>
            </w:r>
            <w:r w:rsidRPr="00487162">
              <w:rPr>
                <w:i/>
              </w:rPr>
              <w:t>herapeutic use:</w:t>
            </w:r>
          </w:p>
        </w:tc>
        <w:tc>
          <w:tcPr>
            <w:tcW w:w="6307" w:type="dxa"/>
          </w:tcPr>
          <w:p w:rsidR="007319E1" w:rsidRPr="00B96E1C" w:rsidRDefault="007319E1" w:rsidP="007319E1">
            <w:pPr>
              <w:rPr>
                <w:b/>
                <w:i/>
              </w:rPr>
            </w:pPr>
            <w:r w:rsidRPr="00B96E1C">
              <w:rPr>
                <w:b/>
                <w:i/>
              </w:rPr>
              <w:t xml:space="preserve">Non-radiographic axial </w:t>
            </w:r>
            <w:proofErr w:type="spellStart"/>
            <w:r w:rsidRPr="00B96E1C">
              <w:rPr>
                <w:b/>
                <w:i/>
              </w:rPr>
              <w:t>spondyloarthritis</w:t>
            </w:r>
            <w:proofErr w:type="spellEnd"/>
            <w:r w:rsidRPr="00B96E1C">
              <w:rPr>
                <w:b/>
                <w:i/>
              </w:rPr>
              <w:t xml:space="preserve"> (nr-Axial</w:t>
            </w:r>
            <w:r w:rsidR="00004149">
              <w:rPr>
                <w:b/>
                <w:i/>
              </w:rPr>
              <w:t xml:space="preserve"> </w:t>
            </w:r>
            <w:proofErr w:type="spellStart"/>
            <w:r w:rsidRPr="00B96E1C">
              <w:rPr>
                <w:b/>
                <w:i/>
              </w:rPr>
              <w:t>SpAJ</w:t>
            </w:r>
            <w:proofErr w:type="spellEnd"/>
          </w:p>
          <w:p w:rsidR="008E7846" w:rsidRPr="00B96E1C" w:rsidRDefault="007319E1" w:rsidP="00B96E1C">
            <w:pPr>
              <w:rPr>
                <w:i/>
              </w:rPr>
            </w:pPr>
            <w:proofErr w:type="spellStart"/>
            <w:r w:rsidRPr="00B96E1C">
              <w:rPr>
                <w:i/>
              </w:rPr>
              <w:t>S</w:t>
            </w:r>
            <w:r w:rsidR="00B96E1C" w:rsidRPr="00B96E1C">
              <w:rPr>
                <w:i/>
              </w:rPr>
              <w:t>imponi</w:t>
            </w:r>
            <w:proofErr w:type="spellEnd"/>
            <w:r w:rsidRPr="00B96E1C">
              <w:rPr>
                <w:i/>
              </w:rPr>
              <w:t xml:space="preserve"> is indicated for the treatment of adults with active non-radiographic axial </w:t>
            </w:r>
            <w:proofErr w:type="spellStart"/>
            <w:r w:rsidRPr="00B96E1C">
              <w:rPr>
                <w:i/>
              </w:rPr>
              <w:t>spondyloarthritis</w:t>
            </w:r>
            <w:proofErr w:type="spellEnd"/>
            <w:r w:rsidRPr="00B96E1C">
              <w:rPr>
                <w:i/>
              </w:rPr>
              <w:t xml:space="preserve"> with objective signs of inflammation as indicated by elevated C-reactive protein (CRP) and/or magnetic resonance imaging (MRI) evidence, </w:t>
            </w:r>
            <w:proofErr w:type="gramStart"/>
            <w:r w:rsidRPr="00B96E1C">
              <w:rPr>
                <w:i/>
              </w:rPr>
              <w:t>who</w:t>
            </w:r>
            <w:proofErr w:type="gramEnd"/>
            <w:r w:rsidRPr="00B96E1C">
              <w:rPr>
                <w:i/>
              </w:rPr>
              <w:t xml:space="preserve"> have had an inadequate response to, or are intolerant to, nonsteroidal anti-inflammatory drugs (NSA/Ds).</w:t>
            </w:r>
          </w:p>
        </w:tc>
      </w:tr>
      <w:tr w:rsidR="008E7846" w:rsidRPr="00487162" w:rsidTr="00645808">
        <w:tc>
          <w:tcPr>
            <w:tcW w:w="2907" w:type="dxa"/>
          </w:tcPr>
          <w:p w:rsidR="008E7846" w:rsidRPr="00487162" w:rsidRDefault="008E7846" w:rsidP="00E45619">
            <w:pPr>
              <w:rPr>
                <w:i/>
              </w:rPr>
            </w:pPr>
            <w:r w:rsidRPr="00487162">
              <w:rPr>
                <w:i/>
              </w:rPr>
              <w:t>Route(s) of administration:</w:t>
            </w:r>
          </w:p>
        </w:tc>
        <w:tc>
          <w:tcPr>
            <w:tcW w:w="6307" w:type="dxa"/>
          </w:tcPr>
          <w:p w:rsidR="008E7846" w:rsidRPr="00487162" w:rsidRDefault="00E0459F" w:rsidP="00E0459F">
            <w:r>
              <w:t>Subcutaneous (SC)</w:t>
            </w:r>
          </w:p>
        </w:tc>
      </w:tr>
      <w:tr w:rsidR="008E7846" w:rsidRPr="00487162" w:rsidTr="00645808">
        <w:tc>
          <w:tcPr>
            <w:tcW w:w="2907" w:type="dxa"/>
          </w:tcPr>
          <w:p w:rsidR="008E7846" w:rsidRPr="00487162" w:rsidRDefault="008E7846" w:rsidP="00E45619">
            <w:pPr>
              <w:rPr>
                <w:i/>
              </w:rPr>
            </w:pPr>
            <w:r w:rsidRPr="00487162">
              <w:rPr>
                <w:i/>
              </w:rPr>
              <w:t>Dosage:</w:t>
            </w:r>
          </w:p>
        </w:tc>
        <w:tc>
          <w:tcPr>
            <w:tcW w:w="6307" w:type="dxa"/>
          </w:tcPr>
          <w:p w:rsidR="007319E1" w:rsidRDefault="007319E1" w:rsidP="007319E1">
            <w:r>
              <w:t>Non-radiographic axial</w:t>
            </w:r>
            <w:r w:rsidR="00004149">
              <w:t xml:space="preserve"> </w:t>
            </w:r>
            <w:proofErr w:type="spellStart"/>
            <w:r>
              <w:t>spondyloarthritis</w:t>
            </w:r>
            <w:proofErr w:type="spellEnd"/>
            <w:r w:rsidR="00E0459F">
              <w:t xml:space="preserve">: </w:t>
            </w:r>
            <w:proofErr w:type="spellStart"/>
            <w:r w:rsidR="00B96E1C">
              <w:t>Simponi</w:t>
            </w:r>
            <w:proofErr w:type="spellEnd"/>
            <w:r>
              <w:t xml:space="preserve"> 50 mg given as a subcutaneous injection once a month, on the same date each month.</w:t>
            </w:r>
          </w:p>
          <w:p w:rsidR="008E7846" w:rsidRPr="00487162" w:rsidRDefault="007319E1" w:rsidP="00953A39">
            <w:r>
              <w:t xml:space="preserve">Available data in non-radiographic axial </w:t>
            </w:r>
            <w:proofErr w:type="spellStart"/>
            <w:r>
              <w:t>spondyloarthiritis</w:t>
            </w:r>
            <w:proofErr w:type="spellEnd"/>
            <w:r>
              <w:t xml:space="preserve"> suggest that clinical response is usually achieved within 12 to 14 weeks of treatment (after 3-4 doses). Continued therapy should be reconsidered in patients who show no evidence of therapeutic benefit within this time period</w:t>
            </w:r>
          </w:p>
        </w:tc>
      </w:tr>
      <w:tr w:rsidR="008E7846" w:rsidRPr="00487162" w:rsidTr="00645808">
        <w:tc>
          <w:tcPr>
            <w:tcW w:w="2907" w:type="dxa"/>
          </w:tcPr>
          <w:p w:rsidR="008E7846" w:rsidRPr="00487162" w:rsidRDefault="008E7846" w:rsidP="001B5C90">
            <w:pPr>
              <w:rPr>
                <w:i/>
              </w:rPr>
            </w:pPr>
            <w:r w:rsidRPr="00487162">
              <w:rPr>
                <w:i/>
              </w:rPr>
              <w:t xml:space="preserve">ARTG </w:t>
            </w:r>
            <w:r w:rsidR="001B5C90">
              <w:rPr>
                <w:i/>
              </w:rPr>
              <w:t>n</w:t>
            </w:r>
            <w:r w:rsidRPr="00487162">
              <w:rPr>
                <w:i/>
              </w:rPr>
              <w:t>umber (s)</w:t>
            </w:r>
            <w:r w:rsidR="001B5C90">
              <w:rPr>
                <w:i/>
              </w:rPr>
              <w:t>:</w:t>
            </w:r>
          </w:p>
        </w:tc>
        <w:tc>
          <w:tcPr>
            <w:tcW w:w="6307" w:type="dxa"/>
          </w:tcPr>
          <w:p w:rsidR="008E7846" w:rsidRPr="00487162" w:rsidRDefault="00E0459F" w:rsidP="00E0459F">
            <w:r>
              <w:t>153181, 153767, 208278 and 208279</w:t>
            </w:r>
          </w:p>
        </w:tc>
      </w:tr>
    </w:tbl>
    <w:p w:rsidR="008E7846" w:rsidRDefault="008E7846" w:rsidP="008E7846">
      <w:pPr>
        <w:pStyle w:val="Heading3"/>
      </w:pPr>
      <w:bookmarkStart w:id="13" w:name="_Toc247691503"/>
      <w:bookmarkStart w:id="14" w:name="_Toc314842484"/>
      <w:bookmarkStart w:id="15" w:name="_Toc487718617"/>
      <w:r>
        <w:lastRenderedPageBreak/>
        <w:t>Product background</w:t>
      </w:r>
      <w:bookmarkEnd w:id="13"/>
      <w:bookmarkEnd w:id="14"/>
      <w:bookmarkEnd w:id="15"/>
    </w:p>
    <w:p w:rsidR="00745E61" w:rsidRDefault="00940A89" w:rsidP="00745E61">
      <w:r w:rsidRPr="00940A89">
        <w:t xml:space="preserve">This AusPAR describes the application by the sponsor to </w:t>
      </w:r>
      <w:r w:rsidR="00745E61">
        <w:t xml:space="preserve">extend the indications of </w:t>
      </w:r>
      <w:proofErr w:type="spellStart"/>
      <w:r w:rsidR="00745E61">
        <w:t>Simponi</w:t>
      </w:r>
      <w:proofErr w:type="spellEnd"/>
      <w:r w:rsidR="00745E61">
        <w:t xml:space="preserve"> </w:t>
      </w:r>
      <w:proofErr w:type="spellStart"/>
      <w:r w:rsidR="00745E61">
        <w:t>SmartJect</w:t>
      </w:r>
      <w:proofErr w:type="spellEnd"/>
      <w:r w:rsidR="00745E61">
        <w:t xml:space="preserve"> Injector and the </w:t>
      </w:r>
      <w:proofErr w:type="spellStart"/>
      <w:r w:rsidR="00745E61">
        <w:t>Simponi</w:t>
      </w:r>
      <w:proofErr w:type="spellEnd"/>
      <w:r w:rsidR="00745E61">
        <w:t xml:space="preserve"> Pre-filled syringe containing 50 mg/0.5 mL or 100 mg/mL </w:t>
      </w:r>
      <w:proofErr w:type="spellStart"/>
      <w:r w:rsidR="00745E61">
        <w:t>golimumab</w:t>
      </w:r>
      <w:proofErr w:type="spellEnd"/>
      <w:r w:rsidR="00745E61">
        <w:t xml:space="preserve"> (</w:t>
      </w:r>
      <w:proofErr w:type="spellStart"/>
      <w:r w:rsidR="00745E61">
        <w:t>rmc</w:t>
      </w:r>
      <w:proofErr w:type="spellEnd"/>
      <w:r w:rsidR="00745E61">
        <w:t xml:space="preserve">). The sponsor proposes to add a new sub-heading of ‘Axial </w:t>
      </w:r>
      <w:proofErr w:type="spellStart"/>
      <w:r w:rsidR="00745E61">
        <w:t>Spondyloarthritis</w:t>
      </w:r>
      <w:proofErr w:type="spellEnd"/>
      <w:r w:rsidR="00745E61">
        <w:t xml:space="preserve">’ </w:t>
      </w:r>
      <w:r w:rsidR="00BC1A73">
        <w:t xml:space="preserve">(AS) </w:t>
      </w:r>
      <w:r w:rsidR="00745E61">
        <w:t>which will contain the existing AS indication and the proposed new indication of:</w:t>
      </w:r>
    </w:p>
    <w:p w:rsidR="00745E61" w:rsidRPr="00745E61" w:rsidRDefault="00745E61" w:rsidP="00745E61">
      <w:pPr>
        <w:ind w:left="720"/>
        <w:rPr>
          <w:b/>
          <w:i/>
        </w:rPr>
      </w:pPr>
      <w:r w:rsidRPr="00745E61">
        <w:rPr>
          <w:b/>
          <w:i/>
        </w:rPr>
        <w:t xml:space="preserve">Non-radiographic axial </w:t>
      </w:r>
      <w:proofErr w:type="spellStart"/>
      <w:r w:rsidRPr="00745E61">
        <w:rPr>
          <w:b/>
          <w:i/>
        </w:rPr>
        <w:t>spondyloarthritis</w:t>
      </w:r>
      <w:proofErr w:type="spellEnd"/>
      <w:r w:rsidRPr="00745E61">
        <w:rPr>
          <w:b/>
          <w:i/>
        </w:rPr>
        <w:t xml:space="preserve"> (nr-Axial </w:t>
      </w:r>
      <w:proofErr w:type="spellStart"/>
      <w:r w:rsidRPr="00745E61">
        <w:rPr>
          <w:b/>
          <w:i/>
        </w:rPr>
        <w:t>SpA</w:t>
      </w:r>
      <w:proofErr w:type="spellEnd"/>
      <w:r w:rsidRPr="00745E61">
        <w:rPr>
          <w:b/>
          <w:i/>
        </w:rPr>
        <w:t>)</w:t>
      </w:r>
    </w:p>
    <w:p w:rsidR="00745E61" w:rsidRPr="00745E61" w:rsidRDefault="00745E61" w:rsidP="00745E61">
      <w:pPr>
        <w:ind w:left="720"/>
        <w:rPr>
          <w:i/>
        </w:rPr>
      </w:pPr>
      <w:proofErr w:type="spellStart"/>
      <w:r w:rsidRPr="00745E61">
        <w:rPr>
          <w:i/>
        </w:rPr>
        <w:t>Simponi</w:t>
      </w:r>
      <w:proofErr w:type="spellEnd"/>
      <w:r w:rsidRPr="00745E61">
        <w:rPr>
          <w:i/>
        </w:rPr>
        <w:t xml:space="preserve"> is indicated for:</w:t>
      </w:r>
    </w:p>
    <w:p w:rsidR="00745E61" w:rsidRPr="00745E61" w:rsidRDefault="00745E61" w:rsidP="00745E61">
      <w:pPr>
        <w:pStyle w:val="ListBullet2"/>
        <w:ind w:left="1440"/>
        <w:rPr>
          <w:i/>
        </w:rPr>
      </w:pPr>
      <w:r w:rsidRPr="00745E61">
        <w:rPr>
          <w:i/>
        </w:rPr>
        <w:t>Reducing signs and symptoms</w:t>
      </w:r>
    </w:p>
    <w:p w:rsidR="00745E61" w:rsidRPr="00745E61" w:rsidRDefault="00745E61" w:rsidP="00745E61">
      <w:pPr>
        <w:pStyle w:val="ListBullet2"/>
        <w:ind w:left="1440"/>
        <w:rPr>
          <w:i/>
        </w:rPr>
      </w:pPr>
      <w:r w:rsidRPr="00745E61">
        <w:rPr>
          <w:i/>
        </w:rPr>
        <w:t>Improving spinal mobility</w:t>
      </w:r>
    </w:p>
    <w:p w:rsidR="00745E61" w:rsidRPr="00745E61" w:rsidRDefault="00745E61" w:rsidP="00745E61">
      <w:pPr>
        <w:pStyle w:val="ListBullet2"/>
        <w:ind w:left="1440"/>
        <w:rPr>
          <w:i/>
        </w:rPr>
      </w:pPr>
      <w:r w:rsidRPr="00745E61">
        <w:rPr>
          <w:i/>
        </w:rPr>
        <w:t>Improving physical function</w:t>
      </w:r>
    </w:p>
    <w:p w:rsidR="00745E61" w:rsidRPr="00745E61" w:rsidRDefault="00745E61" w:rsidP="00745E61">
      <w:pPr>
        <w:pStyle w:val="ListBullet2"/>
        <w:ind w:left="1440"/>
        <w:rPr>
          <w:i/>
        </w:rPr>
      </w:pPr>
      <w:r w:rsidRPr="00745E61">
        <w:rPr>
          <w:i/>
        </w:rPr>
        <w:t>Improving health related quality of life</w:t>
      </w:r>
    </w:p>
    <w:p w:rsidR="00745E61" w:rsidRPr="00745E61" w:rsidRDefault="00745E61" w:rsidP="00745E61">
      <w:pPr>
        <w:ind w:left="720"/>
        <w:rPr>
          <w:i/>
        </w:rPr>
      </w:pPr>
      <w:r w:rsidRPr="00745E61">
        <w:rPr>
          <w:i/>
        </w:rPr>
        <w:t xml:space="preserve">in adult patients with severe active non-radiographic axial </w:t>
      </w:r>
      <w:proofErr w:type="spellStart"/>
      <w:r w:rsidRPr="00745E61">
        <w:rPr>
          <w:i/>
        </w:rPr>
        <w:t>spondyloarthritis</w:t>
      </w:r>
      <w:proofErr w:type="spellEnd"/>
      <w:r w:rsidRPr="00745E61">
        <w:rPr>
          <w:i/>
        </w:rPr>
        <w:t xml:space="preserve"> with objective signs of inflammation as indicated by elevated C-reactive protein (CRP) and/or magnetic resonance imaging (MRI) evidence, who have had an inadequate response to, or are intolerant to, nonsteroidal anti-inflammatory drugs (NSAIDs).</w:t>
      </w:r>
    </w:p>
    <w:p w:rsidR="00736FE1" w:rsidRDefault="00736FE1" w:rsidP="00736FE1">
      <w:proofErr w:type="spellStart"/>
      <w:r>
        <w:t>Golimumab</w:t>
      </w:r>
      <w:proofErr w:type="spellEnd"/>
      <w:r>
        <w:t xml:space="preserve"> is a tumour necrosis factor alpha (TNF-α) inhibitor which is considered a key inflammatory mediator with a wide variety of functional activities.</w:t>
      </w:r>
      <w:r w:rsidR="00004149">
        <w:t xml:space="preserve"> </w:t>
      </w:r>
      <w:r>
        <w:t>Abnormally high levels of TNF-α have been implicated in the pathophysiology of several immune-mediated diseases.</w:t>
      </w:r>
      <w:r w:rsidR="00004149">
        <w:t xml:space="preserve"> </w:t>
      </w:r>
      <w:proofErr w:type="spellStart"/>
      <w:r>
        <w:t>Simponi</w:t>
      </w:r>
      <w:proofErr w:type="spellEnd"/>
      <w:r>
        <w:t xml:space="preserve"> is a human monoclonal antibody with an immunoglobulin G 1 heavy chain isotype (G1m [z] </w:t>
      </w:r>
      <w:proofErr w:type="spellStart"/>
      <w:r>
        <w:t>allotype</w:t>
      </w:r>
      <w:proofErr w:type="spellEnd"/>
      <w:r>
        <w:t>) and a kappa light chain isotype.</w:t>
      </w:r>
      <w:r w:rsidR="00004149">
        <w:t xml:space="preserve"> </w:t>
      </w:r>
      <w:proofErr w:type="spellStart"/>
      <w:r>
        <w:t>Simponi</w:t>
      </w:r>
      <w:proofErr w:type="spellEnd"/>
      <w:r>
        <w:t xml:space="preserve"> binds with high affinity to both soluble and transmembrane forms of TNF-α and inhibits TNF-α bioactivity.</w:t>
      </w:r>
    </w:p>
    <w:p w:rsidR="00736FE1" w:rsidRDefault="00736FE1" w:rsidP="00736FE1">
      <w:r>
        <w:t xml:space="preserve">The Assessment of </w:t>
      </w:r>
      <w:proofErr w:type="spellStart"/>
      <w:r>
        <w:t>SpondyloArthritis</w:t>
      </w:r>
      <w:proofErr w:type="spellEnd"/>
      <w:r>
        <w:t xml:space="preserve"> International Society (ASAS) classifies </w:t>
      </w:r>
      <w:proofErr w:type="spellStart"/>
      <w:r>
        <w:t>SpA</w:t>
      </w:r>
      <w:proofErr w:type="spellEnd"/>
      <w:r>
        <w:t xml:space="preserve"> with predominantly axial involvement into 2 groups:</w:t>
      </w:r>
    </w:p>
    <w:p w:rsidR="00736FE1" w:rsidRDefault="00736FE1" w:rsidP="00101E94">
      <w:pPr>
        <w:pStyle w:val="Numberbullet2"/>
        <w:ind w:left="0" w:firstLine="0"/>
      </w:pPr>
      <w:r>
        <w:t xml:space="preserve">AS, typically with radiographic </w:t>
      </w:r>
      <w:proofErr w:type="spellStart"/>
      <w:r>
        <w:t>sacroiliitis</w:t>
      </w:r>
      <w:proofErr w:type="spellEnd"/>
      <w:r>
        <w:t xml:space="preserve"> on plain radiography, and</w:t>
      </w:r>
    </w:p>
    <w:p w:rsidR="00736FE1" w:rsidRDefault="00736FE1" w:rsidP="00101E94">
      <w:pPr>
        <w:pStyle w:val="Numberbullet2"/>
        <w:ind w:left="0" w:firstLine="0"/>
      </w:pPr>
      <w:proofErr w:type="gramStart"/>
      <w:r>
        <w:t>nr-Axial</w:t>
      </w:r>
      <w:proofErr w:type="gramEnd"/>
      <w:r>
        <w:t xml:space="preserve"> </w:t>
      </w:r>
      <w:proofErr w:type="spellStart"/>
      <w:r>
        <w:t>SpA</w:t>
      </w:r>
      <w:proofErr w:type="spellEnd"/>
      <w:r>
        <w:t xml:space="preserve">, axial </w:t>
      </w:r>
      <w:proofErr w:type="spellStart"/>
      <w:r>
        <w:t>SpA</w:t>
      </w:r>
      <w:proofErr w:type="spellEnd"/>
      <w:r>
        <w:t xml:space="preserve"> without plain radiographic changes of </w:t>
      </w:r>
      <w:proofErr w:type="spellStart"/>
      <w:r>
        <w:t>sacroiliitis</w:t>
      </w:r>
      <w:proofErr w:type="spellEnd"/>
      <w:r>
        <w:t>.</w:t>
      </w:r>
    </w:p>
    <w:p w:rsidR="00736FE1" w:rsidRDefault="00736FE1" w:rsidP="00736FE1">
      <w:r>
        <w:t>While these conditions are often considered together, there remains some uncertainty regarding whether these categories represent distinct but overlapping disorders or simply different points in the severity or chronology of illness along a single spectrum.</w:t>
      </w:r>
      <w:r w:rsidR="0028583A">
        <w:t xml:space="preserve"> </w:t>
      </w:r>
      <w:r>
        <w:t xml:space="preserve">The sponsor provided </w:t>
      </w:r>
      <w:r w:rsidR="0028583A">
        <w:t>an</w:t>
      </w:r>
      <w:r>
        <w:t xml:space="preserve"> overview of axial </w:t>
      </w:r>
      <w:proofErr w:type="spellStart"/>
      <w:r>
        <w:t>spondyloarthritis</w:t>
      </w:r>
      <w:proofErr w:type="spellEnd"/>
      <w:r>
        <w:t xml:space="preserve"> and nr-Axial </w:t>
      </w:r>
      <w:proofErr w:type="spellStart"/>
      <w:r>
        <w:t>SpA</w:t>
      </w:r>
      <w:proofErr w:type="spellEnd"/>
      <w:r w:rsidR="0028583A">
        <w:t xml:space="preserve"> (see </w:t>
      </w:r>
      <w:r w:rsidR="0028583A" w:rsidRPr="0028583A">
        <w:rPr>
          <w:i/>
        </w:rPr>
        <w:t>Clinical rational</w:t>
      </w:r>
      <w:r w:rsidR="0028583A">
        <w:t xml:space="preserve"> below)</w:t>
      </w:r>
      <w:r>
        <w:t>.</w:t>
      </w:r>
    </w:p>
    <w:p w:rsidR="00BD42F6" w:rsidRDefault="0028583A" w:rsidP="00BD42F6">
      <w:r>
        <w:t>T</w:t>
      </w:r>
      <w:r w:rsidR="00BD42F6">
        <w:t xml:space="preserve">he </w:t>
      </w:r>
      <w:r w:rsidR="00E0459F">
        <w:t xml:space="preserve">currently </w:t>
      </w:r>
      <w:r w:rsidR="00BD42F6">
        <w:t xml:space="preserve">approved indications </w:t>
      </w:r>
      <w:r w:rsidR="00E0459F">
        <w:t xml:space="preserve">in Australia </w:t>
      </w:r>
      <w:r w:rsidR="00BD42F6">
        <w:t>are:</w:t>
      </w:r>
    </w:p>
    <w:p w:rsidR="00BD42F6" w:rsidRPr="00E0459F" w:rsidRDefault="00BD42F6" w:rsidP="00BD42F6">
      <w:pPr>
        <w:rPr>
          <w:b/>
          <w:i/>
        </w:rPr>
      </w:pPr>
      <w:r w:rsidRPr="00E0459F">
        <w:rPr>
          <w:b/>
          <w:i/>
        </w:rPr>
        <w:t>Rheumatoid arthritis (RA)</w:t>
      </w:r>
    </w:p>
    <w:p w:rsidR="00BD42F6" w:rsidRPr="00E0459F" w:rsidRDefault="00B96E1C" w:rsidP="00BD42F6">
      <w:pPr>
        <w:rPr>
          <w:i/>
        </w:rPr>
      </w:pPr>
      <w:proofErr w:type="spellStart"/>
      <w:r w:rsidRPr="00E0459F">
        <w:rPr>
          <w:i/>
        </w:rPr>
        <w:t>Simponi</w:t>
      </w:r>
      <w:proofErr w:type="spellEnd"/>
      <w:r w:rsidR="00BD42F6" w:rsidRPr="00E0459F">
        <w:rPr>
          <w:i/>
        </w:rPr>
        <w:t>, in combination with methotrexate, is indicated for:</w:t>
      </w:r>
    </w:p>
    <w:p w:rsidR="00BD42F6" w:rsidRPr="00E0459F" w:rsidRDefault="00BD42F6" w:rsidP="00BD42F6">
      <w:pPr>
        <w:rPr>
          <w:i/>
        </w:rPr>
      </w:pPr>
      <w:proofErr w:type="gramStart"/>
      <w:r w:rsidRPr="00E0459F">
        <w:rPr>
          <w:i/>
        </w:rPr>
        <w:t>The treatment of moderate to severely active rheumatoid arthritis in adult patients when the response to disease-modifying anti-rheumatic drug therapy, including methotrexate, has been inadequate.</w:t>
      </w:r>
      <w:proofErr w:type="gramEnd"/>
      <w:r w:rsidRPr="00E0459F">
        <w:rPr>
          <w:i/>
        </w:rPr>
        <w:t xml:space="preserve"> </w:t>
      </w:r>
      <w:proofErr w:type="spellStart"/>
      <w:r w:rsidR="00B96E1C" w:rsidRPr="00E0459F">
        <w:rPr>
          <w:i/>
        </w:rPr>
        <w:t>Simponi</w:t>
      </w:r>
      <w:proofErr w:type="spellEnd"/>
      <w:r w:rsidRPr="00E0459F">
        <w:rPr>
          <w:i/>
        </w:rPr>
        <w:t xml:space="preserve"> has also been shown to inhibit the progression of joint damage as measured by X-ray.</w:t>
      </w:r>
    </w:p>
    <w:p w:rsidR="00BD42F6" w:rsidRPr="00E0459F" w:rsidRDefault="00BD42F6" w:rsidP="00BD42F6">
      <w:pPr>
        <w:rPr>
          <w:b/>
          <w:i/>
        </w:rPr>
      </w:pPr>
      <w:r w:rsidRPr="00E0459F">
        <w:rPr>
          <w:b/>
          <w:i/>
        </w:rPr>
        <w:t>Psoriatic arthritis (</w:t>
      </w:r>
      <w:proofErr w:type="spellStart"/>
      <w:r w:rsidRPr="00E0459F">
        <w:rPr>
          <w:b/>
          <w:i/>
        </w:rPr>
        <w:t>PsA</w:t>
      </w:r>
      <w:proofErr w:type="spellEnd"/>
      <w:r w:rsidRPr="00E0459F">
        <w:rPr>
          <w:b/>
          <w:i/>
        </w:rPr>
        <w:t>)</w:t>
      </w:r>
    </w:p>
    <w:p w:rsidR="00BD42F6" w:rsidRPr="00E0459F" w:rsidRDefault="00B96E1C" w:rsidP="00BD42F6">
      <w:pPr>
        <w:rPr>
          <w:i/>
        </w:rPr>
      </w:pPr>
      <w:proofErr w:type="spellStart"/>
      <w:r w:rsidRPr="00E0459F">
        <w:rPr>
          <w:i/>
        </w:rPr>
        <w:t>Simponi</w:t>
      </w:r>
      <w:proofErr w:type="spellEnd"/>
      <w:r w:rsidR="00BD42F6" w:rsidRPr="00E0459F">
        <w:rPr>
          <w:i/>
        </w:rPr>
        <w:t xml:space="preserve">, alone or in combination with methotrexate, is indicated for: </w:t>
      </w:r>
    </w:p>
    <w:p w:rsidR="00BD42F6" w:rsidRPr="00E0459F" w:rsidRDefault="00BD42F6" w:rsidP="00BD42F6">
      <w:pPr>
        <w:rPr>
          <w:i/>
        </w:rPr>
      </w:pPr>
      <w:proofErr w:type="gramStart"/>
      <w:r w:rsidRPr="00E0459F">
        <w:rPr>
          <w:i/>
        </w:rPr>
        <w:t>The treatment of active and progressive psoriatic arthritis in adult patients when the response to previous disease-modifying anti-rheumatic drug therapy has been inadequate.</w:t>
      </w:r>
      <w:proofErr w:type="gramEnd"/>
      <w:r w:rsidRPr="00E0459F">
        <w:rPr>
          <w:i/>
        </w:rPr>
        <w:t xml:space="preserve"> </w:t>
      </w:r>
      <w:proofErr w:type="spellStart"/>
      <w:r w:rsidR="00B96E1C" w:rsidRPr="00E0459F">
        <w:rPr>
          <w:i/>
        </w:rPr>
        <w:t>Simponi</w:t>
      </w:r>
      <w:proofErr w:type="spellEnd"/>
      <w:r w:rsidRPr="00E0459F">
        <w:rPr>
          <w:i/>
        </w:rPr>
        <w:t xml:space="preserve"> has also been shown to inhibit the progression of peripheral joint damage as measured by X-ray in patients with </w:t>
      </w:r>
      <w:proofErr w:type="spellStart"/>
      <w:r w:rsidRPr="00E0459F">
        <w:rPr>
          <w:i/>
        </w:rPr>
        <w:t>polyarticular</w:t>
      </w:r>
      <w:proofErr w:type="spellEnd"/>
      <w:r w:rsidRPr="00E0459F">
        <w:rPr>
          <w:i/>
        </w:rPr>
        <w:t xml:space="preserve"> symmetrical subtypes of the disease, and improve physical function.</w:t>
      </w:r>
    </w:p>
    <w:p w:rsidR="00BD42F6" w:rsidRPr="00E0459F" w:rsidRDefault="00BD42F6" w:rsidP="00BD42F6">
      <w:pPr>
        <w:rPr>
          <w:b/>
          <w:i/>
        </w:rPr>
      </w:pPr>
      <w:r w:rsidRPr="00E0459F">
        <w:rPr>
          <w:b/>
          <w:i/>
        </w:rPr>
        <w:lastRenderedPageBreak/>
        <w:t>Ankylosing spondylitis (AS)</w:t>
      </w:r>
    </w:p>
    <w:p w:rsidR="00BD42F6" w:rsidRPr="00E0459F" w:rsidRDefault="00B96E1C" w:rsidP="00BD42F6">
      <w:pPr>
        <w:rPr>
          <w:i/>
        </w:rPr>
      </w:pPr>
      <w:proofErr w:type="spellStart"/>
      <w:r w:rsidRPr="00E0459F">
        <w:rPr>
          <w:i/>
        </w:rPr>
        <w:t>Simponi</w:t>
      </w:r>
      <w:proofErr w:type="spellEnd"/>
      <w:r w:rsidR="00BD42F6" w:rsidRPr="00E0459F">
        <w:rPr>
          <w:i/>
        </w:rPr>
        <w:t xml:space="preserve"> is indicated for:</w:t>
      </w:r>
    </w:p>
    <w:p w:rsidR="00BD42F6" w:rsidRPr="00E0459F" w:rsidRDefault="00BD42F6" w:rsidP="00BD42F6">
      <w:pPr>
        <w:rPr>
          <w:i/>
        </w:rPr>
      </w:pPr>
      <w:proofErr w:type="gramStart"/>
      <w:r w:rsidRPr="00E0459F">
        <w:rPr>
          <w:i/>
        </w:rPr>
        <w:t>The treatment of active ankylosing spondylitis in adult patients.</w:t>
      </w:r>
      <w:proofErr w:type="gramEnd"/>
    </w:p>
    <w:p w:rsidR="00BD42F6" w:rsidRPr="00E0459F" w:rsidRDefault="00BD42F6" w:rsidP="00BD42F6">
      <w:pPr>
        <w:rPr>
          <w:b/>
          <w:i/>
        </w:rPr>
      </w:pPr>
      <w:r w:rsidRPr="00E0459F">
        <w:rPr>
          <w:b/>
          <w:i/>
        </w:rPr>
        <w:t>Ulcerative colitis (UC)</w:t>
      </w:r>
    </w:p>
    <w:p w:rsidR="00BD42F6" w:rsidRPr="00E0459F" w:rsidRDefault="00B96E1C" w:rsidP="00BD42F6">
      <w:pPr>
        <w:rPr>
          <w:i/>
        </w:rPr>
      </w:pPr>
      <w:proofErr w:type="spellStart"/>
      <w:r w:rsidRPr="00E0459F">
        <w:rPr>
          <w:i/>
        </w:rPr>
        <w:t>Simponi</w:t>
      </w:r>
      <w:proofErr w:type="spellEnd"/>
      <w:r w:rsidR="00BD42F6" w:rsidRPr="00E0459F">
        <w:rPr>
          <w:i/>
        </w:rPr>
        <w:t xml:space="preserve"> is indicated for:</w:t>
      </w:r>
    </w:p>
    <w:p w:rsidR="00BD42F6" w:rsidRPr="00E0459F" w:rsidRDefault="00BD42F6" w:rsidP="00BD42F6">
      <w:pPr>
        <w:rPr>
          <w:i/>
        </w:rPr>
      </w:pPr>
      <w:proofErr w:type="gramStart"/>
      <w:r w:rsidRPr="00E0459F">
        <w:rPr>
          <w:i/>
        </w:rPr>
        <w:t>The treatment of moderately to severely active ulcerative colitis in adult patients who have had an inadequate response to conventional therapy.</w:t>
      </w:r>
      <w:proofErr w:type="gramEnd"/>
      <w:r w:rsidRPr="00E0459F">
        <w:rPr>
          <w:i/>
        </w:rPr>
        <w:t xml:space="preserve"> Patients should show a clinical response within 6 weeks of treatment to continue treatment beyond that time (see CLINICAL TRIALS)</w:t>
      </w:r>
    </w:p>
    <w:p w:rsidR="00B2192C" w:rsidRDefault="00B2192C" w:rsidP="00B2192C">
      <w:r>
        <w:t>The standard dose approved for the rheumatology indications is 50</w:t>
      </w:r>
      <w:r w:rsidR="00736FE1">
        <w:t xml:space="preserve"> </w:t>
      </w:r>
      <w:r>
        <w:t>mg SC monthly and the proposed indication has the same dosage instructions.</w:t>
      </w:r>
      <w:r w:rsidR="00004149">
        <w:t xml:space="preserve"> </w:t>
      </w:r>
      <w:r>
        <w:t xml:space="preserve">One other TNF inhibitor, </w:t>
      </w:r>
      <w:proofErr w:type="spellStart"/>
      <w:r>
        <w:t>etanercept</w:t>
      </w:r>
      <w:proofErr w:type="spellEnd"/>
      <w:r>
        <w:t xml:space="preserve">, has been approved for the treatment of nr-Axial </w:t>
      </w:r>
      <w:proofErr w:type="spellStart"/>
      <w:r>
        <w:t>SpA</w:t>
      </w:r>
      <w:proofErr w:type="spellEnd"/>
      <w:r>
        <w:t xml:space="preserve"> in Australia.</w:t>
      </w:r>
      <w:r w:rsidR="00004149">
        <w:t xml:space="preserve"> </w:t>
      </w:r>
      <w:r>
        <w:t xml:space="preserve">The initial management of nr-Axial </w:t>
      </w:r>
      <w:proofErr w:type="spellStart"/>
      <w:r>
        <w:t>SpA</w:t>
      </w:r>
      <w:proofErr w:type="spellEnd"/>
      <w:r>
        <w:t xml:space="preserve"> is with </w:t>
      </w:r>
      <w:r w:rsidR="00BC1A73">
        <w:t>Non-Steroidal Anti-inflammatory Drugs (</w:t>
      </w:r>
      <w:r>
        <w:t>NSAIDs</w:t>
      </w:r>
      <w:r w:rsidR="00BC1A73">
        <w:t>)</w:t>
      </w:r>
      <w:r>
        <w:t xml:space="preserve">. Other agents that have been used include local corticosteroid injections and </w:t>
      </w:r>
      <w:r w:rsidR="00BC1A73">
        <w:t xml:space="preserve">Disease Modifying </w:t>
      </w:r>
      <w:proofErr w:type="spellStart"/>
      <w:r w:rsidR="00BC1A73">
        <w:t>Antirheumatic</w:t>
      </w:r>
      <w:proofErr w:type="spellEnd"/>
      <w:r w:rsidR="00BC1A73">
        <w:t xml:space="preserve"> Drugs (</w:t>
      </w:r>
      <w:r>
        <w:t>DMARDs</w:t>
      </w:r>
      <w:r w:rsidR="00BC1A73">
        <w:t>)</w:t>
      </w:r>
      <w:r>
        <w:t xml:space="preserve">, although the latter have not been shown to be effective for patients with purely axial disease and there is a lack of evidence for glucocorticoids in nr-Axial </w:t>
      </w:r>
      <w:proofErr w:type="spellStart"/>
      <w:r>
        <w:t>SpA</w:t>
      </w:r>
      <w:proofErr w:type="spellEnd"/>
      <w:r>
        <w:t xml:space="preserve">. </w:t>
      </w:r>
    </w:p>
    <w:p w:rsidR="00CA5936" w:rsidRDefault="00BD42F6" w:rsidP="00BD42F6">
      <w:r>
        <w:t xml:space="preserve">Other members of the TNF-α inhibitor class registered in Australia include infliximab, </w:t>
      </w:r>
      <w:proofErr w:type="spellStart"/>
      <w:r>
        <w:t>etanercept</w:t>
      </w:r>
      <w:proofErr w:type="spellEnd"/>
      <w:r>
        <w:t xml:space="preserve">, </w:t>
      </w:r>
      <w:proofErr w:type="spellStart"/>
      <w:proofErr w:type="gramStart"/>
      <w:r>
        <w:t>adalimumab</w:t>
      </w:r>
      <w:proofErr w:type="spellEnd"/>
      <w:proofErr w:type="gramEnd"/>
      <w:r>
        <w:t xml:space="preserve"> and </w:t>
      </w:r>
      <w:proofErr w:type="spellStart"/>
      <w:r>
        <w:t>certolizumab</w:t>
      </w:r>
      <w:proofErr w:type="spellEnd"/>
      <w:r>
        <w:t xml:space="preserve"> </w:t>
      </w:r>
      <w:proofErr w:type="spellStart"/>
      <w:r>
        <w:t>pegol</w:t>
      </w:r>
      <w:proofErr w:type="spellEnd"/>
      <w:r>
        <w:t>.</w:t>
      </w:r>
      <w:r w:rsidR="00004149">
        <w:t xml:space="preserve"> </w:t>
      </w:r>
    </w:p>
    <w:p w:rsidR="00BD42F6" w:rsidRDefault="00BD42F6" w:rsidP="00BD42F6">
      <w:r>
        <w:t xml:space="preserve">Current axial </w:t>
      </w:r>
      <w:proofErr w:type="spellStart"/>
      <w:r>
        <w:t>spondyloarthritis</w:t>
      </w:r>
      <w:proofErr w:type="spellEnd"/>
      <w:r>
        <w:t xml:space="preserve"> indications for these drugs are presented below:</w:t>
      </w:r>
    </w:p>
    <w:p w:rsidR="00BD42F6" w:rsidRDefault="00BD42F6" w:rsidP="00BD42F6">
      <w:proofErr w:type="spellStart"/>
      <w:r>
        <w:t>R</w:t>
      </w:r>
      <w:r w:rsidR="00B2192C">
        <w:t>emicade</w:t>
      </w:r>
      <w:proofErr w:type="spellEnd"/>
    </w:p>
    <w:p w:rsidR="00BD42F6" w:rsidRPr="00745E61" w:rsidRDefault="00BD42F6" w:rsidP="00745E61">
      <w:pPr>
        <w:ind w:left="720"/>
        <w:rPr>
          <w:i/>
        </w:rPr>
      </w:pPr>
      <w:r w:rsidRPr="00745E61">
        <w:rPr>
          <w:i/>
        </w:rPr>
        <w:t>Ankylosing Spondylitis</w:t>
      </w:r>
    </w:p>
    <w:p w:rsidR="00BD42F6" w:rsidRPr="00745E61" w:rsidRDefault="00BD42F6" w:rsidP="00745E61">
      <w:pPr>
        <w:ind w:left="720"/>
        <w:rPr>
          <w:i/>
        </w:rPr>
      </w:pPr>
      <w:proofErr w:type="spellStart"/>
      <w:r w:rsidRPr="00745E61">
        <w:rPr>
          <w:i/>
        </w:rPr>
        <w:t>R</w:t>
      </w:r>
      <w:r w:rsidR="00B2192C">
        <w:rPr>
          <w:i/>
        </w:rPr>
        <w:t>emicade</w:t>
      </w:r>
      <w:proofErr w:type="spellEnd"/>
      <w:r w:rsidRPr="00745E61">
        <w:rPr>
          <w:i/>
        </w:rPr>
        <w:t xml:space="preserve"> is indicated for the reduction of signs and symptoms and improvement in physical function in patients with active disease.</w:t>
      </w:r>
    </w:p>
    <w:p w:rsidR="00BD42F6" w:rsidRDefault="00BD42F6" w:rsidP="00BD42F6">
      <w:r>
        <w:t>E</w:t>
      </w:r>
      <w:r w:rsidR="00B2192C">
        <w:t>nbrel</w:t>
      </w:r>
    </w:p>
    <w:p w:rsidR="00BD42F6" w:rsidRPr="00745E61" w:rsidRDefault="00BD42F6" w:rsidP="00B2192C">
      <w:pPr>
        <w:ind w:left="720"/>
        <w:rPr>
          <w:i/>
        </w:rPr>
      </w:pPr>
      <w:r w:rsidRPr="00745E61">
        <w:rPr>
          <w:i/>
        </w:rPr>
        <w:t>Ankylosing Spondylitis</w:t>
      </w:r>
    </w:p>
    <w:p w:rsidR="00BD42F6" w:rsidRPr="00745E61" w:rsidRDefault="00BD42F6" w:rsidP="00B2192C">
      <w:pPr>
        <w:ind w:left="720"/>
        <w:rPr>
          <w:i/>
        </w:rPr>
      </w:pPr>
      <w:proofErr w:type="gramStart"/>
      <w:r w:rsidRPr="00745E61">
        <w:rPr>
          <w:i/>
        </w:rPr>
        <w:t>The signs and symptoms of active ankylosing spondylitis in adults.</w:t>
      </w:r>
      <w:proofErr w:type="gramEnd"/>
    </w:p>
    <w:p w:rsidR="00BD42F6" w:rsidRPr="00745E61" w:rsidRDefault="00BD42F6" w:rsidP="00B2192C">
      <w:pPr>
        <w:ind w:left="720"/>
        <w:rPr>
          <w:i/>
        </w:rPr>
      </w:pPr>
      <w:r w:rsidRPr="00745E61">
        <w:rPr>
          <w:i/>
        </w:rPr>
        <w:t xml:space="preserve">Non-radiographic Axial </w:t>
      </w:r>
      <w:proofErr w:type="spellStart"/>
      <w:r w:rsidRPr="00745E61">
        <w:rPr>
          <w:i/>
        </w:rPr>
        <w:t>Spondyloarthritis</w:t>
      </w:r>
      <w:proofErr w:type="spellEnd"/>
    </w:p>
    <w:p w:rsidR="00BD42F6" w:rsidRPr="00745E61" w:rsidRDefault="00BD42F6" w:rsidP="00B2192C">
      <w:pPr>
        <w:ind w:left="720"/>
        <w:rPr>
          <w:i/>
        </w:rPr>
      </w:pPr>
      <w:r w:rsidRPr="00745E61">
        <w:rPr>
          <w:i/>
        </w:rPr>
        <w:t xml:space="preserve">Treatment of adults with active* non-radiographic axial </w:t>
      </w:r>
      <w:proofErr w:type="spellStart"/>
      <w:r w:rsidRPr="00745E61">
        <w:rPr>
          <w:i/>
        </w:rPr>
        <w:t>spondyloarthritis</w:t>
      </w:r>
      <w:proofErr w:type="spellEnd"/>
      <w:r w:rsidRPr="00745E61">
        <w:rPr>
          <w:i/>
        </w:rPr>
        <w:t xml:space="preserve"> with objective signs of inflammation as indicated by elevated C-reactive protein (CRP) and/or MRI change who have had an inadequate response to NSAIDs.</w:t>
      </w:r>
    </w:p>
    <w:p w:rsidR="00BD42F6" w:rsidRPr="00745E61" w:rsidRDefault="00BD42F6" w:rsidP="00B2192C">
      <w:pPr>
        <w:ind w:left="720"/>
        <w:rPr>
          <w:i/>
        </w:rPr>
      </w:pPr>
      <w:r w:rsidRPr="00745E61">
        <w:rPr>
          <w:i/>
        </w:rPr>
        <w:t>*Active disease is defined as a Bath Ankylosing Spondylitis Disease Activity Index (BASDAI) score of ≥ 4.</w:t>
      </w:r>
    </w:p>
    <w:p w:rsidR="00BD42F6" w:rsidRDefault="00B2192C" w:rsidP="00BD42F6">
      <w:proofErr w:type="spellStart"/>
      <w:r>
        <w:t>Humira</w:t>
      </w:r>
      <w:proofErr w:type="spellEnd"/>
    </w:p>
    <w:p w:rsidR="00BD42F6" w:rsidRPr="00B2192C" w:rsidRDefault="00BD42F6" w:rsidP="00B2192C">
      <w:pPr>
        <w:ind w:left="720"/>
        <w:rPr>
          <w:i/>
        </w:rPr>
      </w:pPr>
      <w:r w:rsidRPr="00B2192C">
        <w:rPr>
          <w:i/>
        </w:rPr>
        <w:t>Ankylosing Spondylitis</w:t>
      </w:r>
    </w:p>
    <w:p w:rsidR="00BD42F6" w:rsidRPr="00B2192C" w:rsidRDefault="00BD42F6" w:rsidP="00B2192C">
      <w:pPr>
        <w:ind w:left="720"/>
        <w:rPr>
          <w:i/>
        </w:rPr>
      </w:pPr>
      <w:proofErr w:type="spellStart"/>
      <w:r w:rsidRPr="00B2192C">
        <w:rPr>
          <w:i/>
        </w:rPr>
        <w:t>Humira</w:t>
      </w:r>
      <w:proofErr w:type="spellEnd"/>
      <w:r w:rsidRPr="00B2192C">
        <w:rPr>
          <w:i/>
        </w:rPr>
        <w:t xml:space="preserve"> is indicated for reducing signs and symptoms in patients with active ankylosing spondylitis.</w:t>
      </w:r>
    </w:p>
    <w:p w:rsidR="00BD42F6" w:rsidRDefault="00B2192C" w:rsidP="00BD42F6">
      <w:proofErr w:type="spellStart"/>
      <w:r>
        <w:t>Cimzia</w:t>
      </w:r>
      <w:proofErr w:type="spellEnd"/>
    </w:p>
    <w:p w:rsidR="00BD42F6" w:rsidRPr="00B2192C" w:rsidRDefault="00BD42F6" w:rsidP="00B2192C">
      <w:pPr>
        <w:ind w:left="720"/>
        <w:rPr>
          <w:i/>
        </w:rPr>
      </w:pPr>
      <w:r w:rsidRPr="00B2192C">
        <w:rPr>
          <w:i/>
        </w:rPr>
        <w:t>Ankylosing Spondylitis</w:t>
      </w:r>
    </w:p>
    <w:p w:rsidR="00940A89" w:rsidRPr="00B2192C" w:rsidRDefault="00BD42F6" w:rsidP="00B2192C">
      <w:pPr>
        <w:ind w:left="720"/>
        <w:rPr>
          <w:i/>
        </w:rPr>
      </w:pPr>
      <w:r w:rsidRPr="00B2192C">
        <w:rPr>
          <w:i/>
        </w:rPr>
        <w:t>CIMZIA is indicated for the treatment of adult patients with active, ankylosing spondylitis who have been intolerant to or have had inadequate response to at least one nonsteroidal anti-inflammatory drug (NSAID).</w:t>
      </w:r>
    </w:p>
    <w:p w:rsidR="008E7846" w:rsidRPr="003F31A2" w:rsidRDefault="00386150" w:rsidP="008E7846">
      <w:pPr>
        <w:pStyle w:val="Heading3"/>
      </w:pPr>
      <w:bookmarkStart w:id="16" w:name="_Toc314842485"/>
      <w:bookmarkStart w:id="17" w:name="_Toc247691504"/>
      <w:bookmarkStart w:id="18" w:name="_Toc487718618"/>
      <w:r>
        <w:lastRenderedPageBreak/>
        <w:t>Regulatory s</w:t>
      </w:r>
      <w:r w:rsidR="008E7846">
        <w:t>tatus</w:t>
      </w:r>
      <w:bookmarkEnd w:id="16"/>
      <w:bookmarkEnd w:id="17"/>
      <w:bookmarkEnd w:id="18"/>
    </w:p>
    <w:p w:rsidR="00940A89" w:rsidRPr="00940A89" w:rsidRDefault="00940A89" w:rsidP="00940A89">
      <w:bookmarkStart w:id="19" w:name="_Toc247691505"/>
      <w:bookmarkStart w:id="20" w:name="_Toc314842486"/>
      <w:r w:rsidRPr="00940A89">
        <w:t>The product received initial registration on the Australian Register</w:t>
      </w:r>
      <w:r w:rsidR="00736FE1">
        <w:t xml:space="preserve"> of Therapeutic Goods (ARTG) on 13 November 2009</w:t>
      </w:r>
      <w:r w:rsidR="00BC1A73">
        <w:t>.</w:t>
      </w:r>
    </w:p>
    <w:p w:rsidR="00B2192C" w:rsidRDefault="00940A89" w:rsidP="00B2192C">
      <w:r w:rsidRPr="00940A89">
        <w:t xml:space="preserve">At the time the TGA considered this application, </w:t>
      </w:r>
      <w:proofErr w:type="spellStart"/>
      <w:r w:rsidR="00B2192C">
        <w:t>Simponi</w:t>
      </w:r>
      <w:proofErr w:type="spellEnd"/>
      <w:r w:rsidR="00B2192C">
        <w:t xml:space="preserve"> ha</w:t>
      </w:r>
      <w:r w:rsidR="00736FE1">
        <w:t>d</w:t>
      </w:r>
      <w:r w:rsidR="00B2192C">
        <w:t xml:space="preserve"> been approved in Europe (Jun</w:t>
      </w:r>
      <w:r w:rsidR="00736FE1">
        <w:t>e</w:t>
      </w:r>
      <w:r w:rsidR="00B2192C">
        <w:t xml:space="preserve"> 2015) and Canada (Jun</w:t>
      </w:r>
      <w:r w:rsidR="00736FE1">
        <w:t>e</w:t>
      </w:r>
      <w:r w:rsidR="00B2192C">
        <w:t xml:space="preserve"> 2016) for non-radiographic axial </w:t>
      </w:r>
      <w:proofErr w:type="spellStart"/>
      <w:r w:rsidR="00B2192C">
        <w:t>spondyloarthritis</w:t>
      </w:r>
      <w:proofErr w:type="spellEnd"/>
      <w:r w:rsidR="00B2192C">
        <w:t>.</w:t>
      </w:r>
      <w:r w:rsidR="00004149">
        <w:t xml:space="preserve"> </w:t>
      </w:r>
      <w:r w:rsidR="00B2192C">
        <w:t xml:space="preserve">It </w:t>
      </w:r>
      <w:r w:rsidR="00736FE1">
        <w:t>wa</w:t>
      </w:r>
      <w:r w:rsidR="00B2192C">
        <w:t>s under evaluation in Switzerland (submitted Jan</w:t>
      </w:r>
      <w:r w:rsidR="00736FE1">
        <w:t>uary</w:t>
      </w:r>
      <w:r w:rsidR="00B2192C">
        <w:t xml:space="preserve"> 2015). The approved indications in Europe and Canada are as follows:</w:t>
      </w:r>
    </w:p>
    <w:p w:rsidR="00B2192C" w:rsidRPr="00736FE1" w:rsidRDefault="00B2192C" w:rsidP="00B2192C">
      <w:pPr>
        <w:rPr>
          <w:b/>
        </w:rPr>
      </w:pPr>
      <w:r w:rsidRPr="00736FE1">
        <w:rPr>
          <w:b/>
        </w:rPr>
        <w:t>Europe</w:t>
      </w:r>
    </w:p>
    <w:p w:rsidR="00B2192C" w:rsidRPr="00736FE1" w:rsidRDefault="00B2192C" w:rsidP="00736FE1">
      <w:pPr>
        <w:ind w:left="720"/>
        <w:rPr>
          <w:i/>
        </w:rPr>
      </w:pPr>
      <w:r w:rsidRPr="00736FE1">
        <w:rPr>
          <w:i/>
        </w:rPr>
        <w:t xml:space="preserve">Axial </w:t>
      </w:r>
      <w:proofErr w:type="spellStart"/>
      <w:r w:rsidRPr="00736FE1">
        <w:rPr>
          <w:i/>
        </w:rPr>
        <w:t>Spondyloarthritis</w:t>
      </w:r>
      <w:proofErr w:type="spellEnd"/>
    </w:p>
    <w:p w:rsidR="00B2192C" w:rsidRPr="00736FE1" w:rsidRDefault="00B2192C" w:rsidP="00736FE1">
      <w:pPr>
        <w:ind w:left="720"/>
        <w:rPr>
          <w:i/>
        </w:rPr>
      </w:pPr>
      <w:r w:rsidRPr="00736FE1">
        <w:rPr>
          <w:i/>
        </w:rPr>
        <w:t xml:space="preserve">Non-radiographic axial </w:t>
      </w:r>
      <w:proofErr w:type="spellStart"/>
      <w:r w:rsidRPr="00736FE1">
        <w:rPr>
          <w:i/>
        </w:rPr>
        <w:t>spondyloarthritis</w:t>
      </w:r>
      <w:proofErr w:type="spellEnd"/>
      <w:r w:rsidRPr="00736FE1">
        <w:rPr>
          <w:i/>
        </w:rPr>
        <w:t xml:space="preserve"> (nr-Axial </w:t>
      </w:r>
      <w:proofErr w:type="spellStart"/>
      <w:r w:rsidRPr="00736FE1">
        <w:rPr>
          <w:i/>
        </w:rPr>
        <w:t>SpA</w:t>
      </w:r>
      <w:proofErr w:type="spellEnd"/>
      <w:r w:rsidRPr="00736FE1">
        <w:rPr>
          <w:i/>
        </w:rPr>
        <w:t>)</w:t>
      </w:r>
    </w:p>
    <w:p w:rsidR="00B2192C" w:rsidRPr="00736FE1" w:rsidRDefault="00B2192C" w:rsidP="00736FE1">
      <w:pPr>
        <w:ind w:left="720"/>
        <w:rPr>
          <w:i/>
        </w:rPr>
      </w:pPr>
      <w:proofErr w:type="spellStart"/>
      <w:r w:rsidRPr="00736FE1">
        <w:rPr>
          <w:i/>
        </w:rPr>
        <w:t>Simponi</w:t>
      </w:r>
      <w:proofErr w:type="spellEnd"/>
      <w:r w:rsidRPr="00736FE1">
        <w:rPr>
          <w:i/>
        </w:rPr>
        <w:t xml:space="preserve"> is indicated for the treatment of adults with severe, active non-radiographic axial </w:t>
      </w:r>
      <w:proofErr w:type="spellStart"/>
      <w:r w:rsidRPr="00736FE1">
        <w:rPr>
          <w:i/>
        </w:rPr>
        <w:t>spondyloarthritis</w:t>
      </w:r>
      <w:proofErr w:type="spellEnd"/>
      <w:r w:rsidRPr="00736FE1">
        <w:rPr>
          <w:i/>
        </w:rPr>
        <w:t xml:space="preserve"> with objective signs of inflammation as indicated by elevated C-reactive protein (CRP) and/or magnetic resonance imaging (MRI) evidence, </w:t>
      </w:r>
      <w:proofErr w:type="gramStart"/>
      <w:r w:rsidRPr="00736FE1">
        <w:rPr>
          <w:i/>
        </w:rPr>
        <w:t>who</w:t>
      </w:r>
      <w:proofErr w:type="gramEnd"/>
      <w:r w:rsidRPr="00736FE1">
        <w:rPr>
          <w:i/>
        </w:rPr>
        <w:t xml:space="preserve"> have had an inadequate response to, or are intolerant to nonsteroidal anti-inflammatory drugs (NSAIDs).</w:t>
      </w:r>
    </w:p>
    <w:p w:rsidR="00B2192C" w:rsidRPr="00736FE1" w:rsidRDefault="00B2192C" w:rsidP="00B2192C">
      <w:pPr>
        <w:rPr>
          <w:b/>
        </w:rPr>
      </w:pPr>
      <w:r w:rsidRPr="00736FE1">
        <w:rPr>
          <w:b/>
        </w:rPr>
        <w:t>Canada</w:t>
      </w:r>
    </w:p>
    <w:p w:rsidR="00B2192C" w:rsidRPr="00736FE1" w:rsidRDefault="00B2192C" w:rsidP="00736FE1">
      <w:pPr>
        <w:ind w:left="720"/>
        <w:rPr>
          <w:i/>
        </w:rPr>
      </w:pPr>
      <w:proofErr w:type="spellStart"/>
      <w:r w:rsidRPr="00736FE1">
        <w:rPr>
          <w:i/>
        </w:rPr>
        <w:t>Simponi</w:t>
      </w:r>
      <w:proofErr w:type="spellEnd"/>
      <w:r w:rsidRPr="00736FE1">
        <w:rPr>
          <w:i/>
        </w:rPr>
        <w:t xml:space="preserve"> is indicated for: The treatment of adults with severe active non-radiographic axial </w:t>
      </w:r>
      <w:proofErr w:type="spellStart"/>
      <w:r w:rsidRPr="00736FE1">
        <w:rPr>
          <w:i/>
        </w:rPr>
        <w:t>spondyloarthritis</w:t>
      </w:r>
      <w:proofErr w:type="spellEnd"/>
      <w:r w:rsidRPr="00736FE1">
        <w:rPr>
          <w:i/>
        </w:rPr>
        <w:t xml:space="preserve"> with objective signs of inflammation as indicated by elevated C-reactive protein (CRP) and/or magnetic resonance imaging (MRI) evidence </w:t>
      </w:r>
      <w:proofErr w:type="gramStart"/>
      <w:r w:rsidRPr="00736FE1">
        <w:rPr>
          <w:i/>
        </w:rPr>
        <w:t>who</w:t>
      </w:r>
      <w:proofErr w:type="gramEnd"/>
      <w:r w:rsidRPr="00736FE1">
        <w:rPr>
          <w:i/>
        </w:rPr>
        <w:t xml:space="preserve"> have had an inadequate response to, or are intolerant to nonsteroidal anti-inflammatory drugs (NSAIDs).</w:t>
      </w:r>
    </w:p>
    <w:p w:rsidR="008E7846" w:rsidRDefault="008E7846" w:rsidP="00940A89">
      <w:pPr>
        <w:pStyle w:val="Heading3"/>
      </w:pPr>
      <w:bookmarkStart w:id="21" w:name="_Toc487718619"/>
      <w:r>
        <w:t>Product Information</w:t>
      </w:r>
      <w:bookmarkEnd w:id="19"/>
      <w:bookmarkEnd w:id="20"/>
      <w:bookmarkEnd w:id="21"/>
    </w:p>
    <w:p w:rsidR="00940A89" w:rsidRDefault="006136D7" w:rsidP="00940A89">
      <w:pPr>
        <w:rPr>
          <w:b/>
          <w:bCs/>
        </w:rPr>
      </w:pPr>
      <w:bookmarkStart w:id="22" w:name="_Toc247691506"/>
      <w:bookmarkStart w:id="23" w:name="_Toc314842487"/>
      <w:r w:rsidRPr="00940A89">
        <w:t xml:space="preserve">The Product Information (PI) </w:t>
      </w:r>
      <w:r>
        <w:t xml:space="preserve">approved with the submission which is described in </w:t>
      </w:r>
      <w:r w:rsidRPr="00940A89">
        <w:t xml:space="preserve">this AusPAR can be found as Attachment 1. For the most recent </w:t>
      </w:r>
      <w:r>
        <w:t>PI,</w:t>
      </w:r>
      <w:r w:rsidRPr="00940A89">
        <w:t xml:space="preserve"> ple</w:t>
      </w:r>
      <w:r>
        <w:t>ase refer to the TGA website</w:t>
      </w:r>
      <w:r w:rsidRPr="00441C3F">
        <w:t xml:space="preserve"> at </w:t>
      </w:r>
      <w:r w:rsidR="00441C3F" w:rsidRPr="00441C3F">
        <w:t>&lt;</w:t>
      </w:r>
      <w:hyperlink r:id="rId14" w:history="1">
        <w:r w:rsidR="00441C3F" w:rsidRPr="00441C3F">
          <w:rPr>
            <w:rStyle w:val="Hyperlink"/>
          </w:rPr>
          <w:t>https://www.tga.gov.au/product-information-pi</w:t>
        </w:r>
      </w:hyperlink>
      <w:r w:rsidR="00441C3F">
        <w:t>&gt;</w:t>
      </w:r>
      <w:r w:rsidR="00940A89" w:rsidRPr="00940A89">
        <w:t>.</w:t>
      </w:r>
    </w:p>
    <w:p w:rsidR="008E7846" w:rsidRPr="003602A9" w:rsidRDefault="008E7846" w:rsidP="008E7846">
      <w:pPr>
        <w:pStyle w:val="Heading2"/>
        <w:ind w:left="-11"/>
      </w:pPr>
      <w:bookmarkStart w:id="24" w:name="_Toc487718620"/>
      <w:r>
        <w:t>II. Quality</w:t>
      </w:r>
      <w:bookmarkEnd w:id="2"/>
      <w:r>
        <w:t xml:space="preserve"> findings</w:t>
      </w:r>
      <w:bookmarkEnd w:id="22"/>
      <w:bookmarkEnd w:id="23"/>
      <w:bookmarkEnd w:id="24"/>
    </w:p>
    <w:p w:rsidR="00940A89" w:rsidRPr="00940A89" w:rsidRDefault="00940A89" w:rsidP="00940A89">
      <w:bookmarkStart w:id="25" w:name="_Toc247691507"/>
      <w:bookmarkStart w:id="26" w:name="_Toc314842488"/>
      <w:r w:rsidRPr="00940A89">
        <w:t>There was no requirement for a quality evaluation in a submission of this type.</w:t>
      </w:r>
    </w:p>
    <w:p w:rsidR="008E7846" w:rsidRDefault="008E7846" w:rsidP="008E7846">
      <w:pPr>
        <w:pStyle w:val="Heading2"/>
      </w:pPr>
      <w:bookmarkStart w:id="27" w:name="_Toc196046439"/>
      <w:bookmarkStart w:id="28" w:name="_Toc247691510"/>
      <w:bookmarkStart w:id="29" w:name="_Toc314842494"/>
      <w:bookmarkStart w:id="30" w:name="_Toc487718621"/>
      <w:bookmarkEnd w:id="25"/>
      <w:bookmarkEnd w:id="26"/>
      <w:r>
        <w:t>III. Nonclinical</w:t>
      </w:r>
      <w:bookmarkEnd w:id="27"/>
      <w:r>
        <w:t xml:space="preserve"> findings</w:t>
      </w:r>
      <w:bookmarkEnd w:id="28"/>
      <w:bookmarkEnd w:id="29"/>
      <w:bookmarkEnd w:id="30"/>
    </w:p>
    <w:p w:rsidR="00940A89" w:rsidRDefault="00940A89" w:rsidP="000E6196">
      <w:bookmarkStart w:id="31" w:name="_Toc247691511"/>
      <w:bookmarkStart w:id="32" w:name="_Toc314842495"/>
      <w:r>
        <w:t>There was no requirement for a nonclinical evaluation in a submission of this type.</w:t>
      </w:r>
    </w:p>
    <w:p w:rsidR="008E7846" w:rsidRPr="00254787" w:rsidRDefault="008E7846" w:rsidP="008E7846">
      <w:pPr>
        <w:pStyle w:val="Heading2"/>
      </w:pPr>
      <w:bookmarkStart w:id="33" w:name="_Toc196046462"/>
      <w:bookmarkStart w:id="34" w:name="_Toc247691516"/>
      <w:bookmarkStart w:id="35" w:name="_Toc314842500"/>
      <w:bookmarkStart w:id="36" w:name="_Toc487718622"/>
      <w:bookmarkStart w:id="37" w:name="_Toc163441353"/>
      <w:bookmarkStart w:id="38" w:name="_Toc163441348"/>
      <w:bookmarkEnd w:id="31"/>
      <w:bookmarkEnd w:id="32"/>
      <w:r>
        <w:t xml:space="preserve">IV. </w:t>
      </w:r>
      <w:r w:rsidRPr="00254787">
        <w:t>Clinical</w:t>
      </w:r>
      <w:bookmarkEnd w:id="33"/>
      <w:r>
        <w:t xml:space="preserve"> </w:t>
      </w:r>
      <w:r w:rsidR="003A7F6C">
        <w:t>f</w:t>
      </w:r>
      <w:r>
        <w:t>indings</w:t>
      </w:r>
      <w:bookmarkEnd w:id="34"/>
      <w:bookmarkEnd w:id="35"/>
      <w:bookmarkEnd w:id="36"/>
    </w:p>
    <w:p w:rsidR="00C80137" w:rsidRDefault="00C80137" w:rsidP="00D425BB">
      <w:bookmarkStart w:id="39" w:name="_Toc196046463"/>
      <w:r>
        <w:t xml:space="preserve">A summary of the </w:t>
      </w:r>
      <w:r w:rsidRPr="00FD70B8">
        <w:t xml:space="preserve">clinical findings is presented in this section. </w:t>
      </w:r>
      <w:r>
        <w:t xml:space="preserve">Further details of these </w:t>
      </w:r>
      <w:r w:rsidRPr="00FD70B8">
        <w:t>clinical findings can be found in Attachment 2.</w:t>
      </w:r>
    </w:p>
    <w:p w:rsidR="008E7846" w:rsidRDefault="008E7846" w:rsidP="008E7846">
      <w:pPr>
        <w:pStyle w:val="Heading3"/>
      </w:pPr>
      <w:bookmarkStart w:id="40" w:name="_Toc247691517"/>
      <w:bookmarkStart w:id="41" w:name="_Toc314842501"/>
      <w:bookmarkStart w:id="42" w:name="_Toc487718623"/>
      <w:r w:rsidRPr="00254787">
        <w:t>Introduction</w:t>
      </w:r>
      <w:bookmarkEnd w:id="39"/>
      <w:bookmarkEnd w:id="40"/>
      <w:bookmarkEnd w:id="41"/>
      <w:bookmarkEnd w:id="42"/>
    </w:p>
    <w:p w:rsidR="0028583A" w:rsidRPr="0028583A" w:rsidRDefault="0028583A" w:rsidP="0028583A">
      <w:pPr>
        <w:pStyle w:val="Heading4"/>
      </w:pPr>
      <w:r>
        <w:t>Clinical rational</w:t>
      </w:r>
    </w:p>
    <w:p w:rsidR="00CA5936" w:rsidRDefault="00CA5936" w:rsidP="00CA5936">
      <w:bookmarkStart w:id="43" w:name="_Toc196046464"/>
      <w:bookmarkStart w:id="44" w:name="_Toc247691518"/>
      <w:bookmarkStart w:id="45" w:name="_Toc314842502"/>
      <w:r>
        <w:t xml:space="preserve">In the Clinical Overview the </w:t>
      </w:r>
      <w:r w:rsidR="0028583A">
        <w:t>s</w:t>
      </w:r>
      <w:r>
        <w:t xml:space="preserve">ponsor has described the submission </w:t>
      </w:r>
      <w:r w:rsidR="00AF5EEA">
        <w:t xml:space="preserve">clinical </w:t>
      </w:r>
      <w:r>
        <w:t>rationale as follows:</w:t>
      </w:r>
    </w:p>
    <w:p w:rsidR="00CA5936" w:rsidRPr="00CA5936" w:rsidRDefault="00CA5936" w:rsidP="00CA5936">
      <w:pPr>
        <w:ind w:left="720"/>
        <w:rPr>
          <w:i/>
        </w:rPr>
      </w:pPr>
      <w:r w:rsidRPr="00CA5936">
        <w:rPr>
          <w:i/>
        </w:rPr>
        <w:lastRenderedPageBreak/>
        <w:t xml:space="preserve">Axial </w:t>
      </w:r>
      <w:proofErr w:type="spellStart"/>
      <w:r w:rsidRPr="00CA5936">
        <w:rPr>
          <w:i/>
        </w:rPr>
        <w:t>spondyloarthritis</w:t>
      </w:r>
      <w:proofErr w:type="spellEnd"/>
      <w:r w:rsidRPr="00CA5936">
        <w:rPr>
          <w:i/>
        </w:rPr>
        <w:t xml:space="preserve"> (Axial </w:t>
      </w:r>
      <w:proofErr w:type="spellStart"/>
      <w:r w:rsidRPr="00CA5936">
        <w:rPr>
          <w:i/>
        </w:rPr>
        <w:t>SpA</w:t>
      </w:r>
      <w:proofErr w:type="spellEnd"/>
      <w:r w:rsidRPr="00CA5936">
        <w:rPr>
          <w:i/>
        </w:rPr>
        <w:t xml:space="preserve">) is a chronic inflammatory disease of the axial skeleton typically manifested by chronic back pain, spinal inflammation, </w:t>
      </w:r>
      <w:proofErr w:type="spellStart"/>
      <w:r w:rsidRPr="00CA5936">
        <w:rPr>
          <w:i/>
        </w:rPr>
        <w:t>seropositivity</w:t>
      </w:r>
      <w:proofErr w:type="spellEnd"/>
      <w:r w:rsidRPr="00CA5936">
        <w:rPr>
          <w:i/>
        </w:rPr>
        <w:t xml:space="preserve"> for human leukocyte antigen (HLA)-B27, and extra-articular manifestations. Axial </w:t>
      </w:r>
      <w:proofErr w:type="spellStart"/>
      <w:r w:rsidRPr="00CA5936">
        <w:rPr>
          <w:i/>
        </w:rPr>
        <w:t>SpA</w:t>
      </w:r>
      <w:proofErr w:type="spellEnd"/>
      <w:r w:rsidRPr="00CA5936">
        <w:rPr>
          <w:i/>
        </w:rPr>
        <w:t xml:space="preserve"> encompasses both AS and non-radiographic axial </w:t>
      </w:r>
      <w:proofErr w:type="spellStart"/>
      <w:r w:rsidRPr="00CA5936">
        <w:rPr>
          <w:i/>
        </w:rPr>
        <w:t>spondyloarthritis</w:t>
      </w:r>
      <w:proofErr w:type="spellEnd"/>
      <w:r w:rsidRPr="00CA5936">
        <w:rPr>
          <w:i/>
        </w:rPr>
        <w:t xml:space="preserve"> (nr-Axial </w:t>
      </w:r>
      <w:proofErr w:type="spellStart"/>
      <w:r w:rsidRPr="00CA5936">
        <w:rPr>
          <w:i/>
        </w:rPr>
        <w:t>SpA</w:t>
      </w:r>
      <w:proofErr w:type="spellEnd"/>
      <w:r w:rsidRPr="00CA5936">
        <w:rPr>
          <w:i/>
        </w:rPr>
        <w:t>), the latter of which includes patients with little to no changes in the sacroiliac joints on plain radiographs and thus do not meet modified New York criteria for AS.</w:t>
      </w:r>
      <w:r w:rsidR="00004149">
        <w:rPr>
          <w:i/>
        </w:rPr>
        <w:t xml:space="preserve"> </w:t>
      </w:r>
      <w:r w:rsidRPr="00CA5936">
        <w:rPr>
          <w:i/>
        </w:rPr>
        <w:t xml:space="preserve">As a relevant subgroup of Axial </w:t>
      </w:r>
      <w:proofErr w:type="spellStart"/>
      <w:r w:rsidRPr="00CA5936">
        <w:rPr>
          <w:i/>
        </w:rPr>
        <w:t>SpA</w:t>
      </w:r>
      <w:proofErr w:type="spellEnd"/>
      <w:r w:rsidRPr="00CA5936">
        <w:rPr>
          <w:i/>
        </w:rPr>
        <w:t xml:space="preserve">, the proportion of nr-Axial </w:t>
      </w:r>
      <w:proofErr w:type="spellStart"/>
      <w:r w:rsidRPr="00CA5936">
        <w:rPr>
          <w:i/>
        </w:rPr>
        <w:t>SpA</w:t>
      </w:r>
      <w:proofErr w:type="spellEnd"/>
      <w:r w:rsidRPr="00CA5936">
        <w:rPr>
          <w:i/>
        </w:rPr>
        <w:t xml:space="preserve"> amongst newly diagnosed patients is estimated to be between 20%-80% of all Axial </w:t>
      </w:r>
      <w:proofErr w:type="spellStart"/>
      <w:r w:rsidRPr="00CA5936">
        <w:rPr>
          <w:i/>
        </w:rPr>
        <w:t>SpA</w:t>
      </w:r>
      <w:proofErr w:type="spellEnd"/>
      <w:r w:rsidRPr="00CA5936">
        <w:rPr>
          <w:i/>
        </w:rPr>
        <w:t>, depending on symptom duration, selection criteria, and other parameters, including availability of MRI.</w:t>
      </w:r>
    </w:p>
    <w:p w:rsidR="00CA5936" w:rsidRPr="00CA5936" w:rsidRDefault="00CA5936" w:rsidP="00CA5936">
      <w:pPr>
        <w:ind w:left="720"/>
        <w:rPr>
          <w:i/>
        </w:rPr>
      </w:pPr>
      <w:r w:rsidRPr="00CA5936">
        <w:rPr>
          <w:i/>
        </w:rPr>
        <w:t xml:space="preserve">Despite shorter disease duration, patients with nr-Axial </w:t>
      </w:r>
      <w:proofErr w:type="spellStart"/>
      <w:r w:rsidRPr="00CA5936">
        <w:rPr>
          <w:i/>
        </w:rPr>
        <w:t>SpA</w:t>
      </w:r>
      <w:proofErr w:type="spellEnd"/>
      <w:r w:rsidRPr="00CA5936">
        <w:rPr>
          <w:i/>
        </w:rPr>
        <w:t xml:space="preserve"> have substantial disease burden, similar to patients with AS, who have relatively longer disease duration. Data from the German GESPIC study and French DESIR study (in the nr-Axial </w:t>
      </w:r>
      <w:proofErr w:type="spellStart"/>
      <w:r w:rsidRPr="00CA5936">
        <w:rPr>
          <w:i/>
        </w:rPr>
        <w:t>SpA</w:t>
      </w:r>
      <w:proofErr w:type="spellEnd"/>
      <w:r w:rsidRPr="00CA5936">
        <w:rPr>
          <w:i/>
        </w:rPr>
        <w:t xml:space="preserve"> and AS groups, both with symptom duration of &lt;5 years) report the same level of disease activity, as measured by the Bath Ankylosing Spondylitis Disease Activity Index (BASDAI) and pain.</w:t>
      </w:r>
      <w:r w:rsidR="00004149">
        <w:rPr>
          <w:i/>
        </w:rPr>
        <w:t xml:space="preserve"> </w:t>
      </w:r>
      <w:r w:rsidRPr="00CA5936">
        <w:rPr>
          <w:i/>
        </w:rPr>
        <w:t>Another study also notes no differences between the two groups with respect to other functional and quality of life measures, including the Bath Ankylosing Spondylitis Functional Index (BASFI), Ankylosing Spondylitis Quality of Life questionnaire (</w:t>
      </w:r>
      <w:proofErr w:type="spellStart"/>
      <w:r w:rsidRPr="00CA5936">
        <w:rPr>
          <w:i/>
        </w:rPr>
        <w:t>ASQoL</w:t>
      </w:r>
      <w:proofErr w:type="spellEnd"/>
      <w:r w:rsidRPr="00CA5936">
        <w:rPr>
          <w:i/>
        </w:rPr>
        <w:t>), and Short Form 36 (SF-36) health survey.</w:t>
      </w:r>
      <w:r w:rsidR="00004149">
        <w:rPr>
          <w:i/>
        </w:rPr>
        <w:t xml:space="preserve"> </w:t>
      </w:r>
      <w:r w:rsidRPr="00CA5936">
        <w:rPr>
          <w:i/>
        </w:rPr>
        <w:t xml:space="preserve">Evidence that patients with nr-Axial </w:t>
      </w:r>
      <w:proofErr w:type="spellStart"/>
      <w:r w:rsidRPr="00CA5936">
        <w:rPr>
          <w:i/>
        </w:rPr>
        <w:t>SpA</w:t>
      </w:r>
      <w:proofErr w:type="spellEnd"/>
      <w:r w:rsidRPr="00CA5936">
        <w:rPr>
          <w:i/>
        </w:rPr>
        <w:t xml:space="preserve"> have the same level of disease activity and pain as patients with AS, and experience significant impact on their day to day and/or work-related activities, has also been observed in the cited study. The similar disease burden in patients with nr-Axial </w:t>
      </w:r>
      <w:proofErr w:type="spellStart"/>
      <w:r w:rsidRPr="00CA5936">
        <w:rPr>
          <w:i/>
        </w:rPr>
        <w:t>SpA</w:t>
      </w:r>
      <w:proofErr w:type="spellEnd"/>
      <w:r w:rsidRPr="00CA5936">
        <w:rPr>
          <w:i/>
        </w:rPr>
        <w:t xml:space="preserve"> who have disease features similar to patients with AS, but do not meet criteria for radiographic </w:t>
      </w:r>
      <w:proofErr w:type="spellStart"/>
      <w:r w:rsidRPr="00CA5936">
        <w:rPr>
          <w:i/>
        </w:rPr>
        <w:t>sacroiliitis</w:t>
      </w:r>
      <w:proofErr w:type="spellEnd"/>
      <w:r w:rsidRPr="00CA5936">
        <w:rPr>
          <w:i/>
        </w:rPr>
        <w:t xml:space="preserve"> as defined by the modified New York criteria, highlights the clear medical need.</w:t>
      </w:r>
    </w:p>
    <w:p w:rsidR="00CA5936" w:rsidRPr="00CA5936" w:rsidRDefault="00CA5936" w:rsidP="00CA5936">
      <w:pPr>
        <w:ind w:left="720"/>
        <w:rPr>
          <w:i/>
        </w:rPr>
      </w:pPr>
      <w:r w:rsidRPr="00CA5936">
        <w:rPr>
          <w:i/>
        </w:rPr>
        <w:t xml:space="preserve">Progression from nr-Axial </w:t>
      </w:r>
      <w:proofErr w:type="spellStart"/>
      <w:r w:rsidRPr="00CA5936">
        <w:rPr>
          <w:i/>
        </w:rPr>
        <w:t>SpA</w:t>
      </w:r>
      <w:proofErr w:type="spellEnd"/>
      <w:r w:rsidRPr="00CA5936">
        <w:rPr>
          <w:i/>
        </w:rPr>
        <w:t xml:space="preserve"> to AS occurs in approximately 10% of patients within the first 2 years from onset of symptoms and in approximately 60% of patients after 10 years.</w:t>
      </w:r>
      <w:r w:rsidR="00004149">
        <w:rPr>
          <w:i/>
        </w:rPr>
        <w:t xml:space="preserve"> </w:t>
      </w:r>
      <w:r w:rsidRPr="00CA5936">
        <w:rPr>
          <w:i/>
        </w:rPr>
        <w:t xml:space="preserve">Based on current data, it does not appear that all patients with nr-Axial </w:t>
      </w:r>
      <w:proofErr w:type="spellStart"/>
      <w:r w:rsidRPr="00CA5936">
        <w:rPr>
          <w:i/>
        </w:rPr>
        <w:t>SpA</w:t>
      </w:r>
      <w:proofErr w:type="spellEnd"/>
      <w:r w:rsidRPr="00CA5936">
        <w:rPr>
          <w:i/>
        </w:rPr>
        <w:t xml:space="preserve"> progress to AS.</w:t>
      </w:r>
      <w:r w:rsidR="00004149">
        <w:rPr>
          <w:i/>
        </w:rPr>
        <w:t xml:space="preserve"> </w:t>
      </w:r>
      <w:r w:rsidRPr="00CA5936">
        <w:rPr>
          <w:i/>
        </w:rPr>
        <w:t xml:space="preserve">Data suggest that the presence of MRI </w:t>
      </w:r>
      <w:proofErr w:type="spellStart"/>
      <w:r w:rsidRPr="00CA5936">
        <w:rPr>
          <w:i/>
        </w:rPr>
        <w:t>sacroiliitis</w:t>
      </w:r>
      <w:proofErr w:type="spellEnd"/>
      <w:r w:rsidRPr="00CA5936">
        <w:rPr>
          <w:i/>
        </w:rPr>
        <w:t xml:space="preserve"> and CRP elevation increase the likelihood of progression; in the presence of one or both of these factors, progression to AS is estimated to be approximately 20% within the first two years.</w:t>
      </w:r>
    </w:p>
    <w:p w:rsidR="00605AD4" w:rsidRDefault="00605AD4" w:rsidP="00605AD4">
      <w:pPr>
        <w:pStyle w:val="Heading4"/>
      </w:pPr>
      <w:r w:rsidRPr="00605AD4">
        <w:t>Guidance</w:t>
      </w:r>
    </w:p>
    <w:p w:rsidR="00CA5936" w:rsidRDefault="00CA5936" w:rsidP="00CA5936">
      <w:r>
        <w:t>The guidelines applicable to this submission are:</w:t>
      </w:r>
    </w:p>
    <w:p w:rsidR="00CA5936" w:rsidRDefault="00CA5936" w:rsidP="0028583A">
      <w:pPr>
        <w:pStyle w:val="ListBullet"/>
        <w:numPr>
          <w:ilvl w:val="0"/>
          <w:numId w:val="0"/>
        </w:numPr>
        <w:ind w:left="360" w:hanging="360"/>
      </w:pPr>
      <w:r>
        <w:t>E</w:t>
      </w:r>
      <w:r w:rsidR="00AF5EEA">
        <w:t>uropean Union (E</w:t>
      </w:r>
      <w:r>
        <w:t>U</w:t>
      </w:r>
      <w:r w:rsidR="00AF5EEA">
        <w:t>)</w:t>
      </w:r>
      <w:r>
        <w:t xml:space="preserve"> Guidelines adopted by the TGA</w:t>
      </w:r>
    </w:p>
    <w:p w:rsidR="00CA5936" w:rsidRDefault="00CA5936" w:rsidP="00BC1A73">
      <w:pPr>
        <w:pStyle w:val="ListBullet2"/>
      </w:pPr>
      <w:r>
        <w:t>EMEA/CPMP/EWP/4891/03 Guideline on Clinical Investigation of Medicinal Products for the Treatment of Ankylosing Spondylitis.</w:t>
      </w:r>
      <w:r w:rsidR="00004149">
        <w:t xml:space="preserve"> </w:t>
      </w:r>
      <w:r>
        <w:t>Effective: 23 February 2010.</w:t>
      </w:r>
    </w:p>
    <w:p w:rsidR="00CA5936" w:rsidRDefault="00CA5936" w:rsidP="00BC1A73">
      <w:pPr>
        <w:pStyle w:val="ListBullet2"/>
      </w:pPr>
      <w:r>
        <w:t>CPMP/EWP/2330/99 Points to Consider on Application with 1. Meta-Analyses; and 2. One Pivotal Study.</w:t>
      </w:r>
      <w:r w:rsidR="00004149">
        <w:t xml:space="preserve"> </w:t>
      </w:r>
      <w:r>
        <w:t>Effective 27 March 2002.</w:t>
      </w:r>
    </w:p>
    <w:p w:rsidR="00CA5936" w:rsidRDefault="00CA5936" w:rsidP="0028583A">
      <w:pPr>
        <w:pStyle w:val="ListBullet2"/>
      </w:pPr>
      <w:r>
        <w:t>Australian regulatory guidelines for prescription medicines.</w:t>
      </w:r>
      <w:r w:rsidR="00004149">
        <w:t xml:space="preserve"> </w:t>
      </w:r>
      <w:r>
        <w:t>Guidance 8: Product Information.</w:t>
      </w:r>
    </w:p>
    <w:p w:rsidR="00CA5936" w:rsidRDefault="00CA5936" w:rsidP="00CA5936">
      <w:r>
        <w:t xml:space="preserve">Although there is no specific EU Guideline for nr-Axial </w:t>
      </w:r>
      <w:proofErr w:type="spellStart"/>
      <w:r>
        <w:t>SpA</w:t>
      </w:r>
      <w:proofErr w:type="spellEnd"/>
      <w:r>
        <w:t xml:space="preserve">, the Guideline relating to ankylosing spondylitis is relevant as it recognises that AS belongs to the group of </w:t>
      </w:r>
      <w:proofErr w:type="spellStart"/>
      <w:r w:rsidR="00D711C6">
        <w:t>spondyloarthritis</w:t>
      </w:r>
      <w:proofErr w:type="spellEnd"/>
      <w:r>
        <w:t xml:space="preserve"> (</w:t>
      </w:r>
      <w:proofErr w:type="spellStart"/>
      <w:r>
        <w:t>SpA</w:t>
      </w:r>
      <w:proofErr w:type="spellEnd"/>
      <w:r>
        <w:t xml:space="preserve">) which includes psoriatic arthritis, arthritis/spondylitis with inflammatory bowel disease (IBD), reactive arthritis and undifferentiated </w:t>
      </w:r>
      <w:proofErr w:type="spellStart"/>
      <w:r>
        <w:t>SpA</w:t>
      </w:r>
      <w:proofErr w:type="spellEnd"/>
      <w:r>
        <w:t xml:space="preserve"> (patients with typical features of </w:t>
      </w:r>
      <w:proofErr w:type="spellStart"/>
      <w:r>
        <w:t>SpA</w:t>
      </w:r>
      <w:proofErr w:type="spellEnd"/>
      <w:r>
        <w:t xml:space="preserve"> that do not fulfil criteria for one of these subtypes).</w:t>
      </w:r>
    </w:p>
    <w:p w:rsidR="00CA5936" w:rsidRDefault="00CA5936" w:rsidP="00CA5936">
      <w:r>
        <w:t xml:space="preserve">The Assessment of </w:t>
      </w:r>
      <w:proofErr w:type="spellStart"/>
      <w:r>
        <w:t>SpondyloArthritis</w:t>
      </w:r>
      <w:proofErr w:type="spellEnd"/>
      <w:r>
        <w:t xml:space="preserve"> International Society (ASAS) has now classified </w:t>
      </w:r>
      <w:proofErr w:type="spellStart"/>
      <w:r>
        <w:t>SpA</w:t>
      </w:r>
      <w:proofErr w:type="spellEnd"/>
      <w:r>
        <w:t xml:space="preserve"> with predominantly axial involvement into 2 groups:</w:t>
      </w:r>
    </w:p>
    <w:p w:rsidR="00CA5936" w:rsidRDefault="00CA5936" w:rsidP="00101E94">
      <w:pPr>
        <w:pStyle w:val="Numberbullet2"/>
        <w:numPr>
          <w:ilvl w:val="1"/>
          <w:numId w:val="38"/>
        </w:numPr>
        <w:ind w:left="0" w:firstLine="0"/>
      </w:pPr>
      <w:r>
        <w:lastRenderedPageBreak/>
        <w:t xml:space="preserve">AS, typically with radiographic </w:t>
      </w:r>
      <w:proofErr w:type="spellStart"/>
      <w:r>
        <w:t>sacroiliitis</w:t>
      </w:r>
      <w:proofErr w:type="spellEnd"/>
      <w:r>
        <w:t xml:space="preserve"> on plain radiography, and</w:t>
      </w:r>
    </w:p>
    <w:p w:rsidR="00CA5936" w:rsidRDefault="00D711C6" w:rsidP="00101E94">
      <w:pPr>
        <w:pStyle w:val="Numberbullet2"/>
        <w:numPr>
          <w:ilvl w:val="1"/>
          <w:numId w:val="38"/>
        </w:numPr>
        <w:ind w:left="0" w:firstLine="0"/>
      </w:pPr>
      <w:r>
        <w:t>Axial</w:t>
      </w:r>
      <w:r w:rsidR="00CA5936">
        <w:t xml:space="preserve"> </w:t>
      </w:r>
      <w:proofErr w:type="spellStart"/>
      <w:r w:rsidR="00CA5936">
        <w:t>SpA</w:t>
      </w:r>
      <w:proofErr w:type="spellEnd"/>
      <w:r w:rsidR="00CA5936">
        <w:t xml:space="preserve"> without plain radiographic changes of </w:t>
      </w:r>
      <w:proofErr w:type="spellStart"/>
      <w:r w:rsidR="00CA5936">
        <w:t>sacroiliitis</w:t>
      </w:r>
      <w:proofErr w:type="spellEnd"/>
      <w:r w:rsidR="00CA5936">
        <w:t xml:space="preserve"> (nr-Axial </w:t>
      </w:r>
      <w:proofErr w:type="spellStart"/>
      <w:r w:rsidR="00CA5936">
        <w:t>SpA</w:t>
      </w:r>
      <w:proofErr w:type="spellEnd"/>
      <w:r w:rsidR="00CA5936">
        <w:t>).</w:t>
      </w:r>
    </w:p>
    <w:p w:rsidR="00CA5936" w:rsidRPr="00CA5936" w:rsidRDefault="00CA5936" w:rsidP="00CA5936">
      <w:r>
        <w:t>While these conditions are often considered together, there remains some uncertainty regarding whether these categories represent distinct but overlapping disorders or simply different points in the severity or chronology of illness along a single spectrum.</w:t>
      </w:r>
    </w:p>
    <w:p w:rsidR="00605AD4" w:rsidRPr="00605AD4" w:rsidRDefault="00605AD4" w:rsidP="00605AD4">
      <w:pPr>
        <w:pStyle w:val="Heading4"/>
      </w:pPr>
      <w:r w:rsidRPr="00605AD4">
        <w:t>Contents of the clinical dossier</w:t>
      </w:r>
    </w:p>
    <w:p w:rsidR="00CA5936" w:rsidRDefault="00CA5936" w:rsidP="0028583A">
      <w:r>
        <w:t>The submission contained the following clinical information:</w:t>
      </w:r>
    </w:p>
    <w:p w:rsidR="00CA5936" w:rsidRDefault="00CA5936" w:rsidP="00101E94">
      <w:pPr>
        <w:pStyle w:val="ListBullet"/>
      </w:pPr>
      <w:r>
        <w:t>1 pivotal efficacy/safety study (Protocol No. P07642, also known as MK-8259-006-02, and as GO AHEAD).</w:t>
      </w:r>
    </w:p>
    <w:p w:rsidR="00CA5936" w:rsidRDefault="00CA5936" w:rsidP="00CA5936">
      <w:pPr>
        <w:pStyle w:val="ListBullet"/>
      </w:pPr>
      <w:r>
        <w:t>An Integrated Summary of Safety and a report explaining the changes in ADR frequencies in the European Summary of Product Characteristics (</w:t>
      </w:r>
      <w:proofErr w:type="spellStart"/>
      <w:r>
        <w:t>SmPC</w:t>
      </w:r>
      <w:proofErr w:type="spellEnd"/>
      <w:r>
        <w:t>).</w:t>
      </w:r>
    </w:p>
    <w:p w:rsidR="00605AD4" w:rsidRPr="00605AD4" w:rsidRDefault="00605AD4" w:rsidP="00605AD4">
      <w:pPr>
        <w:pStyle w:val="Heading4"/>
      </w:pPr>
      <w:r w:rsidRPr="00605AD4">
        <w:t>Paediatric data</w:t>
      </w:r>
    </w:p>
    <w:p w:rsidR="00CA5936" w:rsidRDefault="00CA5936" w:rsidP="00CA5936">
      <w:r>
        <w:t>The submission did not include paediatric data.</w:t>
      </w:r>
    </w:p>
    <w:p w:rsidR="00CA5936" w:rsidRDefault="00CA5936" w:rsidP="00CA5936">
      <w:pPr>
        <w:pStyle w:val="Heading4"/>
      </w:pPr>
      <w:r>
        <w:t>Good clinical practice</w:t>
      </w:r>
    </w:p>
    <w:p w:rsidR="00CA5936" w:rsidRDefault="00CA5936" w:rsidP="00CA5936">
      <w:r>
        <w:t>Study P07642 was conducted in conformance with Good Clinical Practice standards and applicable country and/or local statutes and regulations regarding ethical committee review, informed consent, and the protection of human subjects participating in biomedical research.</w:t>
      </w:r>
    </w:p>
    <w:p w:rsidR="008E7846" w:rsidRDefault="008E7846" w:rsidP="00605AD4">
      <w:pPr>
        <w:pStyle w:val="Heading3"/>
      </w:pPr>
      <w:bookmarkStart w:id="46" w:name="_Toc487718624"/>
      <w:r w:rsidRPr="00254787">
        <w:t>Pharmacokinetics</w:t>
      </w:r>
      <w:bookmarkEnd w:id="37"/>
      <w:bookmarkEnd w:id="43"/>
      <w:bookmarkEnd w:id="44"/>
      <w:bookmarkEnd w:id="45"/>
      <w:bookmarkEnd w:id="46"/>
    </w:p>
    <w:p w:rsidR="00605AD4" w:rsidRDefault="00605AD4" w:rsidP="00605AD4">
      <w:pPr>
        <w:pStyle w:val="Heading4"/>
      </w:pPr>
      <w:r>
        <w:t xml:space="preserve">Studies providing pharmacokinetic data </w:t>
      </w:r>
    </w:p>
    <w:p w:rsidR="00CA5936" w:rsidRPr="00CA5936" w:rsidRDefault="00CA5936" w:rsidP="00CA5936">
      <w:r>
        <w:t>The</w:t>
      </w:r>
      <w:r w:rsidR="00CD0AC6">
        <w:t xml:space="preserve"> sponsor did not </w:t>
      </w:r>
      <w:r>
        <w:t>submit</w:t>
      </w:r>
      <w:r w:rsidR="00CD0AC6">
        <w:t xml:space="preserve"> any</w:t>
      </w:r>
      <w:r>
        <w:t xml:space="preserve"> pharmacokinetic studies.</w:t>
      </w:r>
      <w:r w:rsidR="00004149">
        <w:t xml:space="preserve"> </w:t>
      </w:r>
      <w:r>
        <w:t xml:space="preserve">In the pivotal study (P07642), PK assessment was limited to the measurement of steady-state trough </w:t>
      </w:r>
      <w:proofErr w:type="spellStart"/>
      <w:r>
        <w:t>golimumab</w:t>
      </w:r>
      <w:proofErr w:type="spellEnd"/>
      <w:r>
        <w:t xml:space="preserve"> (GLM) concentrations at baseline and Week 16 before the administration of study medication.</w:t>
      </w:r>
      <w:r w:rsidR="00004149">
        <w:t xml:space="preserve"> </w:t>
      </w:r>
      <w:r>
        <w:t xml:space="preserve">These were measured using the validated </w:t>
      </w:r>
      <w:proofErr w:type="spellStart"/>
      <w:r>
        <w:t>Meso</w:t>
      </w:r>
      <w:proofErr w:type="spellEnd"/>
      <w:r>
        <w:t xml:space="preserve"> Scale Discovery (MSD) </w:t>
      </w:r>
      <w:proofErr w:type="spellStart"/>
      <w:r>
        <w:t>electrochemiluminescent</w:t>
      </w:r>
      <w:proofErr w:type="spellEnd"/>
      <w:r>
        <w:t xml:space="preserve"> immunoassay (ECLIA).</w:t>
      </w:r>
      <w:r w:rsidR="00004149">
        <w:t xml:space="preserve"> </w:t>
      </w:r>
      <w:r>
        <w:t xml:space="preserve">Immunogenicity of </w:t>
      </w:r>
      <w:proofErr w:type="spellStart"/>
      <w:r>
        <w:t>golimumab</w:t>
      </w:r>
      <w:proofErr w:type="spellEnd"/>
      <w:r>
        <w:t xml:space="preserve"> is discussed </w:t>
      </w:r>
      <w:r w:rsidR="0028583A">
        <w:t>further in Attachment 2</w:t>
      </w:r>
      <w:r>
        <w:t>.</w:t>
      </w:r>
    </w:p>
    <w:p w:rsidR="00605AD4" w:rsidRDefault="00605AD4" w:rsidP="00605AD4">
      <w:pPr>
        <w:pStyle w:val="Heading4"/>
      </w:pPr>
      <w:r>
        <w:t>Evaluator’s conclusions on pharmacokinetics</w:t>
      </w:r>
    </w:p>
    <w:p w:rsidR="00CA5936" w:rsidRPr="00CA5936" w:rsidRDefault="00CA5936" w:rsidP="00CA5936">
      <w:r>
        <w:t xml:space="preserve">Median steady-state </w:t>
      </w:r>
      <w:proofErr w:type="spellStart"/>
      <w:r>
        <w:t>golimumab</w:t>
      </w:r>
      <w:proofErr w:type="spellEnd"/>
      <w:r>
        <w:t xml:space="preserve"> concentration after treatment with </w:t>
      </w:r>
      <w:proofErr w:type="spellStart"/>
      <w:r>
        <w:t>golimumab</w:t>
      </w:r>
      <w:proofErr w:type="spellEnd"/>
      <w:r>
        <w:t xml:space="preserve"> 50 mg SC every 4 weeks in nr-Axial </w:t>
      </w:r>
      <w:proofErr w:type="spellStart"/>
      <w:r>
        <w:t>SpA</w:t>
      </w:r>
      <w:proofErr w:type="spellEnd"/>
      <w:r>
        <w:t xml:space="preserve"> was </w:t>
      </w:r>
      <w:proofErr w:type="gramStart"/>
      <w:r>
        <w:t xml:space="preserve">0.8 </w:t>
      </w:r>
      <w:proofErr w:type="spellStart"/>
      <w:r>
        <w:t>μg</w:t>
      </w:r>
      <w:proofErr w:type="spellEnd"/>
      <w:r>
        <w:t>/</w:t>
      </w:r>
      <w:proofErr w:type="spellStart"/>
      <w:r>
        <w:t>mL</w:t>
      </w:r>
      <w:proofErr w:type="gramEnd"/>
      <w:r>
        <w:t>.</w:t>
      </w:r>
      <w:proofErr w:type="spellEnd"/>
      <w:r w:rsidR="00004149">
        <w:t xml:space="preserve"> </w:t>
      </w:r>
      <w:r>
        <w:t xml:space="preserve">This compares with median steady-state trough serum concentrations in patients with AS of </w:t>
      </w:r>
      <w:proofErr w:type="gramStart"/>
      <w:r w:rsidR="0028583A">
        <w:t xml:space="preserve">approximately </w:t>
      </w:r>
      <w:r>
        <w:t xml:space="preserve">0.6 </w:t>
      </w:r>
      <w:proofErr w:type="spellStart"/>
      <w:r>
        <w:t>μg</w:t>
      </w:r>
      <w:proofErr w:type="spellEnd"/>
      <w:r>
        <w:t>/mL (according to the current</w:t>
      </w:r>
      <w:r w:rsidR="00953A39">
        <w:t xml:space="preserve">ly approved Australian PI for </w:t>
      </w:r>
      <w:proofErr w:type="spellStart"/>
      <w:r w:rsidR="00B96E1C">
        <w:t>Simponi</w:t>
      </w:r>
      <w:proofErr w:type="spellEnd"/>
      <w:r>
        <w:t>)</w:t>
      </w:r>
      <w:proofErr w:type="gramEnd"/>
      <w:r>
        <w:t xml:space="preserve"> or 0.7 </w:t>
      </w:r>
      <w:proofErr w:type="spellStart"/>
      <w:r>
        <w:t>μg</w:t>
      </w:r>
      <w:proofErr w:type="spellEnd"/>
      <w:r>
        <w:t>/mL (at Week 104 in Study C0524T09 when the same assay was used).</w:t>
      </w:r>
      <w:r w:rsidR="00004149">
        <w:t xml:space="preserve"> </w:t>
      </w:r>
      <w:r>
        <w:t>The trend for lower serum</w:t>
      </w:r>
      <w:r w:rsidR="00004149">
        <w:t xml:space="preserve"> </w:t>
      </w:r>
      <w:proofErr w:type="spellStart"/>
      <w:r w:rsidR="00004149">
        <w:t>golimumab</w:t>
      </w:r>
      <w:proofErr w:type="spellEnd"/>
      <w:r>
        <w:t xml:space="preserve"> concentrations in subjects with nr-Axial </w:t>
      </w:r>
      <w:proofErr w:type="spellStart"/>
      <w:r>
        <w:t>SpA</w:t>
      </w:r>
      <w:proofErr w:type="spellEnd"/>
      <w:r>
        <w:t xml:space="preserve"> weighing &gt;</w:t>
      </w:r>
      <w:r w:rsidR="00630037">
        <w:t xml:space="preserve"> </w:t>
      </w:r>
      <w:r>
        <w:t>100</w:t>
      </w:r>
      <w:r w:rsidR="00630037">
        <w:t xml:space="preserve"> </w:t>
      </w:r>
      <w:r>
        <w:t xml:space="preserve">kg was also observed in population pharmacokinetic analyses for the other </w:t>
      </w:r>
      <w:proofErr w:type="spellStart"/>
      <w:r>
        <w:t>rheumatological</w:t>
      </w:r>
      <w:proofErr w:type="spellEnd"/>
      <w:r>
        <w:t xml:space="preserve"> indications. These findings support the proposed dosage and administration guidelines for nr-Axial </w:t>
      </w:r>
      <w:proofErr w:type="spellStart"/>
      <w:r>
        <w:t>SpA</w:t>
      </w:r>
      <w:proofErr w:type="spellEnd"/>
      <w:r>
        <w:t xml:space="preserve"> in the PI.</w:t>
      </w:r>
    </w:p>
    <w:p w:rsidR="008E7846" w:rsidRDefault="008E7846" w:rsidP="008E7846">
      <w:pPr>
        <w:pStyle w:val="Heading3"/>
      </w:pPr>
      <w:bookmarkStart w:id="47" w:name="_Toc196046481"/>
      <w:bookmarkStart w:id="48" w:name="_Toc247691520"/>
      <w:bookmarkStart w:id="49" w:name="_Toc314842503"/>
      <w:bookmarkStart w:id="50" w:name="_Toc487718625"/>
      <w:r w:rsidRPr="00254787">
        <w:lastRenderedPageBreak/>
        <w:t>Pharmacodynamics</w:t>
      </w:r>
      <w:bookmarkEnd w:id="38"/>
      <w:bookmarkEnd w:id="47"/>
      <w:bookmarkEnd w:id="48"/>
      <w:bookmarkEnd w:id="49"/>
      <w:bookmarkEnd w:id="50"/>
    </w:p>
    <w:p w:rsidR="00605AD4" w:rsidRDefault="00605AD4" w:rsidP="00605AD4">
      <w:pPr>
        <w:pStyle w:val="Heading4"/>
      </w:pPr>
      <w:r>
        <w:t xml:space="preserve">Studies providing </w:t>
      </w:r>
      <w:proofErr w:type="spellStart"/>
      <w:r>
        <w:t>pharmacodynamic</w:t>
      </w:r>
      <w:proofErr w:type="spellEnd"/>
      <w:r>
        <w:t xml:space="preserve"> data</w:t>
      </w:r>
    </w:p>
    <w:p w:rsidR="00733EBB" w:rsidRPr="00733EBB" w:rsidRDefault="00733EBB" w:rsidP="00733EBB">
      <w:r w:rsidRPr="00733EBB">
        <w:t>The</w:t>
      </w:r>
      <w:r w:rsidR="00CD0AC6">
        <w:t xml:space="preserve"> sponsor did not </w:t>
      </w:r>
      <w:r w:rsidRPr="00733EBB">
        <w:t>submit</w:t>
      </w:r>
      <w:r w:rsidR="00CD0AC6">
        <w:t xml:space="preserve"> any</w:t>
      </w:r>
      <w:r w:rsidRPr="00733EBB">
        <w:t xml:space="preserve"> </w:t>
      </w:r>
      <w:proofErr w:type="spellStart"/>
      <w:r w:rsidRPr="00733EBB">
        <w:t>pharmacodynamic</w:t>
      </w:r>
      <w:proofErr w:type="spellEnd"/>
      <w:r w:rsidRPr="00733EBB">
        <w:t xml:space="preserve"> studies.</w:t>
      </w:r>
      <w:r w:rsidR="00004149">
        <w:t xml:space="preserve"> </w:t>
      </w:r>
      <w:r w:rsidRPr="00733EBB">
        <w:t>In the pivotal study (P07642), PD assessment was limited to the measurement of C-reactive protein (CRP) levels at baseline and Week 16.</w:t>
      </w:r>
    </w:p>
    <w:p w:rsidR="00605AD4" w:rsidRDefault="00605AD4" w:rsidP="00605AD4">
      <w:pPr>
        <w:pStyle w:val="Heading4"/>
      </w:pPr>
      <w:r>
        <w:t>Evaluator’s conclusions on pharmacodynamics</w:t>
      </w:r>
    </w:p>
    <w:p w:rsidR="00733EBB" w:rsidRPr="00733EBB" w:rsidRDefault="00733EBB" w:rsidP="00733EBB">
      <w:r>
        <w:t xml:space="preserve">Improvement in CRP levels in subjects with nr-Axial </w:t>
      </w:r>
      <w:proofErr w:type="spellStart"/>
      <w:r>
        <w:t>SpA</w:t>
      </w:r>
      <w:proofErr w:type="spellEnd"/>
      <w:r>
        <w:t xml:space="preserve"> receiving </w:t>
      </w:r>
      <w:proofErr w:type="spellStart"/>
      <w:r>
        <w:t>golimumab</w:t>
      </w:r>
      <w:proofErr w:type="spellEnd"/>
      <w:r>
        <w:t xml:space="preserve"> relative to placebo is consistent with improvement observed in the other </w:t>
      </w:r>
      <w:proofErr w:type="spellStart"/>
      <w:r>
        <w:t>rheumatological</w:t>
      </w:r>
      <w:proofErr w:type="spellEnd"/>
      <w:r>
        <w:t xml:space="preserve"> indications.</w:t>
      </w:r>
    </w:p>
    <w:p w:rsidR="008E7846" w:rsidRDefault="00605AD4" w:rsidP="00605AD4">
      <w:pPr>
        <w:pStyle w:val="Heading3"/>
      </w:pPr>
      <w:bookmarkStart w:id="51" w:name="_Toc487718626"/>
      <w:r>
        <w:t>Dosage selection for the pivotal studies</w:t>
      </w:r>
      <w:bookmarkEnd w:id="51"/>
    </w:p>
    <w:p w:rsidR="00733EBB" w:rsidRDefault="00733EBB" w:rsidP="00733EBB">
      <w:r>
        <w:t xml:space="preserve">Dose selection for the nr-Axial </w:t>
      </w:r>
      <w:proofErr w:type="spellStart"/>
      <w:r>
        <w:t>SpA</w:t>
      </w:r>
      <w:proofErr w:type="spellEnd"/>
      <w:r>
        <w:t xml:space="preserve"> indication was based on the currently approved dose for the treatment of AS and other rheumatologic diseases.</w:t>
      </w:r>
      <w:r w:rsidR="00004149">
        <w:t xml:space="preserve"> </w:t>
      </w:r>
    </w:p>
    <w:p w:rsidR="00733EBB" w:rsidRPr="00733EBB" w:rsidRDefault="00733EBB" w:rsidP="00733EBB">
      <w:r>
        <w:t xml:space="preserve">Given the similarity of the pathophysiology and clinical presentation of nr-Axial </w:t>
      </w:r>
      <w:proofErr w:type="spellStart"/>
      <w:r>
        <w:t>SpA</w:t>
      </w:r>
      <w:proofErr w:type="spellEnd"/>
      <w:r>
        <w:t xml:space="preserve"> and AS, and the comparability of </w:t>
      </w:r>
      <w:proofErr w:type="spellStart"/>
      <w:r>
        <w:t>golimumab</w:t>
      </w:r>
      <w:proofErr w:type="spellEnd"/>
      <w:r>
        <w:t xml:space="preserve"> exposure observed in clinical trials for both conditions, selection of the same dose is considered appropriate.</w:t>
      </w:r>
      <w:r w:rsidR="00004149">
        <w:t xml:space="preserve"> </w:t>
      </w:r>
      <w:r>
        <w:t>This is also consistent with the approved dosing strategy for E</w:t>
      </w:r>
      <w:r w:rsidR="00630037">
        <w:t>nbrel</w:t>
      </w:r>
      <w:r>
        <w:t xml:space="preserve">, which has the same dose for both the AS and nr-Axial </w:t>
      </w:r>
      <w:proofErr w:type="spellStart"/>
      <w:r>
        <w:t>SpA</w:t>
      </w:r>
      <w:proofErr w:type="spellEnd"/>
      <w:r>
        <w:t xml:space="preserve"> indications.</w:t>
      </w:r>
    </w:p>
    <w:p w:rsidR="008E7846" w:rsidRPr="00254787" w:rsidRDefault="008E7846" w:rsidP="008E7846">
      <w:pPr>
        <w:pStyle w:val="Heading3"/>
      </w:pPr>
      <w:bookmarkStart w:id="52" w:name="_Toc163441372"/>
      <w:bookmarkStart w:id="53" w:name="_Toc196046485"/>
      <w:bookmarkStart w:id="54" w:name="_Toc247691521"/>
      <w:bookmarkStart w:id="55" w:name="_Toc314842504"/>
      <w:bookmarkStart w:id="56" w:name="_Toc487718627"/>
      <w:r w:rsidRPr="00254787">
        <w:t>Efficacy</w:t>
      </w:r>
      <w:bookmarkEnd w:id="52"/>
      <w:bookmarkEnd w:id="53"/>
      <w:bookmarkEnd w:id="54"/>
      <w:bookmarkEnd w:id="55"/>
      <w:bookmarkEnd w:id="56"/>
    </w:p>
    <w:p w:rsidR="00605AD4" w:rsidRDefault="00605AD4" w:rsidP="00605AD4">
      <w:pPr>
        <w:pStyle w:val="Heading4"/>
      </w:pPr>
      <w:bookmarkStart w:id="57" w:name="_Toc184439992"/>
      <w:bookmarkStart w:id="58" w:name="_Toc184440279"/>
      <w:bookmarkStart w:id="59" w:name="_Toc184444657"/>
      <w:bookmarkStart w:id="60" w:name="_Toc196046487"/>
      <w:r>
        <w:t>Studies providing efficacy data</w:t>
      </w:r>
    </w:p>
    <w:p w:rsidR="00630037" w:rsidRDefault="00630037" w:rsidP="00630037">
      <w:pPr>
        <w:pStyle w:val="ListBullet"/>
        <w:numPr>
          <w:ilvl w:val="0"/>
          <w:numId w:val="3"/>
        </w:numPr>
      </w:pPr>
      <w:r>
        <w:t>1 pivotal efficacy/safety study (Protocol No. P07642, also known as MK-8259-006-02, and as GO AHEAD).</w:t>
      </w:r>
    </w:p>
    <w:p w:rsidR="008E7846" w:rsidRDefault="00605AD4" w:rsidP="00605AD4">
      <w:pPr>
        <w:pStyle w:val="Heading4"/>
      </w:pPr>
      <w:r>
        <w:t>Evaluator’s conclusions on efficacy</w:t>
      </w:r>
    </w:p>
    <w:p w:rsidR="00733EBB" w:rsidRDefault="00733EBB" w:rsidP="00733EBB">
      <w:r>
        <w:t xml:space="preserve">The sponsor has provided data in the form of an interim study report from a single pivotal Phase </w:t>
      </w:r>
      <w:proofErr w:type="spellStart"/>
      <w:r>
        <w:t>IIIb</w:t>
      </w:r>
      <w:proofErr w:type="spellEnd"/>
      <w:r>
        <w:t xml:space="preserve"> study.</w:t>
      </w:r>
      <w:r w:rsidR="00004149">
        <w:t xml:space="preserve"> </w:t>
      </w:r>
      <w:r>
        <w:t>Study P07642 was a two-part, randomised, double-blind, placebo-controlled study assessing the efficacy of</w:t>
      </w:r>
      <w:r w:rsidR="00004149">
        <w:t xml:space="preserve"> </w:t>
      </w:r>
      <w:proofErr w:type="spellStart"/>
      <w:r w:rsidR="00004149">
        <w:t>golimumab</w:t>
      </w:r>
      <w:proofErr w:type="spellEnd"/>
      <w:r>
        <w:t xml:space="preserve"> in 197 subjects (97 on</w:t>
      </w:r>
      <w:r w:rsidR="00004149">
        <w:t xml:space="preserve"> </w:t>
      </w:r>
      <w:proofErr w:type="spellStart"/>
      <w:r w:rsidR="00004149">
        <w:t>golimumab</w:t>
      </w:r>
      <w:proofErr w:type="spellEnd"/>
      <w:r>
        <w:t xml:space="preserve">, 100 on PLC) aged 18 to 46 years who met the ASAS classification criteria for nr-Axial </w:t>
      </w:r>
      <w:proofErr w:type="spellStart"/>
      <w:r>
        <w:t>SpA</w:t>
      </w:r>
      <w:proofErr w:type="spellEnd"/>
      <w:r>
        <w:t>.</w:t>
      </w:r>
      <w:r w:rsidR="00004149">
        <w:t xml:space="preserve"> </w:t>
      </w:r>
      <w:r>
        <w:t xml:space="preserve">In Part 1 subjects received either </w:t>
      </w:r>
      <w:proofErr w:type="spellStart"/>
      <w:r>
        <w:t>golimumab</w:t>
      </w:r>
      <w:proofErr w:type="spellEnd"/>
      <w:r>
        <w:t xml:space="preserve"> 50 mg SC or placebo every 4 weeks for 16 weeks, while in Part 2 (open-label extension) all subjects received </w:t>
      </w:r>
      <w:proofErr w:type="spellStart"/>
      <w:r>
        <w:t>golimumab</w:t>
      </w:r>
      <w:proofErr w:type="spellEnd"/>
      <w:r>
        <w:t>.</w:t>
      </w:r>
      <w:r w:rsidR="00004149">
        <w:t xml:space="preserve"> </w:t>
      </w:r>
      <w:r>
        <w:t>The study is ongoing with data up to 24 weeks of treatment follow-up being included for evaluation.</w:t>
      </w:r>
      <w:r w:rsidR="00004149">
        <w:t xml:space="preserve"> </w:t>
      </w:r>
      <w:r>
        <w:t>Given the number of shared clinical and genetic features between AS and nr-Ax</w:t>
      </w:r>
      <w:r w:rsidR="00630037">
        <w:t xml:space="preserve">ial </w:t>
      </w:r>
      <w:proofErr w:type="spellStart"/>
      <w:r w:rsidR="00630037">
        <w:t>SpA</w:t>
      </w:r>
      <w:proofErr w:type="spellEnd"/>
      <w:r w:rsidR="00630037">
        <w:t>, it is considered that S</w:t>
      </w:r>
      <w:r>
        <w:t xml:space="preserve">tudy P07642 observed an adequate number of patients for an acceptable duration of time to assess efficacy and safety of </w:t>
      </w:r>
      <w:proofErr w:type="spellStart"/>
      <w:r>
        <w:t>golimumab</w:t>
      </w:r>
      <w:proofErr w:type="spellEnd"/>
      <w:r>
        <w:t xml:space="preserve"> in the nr-Axial </w:t>
      </w:r>
      <w:proofErr w:type="spellStart"/>
      <w:r>
        <w:t>SpA</w:t>
      </w:r>
      <w:proofErr w:type="spellEnd"/>
      <w:r>
        <w:t xml:space="preserve"> indication.</w:t>
      </w:r>
      <w:r w:rsidR="00004149">
        <w:t xml:space="preserve"> </w:t>
      </w:r>
      <w:r>
        <w:t>Study design and conduct, choice of efficacy endpoints and statistical analyses were appropriate, and co</w:t>
      </w:r>
      <w:r w:rsidR="00630037">
        <w:t xml:space="preserve">nsistent with the </w:t>
      </w:r>
      <w:r w:rsidR="00CD0AC6">
        <w:t xml:space="preserve">relevant </w:t>
      </w:r>
      <w:r w:rsidR="00630037">
        <w:t>EU guideline</w:t>
      </w:r>
      <w:r>
        <w:t>.</w:t>
      </w:r>
      <w:r w:rsidR="00630037">
        <w:rPr>
          <w:rStyle w:val="FootnoteReference"/>
        </w:rPr>
        <w:footnoteReference w:id="1"/>
      </w:r>
      <w:r>
        <w:t xml:space="preserve"> While only a single study has been conducted, this is considered acceptable as it </w:t>
      </w:r>
      <w:r w:rsidR="00630037">
        <w:t>complies with the relevant EU Guideline</w:t>
      </w:r>
      <w:r>
        <w:t>.</w:t>
      </w:r>
      <w:r w:rsidR="00630037">
        <w:rPr>
          <w:rStyle w:val="FootnoteReference"/>
        </w:rPr>
        <w:footnoteReference w:id="2"/>
      </w:r>
      <w:r w:rsidR="00004149">
        <w:t xml:space="preserve"> </w:t>
      </w:r>
      <w:r>
        <w:t xml:space="preserve">In particular, the study has internal and external validity, the treatment effect is clinically relevant with a high degree of statistical significance (p&lt;0.0001 for ASAS-20), the results were internally consistent within the majority of subgroups examined and </w:t>
      </w:r>
      <w:r>
        <w:lastRenderedPageBreak/>
        <w:t>across a large number of endpoints</w:t>
      </w:r>
      <w:r w:rsidR="00CD0AC6">
        <w:t>,</w:t>
      </w:r>
      <w:r>
        <w:t xml:space="preserve"> and efficacy has previously been demonstrated for a similar disease (AS) (</w:t>
      </w:r>
      <w:r w:rsidR="00630037">
        <w:t>that is,</w:t>
      </w:r>
      <w:r>
        <w:t xml:space="preserve"> the hypothesis tested is plausible).</w:t>
      </w:r>
    </w:p>
    <w:p w:rsidR="00733EBB" w:rsidRDefault="00733EBB" w:rsidP="00733EBB">
      <w:r>
        <w:t>The Week 16 analysis demonstrated that a statistically significantly greater proportion of subjects receiving</w:t>
      </w:r>
      <w:r w:rsidR="00004149">
        <w:t xml:space="preserve"> </w:t>
      </w:r>
      <w:proofErr w:type="spellStart"/>
      <w:r w:rsidR="00004149">
        <w:t>golimumab</w:t>
      </w:r>
      <w:proofErr w:type="spellEnd"/>
      <w:r>
        <w:t xml:space="preserve"> achieved an ASAS-20 response compared with those receiving</w:t>
      </w:r>
      <w:r w:rsidR="0015272E">
        <w:t xml:space="preserve"> placebo </w:t>
      </w:r>
      <w:r>
        <w:t>(71.1% v</w:t>
      </w:r>
      <w:r w:rsidR="00630037">
        <w:t>ersu</w:t>
      </w:r>
      <w:r>
        <w:t>s 40.0%, p&lt;0.0001).</w:t>
      </w:r>
      <w:r w:rsidR="00004149">
        <w:t xml:space="preserve"> </w:t>
      </w:r>
      <w:r>
        <w:t xml:space="preserve">Results were similar for the </w:t>
      </w:r>
      <w:r w:rsidR="00630037">
        <w:t>Per Protocol (</w:t>
      </w:r>
      <w:r>
        <w:t>PP</w:t>
      </w:r>
      <w:r w:rsidR="00630037">
        <w:t>)</w:t>
      </w:r>
      <w:r>
        <w:t xml:space="preserve"> population, with an even greater difference in favour of</w:t>
      </w:r>
      <w:r w:rsidR="00004149">
        <w:t xml:space="preserve"> </w:t>
      </w:r>
      <w:proofErr w:type="spellStart"/>
      <w:r w:rsidR="00004149">
        <w:t>golimumab</w:t>
      </w:r>
      <w:proofErr w:type="spellEnd"/>
      <w:r>
        <w:t xml:space="preserve"> observed in the </w:t>
      </w:r>
      <w:r w:rsidR="00953A39" w:rsidRPr="00953A39">
        <w:t>Objective Signs of Inflamma</w:t>
      </w:r>
      <w:r w:rsidR="00953A39" w:rsidRPr="00185FD0">
        <w:t>tion (</w:t>
      </w:r>
      <w:r w:rsidRPr="00185FD0">
        <w:t>OSI</w:t>
      </w:r>
      <w:r w:rsidR="00953A39" w:rsidRPr="00185FD0">
        <w:t>)</w:t>
      </w:r>
      <w:r w:rsidRPr="00185FD0">
        <w:t xml:space="preserve"> population (76.9% </w:t>
      </w:r>
      <w:r w:rsidR="00630037" w:rsidRPr="00185FD0">
        <w:t>versus</w:t>
      </w:r>
      <w:r w:rsidRPr="00185FD0">
        <w:t xml:space="preserve"> 37.5%, p&lt;0.0001).</w:t>
      </w:r>
      <w:r w:rsidR="00004149" w:rsidRPr="00185FD0">
        <w:t xml:space="preserve"> </w:t>
      </w:r>
      <w:r w:rsidRPr="00185FD0">
        <w:t xml:space="preserve">The OSI (target) population is the population specified in the proposed indication for nr-Axial </w:t>
      </w:r>
      <w:proofErr w:type="spellStart"/>
      <w:r w:rsidRPr="00185FD0">
        <w:t>SpA</w:t>
      </w:r>
      <w:proofErr w:type="spellEnd"/>
      <w:r w:rsidRPr="00185FD0">
        <w:t xml:space="preserve"> for </w:t>
      </w:r>
      <w:proofErr w:type="spellStart"/>
      <w:r w:rsidRPr="00185FD0">
        <w:t>golimumab</w:t>
      </w:r>
      <w:proofErr w:type="spellEnd"/>
      <w:r w:rsidRPr="00185FD0">
        <w:t xml:space="preserve">, and was added to the study after the </w:t>
      </w:r>
      <w:r w:rsidR="0015272E" w:rsidRPr="00185FD0">
        <w:t>Committee for Medicinal Products for Human Use (</w:t>
      </w:r>
      <w:r w:rsidRPr="00185FD0">
        <w:t>CHMP</w:t>
      </w:r>
      <w:r w:rsidR="0015272E" w:rsidRPr="00185FD0">
        <w:t>)</w:t>
      </w:r>
      <w:r w:rsidRPr="00185FD0">
        <w:t xml:space="preserve"> required this subgroup (with baseline evidence of </w:t>
      </w:r>
      <w:proofErr w:type="spellStart"/>
      <w:r w:rsidRPr="00185FD0">
        <w:t>sacroiliitis</w:t>
      </w:r>
      <w:proofErr w:type="spellEnd"/>
      <w:r w:rsidRPr="00185FD0">
        <w:t xml:space="preserve"> on </w:t>
      </w:r>
      <w:r w:rsidR="00306F92" w:rsidRPr="00185FD0">
        <w:t>magnetic resonance imaging (</w:t>
      </w:r>
      <w:r w:rsidRPr="00185FD0">
        <w:t>MRI</w:t>
      </w:r>
      <w:r w:rsidR="00306F92" w:rsidRPr="00185FD0">
        <w:t>)</w:t>
      </w:r>
      <w:r w:rsidRPr="00185FD0">
        <w:t xml:space="preserve"> and/or screening CRP level &gt;</w:t>
      </w:r>
      <w:r w:rsidR="00306F92" w:rsidRPr="00185FD0">
        <w:t xml:space="preserve"> upper limit of normal (</w:t>
      </w:r>
      <w:r w:rsidRPr="00185FD0">
        <w:t xml:space="preserve">ULN) to be specified in the nr-Axial </w:t>
      </w:r>
      <w:proofErr w:type="spellStart"/>
      <w:r w:rsidRPr="00185FD0">
        <w:t>SpA</w:t>
      </w:r>
      <w:proofErr w:type="spellEnd"/>
      <w:r w:rsidRPr="00185FD0">
        <w:t xml:space="preserve"> indication for </w:t>
      </w:r>
      <w:proofErr w:type="spellStart"/>
      <w:r w:rsidRPr="00185FD0">
        <w:t>Humira</w:t>
      </w:r>
      <w:proofErr w:type="spellEnd"/>
      <w:r w:rsidRPr="00185FD0">
        <w:t xml:space="preserve"> in September 2012.</w:t>
      </w:r>
      <w:r w:rsidR="00004149" w:rsidRPr="00185FD0">
        <w:t xml:space="preserve"> </w:t>
      </w:r>
      <w:r w:rsidRPr="00185FD0">
        <w:t>Significant effects favouring</w:t>
      </w:r>
      <w:r w:rsidR="00004149" w:rsidRPr="00185FD0">
        <w:t xml:space="preserve"> </w:t>
      </w:r>
      <w:proofErr w:type="spellStart"/>
      <w:r w:rsidR="00004149" w:rsidRPr="00185FD0">
        <w:t>golimumab</w:t>
      </w:r>
      <w:proofErr w:type="spellEnd"/>
      <w:r w:rsidRPr="00185FD0">
        <w:t xml:space="preserve"> were also seen for the key secondary efficacy endpoints (</w:t>
      </w:r>
      <w:r w:rsidR="0015272E" w:rsidRPr="00185FD0">
        <w:t xml:space="preserve">Assessment in </w:t>
      </w:r>
      <w:proofErr w:type="spellStart"/>
      <w:r w:rsidR="0015272E" w:rsidRPr="00185FD0">
        <w:t>Spondyloarthritis</w:t>
      </w:r>
      <w:proofErr w:type="spellEnd"/>
      <w:r w:rsidR="0015272E" w:rsidRPr="00185FD0">
        <w:t xml:space="preserve"> International Society 40 (</w:t>
      </w:r>
      <w:r w:rsidRPr="00185FD0">
        <w:t>ASAS-40</w:t>
      </w:r>
      <w:r w:rsidR="0015272E" w:rsidRPr="00185FD0">
        <w:t>)</w:t>
      </w:r>
      <w:r w:rsidRPr="00185FD0">
        <w:t xml:space="preserve">, </w:t>
      </w:r>
      <w:r w:rsidR="0015272E" w:rsidRPr="00185FD0">
        <w:t>Bath Ankylosing Spondylitis Disease Activity Index 50 (</w:t>
      </w:r>
      <w:r w:rsidRPr="00185FD0">
        <w:t>BASDAI 50</w:t>
      </w:r>
      <w:r w:rsidR="0015272E" w:rsidRPr="00185FD0">
        <w:t>)</w:t>
      </w:r>
      <w:r w:rsidRPr="00185FD0">
        <w:t xml:space="preserve">, ASAS Partial Remission, and </w:t>
      </w:r>
      <w:r w:rsidR="0015272E" w:rsidRPr="00185FD0">
        <w:t xml:space="preserve">the </w:t>
      </w:r>
      <w:proofErr w:type="spellStart"/>
      <w:r w:rsidR="0015272E" w:rsidRPr="00185FD0">
        <w:t>Spondyloarthritis</w:t>
      </w:r>
      <w:proofErr w:type="spellEnd"/>
      <w:r w:rsidR="0015272E" w:rsidRPr="00185FD0">
        <w:t xml:space="preserve"> Research Consortium of Canada (</w:t>
      </w:r>
      <w:r w:rsidRPr="00185FD0">
        <w:t>SPARCC</w:t>
      </w:r>
      <w:r w:rsidR="0015272E" w:rsidRPr="00185FD0">
        <w:t>)</w:t>
      </w:r>
      <w:r w:rsidRPr="00185FD0">
        <w:t xml:space="preserve"> MRI </w:t>
      </w:r>
      <w:r w:rsidR="0015272E" w:rsidRPr="00185FD0">
        <w:t>sacroiliac (</w:t>
      </w:r>
      <w:r w:rsidRPr="00185FD0">
        <w:t>SI</w:t>
      </w:r>
      <w:r w:rsidR="0015272E" w:rsidRPr="00185FD0">
        <w:t>)</w:t>
      </w:r>
      <w:r w:rsidRPr="00185FD0">
        <w:t xml:space="preserve"> Joints Score) at Week 16 in each of the study populations, with a similar or greater magnitude of effect observed in t</w:t>
      </w:r>
      <w:r>
        <w:t>he OSI population.</w:t>
      </w:r>
      <w:r w:rsidR="00004149">
        <w:t xml:space="preserve"> </w:t>
      </w:r>
      <w:r>
        <w:t>Supportive analyses on numerous other secondary endpoints also favoured</w:t>
      </w:r>
      <w:r w:rsidR="00004149">
        <w:t xml:space="preserve"> </w:t>
      </w:r>
      <w:proofErr w:type="spellStart"/>
      <w:r w:rsidR="00004149">
        <w:t>golimumab</w:t>
      </w:r>
      <w:proofErr w:type="spellEnd"/>
      <w:r>
        <w:t xml:space="preserve"> treatment, and subgroup analyses were generally consistent with the results observed in the overall population with the exception of the subgroup who had both a negative MRI and normal CRP at baseline, where there was no difference detected between the treatments.</w:t>
      </w:r>
    </w:p>
    <w:p w:rsidR="00733EBB" w:rsidRDefault="00733EBB" w:rsidP="00733EBB">
      <w:r>
        <w:t>Analyses were also performed up to Week 24 which showed a sustained clinical benefit for</w:t>
      </w:r>
      <w:r w:rsidR="00004149">
        <w:t xml:space="preserve"> </w:t>
      </w:r>
      <w:proofErr w:type="spellStart"/>
      <w:r w:rsidR="00004149">
        <w:t>golimumab</w:t>
      </w:r>
      <w:proofErr w:type="spellEnd"/>
      <w:r>
        <w:t xml:space="preserve"> for each of the primary and key secondary endpoints during this period of follow-up.</w:t>
      </w:r>
      <w:r w:rsidR="00004149">
        <w:t xml:space="preserve"> </w:t>
      </w:r>
      <w:r>
        <w:t>The final results of Study P07642 should be submitted for evaluation (proposed for November 2015 according to the R</w:t>
      </w:r>
      <w:r w:rsidR="00004149">
        <w:t xml:space="preserve">isk Management </w:t>
      </w:r>
      <w:r>
        <w:t>P</w:t>
      </w:r>
      <w:r w:rsidR="00004149">
        <w:t>lan (RMP)</w:t>
      </w:r>
      <w:r>
        <w:t xml:space="preserve">) to further characterise the long term benefit of </w:t>
      </w:r>
      <w:proofErr w:type="spellStart"/>
      <w:r>
        <w:t>golimumab</w:t>
      </w:r>
      <w:proofErr w:type="spellEnd"/>
      <w:r>
        <w:t xml:space="preserve"> for the treatment of nr-Axial </w:t>
      </w:r>
      <w:proofErr w:type="spellStart"/>
      <w:r>
        <w:t>SpA</w:t>
      </w:r>
      <w:proofErr w:type="spellEnd"/>
      <w:r>
        <w:t>.</w:t>
      </w:r>
    </w:p>
    <w:p w:rsidR="00733EBB" w:rsidRPr="00733EBB" w:rsidRDefault="00733EBB" w:rsidP="00733EBB">
      <w:r>
        <w:t xml:space="preserve">Overall, the data in this submission supports the efficacy of </w:t>
      </w:r>
      <w:proofErr w:type="spellStart"/>
      <w:r>
        <w:t>golimumab</w:t>
      </w:r>
      <w:proofErr w:type="spellEnd"/>
      <w:r>
        <w:t xml:space="preserve"> in the treatment of nr-Axial </w:t>
      </w:r>
      <w:proofErr w:type="spellStart"/>
      <w:r>
        <w:t>SpA</w:t>
      </w:r>
      <w:proofErr w:type="spellEnd"/>
      <w:r>
        <w:t>.</w:t>
      </w:r>
    </w:p>
    <w:p w:rsidR="008E7846" w:rsidRPr="002E238E" w:rsidRDefault="008E7846" w:rsidP="008E7846">
      <w:pPr>
        <w:pStyle w:val="Heading3"/>
      </w:pPr>
      <w:bookmarkStart w:id="61" w:name="_Toc163441378"/>
      <w:bookmarkStart w:id="62" w:name="_Toc196046495"/>
      <w:bookmarkStart w:id="63" w:name="_Toc247691522"/>
      <w:bookmarkStart w:id="64" w:name="_Toc314842505"/>
      <w:bookmarkStart w:id="65" w:name="_Toc487718628"/>
      <w:bookmarkEnd w:id="57"/>
      <w:bookmarkEnd w:id="58"/>
      <w:bookmarkEnd w:id="59"/>
      <w:bookmarkEnd w:id="60"/>
      <w:r w:rsidRPr="002E238E">
        <w:t>Safety</w:t>
      </w:r>
      <w:bookmarkEnd w:id="61"/>
      <w:bookmarkEnd w:id="62"/>
      <w:bookmarkEnd w:id="63"/>
      <w:bookmarkEnd w:id="64"/>
      <w:bookmarkEnd w:id="65"/>
    </w:p>
    <w:p w:rsidR="00605AD4" w:rsidRDefault="00605AD4" w:rsidP="00605AD4">
      <w:pPr>
        <w:pStyle w:val="Heading4"/>
      </w:pPr>
      <w:bookmarkStart w:id="66" w:name="_Toc247691524"/>
      <w:bookmarkStart w:id="67" w:name="_Toc314842508"/>
      <w:bookmarkStart w:id="68" w:name="_Toc196046504"/>
      <w:bookmarkStart w:id="69" w:name="_Toc163441390"/>
      <w:r w:rsidRPr="00605AD4">
        <w:t>Studies providing safety data</w:t>
      </w:r>
    </w:p>
    <w:p w:rsidR="00733EBB" w:rsidRDefault="00733EBB" w:rsidP="00733EBB">
      <w:r>
        <w:t>The following study provided evaluable safety data:</w:t>
      </w:r>
    </w:p>
    <w:p w:rsidR="00733EBB" w:rsidRDefault="00733EBB" w:rsidP="00306F92">
      <w:pPr>
        <w:pStyle w:val="ListBullet"/>
      </w:pPr>
      <w:r>
        <w:t>Pivotal efficacy study (P07642)</w:t>
      </w:r>
    </w:p>
    <w:p w:rsidR="00733EBB" w:rsidRPr="00004149" w:rsidRDefault="00306F92" w:rsidP="00733EBB">
      <w:r w:rsidRPr="00004149">
        <w:t>The s</w:t>
      </w:r>
      <w:r w:rsidR="00733EBB" w:rsidRPr="00004149">
        <w:t>ponsor also presented comparative safet</w:t>
      </w:r>
      <w:r w:rsidRPr="00004149">
        <w:t>y data from S</w:t>
      </w:r>
      <w:r w:rsidR="00733EBB" w:rsidRPr="00004149">
        <w:t xml:space="preserve">tudy P07642 in nr -Axial </w:t>
      </w:r>
      <w:proofErr w:type="spellStart"/>
      <w:r w:rsidR="00733EBB" w:rsidRPr="00004149">
        <w:t>SpA</w:t>
      </w:r>
      <w:proofErr w:type="spellEnd"/>
      <w:r w:rsidR="00733EBB" w:rsidRPr="00004149">
        <w:t xml:space="preserve"> versus th</w:t>
      </w:r>
      <w:r w:rsidRPr="00004149">
        <w:t>e combined AS studies dataset (S</w:t>
      </w:r>
      <w:r w:rsidR="00733EBB" w:rsidRPr="00004149">
        <w:t>tudies C0524T09 and</w:t>
      </w:r>
      <w:r w:rsidRPr="00004149">
        <w:t xml:space="preserve"> C0524T29), the combined Phase III</w:t>
      </w:r>
      <w:r w:rsidR="00733EBB" w:rsidRPr="00004149">
        <w:t xml:space="preserve"> SC rheumatologic studies (AS, RA, and </w:t>
      </w:r>
      <w:proofErr w:type="spellStart"/>
      <w:r w:rsidR="00733EBB" w:rsidRPr="00004149">
        <w:t>PsA</w:t>
      </w:r>
      <w:proofErr w:type="spellEnd"/>
      <w:r w:rsidR="00733EBB" w:rsidRPr="00004149">
        <w:t xml:space="preserve">) and </w:t>
      </w:r>
      <w:r w:rsidR="00004149" w:rsidRPr="00004149">
        <w:t>compared to</w:t>
      </w:r>
      <w:r w:rsidR="00733EBB" w:rsidRPr="00004149">
        <w:t xml:space="preserve"> the overall dataset derived from studies of </w:t>
      </w:r>
      <w:proofErr w:type="spellStart"/>
      <w:r w:rsidR="00733EBB" w:rsidRPr="00004149">
        <w:t>golimumab</w:t>
      </w:r>
      <w:proofErr w:type="spellEnd"/>
      <w:r w:rsidR="00733EBB" w:rsidRPr="00004149">
        <w:t xml:space="preserve"> in other indications </w:t>
      </w:r>
      <w:r w:rsidR="00733EBB" w:rsidRPr="00185FD0">
        <w:t xml:space="preserve">(AS, RA, </w:t>
      </w:r>
      <w:proofErr w:type="spellStart"/>
      <w:r w:rsidR="00733EBB" w:rsidRPr="00185FD0">
        <w:t>PsA</w:t>
      </w:r>
      <w:proofErr w:type="spellEnd"/>
      <w:r w:rsidR="00733EBB" w:rsidRPr="00185FD0">
        <w:t>, UC and a</w:t>
      </w:r>
      <w:r w:rsidR="00733EBB" w:rsidRPr="00004149">
        <w:t>sthma).</w:t>
      </w:r>
      <w:r w:rsidR="00004149">
        <w:t xml:space="preserve"> </w:t>
      </w:r>
      <w:r w:rsidR="00733EBB" w:rsidRPr="00004149">
        <w:t xml:space="preserve">The </w:t>
      </w:r>
      <w:r w:rsidRPr="00004149">
        <w:t>s</w:t>
      </w:r>
      <w:r w:rsidR="00733EBB" w:rsidRPr="00004149">
        <w:t>ponsor’s conclusion from comparing A</w:t>
      </w:r>
      <w:r w:rsidR="00004149" w:rsidRPr="00004149">
        <w:t xml:space="preserve">dverse </w:t>
      </w:r>
      <w:r w:rsidR="00733EBB" w:rsidRPr="00004149">
        <w:t>E</w:t>
      </w:r>
      <w:r w:rsidR="00004149" w:rsidRPr="00004149">
        <w:t>vent</w:t>
      </w:r>
      <w:r w:rsidR="00733EBB" w:rsidRPr="00004149">
        <w:t xml:space="preserve">s </w:t>
      </w:r>
      <w:r w:rsidR="00004149" w:rsidRPr="00004149">
        <w:t xml:space="preserve">(AEs) </w:t>
      </w:r>
      <w:r w:rsidR="00733EBB" w:rsidRPr="00004149">
        <w:t xml:space="preserve">in each of these datasets was that safety in the nr-Axial </w:t>
      </w:r>
      <w:proofErr w:type="spellStart"/>
      <w:r w:rsidR="00733EBB" w:rsidRPr="00004149">
        <w:t>SpA</w:t>
      </w:r>
      <w:proofErr w:type="spellEnd"/>
      <w:r w:rsidR="00733EBB" w:rsidRPr="00004149">
        <w:t xml:space="preserve"> population is comparable with the known safety profile of </w:t>
      </w:r>
      <w:proofErr w:type="spellStart"/>
      <w:r w:rsidR="00733EBB" w:rsidRPr="00004149">
        <w:t>golimumab</w:t>
      </w:r>
      <w:proofErr w:type="spellEnd"/>
      <w:r w:rsidR="00733EBB" w:rsidRPr="00004149">
        <w:t xml:space="preserve"> in the combined AS studies and in other </w:t>
      </w:r>
      <w:proofErr w:type="spellStart"/>
      <w:r w:rsidR="00733EBB" w:rsidRPr="00004149">
        <w:t>rheumatological</w:t>
      </w:r>
      <w:proofErr w:type="spellEnd"/>
      <w:r w:rsidR="00733EBB" w:rsidRPr="00004149">
        <w:t xml:space="preserve"> indications.</w:t>
      </w:r>
    </w:p>
    <w:p w:rsidR="00733EBB" w:rsidRPr="00733EBB" w:rsidRDefault="00733EBB" w:rsidP="00733EBB">
      <w:r w:rsidRPr="00004149">
        <w:t>Otherwise, no further discussion of the comparative safety datasets is made.</w:t>
      </w:r>
      <w:r w:rsidR="00004149">
        <w:t xml:space="preserve"> </w:t>
      </w:r>
      <w:r w:rsidRPr="00004149">
        <w:t xml:space="preserve">The evaluator is satisfied that the safety data from these datasets is consistent with what is presented in the currently approved </w:t>
      </w:r>
      <w:proofErr w:type="spellStart"/>
      <w:r w:rsidR="00B96E1C" w:rsidRPr="00004149">
        <w:t>Simponi</w:t>
      </w:r>
      <w:proofErr w:type="spellEnd"/>
      <w:r w:rsidRPr="00004149">
        <w:t xml:space="preserve"> P</w:t>
      </w:r>
      <w:r w:rsidR="00004149" w:rsidRPr="00004149">
        <w:t>I</w:t>
      </w:r>
      <w:r w:rsidRPr="00004149">
        <w:t xml:space="preserve"> and that based on a comparison of these</w:t>
      </w:r>
      <w:r w:rsidR="00004149" w:rsidRPr="00004149">
        <w:t xml:space="preserve"> data and the safety data from S</w:t>
      </w:r>
      <w:r w:rsidRPr="00004149">
        <w:t xml:space="preserve">tudy P07642 (discussed </w:t>
      </w:r>
      <w:r w:rsidR="00004149" w:rsidRPr="00004149">
        <w:t>in Attachment 2</w:t>
      </w:r>
      <w:r w:rsidRPr="00004149">
        <w:t xml:space="preserve">), safety in the nr-Axial </w:t>
      </w:r>
      <w:proofErr w:type="spellStart"/>
      <w:r w:rsidRPr="00004149">
        <w:t>SpA</w:t>
      </w:r>
      <w:proofErr w:type="spellEnd"/>
      <w:r w:rsidRPr="00004149">
        <w:t xml:space="preserve"> population is comparable with the known safety profile of </w:t>
      </w:r>
      <w:proofErr w:type="spellStart"/>
      <w:r w:rsidRPr="00004149">
        <w:t>golimumab</w:t>
      </w:r>
      <w:proofErr w:type="spellEnd"/>
      <w:r w:rsidRPr="00004149">
        <w:t>.</w:t>
      </w:r>
    </w:p>
    <w:p w:rsidR="00605AD4" w:rsidRDefault="00605AD4" w:rsidP="00605AD4">
      <w:pPr>
        <w:pStyle w:val="Heading4"/>
      </w:pPr>
      <w:r w:rsidRPr="00605AD4">
        <w:lastRenderedPageBreak/>
        <w:t>Patient exposure</w:t>
      </w:r>
    </w:p>
    <w:p w:rsidR="00733EBB" w:rsidRPr="00733EBB" w:rsidRDefault="00733EBB" w:rsidP="00733EBB">
      <w:r>
        <w:t>At the time of the database lock, there were 97 subjects who were exposed to</w:t>
      </w:r>
      <w:r w:rsidR="00004149">
        <w:t xml:space="preserve"> </w:t>
      </w:r>
      <w:proofErr w:type="spellStart"/>
      <w:r w:rsidR="00004149">
        <w:t>golimumab</w:t>
      </w:r>
      <w:proofErr w:type="spellEnd"/>
      <w:r>
        <w:t xml:space="preserve"> and 100 subjects exposed to</w:t>
      </w:r>
      <w:r w:rsidR="0015272E">
        <w:t xml:space="preserve"> placebo </w:t>
      </w:r>
      <w:r>
        <w:t>in Part 1, and 189 subjects exposed to</w:t>
      </w:r>
      <w:r w:rsidR="00004149">
        <w:t xml:space="preserve"> </w:t>
      </w:r>
      <w:proofErr w:type="spellStart"/>
      <w:r w:rsidR="00004149">
        <w:t>golimumab</w:t>
      </w:r>
      <w:proofErr w:type="spellEnd"/>
      <w:r>
        <w:t xml:space="preserve"> in Part 2.</w:t>
      </w:r>
      <w:r w:rsidR="00004149">
        <w:t xml:space="preserve"> </w:t>
      </w:r>
      <w:r>
        <w:t>In Part 1, the mean duration of exposure to</w:t>
      </w:r>
      <w:r w:rsidR="00004149">
        <w:t xml:space="preserve"> </w:t>
      </w:r>
      <w:proofErr w:type="spellStart"/>
      <w:r w:rsidR="00004149">
        <w:t>golimumab</w:t>
      </w:r>
      <w:proofErr w:type="spellEnd"/>
      <w:r>
        <w:t xml:space="preserve"> and</w:t>
      </w:r>
      <w:r w:rsidR="0015272E">
        <w:t xml:space="preserve"> placebo </w:t>
      </w:r>
      <w:r>
        <w:t>was 109.4 days and 109.2 days, respectively (range 28 to 112 days for both treatments), with 96% subjects on each treatment having between 12 and 16 weeks exposure.</w:t>
      </w:r>
      <w:r w:rsidR="00004149">
        <w:t xml:space="preserve"> </w:t>
      </w:r>
      <w:r>
        <w:t>In Part 2, the mean duration of exposure to</w:t>
      </w:r>
      <w:r w:rsidR="00004149">
        <w:t xml:space="preserve"> </w:t>
      </w:r>
      <w:proofErr w:type="spellStart"/>
      <w:r w:rsidR="00004149">
        <w:t>golimumab</w:t>
      </w:r>
      <w:proofErr w:type="spellEnd"/>
      <w:r>
        <w:t xml:space="preserve"> was 288.4 days (range 56 to 364 days), with 162 subjects (86%) having between 32 and 52 weeks exposure, and 77 (40.7%) having between 48 and 52 weeks exposure.</w:t>
      </w:r>
    </w:p>
    <w:p w:rsidR="00605AD4" w:rsidRPr="00605AD4" w:rsidRDefault="00605AD4" w:rsidP="00605AD4">
      <w:pPr>
        <w:pStyle w:val="Heading4"/>
      </w:pPr>
      <w:proofErr w:type="spellStart"/>
      <w:r w:rsidRPr="00605AD4">
        <w:t>Postmarketing</w:t>
      </w:r>
      <w:proofErr w:type="spellEnd"/>
      <w:r w:rsidRPr="00605AD4">
        <w:t xml:space="preserve"> data</w:t>
      </w:r>
    </w:p>
    <w:p w:rsidR="004E27F7" w:rsidRDefault="004E27F7" w:rsidP="004E27F7">
      <w:r>
        <w:t xml:space="preserve">There is no post-marketing </w:t>
      </w:r>
      <w:proofErr w:type="spellStart"/>
      <w:r>
        <w:t>golimumab</w:t>
      </w:r>
      <w:proofErr w:type="spellEnd"/>
      <w:r>
        <w:t xml:space="preserve"> data available in the </w:t>
      </w:r>
      <w:r w:rsidR="00004149">
        <w:t xml:space="preserve">proposed </w:t>
      </w:r>
      <w:r>
        <w:t xml:space="preserve">indication of nr-Axial </w:t>
      </w:r>
      <w:proofErr w:type="spellStart"/>
      <w:r>
        <w:t>SpA</w:t>
      </w:r>
      <w:proofErr w:type="spellEnd"/>
      <w:r>
        <w:t>.</w:t>
      </w:r>
    </w:p>
    <w:p w:rsidR="00605AD4" w:rsidRPr="00605AD4" w:rsidRDefault="00605AD4" w:rsidP="00605AD4">
      <w:pPr>
        <w:pStyle w:val="Heading4"/>
      </w:pPr>
      <w:r w:rsidRPr="00605AD4">
        <w:t>Evaluator’s conclusions on safety</w:t>
      </w:r>
    </w:p>
    <w:p w:rsidR="00605AD4" w:rsidRPr="00605AD4" w:rsidRDefault="00004149" w:rsidP="004E27F7">
      <w:r>
        <w:t>In the pivotal S</w:t>
      </w:r>
      <w:r w:rsidR="004E27F7">
        <w:t>tudy P07642</w:t>
      </w:r>
      <w:r>
        <w:t>,</w:t>
      </w:r>
      <w:r w:rsidR="004E27F7">
        <w:t xml:space="preserve"> </w:t>
      </w:r>
      <w:proofErr w:type="spellStart"/>
      <w:r w:rsidR="004E27F7">
        <w:t>golimumab</w:t>
      </w:r>
      <w:proofErr w:type="spellEnd"/>
      <w:r w:rsidR="004E27F7">
        <w:t xml:space="preserve"> 50</w:t>
      </w:r>
      <w:r w:rsidR="00DE3BA0">
        <w:t xml:space="preserve"> </w:t>
      </w:r>
      <w:r w:rsidR="004E27F7">
        <w:t xml:space="preserve">mg in patients with nr-Axial </w:t>
      </w:r>
      <w:proofErr w:type="spellStart"/>
      <w:r w:rsidR="004E27F7">
        <w:t>SpA</w:t>
      </w:r>
      <w:proofErr w:type="spellEnd"/>
      <w:r w:rsidR="004E27F7">
        <w:t xml:space="preserve">, </w:t>
      </w:r>
      <w:proofErr w:type="spellStart"/>
      <w:r w:rsidR="004E27F7">
        <w:t>golimumab</w:t>
      </w:r>
      <w:proofErr w:type="spellEnd"/>
      <w:r w:rsidR="004E27F7">
        <w:t xml:space="preserve"> was generally well tolerated.</w:t>
      </w:r>
      <w:r>
        <w:t xml:space="preserve"> </w:t>
      </w:r>
      <w:r w:rsidR="004E27F7">
        <w:t>The overall incidence of AEs in Part 1 was slightly lower in subjects receiving</w:t>
      </w:r>
      <w:r>
        <w:t xml:space="preserve"> </w:t>
      </w:r>
      <w:proofErr w:type="spellStart"/>
      <w:r>
        <w:t>golimumab</w:t>
      </w:r>
      <w:proofErr w:type="spellEnd"/>
      <w:r w:rsidR="004E27F7">
        <w:t xml:space="preserve"> than those receiving</w:t>
      </w:r>
      <w:r w:rsidR="0015272E">
        <w:t xml:space="preserve"> placebo </w:t>
      </w:r>
      <w:r w:rsidR="004E27F7">
        <w:t>(41.2%</w:t>
      </w:r>
      <w:r>
        <w:t xml:space="preserve"> versus </w:t>
      </w:r>
      <w:r w:rsidR="004E27F7">
        <w:t>47.0%, respectively), and this remained the case in Part 2 (39.8%</w:t>
      </w:r>
      <w:r>
        <w:t xml:space="preserve"> versus </w:t>
      </w:r>
      <w:r w:rsidR="004E27F7">
        <w:t>51.0%, respectively).</w:t>
      </w:r>
      <w:r>
        <w:t xml:space="preserve"> </w:t>
      </w:r>
      <w:r w:rsidR="004E27F7">
        <w:t>The type and frequency of specific AEs was similar in both parts of the study and the AE profile was consistent with that seen with</w:t>
      </w:r>
      <w:r>
        <w:t xml:space="preserve"> </w:t>
      </w:r>
      <w:proofErr w:type="spellStart"/>
      <w:r>
        <w:t>golimumab</w:t>
      </w:r>
      <w:proofErr w:type="spellEnd"/>
      <w:r w:rsidR="004E27F7">
        <w:t xml:space="preserve"> in AS and other inflammatory rheumatic diseases.</w:t>
      </w:r>
      <w:r>
        <w:t xml:space="preserve"> </w:t>
      </w:r>
      <w:r w:rsidR="004E27F7">
        <w:t>Adverse drugs reactions were reported in 13.4% of subjects on</w:t>
      </w:r>
      <w:r>
        <w:t xml:space="preserve"> </w:t>
      </w:r>
      <w:proofErr w:type="spellStart"/>
      <w:r>
        <w:t>golimumab</w:t>
      </w:r>
      <w:proofErr w:type="spellEnd"/>
      <w:r w:rsidR="004E27F7">
        <w:t xml:space="preserve"> and 17.0% of subjects on PLC.</w:t>
      </w:r>
      <w:r>
        <w:t xml:space="preserve"> </w:t>
      </w:r>
      <w:r w:rsidR="004E27F7">
        <w:t xml:space="preserve">The most frequently reported </w:t>
      </w:r>
      <w:r w:rsidR="003A0511">
        <w:t>adverse drug reactions (</w:t>
      </w:r>
      <w:r w:rsidR="004E27F7">
        <w:t>ADRs</w:t>
      </w:r>
      <w:r w:rsidR="003A0511">
        <w:t>) were I</w:t>
      </w:r>
      <w:r w:rsidR="004E27F7">
        <w:t xml:space="preserve">nfections and infestations, with </w:t>
      </w:r>
      <w:proofErr w:type="spellStart"/>
      <w:r w:rsidR="004E27F7">
        <w:t>nasopharyngitis</w:t>
      </w:r>
      <w:proofErr w:type="spellEnd"/>
      <w:r w:rsidR="004E27F7">
        <w:t xml:space="preserve"> being the most common single event (6 subjects, 3.0%).</w:t>
      </w:r>
      <w:r>
        <w:t xml:space="preserve"> </w:t>
      </w:r>
      <w:r w:rsidR="004E27F7">
        <w:t xml:space="preserve">There were few </w:t>
      </w:r>
      <w:r w:rsidR="003A0511">
        <w:t>serious AEs (</w:t>
      </w:r>
      <w:r w:rsidR="004E27F7">
        <w:t>SAEs</w:t>
      </w:r>
      <w:r w:rsidR="003A0511">
        <w:t>)</w:t>
      </w:r>
      <w:r w:rsidR="004E27F7">
        <w:t xml:space="preserve"> reported (3 in Part 1 [1 on</w:t>
      </w:r>
      <w:r>
        <w:t xml:space="preserve"> </w:t>
      </w:r>
      <w:proofErr w:type="spellStart"/>
      <w:r>
        <w:t>golimumab</w:t>
      </w:r>
      <w:proofErr w:type="spellEnd"/>
      <w:r w:rsidR="004E27F7">
        <w:t>] and 3 in Part 2), with only 2 events considered to be drug-related by the investigator (both in Part 2, 1 bacterial infection and 1 migraine).</w:t>
      </w:r>
      <w:r>
        <w:t xml:space="preserve"> </w:t>
      </w:r>
      <w:r w:rsidR="004E27F7">
        <w:t>Discontinuations occurred in 3 subjects in Part 1: two on</w:t>
      </w:r>
      <w:r>
        <w:t xml:space="preserve"> </w:t>
      </w:r>
      <w:proofErr w:type="spellStart"/>
      <w:r>
        <w:t>golimumab</w:t>
      </w:r>
      <w:proofErr w:type="spellEnd"/>
      <w:r w:rsidR="004E27F7">
        <w:t xml:space="preserve"> and one on PLC, with a further 3 subjects discontinuing during the</w:t>
      </w:r>
      <w:r>
        <w:t xml:space="preserve"> </w:t>
      </w:r>
      <w:proofErr w:type="spellStart"/>
      <w:r>
        <w:t>golimumab</w:t>
      </w:r>
      <w:proofErr w:type="spellEnd"/>
      <w:r w:rsidR="004E27F7">
        <w:t xml:space="preserve"> open-label phase.</w:t>
      </w:r>
      <w:r>
        <w:t xml:space="preserve"> </w:t>
      </w:r>
      <w:r w:rsidR="004E27F7">
        <w:t>Four subjects had antibodies detected but none had a hypersensitivity reaction, injection site reaction, or discontinued the study.</w:t>
      </w:r>
      <w:r>
        <w:t xml:space="preserve"> </w:t>
      </w:r>
      <w:r w:rsidR="004E27F7">
        <w:t xml:space="preserve">There were no deaths reported and no reports of clinically important hepatobiliary events, serious opportunistic infections, </w:t>
      </w:r>
      <w:r w:rsidR="003A0511">
        <w:t>tuberculosis (</w:t>
      </w:r>
      <w:r w:rsidR="004E27F7">
        <w:t>TB</w:t>
      </w:r>
      <w:r w:rsidR="003A0511">
        <w:t>)</w:t>
      </w:r>
      <w:r w:rsidR="004E27F7">
        <w:t>, or malignancies.</w:t>
      </w:r>
    </w:p>
    <w:p w:rsidR="00605AD4" w:rsidRPr="00605AD4" w:rsidRDefault="00605AD4" w:rsidP="00605AD4">
      <w:pPr>
        <w:pStyle w:val="Heading3"/>
        <w:rPr>
          <w:rFonts w:eastAsia="Cambria"/>
        </w:rPr>
      </w:pPr>
      <w:bookmarkStart w:id="70" w:name="_Toc487718629"/>
      <w:r w:rsidRPr="00605AD4">
        <w:rPr>
          <w:rFonts w:eastAsia="Cambria"/>
        </w:rPr>
        <w:t xml:space="preserve">First </w:t>
      </w:r>
      <w:r w:rsidR="00101E94" w:rsidRPr="00605AD4">
        <w:rPr>
          <w:rFonts w:eastAsia="Cambria"/>
        </w:rPr>
        <w:t>round benefit-risk assessment</w:t>
      </w:r>
      <w:bookmarkEnd w:id="70"/>
    </w:p>
    <w:p w:rsidR="004E27F7" w:rsidRPr="004E27F7" w:rsidRDefault="004E27F7" w:rsidP="004E27F7">
      <w:pPr>
        <w:pStyle w:val="Heading4"/>
      </w:pPr>
      <w:r w:rsidRPr="004E27F7">
        <w:t>First round assessment of benefits</w:t>
      </w:r>
    </w:p>
    <w:p w:rsidR="004E27F7" w:rsidRPr="004E27F7" w:rsidRDefault="004E27F7" w:rsidP="004E27F7">
      <w:r w:rsidRPr="004E27F7">
        <w:t xml:space="preserve">The benefits of </w:t>
      </w:r>
      <w:proofErr w:type="spellStart"/>
      <w:r w:rsidRPr="004E27F7">
        <w:t>golimumab</w:t>
      </w:r>
      <w:proofErr w:type="spellEnd"/>
      <w:r w:rsidRPr="004E27F7">
        <w:t xml:space="preserve"> in the proposed usage are:</w:t>
      </w:r>
    </w:p>
    <w:p w:rsidR="004E27F7" w:rsidRPr="004E27F7" w:rsidRDefault="004E27F7" w:rsidP="004E27F7">
      <w:pPr>
        <w:pStyle w:val="ListBullet"/>
      </w:pPr>
      <w:r w:rsidRPr="004E27F7">
        <w:t xml:space="preserve">71.1% of patients on </w:t>
      </w:r>
      <w:proofErr w:type="spellStart"/>
      <w:r w:rsidRPr="004E27F7">
        <w:t>golimumab</w:t>
      </w:r>
      <w:proofErr w:type="spellEnd"/>
      <w:r w:rsidRPr="004E27F7">
        <w:t xml:space="preserve"> achieved an ASAS-20 response rate at Week 16, compared with 40.0% on placebo.</w:t>
      </w:r>
      <w:r w:rsidR="00004149">
        <w:t xml:space="preserve"> </w:t>
      </w:r>
      <w:r w:rsidRPr="004E27F7">
        <w:t>This comparison was statistically significant and clinically meaningful (difference in %</w:t>
      </w:r>
      <w:r w:rsidR="00004149">
        <w:t xml:space="preserve"> versus </w:t>
      </w:r>
      <w:r w:rsidRPr="004E27F7">
        <w:t>placebo 31.2; 95% CI: 17.5, 43.6; p&lt;0.0001).</w:t>
      </w:r>
      <w:r w:rsidR="00004149">
        <w:t xml:space="preserve"> </w:t>
      </w:r>
      <w:r w:rsidRPr="004E27F7">
        <w:t>This difference was even higher in the OSI (target) population (difference in %</w:t>
      </w:r>
      <w:r w:rsidR="00004149">
        <w:t xml:space="preserve"> versus </w:t>
      </w:r>
      <w:r w:rsidRPr="004E27F7">
        <w:t>placebo 39.6; 95% CI: 24.6, 52.6; p&lt;0.0001)</w:t>
      </w:r>
    </w:p>
    <w:p w:rsidR="004E27F7" w:rsidRPr="004E27F7" w:rsidRDefault="004E27F7" w:rsidP="004E27F7">
      <w:pPr>
        <w:pStyle w:val="ListBullet"/>
      </w:pPr>
      <w:r w:rsidRPr="004E27F7">
        <w:t xml:space="preserve">A significantly higher response on </w:t>
      </w:r>
      <w:proofErr w:type="spellStart"/>
      <w:r w:rsidRPr="004E27F7">
        <w:t>golimumab</w:t>
      </w:r>
      <w:proofErr w:type="spellEnd"/>
      <w:r w:rsidRPr="004E27F7">
        <w:t xml:space="preserve"> compared with placebo was also seen for the key secondary efficacy variables (ASAS-40 [56.7 v</w:t>
      </w:r>
      <w:r w:rsidR="003A0511">
        <w:t>ersu</w:t>
      </w:r>
      <w:r w:rsidRPr="004E27F7">
        <w:t>s 23.0%], BASDAI 50 [57.7</w:t>
      </w:r>
      <w:r w:rsidR="00004149">
        <w:t xml:space="preserve"> versus </w:t>
      </w:r>
      <w:r w:rsidRPr="004E27F7">
        <w:t>30.0%], ASAS Partial Remission [33.0</w:t>
      </w:r>
      <w:r w:rsidR="00004149">
        <w:t xml:space="preserve"> versus </w:t>
      </w:r>
      <w:r w:rsidRPr="004E27F7">
        <w:t>18.0%], and SPARCC MRI SI joints score [-5.3</w:t>
      </w:r>
      <w:r w:rsidR="00004149">
        <w:t xml:space="preserve"> versus </w:t>
      </w:r>
      <w:r w:rsidRPr="004E27F7">
        <w:t>-0.9]).</w:t>
      </w:r>
      <w:r w:rsidR="00004149">
        <w:t xml:space="preserve"> </w:t>
      </w:r>
      <w:r w:rsidRPr="004E27F7">
        <w:t>Again, the difference in %</w:t>
      </w:r>
      <w:r w:rsidR="00004149">
        <w:t xml:space="preserve"> versus </w:t>
      </w:r>
      <w:r w:rsidRPr="004E27F7">
        <w:t>placebo was even higher in the OSI (target) population.</w:t>
      </w:r>
    </w:p>
    <w:p w:rsidR="004E27F7" w:rsidRPr="004E27F7" w:rsidRDefault="004E27F7" w:rsidP="004E27F7">
      <w:pPr>
        <w:pStyle w:val="ListBullet"/>
      </w:pPr>
      <w:r w:rsidRPr="004E27F7">
        <w:t>Efficacy was maintained up to Week 24.</w:t>
      </w:r>
    </w:p>
    <w:p w:rsidR="004E27F7" w:rsidRPr="004E27F7" w:rsidRDefault="004E27F7" w:rsidP="004E27F7">
      <w:pPr>
        <w:pStyle w:val="ListBullet"/>
      </w:pPr>
      <w:r w:rsidRPr="004E27F7">
        <w:lastRenderedPageBreak/>
        <w:t>No new safety signals were identified.</w:t>
      </w:r>
      <w:r w:rsidR="00004149">
        <w:t xml:space="preserve"> </w:t>
      </w:r>
      <w:r w:rsidRPr="004E27F7">
        <w:t xml:space="preserve">Safety in the nr-Axial </w:t>
      </w:r>
      <w:proofErr w:type="spellStart"/>
      <w:r w:rsidRPr="004E27F7">
        <w:t>SpA</w:t>
      </w:r>
      <w:proofErr w:type="spellEnd"/>
      <w:r w:rsidRPr="004E27F7">
        <w:t xml:space="preserve"> indication is supported by the safety findings in a large existing safety database in other inflammatory rheumatic diseases.</w:t>
      </w:r>
    </w:p>
    <w:p w:rsidR="004E27F7" w:rsidRPr="004E27F7" w:rsidRDefault="004E27F7" w:rsidP="004E27F7">
      <w:pPr>
        <w:pStyle w:val="Heading4"/>
      </w:pPr>
      <w:r w:rsidRPr="004E27F7">
        <w:t>First round assessment of risks</w:t>
      </w:r>
    </w:p>
    <w:p w:rsidR="004E27F7" w:rsidRPr="004E27F7" w:rsidRDefault="004E27F7" w:rsidP="004E27F7">
      <w:r w:rsidRPr="004E27F7">
        <w:t xml:space="preserve">The risks of </w:t>
      </w:r>
      <w:proofErr w:type="spellStart"/>
      <w:r w:rsidRPr="004E27F7">
        <w:t>golimumab</w:t>
      </w:r>
      <w:proofErr w:type="spellEnd"/>
      <w:r w:rsidRPr="004E27F7">
        <w:t xml:space="preserve"> in the proposed usage appear to be the same as those already identified in the </w:t>
      </w:r>
      <w:proofErr w:type="spellStart"/>
      <w:r w:rsidR="00B96E1C">
        <w:t>Simponi</w:t>
      </w:r>
      <w:proofErr w:type="spellEnd"/>
      <w:r w:rsidRPr="004E27F7">
        <w:t xml:space="preserve"> </w:t>
      </w:r>
      <w:r w:rsidR="003A0511">
        <w:t>PI</w:t>
      </w:r>
      <w:r w:rsidRPr="004E27F7">
        <w:t xml:space="preserve"> for the existing indications, and include the potential for:</w:t>
      </w:r>
    </w:p>
    <w:p w:rsidR="004E27F7" w:rsidRPr="004E27F7" w:rsidRDefault="004E27F7" w:rsidP="004E27F7">
      <w:pPr>
        <w:pStyle w:val="ListBullet"/>
      </w:pPr>
      <w:r w:rsidRPr="004E27F7">
        <w:t>Serious infections, serious opportunistic infections and TB</w:t>
      </w:r>
    </w:p>
    <w:p w:rsidR="004E27F7" w:rsidRPr="004E27F7" w:rsidRDefault="004E27F7" w:rsidP="004E27F7">
      <w:pPr>
        <w:pStyle w:val="ListBullet"/>
      </w:pPr>
      <w:r w:rsidRPr="004E27F7">
        <w:t>Malignancies</w:t>
      </w:r>
    </w:p>
    <w:p w:rsidR="004E27F7" w:rsidRPr="004E27F7" w:rsidRDefault="004E27F7" w:rsidP="004E27F7">
      <w:pPr>
        <w:pStyle w:val="ListBullet"/>
      </w:pPr>
      <w:r w:rsidRPr="004E27F7">
        <w:t>Serious hypersensitivity reactions</w:t>
      </w:r>
    </w:p>
    <w:p w:rsidR="004E27F7" w:rsidRPr="004E27F7" w:rsidRDefault="004E27F7" w:rsidP="004E27F7">
      <w:pPr>
        <w:pStyle w:val="ListBullet"/>
      </w:pPr>
      <w:r w:rsidRPr="004E27F7">
        <w:t>Injection site reactions</w:t>
      </w:r>
    </w:p>
    <w:p w:rsidR="004E27F7" w:rsidRPr="004E27F7" w:rsidRDefault="004E27F7" w:rsidP="004E27F7">
      <w:pPr>
        <w:pStyle w:val="ListBullet"/>
      </w:pPr>
      <w:r w:rsidRPr="004E27F7">
        <w:t xml:space="preserve">Antibodies to </w:t>
      </w:r>
      <w:proofErr w:type="spellStart"/>
      <w:r w:rsidRPr="004E27F7">
        <w:t>golimumab</w:t>
      </w:r>
      <w:proofErr w:type="spellEnd"/>
      <w:r w:rsidRPr="004E27F7">
        <w:t xml:space="preserve"> (which may reduce efficacy)</w:t>
      </w:r>
    </w:p>
    <w:p w:rsidR="004E27F7" w:rsidRPr="004E27F7" w:rsidRDefault="004E27F7" w:rsidP="004E27F7">
      <w:r w:rsidRPr="004E27F7">
        <w:t xml:space="preserve">However, up to the data cut-off of May 6 for </w:t>
      </w:r>
      <w:r w:rsidR="003A0511">
        <w:t>S</w:t>
      </w:r>
      <w:r w:rsidRPr="004E27F7">
        <w:t>tudy P07642:</w:t>
      </w:r>
    </w:p>
    <w:p w:rsidR="004E27F7" w:rsidRPr="004E27F7" w:rsidRDefault="004E27F7" w:rsidP="004E27F7">
      <w:pPr>
        <w:pStyle w:val="ListBullet"/>
      </w:pPr>
      <w:r w:rsidRPr="004E27F7">
        <w:t>The overall incidence of AEs in both Part 1 and Part 2 of the study was slightly lower in subjects receiving</w:t>
      </w:r>
      <w:r w:rsidR="00004149">
        <w:t xml:space="preserve"> </w:t>
      </w:r>
      <w:proofErr w:type="spellStart"/>
      <w:r w:rsidR="00004149">
        <w:t>golimumab</w:t>
      </w:r>
      <w:proofErr w:type="spellEnd"/>
      <w:r w:rsidRPr="004E27F7">
        <w:t xml:space="preserve"> than those receiving PLC.</w:t>
      </w:r>
    </w:p>
    <w:p w:rsidR="004E27F7" w:rsidRPr="004E27F7" w:rsidRDefault="004E27F7" w:rsidP="004E27F7">
      <w:pPr>
        <w:pStyle w:val="ListBullet"/>
      </w:pPr>
      <w:r w:rsidRPr="004E27F7">
        <w:t>Few SAEs were reported, and only 5 subjects on</w:t>
      </w:r>
      <w:r w:rsidR="00004149">
        <w:t xml:space="preserve"> </w:t>
      </w:r>
      <w:proofErr w:type="spellStart"/>
      <w:r w:rsidR="00004149">
        <w:t>golimumab</w:t>
      </w:r>
      <w:proofErr w:type="spellEnd"/>
      <w:r w:rsidRPr="004E27F7">
        <w:t xml:space="preserve"> withdrew because of an AE.</w:t>
      </w:r>
      <w:r w:rsidR="00004149">
        <w:t xml:space="preserve"> </w:t>
      </w:r>
      <w:r w:rsidRPr="004E27F7">
        <w:t>While there were numerous infections reported, the percentage of subjects with one or more infections was similar in the</w:t>
      </w:r>
      <w:r w:rsidR="00004149">
        <w:t xml:space="preserve"> </w:t>
      </w:r>
      <w:proofErr w:type="spellStart"/>
      <w:r w:rsidR="00004149">
        <w:t>golimumab</w:t>
      </w:r>
      <w:proofErr w:type="spellEnd"/>
      <w:r w:rsidRPr="004E27F7">
        <w:t xml:space="preserve"> and</w:t>
      </w:r>
      <w:r w:rsidR="0015272E">
        <w:t xml:space="preserve"> placebo </w:t>
      </w:r>
      <w:r w:rsidRPr="004E27F7">
        <w:t>groups, only 2 cases of serious infection were reported, and only one of these was considered drug-related.</w:t>
      </w:r>
      <w:r w:rsidR="00004149">
        <w:t xml:space="preserve"> </w:t>
      </w:r>
      <w:r w:rsidRPr="004E27F7">
        <w:t>There were no deaths, serious hypersensitivity reactions, clinically important hepatobiliary events or malignancies reported and only 7 subjects (3 on PLC, 4 on</w:t>
      </w:r>
      <w:r w:rsidR="00004149">
        <w:t xml:space="preserve"> </w:t>
      </w:r>
      <w:proofErr w:type="spellStart"/>
      <w:r w:rsidR="00004149">
        <w:t>golimumab</w:t>
      </w:r>
      <w:proofErr w:type="spellEnd"/>
      <w:r w:rsidRPr="004E27F7">
        <w:t>) reported injection site reactions.</w:t>
      </w:r>
    </w:p>
    <w:p w:rsidR="004E27F7" w:rsidRPr="004E27F7" w:rsidRDefault="004E27F7" w:rsidP="004E27F7">
      <w:pPr>
        <w:pStyle w:val="ListBullet"/>
      </w:pPr>
      <w:r w:rsidRPr="004E27F7">
        <w:t xml:space="preserve">While 4 subjects tested positive for antibodies to </w:t>
      </w:r>
      <w:proofErr w:type="spellStart"/>
      <w:r w:rsidRPr="004E27F7">
        <w:t>golimumab</w:t>
      </w:r>
      <w:proofErr w:type="spellEnd"/>
      <w:r w:rsidRPr="004E27F7">
        <w:t xml:space="preserve"> in Part 1 of the study, none of these subjects had a hypersensitivity reaction or discontinued the study, and antibody positivity did not appear to reduce efficacy.</w:t>
      </w:r>
    </w:p>
    <w:p w:rsidR="004E27F7" w:rsidRPr="004E27F7" w:rsidRDefault="004E27F7" w:rsidP="004E27F7">
      <w:pPr>
        <w:pStyle w:val="ListBullet"/>
      </w:pPr>
      <w:r w:rsidRPr="004E27F7">
        <w:t>Efficacy and safety data are based on limited follow-up (24 weeks).</w:t>
      </w:r>
      <w:r w:rsidR="00004149">
        <w:t xml:space="preserve"> </w:t>
      </w:r>
      <w:r w:rsidRPr="004E27F7">
        <w:t xml:space="preserve">The final results of Study P07642 should be submitted for evaluation (proposed for November 2015 according to the RMP) to further characterise the longer term benefit of </w:t>
      </w:r>
      <w:proofErr w:type="spellStart"/>
      <w:r w:rsidRPr="004E27F7">
        <w:t>golimumab</w:t>
      </w:r>
      <w:proofErr w:type="spellEnd"/>
      <w:r w:rsidRPr="004E27F7">
        <w:t xml:space="preserve"> for the treatment of nr-Axial </w:t>
      </w:r>
      <w:proofErr w:type="spellStart"/>
      <w:r w:rsidRPr="004E27F7">
        <w:t>SpA</w:t>
      </w:r>
      <w:proofErr w:type="spellEnd"/>
      <w:r w:rsidRPr="004E27F7">
        <w:t>.</w:t>
      </w:r>
    </w:p>
    <w:p w:rsidR="004E27F7" w:rsidRPr="004E27F7" w:rsidRDefault="004E27F7" w:rsidP="004E27F7">
      <w:pPr>
        <w:pStyle w:val="Heading4"/>
      </w:pPr>
      <w:r w:rsidRPr="004E27F7">
        <w:t>First round assessment of benefit-risk balance</w:t>
      </w:r>
    </w:p>
    <w:p w:rsidR="004E27F7" w:rsidRPr="004E27F7" w:rsidRDefault="004E27F7" w:rsidP="004E27F7">
      <w:r w:rsidRPr="004E27F7">
        <w:t xml:space="preserve">The benefit-risk balance of </w:t>
      </w:r>
      <w:proofErr w:type="spellStart"/>
      <w:r w:rsidRPr="004E27F7">
        <w:t>golimumab</w:t>
      </w:r>
      <w:proofErr w:type="spellEnd"/>
      <w:r w:rsidRPr="004E27F7">
        <w:t>, given the proposed usage, is favourable.</w:t>
      </w:r>
    </w:p>
    <w:p w:rsidR="00605AD4" w:rsidRPr="00605AD4" w:rsidRDefault="00605AD4" w:rsidP="00605AD4">
      <w:pPr>
        <w:pStyle w:val="Heading3"/>
        <w:rPr>
          <w:rFonts w:eastAsia="Cambria"/>
        </w:rPr>
      </w:pPr>
      <w:bookmarkStart w:id="71" w:name="_Toc487718630"/>
      <w:r w:rsidRPr="00605AD4">
        <w:rPr>
          <w:rFonts w:eastAsia="Cambria"/>
        </w:rPr>
        <w:t xml:space="preserve">First </w:t>
      </w:r>
      <w:r w:rsidR="00101E94" w:rsidRPr="00605AD4">
        <w:rPr>
          <w:rFonts w:eastAsia="Cambria"/>
        </w:rPr>
        <w:t>round recommendation regarding authorisation</w:t>
      </w:r>
      <w:bookmarkEnd w:id="71"/>
    </w:p>
    <w:p w:rsidR="004E27F7" w:rsidRPr="004E27F7" w:rsidRDefault="004E27F7" w:rsidP="004E27F7">
      <w:r w:rsidRPr="004E27F7">
        <w:t xml:space="preserve">It is recommended that the </w:t>
      </w:r>
      <w:proofErr w:type="spellStart"/>
      <w:r w:rsidRPr="004E27F7">
        <w:t>golimumab</w:t>
      </w:r>
      <w:proofErr w:type="spellEnd"/>
      <w:r w:rsidRPr="004E27F7">
        <w:t xml:space="preserve"> indications are extended to include non-radiographic axial </w:t>
      </w:r>
      <w:proofErr w:type="spellStart"/>
      <w:r w:rsidRPr="004E27F7">
        <w:t>spondyloarthritis</w:t>
      </w:r>
      <w:proofErr w:type="spellEnd"/>
      <w:r w:rsidRPr="004E27F7">
        <w:t xml:space="preserve"> subject to modification of the PI as described in Section 11.</w:t>
      </w:r>
    </w:p>
    <w:p w:rsidR="004E27F7" w:rsidRPr="00605AD4" w:rsidRDefault="004E27F7" w:rsidP="004E27F7">
      <w:r w:rsidRPr="004E27F7">
        <w:t xml:space="preserve">The final results of Study P07642 should be submitted for evaluation (proposed for November 2015 according to the RMP) to further characterise the long term benefit of </w:t>
      </w:r>
      <w:proofErr w:type="spellStart"/>
      <w:r w:rsidRPr="004E27F7">
        <w:t>golimumab</w:t>
      </w:r>
      <w:proofErr w:type="spellEnd"/>
      <w:r w:rsidRPr="004E27F7">
        <w:t xml:space="preserve"> for the treatment of nr-Axial </w:t>
      </w:r>
      <w:proofErr w:type="spellStart"/>
      <w:r w:rsidRPr="004E27F7">
        <w:t>SpA</w:t>
      </w:r>
      <w:proofErr w:type="spellEnd"/>
      <w:r w:rsidRPr="004E27F7">
        <w:t>.</w:t>
      </w:r>
    </w:p>
    <w:p w:rsidR="00605AD4" w:rsidRPr="00605AD4" w:rsidRDefault="00605AD4" w:rsidP="00605AD4">
      <w:pPr>
        <w:pStyle w:val="Heading3"/>
        <w:rPr>
          <w:rFonts w:eastAsia="Cambria"/>
        </w:rPr>
      </w:pPr>
      <w:bookmarkStart w:id="72" w:name="_Toc487718631"/>
      <w:r w:rsidRPr="00605AD4">
        <w:rPr>
          <w:rFonts w:eastAsia="Cambria"/>
        </w:rPr>
        <w:lastRenderedPageBreak/>
        <w:t xml:space="preserve">Second </w:t>
      </w:r>
      <w:r w:rsidR="00101E94" w:rsidRPr="00605AD4">
        <w:rPr>
          <w:rFonts w:eastAsia="Cambria"/>
        </w:rPr>
        <w:t xml:space="preserve">round evaluation </w:t>
      </w:r>
      <w:r w:rsidRPr="00605AD4">
        <w:rPr>
          <w:rFonts w:eastAsia="Cambria"/>
        </w:rPr>
        <w:t>of clinical data submitted in response to questions</w:t>
      </w:r>
      <w:bookmarkEnd w:id="72"/>
    </w:p>
    <w:p w:rsidR="006136D7" w:rsidRPr="00605AD4" w:rsidRDefault="006136D7" w:rsidP="006136D7">
      <w:r>
        <w:t xml:space="preserve">For details of the sponsor’s responses </w:t>
      </w:r>
      <w:r w:rsidR="004E27F7">
        <w:t xml:space="preserve">to questions raised by the evaluator </w:t>
      </w:r>
      <w:r>
        <w:t>and the evaluation of these responses please see Attachment 2.</w:t>
      </w:r>
    </w:p>
    <w:p w:rsidR="00605AD4" w:rsidRPr="00605AD4" w:rsidRDefault="00605AD4" w:rsidP="00546154">
      <w:pPr>
        <w:pStyle w:val="Heading3"/>
        <w:rPr>
          <w:rFonts w:eastAsia="Cambria"/>
        </w:rPr>
      </w:pPr>
      <w:bookmarkStart w:id="73" w:name="_Toc487718632"/>
      <w:r w:rsidRPr="00605AD4">
        <w:rPr>
          <w:rFonts w:eastAsia="Cambria"/>
        </w:rPr>
        <w:t xml:space="preserve">Second </w:t>
      </w:r>
      <w:r w:rsidR="00101E94" w:rsidRPr="00605AD4">
        <w:rPr>
          <w:rFonts w:eastAsia="Cambria"/>
        </w:rPr>
        <w:t>round benefit-risk assessment</w:t>
      </w:r>
      <w:bookmarkEnd w:id="73"/>
    </w:p>
    <w:p w:rsidR="004E27F7" w:rsidRDefault="004E27F7" w:rsidP="004E27F7">
      <w:pPr>
        <w:pStyle w:val="Heading4"/>
      </w:pPr>
      <w:r>
        <w:t>Second round assessment of benefits</w:t>
      </w:r>
    </w:p>
    <w:p w:rsidR="004E27F7" w:rsidRDefault="004E27F7" w:rsidP="004E27F7">
      <w:r>
        <w:t xml:space="preserve">After consideration of the responses to the clinical questions, the benefits of </w:t>
      </w:r>
      <w:proofErr w:type="spellStart"/>
      <w:r>
        <w:t>golimumab</w:t>
      </w:r>
      <w:proofErr w:type="spellEnd"/>
      <w:r>
        <w:t xml:space="preserve"> in the proposed usage are largely unchanged from those identified in </w:t>
      </w:r>
      <w:r w:rsidR="003A0511">
        <w:t>the First round</w:t>
      </w:r>
      <w:r>
        <w:t>.</w:t>
      </w:r>
      <w:r w:rsidR="00004149">
        <w:t xml:space="preserve"> </w:t>
      </w:r>
      <w:r>
        <w:t>The exception is that efficacy has been shown to further improve out to Week 32, and to be maintained up to Week 52.</w:t>
      </w:r>
    </w:p>
    <w:p w:rsidR="004E27F7" w:rsidRDefault="004E27F7" w:rsidP="00AD3EF5">
      <w:pPr>
        <w:pStyle w:val="Heading4"/>
      </w:pPr>
      <w:r>
        <w:t>Second round assessment of risks</w:t>
      </w:r>
    </w:p>
    <w:p w:rsidR="004E27F7" w:rsidRDefault="004E27F7" w:rsidP="004E27F7">
      <w:r>
        <w:t xml:space="preserve">After consideration of the responses to the clinical questions, the risks of </w:t>
      </w:r>
      <w:proofErr w:type="spellStart"/>
      <w:r>
        <w:t>golimumab</w:t>
      </w:r>
      <w:proofErr w:type="spellEnd"/>
      <w:r>
        <w:t xml:space="preserve"> in the proposed usage are largely unchanged from those identified in </w:t>
      </w:r>
      <w:r w:rsidR="00D10A1B">
        <w:t>the First round</w:t>
      </w:r>
      <w:r>
        <w:t>.</w:t>
      </w:r>
      <w:r w:rsidR="00004149">
        <w:t xml:space="preserve"> </w:t>
      </w:r>
      <w:r>
        <w:t>Efficacy and safety results are now based on 52 and 60 weeks of data, respectively.</w:t>
      </w:r>
      <w:r w:rsidR="00004149">
        <w:t xml:space="preserve"> </w:t>
      </w:r>
      <w:r>
        <w:t>No new safety signals identified in the final CSR.</w:t>
      </w:r>
    </w:p>
    <w:p w:rsidR="004E27F7" w:rsidRDefault="004E27F7" w:rsidP="00AD3EF5">
      <w:pPr>
        <w:pStyle w:val="Heading4"/>
      </w:pPr>
      <w:r>
        <w:t>Second round assessment of benefit-risk balance</w:t>
      </w:r>
    </w:p>
    <w:p w:rsidR="004E27F7" w:rsidRDefault="004E27F7" w:rsidP="004E27F7">
      <w:r>
        <w:t xml:space="preserve">The benefit-risk balance of </w:t>
      </w:r>
      <w:proofErr w:type="spellStart"/>
      <w:r>
        <w:t>golimumab</w:t>
      </w:r>
      <w:proofErr w:type="spellEnd"/>
      <w:r>
        <w:t>, given the proposed usage, is favourable.</w:t>
      </w:r>
    </w:p>
    <w:p w:rsidR="004E27F7" w:rsidRDefault="00AD3EF5" w:rsidP="00AD3EF5">
      <w:pPr>
        <w:pStyle w:val="Heading4"/>
      </w:pPr>
      <w:r>
        <w:t>Second round recommendation regarding authorisation</w:t>
      </w:r>
    </w:p>
    <w:p w:rsidR="00605AD4" w:rsidRPr="00605AD4" w:rsidRDefault="004E27F7" w:rsidP="004E27F7">
      <w:r>
        <w:t xml:space="preserve">It is recommended that the </w:t>
      </w:r>
      <w:proofErr w:type="spellStart"/>
      <w:r>
        <w:t>golimumab</w:t>
      </w:r>
      <w:proofErr w:type="spellEnd"/>
      <w:r>
        <w:t xml:space="preserve"> indications are extended to include non-radiographic axial </w:t>
      </w:r>
      <w:proofErr w:type="spellStart"/>
      <w:r>
        <w:t>spondyloarthritis</w:t>
      </w:r>
      <w:proofErr w:type="spellEnd"/>
      <w:r>
        <w:t xml:space="preserve"> subject to modification of the PI</w:t>
      </w:r>
      <w:r w:rsidR="00D10A1B">
        <w:t xml:space="preserve"> (the details of the proposed PI modifications are beyond the scope of the AusPAR)</w:t>
      </w:r>
      <w:r>
        <w:t>.</w:t>
      </w:r>
    </w:p>
    <w:p w:rsidR="008E7846" w:rsidRPr="00E41208" w:rsidRDefault="008E7846" w:rsidP="00546154">
      <w:pPr>
        <w:pStyle w:val="Heading2"/>
      </w:pPr>
      <w:bookmarkStart w:id="74" w:name="_Toc487718633"/>
      <w:r w:rsidRPr="00E41208">
        <w:t xml:space="preserve">V. Pharmacovigilance </w:t>
      </w:r>
      <w:r>
        <w:t>f</w:t>
      </w:r>
      <w:r w:rsidRPr="00E41208">
        <w:t>indings</w:t>
      </w:r>
      <w:bookmarkEnd w:id="66"/>
      <w:bookmarkEnd w:id="67"/>
      <w:bookmarkEnd w:id="74"/>
    </w:p>
    <w:p w:rsidR="008E7846" w:rsidRDefault="00386150" w:rsidP="008E7846">
      <w:pPr>
        <w:pStyle w:val="Heading3"/>
        <w:rPr>
          <w:lang w:eastAsia="en-AU"/>
        </w:rPr>
      </w:pPr>
      <w:bookmarkStart w:id="75" w:name="_Toc247691526"/>
      <w:bookmarkStart w:id="76" w:name="_Toc314842509"/>
      <w:bookmarkStart w:id="77" w:name="_Toc487718634"/>
      <w:r>
        <w:rPr>
          <w:lang w:eastAsia="en-AU"/>
        </w:rPr>
        <w:t>Risk m</w:t>
      </w:r>
      <w:r w:rsidR="008E7846">
        <w:rPr>
          <w:lang w:eastAsia="en-AU"/>
        </w:rPr>
        <w:t xml:space="preserve">anagement </w:t>
      </w:r>
      <w:r>
        <w:rPr>
          <w:lang w:eastAsia="en-AU"/>
        </w:rPr>
        <w:t>p</w:t>
      </w:r>
      <w:r w:rsidR="008E7846">
        <w:rPr>
          <w:lang w:eastAsia="en-AU"/>
        </w:rPr>
        <w:t>lan</w:t>
      </w:r>
      <w:bookmarkEnd w:id="75"/>
      <w:bookmarkEnd w:id="76"/>
      <w:bookmarkEnd w:id="77"/>
    </w:p>
    <w:p w:rsidR="008E7846" w:rsidRDefault="008E7846" w:rsidP="008E7846">
      <w:pPr>
        <w:rPr>
          <w:lang w:eastAsia="en-AU"/>
        </w:rPr>
      </w:pPr>
      <w:r>
        <w:rPr>
          <w:lang w:eastAsia="en-AU"/>
        </w:rPr>
        <w:t>The sponsor submitted a Risk Management Plan</w:t>
      </w:r>
      <w:r w:rsidR="006F25B8">
        <w:rPr>
          <w:lang w:eastAsia="en-AU"/>
        </w:rPr>
        <w:t xml:space="preserve"> </w:t>
      </w:r>
      <w:r w:rsidR="006F25B8" w:rsidRPr="006F25B8">
        <w:rPr>
          <w:lang w:eastAsia="en-AU"/>
        </w:rPr>
        <w:t>(</w:t>
      </w:r>
      <w:r w:rsidR="00777FB3" w:rsidRPr="00777FB3">
        <w:rPr>
          <w:lang w:eastAsia="en-AU"/>
        </w:rPr>
        <w:t>EU-RMP Version 11.4 (dated 14 May 2015, DLP 6 May 2014) with Australian Specific Annex (ASA) Version 4.0 (dated 13 July 2015)</w:t>
      </w:r>
      <w:r w:rsidR="006F25B8" w:rsidRPr="006F25B8">
        <w:rPr>
          <w:lang w:eastAsia="en-AU"/>
        </w:rPr>
        <w:t>)</w:t>
      </w:r>
      <w:r w:rsidRPr="006F25B8">
        <w:t xml:space="preserve"> </w:t>
      </w:r>
      <w:r>
        <w:rPr>
          <w:lang w:eastAsia="en-AU"/>
        </w:rPr>
        <w:t xml:space="preserve">which was reviewed by the </w:t>
      </w:r>
      <w:r w:rsidR="00FC1FCA">
        <w:rPr>
          <w:lang w:eastAsia="en-AU"/>
        </w:rPr>
        <w:t>RMP evaluator.</w:t>
      </w:r>
    </w:p>
    <w:p w:rsidR="008E7846" w:rsidRDefault="003A7F6C" w:rsidP="008E7846">
      <w:pPr>
        <w:pStyle w:val="Heading4"/>
        <w:rPr>
          <w:lang w:eastAsia="en-AU"/>
        </w:rPr>
      </w:pPr>
      <w:r>
        <w:rPr>
          <w:lang w:eastAsia="en-AU"/>
        </w:rPr>
        <w:t>Safety s</w:t>
      </w:r>
      <w:r w:rsidR="008E7846">
        <w:rPr>
          <w:lang w:eastAsia="en-AU"/>
        </w:rPr>
        <w:t>pecification</w:t>
      </w:r>
    </w:p>
    <w:p w:rsidR="008E7846" w:rsidRDefault="008E7846" w:rsidP="008E7846">
      <w:pPr>
        <w:rPr>
          <w:lang w:eastAsia="en-AU"/>
        </w:rPr>
      </w:pPr>
      <w:r>
        <w:rPr>
          <w:lang w:eastAsia="en-AU"/>
        </w:rPr>
        <w:t>The</w:t>
      </w:r>
      <w:r w:rsidR="006F25B8">
        <w:rPr>
          <w:lang w:eastAsia="en-AU"/>
        </w:rPr>
        <w:t xml:space="preserve"> sponsor provided a summary of o</w:t>
      </w:r>
      <w:r>
        <w:rPr>
          <w:lang w:eastAsia="en-AU"/>
        </w:rPr>
        <w:t xml:space="preserve">ngoing safety </w:t>
      </w:r>
      <w:r w:rsidR="006F25B8">
        <w:rPr>
          <w:lang w:eastAsia="en-AU"/>
        </w:rPr>
        <w:t>c</w:t>
      </w:r>
      <w:r>
        <w:rPr>
          <w:lang w:eastAsia="en-AU"/>
        </w:rPr>
        <w:t xml:space="preserve">oncerns which are shown at Table </w:t>
      </w:r>
      <w:r w:rsidR="00D10A1B">
        <w:rPr>
          <w:lang w:eastAsia="en-AU"/>
        </w:rPr>
        <w:t>1</w:t>
      </w:r>
      <w:r>
        <w:rPr>
          <w:lang w:eastAsia="en-AU"/>
        </w:rPr>
        <w:t>.</w:t>
      </w:r>
    </w:p>
    <w:tbl>
      <w:tblPr>
        <w:tblStyle w:val="TableTGAblue"/>
        <w:tblW w:w="0" w:type="auto"/>
        <w:tblLook w:val="04A0" w:firstRow="1" w:lastRow="0" w:firstColumn="1" w:lastColumn="0" w:noHBand="0" w:noVBand="1"/>
      </w:tblPr>
      <w:tblGrid>
        <w:gridCol w:w="2402"/>
        <w:gridCol w:w="6318"/>
      </w:tblGrid>
      <w:tr w:rsidR="00412D45" w:rsidRPr="00D10A1B" w:rsidTr="00101E94">
        <w:trPr>
          <w:cnfStyle w:val="100000000000" w:firstRow="1" w:lastRow="0" w:firstColumn="0" w:lastColumn="0" w:oddVBand="0" w:evenVBand="0" w:oddHBand="0" w:evenHBand="0" w:firstRowFirstColumn="0" w:firstRowLastColumn="0" w:lastRowFirstColumn="0" w:lastRowLastColumn="0"/>
          <w:cantSplit/>
        </w:trPr>
        <w:tc>
          <w:tcPr>
            <w:tcW w:w="8720" w:type="dxa"/>
            <w:gridSpan w:val="2"/>
          </w:tcPr>
          <w:p w:rsidR="00412D45" w:rsidRPr="00D10A1B" w:rsidRDefault="00412D45" w:rsidP="00101E94">
            <w:pPr>
              <w:rPr>
                <w:b w:val="0"/>
              </w:rPr>
            </w:pPr>
            <w:r w:rsidRPr="00D10A1B">
              <w:t>Summary – Ongoing Safety Concerns</w:t>
            </w:r>
          </w:p>
        </w:tc>
      </w:tr>
      <w:tr w:rsidR="00412D45" w:rsidRPr="00D10A1B" w:rsidTr="00101E94">
        <w:tc>
          <w:tcPr>
            <w:tcW w:w="2402" w:type="dxa"/>
            <w:vMerge w:val="restart"/>
          </w:tcPr>
          <w:p w:rsidR="00412D45" w:rsidRPr="00D10A1B" w:rsidRDefault="00412D45" w:rsidP="00101E94">
            <w:r w:rsidRPr="00D10A1B">
              <w:t>Important identified risks</w:t>
            </w:r>
          </w:p>
        </w:tc>
        <w:tc>
          <w:tcPr>
            <w:tcW w:w="6318" w:type="dxa"/>
          </w:tcPr>
          <w:p w:rsidR="00412D45" w:rsidRPr="00D10A1B" w:rsidRDefault="00412D45" w:rsidP="00101E94">
            <w:r w:rsidRPr="00D10A1B">
              <w:t>Serious infections including opportunistic infections and TB</w:t>
            </w:r>
          </w:p>
        </w:tc>
      </w:tr>
      <w:tr w:rsidR="00412D45" w:rsidRPr="00D10A1B" w:rsidTr="00101E94">
        <w:tc>
          <w:tcPr>
            <w:tcW w:w="2402" w:type="dxa"/>
            <w:vMerge/>
          </w:tcPr>
          <w:p w:rsidR="00412D45" w:rsidRPr="00D10A1B" w:rsidRDefault="00412D45" w:rsidP="00101E94"/>
        </w:tc>
        <w:tc>
          <w:tcPr>
            <w:tcW w:w="6318" w:type="dxa"/>
          </w:tcPr>
          <w:p w:rsidR="00412D45" w:rsidRPr="00D10A1B" w:rsidRDefault="00412D45" w:rsidP="00101E94">
            <w:r w:rsidRPr="00D10A1B">
              <w:t>Demyelinating disorders</w:t>
            </w:r>
          </w:p>
        </w:tc>
      </w:tr>
      <w:tr w:rsidR="00412D45" w:rsidRPr="00D10A1B" w:rsidTr="00101E94">
        <w:tc>
          <w:tcPr>
            <w:tcW w:w="2402" w:type="dxa"/>
            <w:vMerge/>
          </w:tcPr>
          <w:p w:rsidR="00412D45" w:rsidRPr="00D10A1B" w:rsidRDefault="00412D45" w:rsidP="00101E94"/>
        </w:tc>
        <w:tc>
          <w:tcPr>
            <w:tcW w:w="6318" w:type="dxa"/>
          </w:tcPr>
          <w:p w:rsidR="00412D45" w:rsidRPr="00D10A1B" w:rsidRDefault="00412D45" w:rsidP="00101E94">
            <w:r w:rsidRPr="00D10A1B">
              <w:t>Hypertension</w:t>
            </w:r>
          </w:p>
        </w:tc>
      </w:tr>
      <w:tr w:rsidR="00412D45" w:rsidRPr="00D10A1B" w:rsidTr="00101E94">
        <w:tc>
          <w:tcPr>
            <w:tcW w:w="2402" w:type="dxa"/>
            <w:vMerge/>
          </w:tcPr>
          <w:p w:rsidR="00412D45" w:rsidRPr="00D10A1B" w:rsidRDefault="00412D45" w:rsidP="00101E94"/>
        </w:tc>
        <w:tc>
          <w:tcPr>
            <w:tcW w:w="6318" w:type="dxa"/>
          </w:tcPr>
          <w:p w:rsidR="00412D45" w:rsidRPr="00D10A1B" w:rsidRDefault="00412D45" w:rsidP="00101E94">
            <w:r w:rsidRPr="00D10A1B">
              <w:t>Lymphoma (excluding HSTCL)</w:t>
            </w:r>
          </w:p>
        </w:tc>
      </w:tr>
      <w:tr w:rsidR="00412D45" w:rsidRPr="00D10A1B" w:rsidTr="00101E94">
        <w:tc>
          <w:tcPr>
            <w:tcW w:w="2402" w:type="dxa"/>
            <w:vMerge/>
          </w:tcPr>
          <w:p w:rsidR="00412D45" w:rsidRPr="00D10A1B" w:rsidRDefault="00412D45" w:rsidP="00101E94"/>
        </w:tc>
        <w:tc>
          <w:tcPr>
            <w:tcW w:w="6318" w:type="dxa"/>
          </w:tcPr>
          <w:p w:rsidR="00412D45" w:rsidRPr="00D10A1B" w:rsidRDefault="00412D45" w:rsidP="00101E94">
            <w:r w:rsidRPr="00D10A1B">
              <w:t>Hepatitis B virus reactivation</w:t>
            </w:r>
          </w:p>
        </w:tc>
      </w:tr>
      <w:tr w:rsidR="00412D45" w:rsidRPr="00D10A1B" w:rsidTr="00101E94">
        <w:tc>
          <w:tcPr>
            <w:tcW w:w="2402" w:type="dxa"/>
            <w:vMerge/>
          </w:tcPr>
          <w:p w:rsidR="00412D45" w:rsidRPr="00D10A1B" w:rsidRDefault="00412D45" w:rsidP="00101E94"/>
        </w:tc>
        <w:tc>
          <w:tcPr>
            <w:tcW w:w="6318" w:type="dxa"/>
          </w:tcPr>
          <w:p w:rsidR="00412D45" w:rsidRPr="00D10A1B" w:rsidRDefault="00412D45" w:rsidP="00101E94">
            <w:r w:rsidRPr="00D10A1B">
              <w:t>Congestive heart failure</w:t>
            </w:r>
          </w:p>
        </w:tc>
      </w:tr>
      <w:tr w:rsidR="00412D45" w:rsidRPr="00D10A1B" w:rsidTr="00101E94">
        <w:tc>
          <w:tcPr>
            <w:tcW w:w="2402" w:type="dxa"/>
            <w:vMerge/>
          </w:tcPr>
          <w:p w:rsidR="00412D45" w:rsidRPr="00D10A1B" w:rsidRDefault="00412D45" w:rsidP="00101E94"/>
        </w:tc>
        <w:tc>
          <w:tcPr>
            <w:tcW w:w="6318" w:type="dxa"/>
          </w:tcPr>
          <w:p w:rsidR="00412D45" w:rsidRPr="00D10A1B" w:rsidRDefault="00412D45" w:rsidP="00101E94">
            <w:r w:rsidRPr="00D10A1B">
              <w:t>Autoimmune processes</w:t>
            </w:r>
          </w:p>
        </w:tc>
      </w:tr>
      <w:tr w:rsidR="00412D45" w:rsidRPr="00D10A1B" w:rsidTr="00101E94">
        <w:tc>
          <w:tcPr>
            <w:tcW w:w="2402" w:type="dxa"/>
            <w:vMerge/>
          </w:tcPr>
          <w:p w:rsidR="00412D45" w:rsidRPr="00D10A1B" w:rsidRDefault="00412D45" w:rsidP="00101E94"/>
        </w:tc>
        <w:tc>
          <w:tcPr>
            <w:tcW w:w="6318" w:type="dxa"/>
          </w:tcPr>
          <w:p w:rsidR="00412D45" w:rsidRPr="00D10A1B" w:rsidRDefault="00412D45" w:rsidP="00101E94">
            <w:proofErr w:type="spellStart"/>
            <w:r w:rsidRPr="00D10A1B">
              <w:t>Haematologic</w:t>
            </w:r>
            <w:proofErr w:type="spellEnd"/>
            <w:r w:rsidRPr="00D10A1B">
              <w:t xml:space="preserve"> reactions</w:t>
            </w:r>
          </w:p>
        </w:tc>
      </w:tr>
      <w:tr w:rsidR="00412D45" w:rsidRPr="00D10A1B" w:rsidTr="00101E94">
        <w:tc>
          <w:tcPr>
            <w:tcW w:w="2402" w:type="dxa"/>
            <w:vMerge/>
          </w:tcPr>
          <w:p w:rsidR="00412D45" w:rsidRPr="00D10A1B" w:rsidRDefault="00412D45" w:rsidP="00101E94"/>
        </w:tc>
        <w:tc>
          <w:tcPr>
            <w:tcW w:w="6318" w:type="dxa"/>
          </w:tcPr>
          <w:p w:rsidR="00412D45" w:rsidRPr="00D10A1B" w:rsidRDefault="00412D45" w:rsidP="00101E94">
            <w:r w:rsidRPr="00D10A1B">
              <w:t>Serious systemic hypersensitivity (including anaphylactic reaction)</w:t>
            </w:r>
          </w:p>
        </w:tc>
      </w:tr>
      <w:tr w:rsidR="00412D45" w:rsidRPr="00D10A1B" w:rsidTr="00101E94">
        <w:tc>
          <w:tcPr>
            <w:tcW w:w="2402" w:type="dxa"/>
            <w:vMerge/>
          </w:tcPr>
          <w:p w:rsidR="00412D45" w:rsidRPr="00D10A1B" w:rsidRDefault="00412D45" w:rsidP="00101E94"/>
        </w:tc>
        <w:tc>
          <w:tcPr>
            <w:tcW w:w="6318" w:type="dxa"/>
          </w:tcPr>
          <w:p w:rsidR="00412D45" w:rsidRPr="00D10A1B" w:rsidRDefault="00412D45" w:rsidP="00101E94">
            <w:r w:rsidRPr="00D10A1B">
              <w:t>Vasculitis</w:t>
            </w:r>
          </w:p>
        </w:tc>
      </w:tr>
      <w:tr w:rsidR="00412D45" w:rsidRPr="00D10A1B" w:rsidTr="00101E94">
        <w:tc>
          <w:tcPr>
            <w:tcW w:w="2402" w:type="dxa"/>
            <w:vMerge/>
          </w:tcPr>
          <w:p w:rsidR="00412D45" w:rsidRPr="00D10A1B" w:rsidRDefault="00412D45" w:rsidP="00101E94"/>
        </w:tc>
        <w:tc>
          <w:tcPr>
            <w:tcW w:w="6318" w:type="dxa"/>
          </w:tcPr>
          <w:p w:rsidR="00412D45" w:rsidRPr="00D10A1B" w:rsidRDefault="00412D45" w:rsidP="00101E94">
            <w:r w:rsidRPr="00D10A1B">
              <w:t>Psoriasis (new onset or worsening of pre-existing)</w:t>
            </w:r>
          </w:p>
        </w:tc>
      </w:tr>
      <w:tr w:rsidR="00412D45" w:rsidRPr="00D10A1B" w:rsidTr="00101E94">
        <w:tc>
          <w:tcPr>
            <w:tcW w:w="2402" w:type="dxa"/>
            <w:vMerge/>
          </w:tcPr>
          <w:p w:rsidR="00412D45" w:rsidRPr="00D10A1B" w:rsidRDefault="00412D45" w:rsidP="00101E94"/>
        </w:tc>
        <w:tc>
          <w:tcPr>
            <w:tcW w:w="6318" w:type="dxa"/>
          </w:tcPr>
          <w:p w:rsidR="00412D45" w:rsidRPr="00D10A1B" w:rsidRDefault="00412D45" w:rsidP="00101E94">
            <w:r w:rsidRPr="00D10A1B">
              <w:t>Skin cancer</w:t>
            </w:r>
          </w:p>
        </w:tc>
      </w:tr>
      <w:tr w:rsidR="00412D45" w:rsidRPr="00D10A1B" w:rsidTr="00101E94">
        <w:tc>
          <w:tcPr>
            <w:tcW w:w="2402" w:type="dxa"/>
            <w:vMerge w:val="restart"/>
          </w:tcPr>
          <w:p w:rsidR="00412D45" w:rsidRPr="00D10A1B" w:rsidRDefault="00412D45" w:rsidP="00101E94">
            <w:r w:rsidRPr="00D10A1B">
              <w:t>Important potential risks</w:t>
            </w:r>
          </w:p>
        </w:tc>
        <w:tc>
          <w:tcPr>
            <w:tcW w:w="6318" w:type="dxa"/>
          </w:tcPr>
          <w:p w:rsidR="00412D45" w:rsidRPr="00D10A1B" w:rsidRDefault="00412D45" w:rsidP="00101E94">
            <w:r w:rsidRPr="00D10A1B">
              <w:t>Malignancy</w:t>
            </w:r>
          </w:p>
        </w:tc>
      </w:tr>
      <w:tr w:rsidR="00412D45" w:rsidRPr="00D10A1B" w:rsidTr="00101E94">
        <w:tc>
          <w:tcPr>
            <w:tcW w:w="2402" w:type="dxa"/>
            <w:vMerge/>
          </w:tcPr>
          <w:p w:rsidR="00412D45" w:rsidRPr="00D10A1B" w:rsidRDefault="00412D45" w:rsidP="00101E94"/>
        </w:tc>
        <w:tc>
          <w:tcPr>
            <w:tcW w:w="6318" w:type="dxa"/>
          </w:tcPr>
          <w:p w:rsidR="00412D45" w:rsidRPr="00D10A1B" w:rsidRDefault="00412D45" w:rsidP="00101E94">
            <w:r w:rsidRPr="00D10A1B">
              <w:t>Serious hepatotoxicity</w:t>
            </w:r>
          </w:p>
        </w:tc>
      </w:tr>
      <w:tr w:rsidR="00412D45" w:rsidRPr="00D10A1B" w:rsidTr="00101E94">
        <w:tc>
          <w:tcPr>
            <w:tcW w:w="2402" w:type="dxa"/>
            <w:vMerge/>
          </w:tcPr>
          <w:p w:rsidR="00412D45" w:rsidRPr="00D10A1B" w:rsidRDefault="00412D45" w:rsidP="00101E94"/>
        </w:tc>
        <w:tc>
          <w:tcPr>
            <w:tcW w:w="6318" w:type="dxa"/>
          </w:tcPr>
          <w:p w:rsidR="00412D45" w:rsidRPr="00D10A1B" w:rsidRDefault="00412D45" w:rsidP="00101E94">
            <w:r w:rsidRPr="00D10A1B">
              <w:t>Exposure during pregnancy</w:t>
            </w:r>
          </w:p>
        </w:tc>
      </w:tr>
      <w:tr w:rsidR="00412D45" w:rsidRPr="00D10A1B" w:rsidTr="00101E94">
        <w:tc>
          <w:tcPr>
            <w:tcW w:w="2402" w:type="dxa"/>
            <w:vMerge/>
          </w:tcPr>
          <w:p w:rsidR="00412D45" w:rsidRPr="00D10A1B" w:rsidRDefault="00412D45" w:rsidP="00101E94"/>
        </w:tc>
        <w:tc>
          <w:tcPr>
            <w:tcW w:w="6318" w:type="dxa"/>
          </w:tcPr>
          <w:p w:rsidR="00412D45" w:rsidRPr="00D10A1B" w:rsidRDefault="00412D45" w:rsidP="00101E94">
            <w:r w:rsidRPr="00D10A1B">
              <w:t>Serum sickness</w:t>
            </w:r>
          </w:p>
        </w:tc>
      </w:tr>
      <w:tr w:rsidR="00412D45" w:rsidRPr="00D10A1B" w:rsidTr="00101E94">
        <w:tc>
          <w:tcPr>
            <w:tcW w:w="2402" w:type="dxa"/>
            <w:vMerge/>
          </w:tcPr>
          <w:p w:rsidR="00412D45" w:rsidRPr="00D10A1B" w:rsidRDefault="00412D45" w:rsidP="00101E94"/>
        </w:tc>
        <w:tc>
          <w:tcPr>
            <w:tcW w:w="6318" w:type="dxa"/>
          </w:tcPr>
          <w:p w:rsidR="00412D45" w:rsidRPr="00D10A1B" w:rsidRDefault="00412D45" w:rsidP="00101E94">
            <w:r w:rsidRPr="00D10A1B">
              <w:t>Maladministration/administration error</w:t>
            </w:r>
          </w:p>
        </w:tc>
      </w:tr>
      <w:tr w:rsidR="00412D45" w:rsidRPr="00D10A1B" w:rsidTr="00101E94">
        <w:tc>
          <w:tcPr>
            <w:tcW w:w="2402" w:type="dxa"/>
            <w:vMerge/>
          </w:tcPr>
          <w:p w:rsidR="00412D45" w:rsidRPr="00D10A1B" w:rsidRDefault="00412D45" w:rsidP="00101E94"/>
        </w:tc>
        <w:tc>
          <w:tcPr>
            <w:tcW w:w="6318" w:type="dxa"/>
          </w:tcPr>
          <w:p w:rsidR="00412D45" w:rsidRPr="00D10A1B" w:rsidRDefault="00412D45" w:rsidP="00101E94">
            <w:r w:rsidRPr="00D10A1B">
              <w:t>Serious depression including suicidality</w:t>
            </w:r>
          </w:p>
        </w:tc>
      </w:tr>
      <w:tr w:rsidR="00412D45" w:rsidRPr="00D10A1B" w:rsidTr="00101E94">
        <w:tc>
          <w:tcPr>
            <w:tcW w:w="2402" w:type="dxa"/>
            <w:vMerge/>
          </w:tcPr>
          <w:p w:rsidR="00412D45" w:rsidRPr="00D10A1B" w:rsidRDefault="00412D45" w:rsidP="00101E94"/>
        </w:tc>
        <w:tc>
          <w:tcPr>
            <w:tcW w:w="6318" w:type="dxa"/>
          </w:tcPr>
          <w:p w:rsidR="00412D45" w:rsidRPr="00D10A1B" w:rsidRDefault="00412D45" w:rsidP="00101E94">
            <w:r w:rsidRPr="00D10A1B">
              <w:t>Sarcoidosis/</w:t>
            </w:r>
            <w:proofErr w:type="spellStart"/>
            <w:r w:rsidRPr="00D10A1B">
              <w:t>sarcoid</w:t>
            </w:r>
            <w:proofErr w:type="spellEnd"/>
            <w:r w:rsidRPr="00D10A1B">
              <w:t>-like reaction</w:t>
            </w:r>
          </w:p>
        </w:tc>
      </w:tr>
      <w:tr w:rsidR="00412D45" w:rsidRPr="00D10A1B" w:rsidTr="00101E94">
        <w:tc>
          <w:tcPr>
            <w:tcW w:w="2402" w:type="dxa"/>
            <w:vMerge/>
          </w:tcPr>
          <w:p w:rsidR="00412D45" w:rsidRPr="00D10A1B" w:rsidRDefault="00412D45" w:rsidP="00101E94"/>
        </w:tc>
        <w:tc>
          <w:tcPr>
            <w:tcW w:w="6318" w:type="dxa"/>
          </w:tcPr>
          <w:p w:rsidR="00412D45" w:rsidRPr="00D10A1B" w:rsidRDefault="00412D45" w:rsidP="00101E94">
            <w:r w:rsidRPr="00D10A1B">
              <w:t>Colon cancer/dysplasia (in UC)</w:t>
            </w:r>
          </w:p>
        </w:tc>
      </w:tr>
      <w:tr w:rsidR="00412D45" w:rsidRPr="00D10A1B" w:rsidTr="00101E94">
        <w:tc>
          <w:tcPr>
            <w:tcW w:w="2402" w:type="dxa"/>
            <w:vMerge/>
          </w:tcPr>
          <w:p w:rsidR="00412D45" w:rsidRPr="00D10A1B" w:rsidRDefault="00412D45" w:rsidP="00101E94"/>
        </w:tc>
        <w:tc>
          <w:tcPr>
            <w:tcW w:w="6318" w:type="dxa"/>
          </w:tcPr>
          <w:p w:rsidR="00412D45" w:rsidRPr="00D10A1B" w:rsidRDefault="00412D45" w:rsidP="00101E94">
            <w:r w:rsidRPr="00D10A1B">
              <w:t>HSTCL</w:t>
            </w:r>
          </w:p>
        </w:tc>
      </w:tr>
      <w:tr w:rsidR="00412D45" w:rsidRPr="00D10A1B" w:rsidTr="00101E94">
        <w:tc>
          <w:tcPr>
            <w:tcW w:w="2402" w:type="dxa"/>
            <w:vMerge/>
          </w:tcPr>
          <w:p w:rsidR="00412D45" w:rsidRPr="00D10A1B" w:rsidRDefault="00412D45" w:rsidP="00101E94"/>
        </w:tc>
        <w:tc>
          <w:tcPr>
            <w:tcW w:w="6318" w:type="dxa"/>
          </w:tcPr>
          <w:p w:rsidR="00412D45" w:rsidRPr="00D10A1B" w:rsidRDefault="00412D45" w:rsidP="00101E94">
            <w:r w:rsidRPr="00D10A1B">
              <w:t>Medication error (wrong dose related to different strengths)</w:t>
            </w:r>
          </w:p>
        </w:tc>
      </w:tr>
      <w:tr w:rsidR="00412D45" w:rsidRPr="00D10A1B" w:rsidTr="00101E94">
        <w:tc>
          <w:tcPr>
            <w:tcW w:w="2402" w:type="dxa"/>
            <w:vMerge w:val="restart"/>
          </w:tcPr>
          <w:p w:rsidR="00412D45" w:rsidRPr="00D10A1B" w:rsidRDefault="00412D45" w:rsidP="00101E94">
            <w:r w:rsidRPr="00D10A1B">
              <w:t>Missing information</w:t>
            </w:r>
          </w:p>
        </w:tc>
        <w:tc>
          <w:tcPr>
            <w:tcW w:w="6318" w:type="dxa"/>
          </w:tcPr>
          <w:p w:rsidR="00412D45" w:rsidRPr="00D10A1B" w:rsidRDefault="00412D45" w:rsidP="00101E94">
            <w:r w:rsidRPr="00D10A1B">
              <w:t>Use in paediatric patients</w:t>
            </w:r>
          </w:p>
        </w:tc>
      </w:tr>
      <w:tr w:rsidR="00412D45" w:rsidRPr="00D10A1B" w:rsidTr="00101E94">
        <w:tc>
          <w:tcPr>
            <w:tcW w:w="2402" w:type="dxa"/>
            <w:vMerge/>
          </w:tcPr>
          <w:p w:rsidR="00412D45" w:rsidRPr="00D10A1B" w:rsidRDefault="00412D45" w:rsidP="00101E94"/>
        </w:tc>
        <w:tc>
          <w:tcPr>
            <w:tcW w:w="6318" w:type="dxa"/>
          </w:tcPr>
          <w:p w:rsidR="00412D45" w:rsidRPr="00D10A1B" w:rsidRDefault="00412D45" w:rsidP="00101E94">
            <w:r w:rsidRPr="00D10A1B">
              <w:t>Use in patients with hepatic impairment</w:t>
            </w:r>
          </w:p>
        </w:tc>
      </w:tr>
      <w:tr w:rsidR="00412D45" w:rsidRPr="00D10A1B" w:rsidTr="00101E94">
        <w:tc>
          <w:tcPr>
            <w:tcW w:w="2402" w:type="dxa"/>
            <w:vMerge/>
          </w:tcPr>
          <w:p w:rsidR="00412D45" w:rsidRPr="00D10A1B" w:rsidRDefault="00412D45" w:rsidP="00101E94"/>
        </w:tc>
        <w:tc>
          <w:tcPr>
            <w:tcW w:w="6318" w:type="dxa"/>
          </w:tcPr>
          <w:p w:rsidR="00412D45" w:rsidRPr="00D10A1B" w:rsidRDefault="00412D45" w:rsidP="00101E94">
            <w:r w:rsidRPr="00D10A1B">
              <w:t>Use in patients with renal impairment</w:t>
            </w:r>
          </w:p>
        </w:tc>
      </w:tr>
      <w:tr w:rsidR="00412D45" w:rsidRPr="00D10A1B" w:rsidTr="00101E94">
        <w:tc>
          <w:tcPr>
            <w:tcW w:w="2402" w:type="dxa"/>
            <w:vMerge/>
          </w:tcPr>
          <w:p w:rsidR="00412D45" w:rsidRPr="00D10A1B" w:rsidRDefault="00412D45" w:rsidP="00101E94"/>
        </w:tc>
        <w:tc>
          <w:tcPr>
            <w:tcW w:w="6318" w:type="dxa"/>
          </w:tcPr>
          <w:p w:rsidR="00412D45" w:rsidRPr="00D10A1B" w:rsidRDefault="00412D45" w:rsidP="00101E94">
            <w:r w:rsidRPr="00D10A1B">
              <w:t>Use in patients with a past history of latent or active TB</w:t>
            </w:r>
          </w:p>
        </w:tc>
      </w:tr>
      <w:tr w:rsidR="00412D45" w:rsidRPr="00D10A1B" w:rsidTr="00101E94">
        <w:tc>
          <w:tcPr>
            <w:tcW w:w="2402" w:type="dxa"/>
            <w:vMerge/>
          </w:tcPr>
          <w:p w:rsidR="00412D45" w:rsidRPr="00D10A1B" w:rsidRDefault="00412D45" w:rsidP="00101E94"/>
        </w:tc>
        <w:tc>
          <w:tcPr>
            <w:tcW w:w="6318" w:type="dxa"/>
          </w:tcPr>
          <w:p w:rsidR="00412D45" w:rsidRPr="00D10A1B" w:rsidRDefault="00412D45" w:rsidP="00101E94">
            <w:r w:rsidRPr="00D10A1B">
              <w:t>Use in patients with concurrent malignancy or a history of malignancy</w:t>
            </w:r>
          </w:p>
        </w:tc>
      </w:tr>
      <w:tr w:rsidR="00412D45" w:rsidRPr="00D10A1B" w:rsidTr="00101E94">
        <w:tc>
          <w:tcPr>
            <w:tcW w:w="2402" w:type="dxa"/>
            <w:vMerge/>
          </w:tcPr>
          <w:p w:rsidR="00412D45" w:rsidRPr="00D10A1B" w:rsidRDefault="00412D45" w:rsidP="00101E94"/>
        </w:tc>
        <w:tc>
          <w:tcPr>
            <w:tcW w:w="6318" w:type="dxa"/>
          </w:tcPr>
          <w:p w:rsidR="00412D45" w:rsidRPr="00D10A1B" w:rsidRDefault="00412D45" w:rsidP="00101E94">
            <w:r w:rsidRPr="00D10A1B">
              <w:t xml:space="preserve">Use in patients with active infection including HIV, hepatitis </w:t>
            </w:r>
            <w:r w:rsidRPr="00D10A1B">
              <w:lastRenderedPageBreak/>
              <w:t>B, hepatitis C</w:t>
            </w:r>
          </w:p>
        </w:tc>
      </w:tr>
      <w:tr w:rsidR="00412D45" w:rsidRPr="00D10A1B" w:rsidTr="00101E94">
        <w:tc>
          <w:tcPr>
            <w:tcW w:w="2402" w:type="dxa"/>
            <w:vMerge/>
          </w:tcPr>
          <w:p w:rsidR="00412D45" w:rsidRPr="00D10A1B" w:rsidRDefault="00412D45" w:rsidP="00101E94"/>
        </w:tc>
        <w:tc>
          <w:tcPr>
            <w:tcW w:w="6318" w:type="dxa"/>
          </w:tcPr>
          <w:p w:rsidR="00412D45" w:rsidRPr="00D10A1B" w:rsidRDefault="00412D45" w:rsidP="00101E94">
            <w:r w:rsidRPr="00D10A1B">
              <w:t>Use in patients with recent prior use of other biologics excluding anti-TNFα agents</w:t>
            </w:r>
          </w:p>
        </w:tc>
      </w:tr>
      <w:tr w:rsidR="00412D45" w:rsidRPr="00D10A1B" w:rsidTr="00101E94">
        <w:tc>
          <w:tcPr>
            <w:tcW w:w="2402" w:type="dxa"/>
            <w:vMerge/>
          </w:tcPr>
          <w:p w:rsidR="00412D45" w:rsidRPr="00D10A1B" w:rsidRDefault="00412D45" w:rsidP="00101E94"/>
        </w:tc>
        <w:tc>
          <w:tcPr>
            <w:tcW w:w="6318" w:type="dxa"/>
          </w:tcPr>
          <w:p w:rsidR="00412D45" w:rsidRPr="00D10A1B" w:rsidRDefault="00412D45" w:rsidP="00101E94">
            <w:r w:rsidRPr="00D10A1B">
              <w:t>Use in patients with concomitant diagnosis of CHF including medically controlled asymptomatic CHF</w:t>
            </w:r>
          </w:p>
        </w:tc>
      </w:tr>
      <w:tr w:rsidR="00412D45" w:rsidRPr="00D10A1B" w:rsidTr="00101E94">
        <w:tc>
          <w:tcPr>
            <w:tcW w:w="2402" w:type="dxa"/>
            <w:vMerge/>
          </w:tcPr>
          <w:p w:rsidR="00412D45" w:rsidRPr="00D10A1B" w:rsidRDefault="00412D45" w:rsidP="00101E94"/>
        </w:tc>
        <w:tc>
          <w:tcPr>
            <w:tcW w:w="6318" w:type="dxa"/>
          </w:tcPr>
          <w:p w:rsidR="00412D45" w:rsidRPr="00D10A1B" w:rsidRDefault="00412D45" w:rsidP="00101E94">
            <w:r w:rsidRPr="00D10A1B">
              <w:t>Use in</w:t>
            </w:r>
            <w:r w:rsidR="00004149" w:rsidRPr="00D10A1B">
              <w:t xml:space="preserve"> </w:t>
            </w:r>
            <w:r w:rsidRPr="00D10A1B">
              <w:t>patients with a history of demyelinating disease</w:t>
            </w:r>
          </w:p>
        </w:tc>
      </w:tr>
      <w:tr w:rsidR="00412D45" w:rsidRPr="00D10A1B" w:rsidTr="00101E94">
        <w:tc>
          <w:tcPr>
            <w:tcW w:w="2402" w:type="dxa"/>
            <w:vMerge/>
          </w:tcPr>
          <w:p w:rsidR="00412D45" w:rsidRPr="00D10A1B" w:rsidRDefault="00412D45" w:rsidP="00101E94"/>
        </w:tc>
        <w:tc>
          <w:tcPr>
            <w:tcW w:w="6318" w:type="dxa"/>
          </w:tcPr>
          <w:p w:rsidR="00412D45" w:rsidRPr="00D10A1B" w:rsidRDefault="00412D45" w:rsidP="00101E94">
            <w:r w:rsidRPr="00D10A1B">
              <w:t>Use in patients with a history of lupus or lupus-like syndrome</w:t>
            </w:r>
          </w:p>
        </w:tc>
      </w:tr>
      <w:tr w:rsidR="00412D45" w:rsidRPr="00D10A1B" w:rsidTr="00101E94">
        <w:tc>
          <w:tcPr>
            <w:tcW w:w="2402" w:type="dxa"/>
            <w:vMerge/>
          </w:tcPr>
          <w:p w:rsidR="00412D45" w:rsidRPr="00D10A1B" w:rsidRDefault="00412D45" w:rsidP="00101E94"/>
        </w:tc>
        <w:tc>
          <w:tcPr>
            <w:tcW w:w="6318" w:type="dxa"/>
          </w:tcPr>
          <w:p w:rsidR="00412D45" w:rsidRPr="00D10A1B" w:rsidRDefault="00412D45" w:rsidP="00101E94">
            <w:r w:rsidRPr="00D10A1B">
              <w:t>Use in patients after recent vaccination with live bacterial or viral vaccine</w:t>
            </w:r>
          </w:p>
        </w:tc>
      </w:tr>
      <w:tr w:rsidR="00412D45" w:rsidRPr="00D10A1B" w:rsidTr="00101E94">
        <w:tc>
          <w:tcPr>
            <w:tcW w:w="2402" w:type="dxa"/>
            <w:vMerge/>
          </w:tcPr>
          <w:p w:rsidR="00412D45" w:rsidRPr="00D10A1B" w:rsidRDefault="00412D45" w:rsidP="00101E94"/>
        </w:tc>
        <w:tc>
          <w:tcPr>
            <w:tcW w:w="6318" w:type="dxa"/>
          </w:tcPr>
          <w:p w:rsidR="00412D45" w:rsidRPr="00D10A1B" w:rsidRDefault="00412D45" w:rsidP="00101E94">
            <w:r w:rsidRPr="00D10A1B">
              <w:t>Long-term safety data</w:t>
            </w:r>
          </w:p>
        </w:tc>
      </w:tr>
    </w:tbl>
    <w:p w:rsidR="008E7846" w:rsidRDefault="008E7846" w:rsidP="008E7846">
      <w:pPr>
        <w:pStyle w:val="Heading4"/>
        <w:rPr>
          <w:lang w:eastAsia="en-AU"/>
        </w:rPr>
      </w:pPr>
      <w:r>
        <w:rPr>
          <w:lang w:eastAsia="en-AU"/>
        </w:rPr>
        <w:t xml:space="preserve">Pharmacovigilance </w:t>
      </w:r>
      <w:r w:rsidR="003A7F6C">
        <w:rPr>
          <w:lang w:eastAsia="en-AU"/>
        </w:rPr>
        <w:t>p</w:t>
      </w:r>
      <w:r>
        <w:rPr>
          <w:lang w:eastAsia="en-AU"/>
        </w:rPr>
        <w:t>lan</w:t>
      </w:r>
    </w:p>
    <w:p w:rsidR="00412D45" w:rsidRDefault="00412D45" w:rsidP="00412D45">
      <w:pPr>
        <w:rPr>
          <w:b/>
          <w:bCs/>
          <w:lang w:eastAsia="en-AU"/>
        </w:rPr>
      </w:pPr>
      <w:r w:rsidRPr="00412D45">
        <w:rPr>
          <w:lang w:eastAsia="en-AU"/>
        </w:rPr>
        <w:t xml:space="preserve">The sponsor proposes routine and additional </w:t>
      </w:r>
      <w:r w:rsidR="00BA5FC6">
        <w:rPr>
          <w:lang w:eastAsia="en-AU"/>
        </w:rPr>
        <w:t>(</w:t>
      </w:r>
      <w:r w:rsidR="00D10A1B">
        <w:rPr>
          <w:lang w:eastAsia="en-AU"/>
        </w:rPr>
        <w:t>which include a</w:t>
      </w:r>
      <w:r w:rsidR="00BA5FC6">
        <w:rPr>
          <w:lang w:eastAsia="en-AU"/>
        </w:rPr>
        <w:t xml:space="preserve"> follow-up questionnaire and trials, registries and epidemiology studies) </w:t>
      </w:r>
      <w:r w:rsidRPr="00412D45">
        <w:rPr>
          <w:lang w:eastAsia="en-AU"/>
        </w:rPr>
        <w:t xml:space="preserve">pharmacovigilance activities for all safety concerns and missing information. </w:t>
      </w:r>
    </w:p>
    <w:p w:rsidR="008E7846" w:rsidRDefault="008E7846" w:rsidP="008E7846">
      <w:pPr>
        <w:pStyle w:val="Heading4"/>
        <w:rPr>
          <w:lang w:eastAsia="en-AU"/>
        </w:rPr>
      </w:pPr>
      <w:r>
        <w:rPr>
          <w:lang w:eastAsia="en-AU"/>
        </w:rPr>
        <w:t xml:space="preserve">Risk </w:t>
      </w:r>
      <w:r w:rsidR="003A7F6C">
        <w:rPr>
          <w:lang w:eastAsia="en-AU"/>
        </w:rPr>
        <w:t>m</w:t>
      </w:r>
      <w:r>
        <w:rPr>
          <w:lang w:eastAsia="en-AU"/>
        </w:rPr>
        <w:t xml:space="preserve">inimisation </w:t>
      </w:r>
      <w:r w:rsidR="003A7F6C">
        <w:rPr>
          <w:lang w:eastAsia="en-AU"/>
        </w:rPr>
        <w:t>a</w:t>
      </w:r>
      <w:r>
        <w:rPr>
          <w:lang w:eastAsia="en-AU"/>
        </w:rPr>
        <w:t>ctivities</w:t>
      </w:r>
    </w:p>
    <w:p w:rsidR="00412D45" w:rsidRDefault="00412D45" w:rsidP="00412D45">
      <w:pPr>
        <w:rPr>
          <w:lang w:eastAsia="en-AU"/>
        </w:rPr>
      </w:pPr>
      <w:bookmarkStart w:id="78" w:name="_Toc247691527"/>
      <w:r w:rsidRPr="00412D45">
        <w:rPr>
          <w:lang w:eastAsia="en-AU"/>
        </w:rPr>
        <w:t>The sponsor proposes routine and additional risk minimisation activities for A</w:t>
      </w:r>
      <w:r w:rsidR="00BA5FC6">
        <w:rPr>
          <w:lang w:eastAsia="en-AU"/>
        </w:rPr>
        <w:t>ustralia</w:t>
      </w:r>
      <w:r w:rsidRPr="00412D45">
        <w:rPr>
          <w:lang w:eastAsia="en-AU"/>
        </w:rPr>
        <w:t>.</w:t>
      </w:r>
    </w:p>
    <w:p w:rsidR="00BA5FC6" w:rsidRDefault="00BA5FC6" w:rsidP="00BA5FC6">
      <w:r>
        <w:t>The following additional activities are also proposed for Australia:</w:t>
      </w:r>
    </w:p>
    <w:p w:rsidR="00BA5FC6" w:rsidRPr="00F7100D" w:rsidRDefault="00BA5FC6" w:rsidP="00BA5FC6">
      <w:pPr>
        <w:pStyle w:val="ListBullet"/>
      </w:pPr>
      <w:r>
        <w:t xml:space="preserve">An educational program is proposed for the safety concern of serious systemic hypersensitivity (including anaphylactic reaction), skin cancer, serum sickness, and maladministration/administration error. </w:t>
      </w:r>
    </w:p>
    <w:p w:rsidR="00BA5FC6" w:rsidRDefault="00BA5FC6" w:rsidP="00BA5FC6">
      <w:pPr>
        <w:rPr>
          <w:rFonts w:asciiTheme="minorHAnsi" w:hAnsiTheme="minorHAnsi"/>
        </w:rPr>
      </w:pPr>
      <w:r>
        <w:rPr>
          <w:rFonts w:asciiTheme="minorHAnsi" w:hAnsiTheme="minorHAnsi"/>
        </w:rPr>
        <w:t>Also indicated in the ASA, the educational program includes the following for target audiences:</w:t>
      </w:r>
    </w:p>
    <w:p w:rsidR="00BA5FC6" w:rsidRDefault="00BA5FC6" w:rsidP="00101E94">
      <w:pPr>
        <w:pStyle w:val="ListBullet"/>
      </w:pPr>
      <w:r w:rsidRPr="00101E94">
        <w:t>Company medical and commercial personnel</w:t>
      </w:r>
      <w:r w:rsidRPr="00D10A1B">
        <w:rPr>
          <w:i/>
        </w:rPr>
        <w:t>:</w:t>
      </w:r>
      <w:r>
        <w:t xml:space="preserve"> </w:t>
      </w:r>
      <w:r w:rsidRPr="00D02C35">
        <w:t>prepare and implement training programmes with training slides</w:t>
      </w:r>
      <w:r>
        <w:t>.</w:t>
      </w:r>
    </w:p>
    <w:p w:rsidR="00BA5FC6" w:rsidRPr="00D10A1B" w:rsidRDefault="00D10A1B" w:rsidP="00BA5FC6">
      <w:pPr>
        <w:pStyle w:val="ListBullet"/>
        <w:rPr>
          <w:i/>
        </w:rPr>
      </w:pPr>
      <w:r w:rsidRPr="00101E94">
        <w:t>Health Care Professionals (</w:t>
      </w:r>
      <w:r w:rsidR="00BA5FC6" w:rsidRPr="00101E94">
        <w:t>HCPs</w:t>
      </w:r>
      <w:r w:rsidRPr="00101E94">
        <w:t>)</w:t>
      </w:r>
      <w:r w:rsidR="00BA5FC6" w:rsidRPr="00D10A1B">
        <w:rPr>
          <w:i/>
        </w:rPr>
        <w:t xml:space="preserve">: </w:t>
      </w:r>
    </w:p>
    <w:p w:rsidR="00BA5FC6" w:rsidRPr="00516068" w:rsidRDefault="00BA5FC6" w:rsidP="00BA5FC6">
      <w:pPr>
        <w:pStyle w:val="ListBullet2"/>
      </w:pPr>
      <w:r>
        <w:t xml:space="preserve">Include </w:t>
      </w:r>
      <w:proofErr w:type="spellStart"/>
      <w:r w:rsidR="00B96E1C">
        <w:t>Simponi</w:t>
      </w:r>
      <w:proofErr w:type="spellEnd"/>
      <w:r>
        <w:t xml:space="preserve"> information in relevant speaker training sessions, physician training programmes and other educational venues.</w:t>
      </w:r>
    </w:p>
    <w:p w:rsidR="00BA5FC6" w:rsidRPr="00516068" w:rsidRDefault="00BA5FC6" w:rsidP="00BA5FC6">
      <w:pPr>
        <w:pStyle w:val="ListBullet2"/>
      </w:pPr>
      <w:r>
        <w:t xml:space="preserve">On-request availability of Medical Information related to </w:t>
      </w:r>
      <w:proofErr w:type="spellStart"/>
      <w:r w:rsidR="00B96E1C">
        <w:t>Simponi</w:t>
      </w:r>
      <w:proofErr w:type="spellEnd"/>
      <w:r>
        <w:t>.</w:t>
      </w:r>
    </w:p>
    <w:p w:rsidR="00BA5FC6" w:rsidRPr="00516068" w:rsidRDefault="00BA5FC6" w:rsidP="00BA5FC6">
      <w:pPr>
        <w:pStyle w:val="ListBullet2"/>
      </w:pPr>
      <w:r>
        <w:t>Provide a training device and injection instructions which are available in a variety of different mediums to relevant HCPs for appropriate distribution to patients.</w:t>
      </w:r>
    </w:p>
    <w:p w:rsidR="00BA5FC6" w:rsidRPr="00516068" w:rsidRDefault="00BA5FC6" w:rsidP="00BA5FC6">
      <w:pPr>
        <w:pStyle w:val="ListBullet2"/>
      </w:pPr>
      <w:r>
        <w:t>Educational material covering key safety concerns.</w:t>
      </w:r>
    </w:p>
    <w:p w:rsidR="00BA5FC6" w:rsidRDefault="00BA5FC6" w:rsidP="00BA5FC6">
      <w:pPr>
        <w:pStyle w:val="ListBullet"/>
      </w:pPr>
      <w:r w:rsidRPr="00101E94">
        <w:t>Patients</w:t>
      </w:r>
      <w:r>
        <w:t>:</w:t>
      </w:r>
    </w:p>
    <w:p w:rsidR="00D10A1B" w:rsidRDefault="00BA5FC6" w:rsidP="00BA5FC6">
      <w:pPr>
        <w:pStyle w:val="ListBullet2"/>
      </w:pPr>
      <w:r>
        <w:t xml:space="preserve">Patient kit containing information booklet outlining the profile of the product, key safety information and instructions for use of </w:t>
      </w:r>
      <w:proofErr w:type="spellStart"/>
      <w:r w:rsidR="00B96E1C">
        <w:t>Simponi</w:t>
      </w:r>
      <w:proofErr w:type="spellEnd"/>
      <w:r>
        <w:t xml:space="preserve"> including storage is available for patients via the physician. Patients are also provided an opportunity to enrol in a patient support program</w:t>
      </w:r>
      <w:r w:rsidR="00D10A1B">
        <w:t>.</w:t>
      </w:r>
    </w:p>
    <w:p w:rsidR="00BA5FC6" w:rsidRPr="00A04621" w:rsidRDefault="00BA5FC6" w:rsidP="00D10A1B">
      <w:pPr>
        <w:pStyle w:val="ListBullet"/>
      </w:pPr>
      <w:r w:rsidRPr="00101E94">
        <w:lastRenderedPageBreak/>
        <w:t>Simply for Me Patient Support Program (PSP)</w:t>
      </w:r>
      <w:r>
        <w:t xml:space="preserve"> consists of:</w:t>
      </w:r>
    </w:p>
    <w:p w:rsidR="00BA5FC6" w:rsidRPr="00CA50B2" w:rsidRDefault="00BA5FC6" w:rsidP="00BA5FC6">
      <w:pPr>
        <w:pStyle w:val="ListBullet2"/>
      </w:pPr>
      <w:r>
        <w:t>Nurse support by a team of trained and qualified nurses providing correct self-injecting technique, including patient self-care and expectation after each self-injection.</w:t>
      </w:r>
    </w:p>
    <w:p w:rsidR="00BA5FC6" w:rsidRPr="00CA50B2" w:rsidRDefault="00BA5FC6" w:rsidP="00BA5FC6">
      <w:pPr>
        <w:pStyle w:val="ListBullet2"/>
      </w:pPr>
      <w:r>
        <w:t xml:space="preserve">Medication reminder service providing an SMS, email or phone call to patients prescribed </w:t>
      </w:r>
      <w:proofErr w:type="spellStart"/>
      <w:r w:rsidR="00B96E1C">
        <w:t>Simponi</w:t>
      </w:r>
      <w:proofErr w:type="spellEnd"/>
      <w:r>
        <w:t xml:space="preserve"> to remind them of their next dose.</w:t>
      </w:r>
    </w:p>
    <w:p w:rsidR="00BA5FC6" w:rsidRPr="004A55B1" w:rsidRDefault="00BA5FC6" w:rsidP="00BA5FC6">
      <w:pPr>
        <w:pStyle w:val="ListBullet2"/>
      </w:pPr>
      <w:r>
        <w:t xml:space="preserve">An education resource for patients describing the relevant disease state, information on how to store and how to inject </w:t>
      </w:r>
      <w:proofErr w:type="spellStart"/>
      <w:r w:rsidR="00B96E1C">
        <w:t>Simponi</w:t>
      </w:r>
      <w:proofErr w:type="spellEnd"/>
      <w:r>
        <w:t>, safety information, as well as the Consumer Medicine Information</w:t>
      </w:r>
      <w:r w:rsidR="001E223F">
        <w:t xml:space="preserve"> (CMI)</w:t>
      </w:r>
      <w:r>
        <w:t>.</w:t>
      </w:r>
    </w:p>
    <w:p w:rsidR="00BA5FC6" w:rsidRPr="004A55B1" w:rsidRDefault="00BA5FC6" w:rsidP="00BA5FC6">
      <w:pPr>
        <w:pStyle w:val="ListBullet2"/>
      </w:pPr>
      <w:r w:rsidRPr="004A55B1">
        <w:t xml:space="preserve">On-request availability of Medical Information related to </w:t>
      </w:r>
      <w:proofErr w:type="spellStart"/>
      <w:r w:rsidR="00B96E1C">
        <w:t>Simponi</w:t>
      </w:r>
      <w:proofErr w:type="spellEnd"/>
      <w:r w:rsidRPr="004A55B1">
        <w:t>.</w:t>
      </w:r>
    </w:p>
    <w:p w:rsidR="00BA5FC6" w:rsidRDefault="00BA5FC6" w:rsidP="00BA5FC6">
      <w:pPr>
        <w:rPr>
          <w:b/>
          <w:bCs/>
          <w:lang w:eastAsia="en-AU"/>
        </w:rPr>
      </w:pPr>
      <w:r>
        <w:t>It is noted in the ASA that t</w:t>
      </w:r>
      <w:r w:rsidRPr="00117A00">
        <w:t xml:space="preserve">he sponsor </w:t>
      </w:r>
      <w:r>
        <w:t xml:space="preserve">has advised that a </w:t>
      </w:r>
      <w:r w:rsidR="00286EF7">
        <w:t>Patient Alert Card (</w:t>
      </w:r>
      <w:r>
        <w:t>PAC</w:t>
      </w:r>
      <w:r w:rsidR="00286EF7">
        <w:t>)</w:t>
      </w:r>
      <w:r>
        <w:t xml:space="preserve"> (proposed in the EU) will not be used in Australia.</w:t>
      </w:r>
    </w:p>
    <w:p w:rsidR="006F25B8" w:rsidRDefault="006F25B8" w:rsidP="006F25B8">
      <w:pPr>
        <w:pStyle w:val="Heading4"/>
        <w:rPr>
          <w:lang w:eastAsia="en-AU"/>
        </w:rPr>
      </w:pPr>
      <w:r w:rsidRPr="006F25B8">
        <w:rPr>
          <w:lang w:eastAsia="en-AU"/>
        </w:rPr>
        <w:t xml:space="preserve">Reconciliation of issues outlined in the RMP report </w:t>
      </w:r>
    </w:p>
    <w:p w:rsidR="006F25B8" w:rsidRDefault="006F25B8" w:rsidP="006F25B8">
      <w:pPr>
        <w:rPr>
          <w:lang w:eastAsia="en-AU"/>
        </w:rPr>
      </w:pPr>
      <w:r>
        <w:rPr>
          <w:lang w:eastAsia="en-AU"/>
        </w:rPr>
        <w:t xml:space="preserve">Table </w:t>
      </w:r>
      <w:r w:rsidR="001E223F">
        <w:rPr>
          <w:lang w:eastAsia="en-AU"/>
        </w:rPr>
        <w:t>2</w:t>
      </w:r>
      <w:r>
        <w:rPr>
          <w:lang w:eastAsia="en-AU"/>
        </w:rPr>
        <w:t xml:space="preserve"> summarises the OPR’s first round evaluation of the RMP, the sponsor’s responses to issues raised by the OPR and the OPR’s evaluation of the sponsor’s responses.</w:t>
      </w:r>
      <w:r w:rsidR="001E223F">
        <w:rPr>
          <w:lang w:eastAsia="en-AU"/>
        </w:rPr>
        <w:t>’</w:t>
      </w:r>
    </w:p>
    <w:p w:rsidR="00286EF7" w:rsidRPr="00502C09" w:rsidRDefault="001E223F" w:rsidP="001E223F">
      <w:pPr>
        <w:pStyle w:val="TableTitle"/>
      </w:pPr>
      <w:r>
        <w:t xml:space="preserve">Table 2: </w:t>
      </w:r>
      <w:r w:rsidR="00286EF7" w:rsidRPr="00502C09">
        <w:t>Reconciliation of issues outlined in the RMP Evaluation Report (Round 1)</w:t>
      </w:r>
    </w:p>
    <w:tbl>
      <w:tblPr>
        <w:tblStyle w:val="TableTGAblue"/>
        <w:tblW w:w="5000" w:type="pct"/>
        <w:jc w:val="center"/>
        <w:tblLayout w:type="fixed"/>
        <w:tblCellMar>
          <w:top w:w="28" w:type="dxa"/>
          <w:bottom w:w="28" w:type="dxa"/>
        </w:tblCellMar>
        <w:tblLook w:val="04A0" w:firstRow="1" w:lastRow="0" w:firstColumn="1" w:lastColumn="0" w:noHBand="0" w:noVBand="1"/>
      </w:tblPr>
      <w:tblGrid>
        <w:gridCol w:w="2238"/>
        <w:gridCol w:w="3683"/>
        <w:gridCol w:w="2799"/>
      </w:tblGrid>
      <w:tr w:rsidR="00286EF7" w:rsidRPr="00186B57" w:rsidTr="00186B57">
        <w:trPr>
          <w:cnfStyle w:val="100000000000" w:firstRow="1" w:lastRow="0" w:firstColumn="0" w:lastColumn="0" w:oddVBand="0" w:evenVBand="0" w:oddHBand="0" w:evenHBand="0" w:firstRowFirstColumn="0" w:firstRowLastColumn="0" w:lastRowFirstColumn="0" w:lastRowLastColumn="0"/>
          <w:jc w:val="center"/>
        </w:trPr>
        <w:tc>
          <w:tcPr>
            <w:tcW w:w="1283" w:type="pct"/>
            <w:noWrap/>
          </w:tcPr>
          <w:p w:rsidR="00286EF7" w:rsidRPr="00186B57" w:rsidRDefault="00286EF7" w:rsidP="00101E94">
            <w:r w:rsidRPr="00186B57">
              <w:t>Recommendation in RMP evaluation report</w:t>
            </w:r>
          </w:p>
        </w:tc>
        <w:tc>
          <w:tcPr>
            <w:tcW w:w="2112" w:type="pct"/>
            <w:noWrap/>
          </w:tcPr>
          <w:p w:rsidR="00286EF7" w:rsidRPr="00186B57" w:rsidRDefault="00286EF7" w:rsidP="00101E94">
            <w:pPr>
              <w:rPr>
                <w:b w:val="0"/>
                <w:i/>
              </w:rPr>
            </w:pPr>
            <w:r w:rsidRPr="00186B57">
              <w:rPr>
                <w:i/>
              </w:rPr>
              <w:t>Sponsor’s response (or summary of the response)</w:t>
            </w:r>
          </w:p>
          <w:p w:rsidR="00286EF7" w:rsidRPr="00186B57" w:rsidRDefault="00286EF7" w:rsidP="00101E94"/>
        </w:tc>
        <w:tc>
          <w:tcPr>
            <w:tcW w:w="1606" w:type="pct"/>
            <w:noWrap/>
          </w:tcPr>
          <w:p w:rsidR="00286EF7" w:rsidRPr="00186B57" w:rsidRDefault="00286EF7" w:rsidP="00101E94">
            <w:r w:rsidRPr="00186B57">
              <w:t>RMP evaluator’s comment</w:t>
            </w:r>
          </w:p>
        </w:tc>
      </w:tr>
      <w:tr w:rsidR="00286EF7" w:rsidRPr="00186B57" w:rsidTr="00186B57">
        <w:trPr>
          <w:jc w:val="center"/>
        </w:trPr>
        <w:tc>
          <w:tcPr>
            <w:tcW w:w="3394" w:type="pct"/>
            <w:gridSpan w:val="2"/>
            <w:tcBorders>
              <w:top w:val="single" w:sz="8" w:space="0" w:color="000000" w:themeColor="text1"/>
              <w:left w:val="single" w:sz="8" w:space="0" w:color="000000" w:themeColor="text1"/>
              <w:bottom w:val="dotted" w:sz="2" w:space="0" w:color="auto"/>
              <w:right w:val="single" w:sz="8" w:space="0" w:color="000000" w:themeColor="text1"/>
            </w:tcBorders>
            <w:noWrap/>
          </w:tcPr>
          <w:p w:rsidR="00286EF7" w:rsidRPr="00186B57" w:rsidRDefault="00286EF7" w:rsidP="00101E94">
            <w:pPr>
              <w:rPr>
                <w:rFonts w:cstheme="majorHAnsi"/>
                <w:color w:val="000000"/>
              </w:rPr>
            </w:pPr>
            <w:r w:rsidRPr="00186B57">
              <w:rPr>
                <w:rFonts w:cstheme="majorHAnsi"/>
                <w:color w:val="000000"/>
              </w:rPr>
              <w:t>Recommendation 1. Safety considerations may be raised by the nonclinical and clinical evaluators through the consolidated section 31 request and/or the Nonclinical and Clinical Evaluation Reports</w:t>
            </w:r>
            <w:r w:rsidRPr="00186B57">
              <w:rPr>
                <w:color w:val="000000"/>
              </w:rPr>
              <w:t xml:space="preserve"> respectively.</w:t>
            </w:r>
            <w:r w:rsidR="00004149" w:rsidRPr="00186B57">
              <w:rPr>
                <w:color w:val="000000"/>
              </w:rPr>
              <w:t xml:space="preserve"> </w:t>
            </w:r>
            <w:r w:rsidRPr="00186B57">
              <w:rPr>
                <w:color w:val="000000"/>
              </w:rPr>
              <w:t>It is important to ensure that the information provided in response to these includes consideration of the relevance for the Risk Management Plan, and any specific information needed to address this issue in the RMP.</w:t>
            </w:r>
            <w:r w:rsidR="00004149" w:rsidRPr="00186B57">
              <w:t xml:space="preserve"> </w:t>
            </w:r>
            <w:r w:rsidRPr="00186B57">
              <w:rPr>
                <w:bCs/>
                <w:color w:val="000000"/>
              </w:rPr>
              <w:t xml:space="preserve">For any safety considerations so raised, </w:t>
            </w:r>
            <w:r w:rsidRPr="00186B57">
              <w:t>the sponsor should</w:t>
            </w:r>
            <w:r w:rsidRPr="00186B57">
              <w:rPr>
                <w:bCs/>
                <w:color w:val="000000"/>
              </w:rPr>
              <w:t xml:space="preserve"> provide information that is relevant and necessary to address the issue in the RMP.</w:t>
            </w:r>
          </w:p>
        </w:tc>
        <w:tc>
          <w:tcPr>
            <w:tcW w:w="1606" w:type="pct"/>
            <w:vMerge w:val="restart"/>
            <w:tcBorders>
              <w:top w:val="single" w:sz="8" w:space="0" w:color="000000" w:themeColor="text1"/>
              <w:left w:val="single" w:sz="8" w:space="0" w:color="000000" w:themeColor="text1"/>
              <w:right w:val="single" w:sz="8" w:space="0" w:color="000000" w:themeColor="text1"/>
            </w:tcBorders>
            <w:noWrap/>
          </w:tcPr>
          <w:p w:rsidR="00286EF7" w:rsidRPr="00186B57" w:rsidRDefault="00286EF7" w:rsidP="00101E94">
            <w:r w:rsidRPr="00186B57">
              <w:t>No issues were raised in the Clinical Evaluation Report</w:t>
            </w:r>
            <w:r w:rsidR="001E223F" w:rsidRPr="00186B57">
              <w:t>.</w:t>
            </w:r>
            <w:r w:rsidRPr="00186B57">
              <w:t xml:space="preserve"> Therefore no further action was required by the sponsor.</w:t>
            </w:r>
          </w:p>
        </w:tc>
      </w:tr>
      <w:tr w:rsidR="00286EF7" w:rsidRPr="00186B57" w:rsidTr="00186B57">
        <w:trPr>
          <w:jc w:val="center"/>
        </w:trPr>
        <w:tc>
          <w:tcPr>
            <w:tcW w:w="3394" w:type="pct"/>
            <w:gridSpan w:val="2"/>
            <w:tcBorders>
              <w:top w:val="dotted" w:sz="2" w:space="0" w:color="auto"/>
              <w:left w:val="single" w:sz="8" w:space="0" w:color="000000" w:themeColor="text1"/>
              <w:bottom w:val="single" w:sz="8" w:space="0" w:color="000000" w:themeColor="text1"/>
              <w:right w:val="single" w:sz="8" w:space="0" w:color="000000" w:themeColor="text1"/>
            </w:tcBorders>
            <w:noWrap/>
          </w:tcPr>
          <w:p w:rsidR="00286EF7" w:rsidRPr="00186B57" w:rsidRDefault="00286EF7" w:rsidP="00101E94">
            <w:pPr>
              <w:rPr>
                <w:i/>
              </w:rPr>
            </w:pPr>
            <w:r w:rsidRPr="00186B57">
              <w:rPr>
                <w:i/>
              </w:rPr>
              <w:t xml:space="preserve">Sponsor response: The sponsor committed to considering any issues </w:t>
            </w:r>
            <w:proofErr w:type="gramStart"/>
            <w:r w:rsidRPr="00186B57">
              <w:rPr>
                <w:i/>
              </w:rPr>
              <w:t>raised</w:t>
            </w:r>
            <w:proofErr w:type="gramEnd"/>
            <w:r w:rsidRPr="00186B57">
              <w:rPr>
                <w:i/>
              </w:rPr>
              <w:t xml:space="preserve"> in the Clinical Evaluation Report.</w:t>
            </w:r>
          </w:p>
        </w:tc>
        <w:tc>
          <w:tcPr>
            <w:tcW w:w="1606" w:type="pct"/>
            <w:vMerge/>
            <w:tcBorders>
              <w:left w:val="single" w:sz="8" w:space="0" w:color="000000" w:themeColor="text1"/>
              <w:bottom w:val="single" w:sz="8" w:space="0" w:color="000000" w:themeColor="text1"/>
              <w:right w:val="single" w:sz="8" w:space="0" w:color="000000" w:themeColor="text1"/>
            </w:tcBorders>
            <w:noWrap/>
          </w:tcPr>
          <w:p w:rsidR="00286EF7" w:rsidRPr="00186B57" w:rsidRDefault="00286EF7" w:rsidP="00101E94"/>
        </w:tc>
      </w:tr>
      <w:tr w:rsidR="00286EF7" w:rsidRPr="00186B57" w:rsidTr="00186B57">
        <w:trPr>
          <w:jc w:val="center"/>
        </w:trPr>
        <w:tc>
          <w:tcPr>
            <w:tcW w:w="3394" w:type="pct"/>
            <w:gridSpan w:val="2"/>
            <w:tcBorders>
              <w:top w:val="single" w:sz="8" w:space="0" w:color="000000" w:themeColor="text1"/>
              <w:left w:val="single" w:sz="8" w:space="0" w:color="000000" w:themeColor="text1"/>
              <w:bottom w:val="dotted" w:sz="2" w:space="0" w:color="auto"/>
              <w:right w:val="single" w:sz="8" w:space="0" w:color="000000" w:themeColor="text1"/>
            </w:tcBorders>
            <w:noWrap/>
          </w:tcPr>
          <w:p w:rsidR="00286EF7" w:rsidRPr="00186B57" w:rsidRDefault="00286EF7" w:rsidP="00101E94">
            <w:pPr>
              <w:rPr>
                <w:i/>
              </w:rPr>
            </w:pPr>
            <w:r w:rsidRPr="00186B57">
              <w:rPr>
                <w:rFonts w:cstheme="majorHAnsi"/>
                <w:color w:val="000000"/>
              </w:rPr>
              <w:t xml:space="preserve">Recommendation 2. </w:t>
            </w:r>
            <w:r w:rsidRPr="00186B57">
              <w:t xml:space="preserve">According to the EU RMP, the final report for </w:t>
            </w:r>
            <w:r w:rsidR="001E223F" w:rsidRPr="00186B57">
              <w:t>S</w:t>
            </w:r>
            <w:r w:rsidRPr="00186B57">
              <w:t>tudy C0524T18 is anticipated for February 2016 whereas the ASA identifies the final report being anticipated for July 2015 with a submission date for Australia as September 2015.The dates relating to t</w:t>
            </w:r>
            <w:r w:rsidR="001E223F" w:rsidRPr="00186B57">
              <w:t>he completion and reporting of S</w:t>
            </w:r>
            <w:r w:rsidRPr="00186B57">
              <w:t>tudy C0524T18 should be corrected in the next RMP/ASA submission.</w:t>
            </w:r>
          </w:p>
        </w:tc>
        <w:tc>
          <w:tcPr>
            <w:tcW w:w="1606" w:type="pct"/>
            <w:vMerge w:val="restart"/>
            <w:tcBorders>
              <w:top w:val="single" w:sz="8" w:space="0" w:color="000000" w:themeColor="text1"/>
              <w:left w:val="single" w:sz="8" w:space="0" w:color="000000" w:themeColor="text1"/>
              <w:right w:val="single" w:sz="8" w:space="0" w:color="000000" w:themeColor="text1"/>
            </w:tcBorders>
            <w:noWrap/>
          </w:tcPr>
          <w:p w:rsidR="00286EF7" w:rsidRPr="00186B57" w:rsidRDefault="00286EF7" w:rsidP="00101E94">
            <w:r w:rsidRPr="00186B57">
              <w:t>The date has been updated in the ASA to Feb</w:t>
            </w:r>
            <w:r w:rsidR="001E223F" w:rsidRPr="00186B57">
              <w:t>ruary</w:t>
            </w:r>
            <w:r w:rsidRPr="00186B57">
              <w:t xml:space="preserve"> 2016 and the study is reported as complete. </w:t>
            </w:r>
          </w:p>
          <w:p w:rsidR="00286EF7" w:rsidRPr="00186B57" w:rsidRDefault="00286EF7" w:rsidP="00101E94">
            <w:r w:rsidRPr="00186B57">
              <w:t xml:space="preserve">The sponsor is reminded that the results of pharmacovigilance activities should be reported to the TGA in </w:t>
            </w:r>
            <w:r w:rsidRPr="00186B57">
              <w:lastRenderedPageBreak/>
              <w:t>an appropriate and timely manner.</w:t>
            </w:r>
          </w:p>
        </w:tc>
      </w:tr>
      <w:tr w:rsidR="00286EF7" w:rsidRPr="00186B57" w:rsidTr="00186B57">
        <w:trPr>
          <w:jc w:val="center"/>
        </w:trPr>
        <w:tc>
          <w:tcPr>
            <w:tcW w:w="3394" w:type="pct"/>
            <w:gridSpan w:val="2"/>
            <w:tcBorders>
              <w:top w:val="dotted" w:sz="2" w:space="0" w:color="auto"/>
              <w:left w:val="single" w:sz="8" w:space="0" w:color="000000" w:themeColor="text1"/>
              <w:bottom w:val="single" w:sz="8" w:space="0" w:color="000000" w:themeColor="text1"/>
              <w:right w:val="single" w:sz="8" w:space="0" w:color="000000" w:themeColor="text1"/>
            </w:tcBorders>
            <w:noWrap/>
          </w:tcPr>
          <w:p w:rsidR="00286EF7" w:rsidRPr="00186B57" w:rsidRDefault="00286EF7" w:rsidP="00101E94">
            <w:pPr>
              <w:rPr>
                <w:i/>
              </w:rPr>
            </w:pPr>
            <w:r w:rsidRPr="00186B57">
              <w:rPr>
                <w:i/>
              </w:rPr>
              <w:t>Sponsor response:</w:t>
            </w:r>
            <w:r w:rsidRPr="00186B57">
              <w:rPr>
                <w:rFonts w:eastAsiaTheme="minorHAnsi" w:cs="TimesNewRomanPSMT"/>
                <w:i/>
              </w:rPr>
              <w:t xml:space="preserve"> The ASA has been updated and is included with this response. The dates relating to t</w:t>
            </w:r>
            <w:r w:rsidR="001E223F" w:rsidRPr="00186B57">
              <w:rPr>
                <w:rFonts w:eastAsiaTheme="minorHAnsi" w:cs="TimesNewRomanPSMT"/>
                <w:i/>
              </w:rPr>
              <w:t>he completion and reporting of S</w:t>
            </w:r>
            <w:r w:rsidRPr="00186B57">
              <w:rPr>
                <w:rFonts w:eastAsiaTheme="minorHAnsi" w:cs="TimesNewRomanPSMT"/>
                <w:i/>
              </w:rPr>
              <w:t xml:space="preserve">tudy C0524T18 have been </w:t>
            </w:r>
            <w:r w:rsidRPr="00186B57">
              <w:rPr>
                <w:rFonts w:eastAsiaTheme="minorHAnsi" w:cs="TimesNewRomanPSMT"/>
                <w:i/>
              </w:rPr>
              <w:lastRenderedPageBreak/>
              <w:t>corrected in this version of the ASA.</w:t>
            </w:r>
          </w:p>
        </w:tc>
        <w:tc>
          <w:tcPr>
            <w:tcW w:w="1606" w:type="pct"/>
            <w:vMerge/>
            <w:tcBorders>
              <w:left w:val="single" w:sz="8" w:space="0" w:color="000000" w:themeColor="text1"/>
              <w:bottom w:val="single" w:sz="8" w:space="0" w:color="000000" w:themeColor="text1"/>
              <w:right w:val="single" w:sz="8" w:space="0" w:color="000000" w:themeColor="text1"/>
            </w:tcBorders>
            <w:noWrap/>
          </w:tcPr>
          <w:p w:rsidR="00286EF7" w:rsidRPr="00186B57" w:rsidRDefault="00286EF7" w:rsidP="00101E94"/>
        </w:tc>
      </w:tr>
      <w:tr w:rsidR="00286EF7" w:rsidRPr="00186B57" w:rsidTr="00186B57">
        <w:trPr>
          <w:jc w:val="center"/>
        </w:trPr>
        <w:tc>
          <w:tcPr>
            <w:tcW w:w="3394" w:type="pct"/>
            <w:gridSpan w:val="2"/>
            <w:tcBorders>
              <w:top w:val="single" w:sz="8" w:space="0" w:color="000000" w:themeColor="text1"/>
              <w:left w:val="single" w:sz="8" w:space="0" w:color="000000" w:themeColor="text1"/>
              <w:bottom w:val="dotted" w:sz="2" w:space="0" w:color="auto"/>
              <w:right w:val="single" w:sz="8" w:space="0" w:color="000000" w:themeColor="text1"/>
            </w:tcBorders>
            <w:noWrap/>
          </w:tcPr>
          <w:p w:rsidR="00286EF7" w:rsidRPr="00186B57" w:rsidRDefault="00286EF7" w:rsidP="00101E94">
            <w:r w:rsidRPr="00186B57">
              <w:rPr>
                <w:rFonts w:cstheme="majorHAnsi"/>
                <w:color w:val="000000"/>
              </w:rPr>
              <w:lastRenderedPageBreak/>
              <w:t xml:space="preserve">Recommendation 3. </w:t>
            </w:r>
            <w:r w:rsidRPr="00186B57">
              <w:rPr>
                <w:rFonts w:cstheme="minorHAnsi"/>
              </w:rPr>
              <w:t xml:space="preserve">It is noted that the educational material provided in the RMP at Annex 11 is that of the EU, referring to the PAC which is not being provided in Australia. The educational material at Annex 11 also does not mention any change related to this application, being the extension of indications to include </w:t>
            </w:r>
            <w:r w:rsidRPr="00186B57">
              <w:t xml:space="preserve">nr-Axial </w:t>
            </w:r>
            <w:proofErr w:type="spellStart"/>
            <w:r w:rsidRPr="00186B57">
              <w:t>SpA</w:t>
            </w:r>
            <w:proofErr w:type="spellEnd"/>
            <w:r w:rsidRPr="00186B57">
              <w:t>. Updated materials should be provided to the TGA as relevant for Australia.</w:t>
            </w:r>
          </w:p>
        </w:tc>
        <w:tc>
          <w:tcPr>
            <w:tcW w:w="1606" w:type="pct"/>
            <w:vMerge w:val="restart"/>
            <w:tcBorders>
              <w:top w:val="single" w:sz="8" w:space="0" w:color="000000" w:themeColor="text1"/>
              <w:left w:val="single" w:sz="8" w:space="0" w:color="000000" w:themeColor="text1"/>
              <w:right w:val="single" w:sz="8" w:space="0" w:color="000000" w:themeColor="text1"/>
            </w:tcBorders>
            <w:noWrap/>
          </w:tcPr>
          <w:p w:rsidR="00286EF7" w:rsidRPr="00186B57" w:rsidRDefault="00286EF7" w:rsidP="00101E94">
            <w:r w:rsidRPr="00186B57">
              <w:t>Draft Australian educational materials have been provided.</w:t>
            </w:r>
          </w:p>
          <w:p w:rsidR="00286EF7" w:rsidRPr="00186B57" w:rsidRDefault="001E223F" w:rsidP="00101E94">
            <w:r w:rsidRPr="00186B57">
              <w:t>The s</w:t>
            </w:r>
            <w:r w:rsidR="00286EF7" w:rsidRPr="00186B57">
              <w:t xml:space="preserve">ponsor should indicate how the Australian educational materials will change with the proposed extension of indications. </w:t>
            </w:r>
          </w:p>
        </w:tc>
      </w:tr>
      <w:tr w:rsidR="00286EF7" w:rsidRPr="00186B57" w:rsidTr="00186B57">
        <w:trPr>
          <w:jc w:val="center"/>
        </w:trPr>
        <w:tc>
          <w:tcPr>
            <w:tcW w:w="3394" w:type="pct"/>
            <w:gridSpan w:val="2"/>
            <w:tcBorders>
              <w:top w:val="dotted" w:sz="2" w:space="0" w:color="auto"/>
              <w:left w:val="single" w:sz="8" w:space="0" w:color="000000" w:themeColor="text1"/>
              <w:bottom w:val="single" w:sz="8" w:space="0" w:color="000000" w:themeColor="text1"/>
              <w:right w:val="single" w:sz="8" w:space="0" w:color="000000" w:themeColor="text1"/>
            </w:tcBorders>
            <w:noWrap/>
          </w:tcPr>
          <w:p w:rsidR="00286EF7" w:rsidRPr="00186B57" w:rsidRDefault="00286EF7" w:rsidP="00101E94">
            <w:pPr>
              <w:rPr>
                <w:rFonts w:eastAsiaTheme="minorHAnsi" w:cs="TimesNewRomanPSMT"/>
                <w:i/>
              </w:rPr>
            </w:pPr>
            <w:r w:rsidRPr="00186B57">
              <w:rPr>
                <w:i/>
              </w:rPr>
              <w:t>Sponsor response:</w:t>
            </w:r>
            <w:r w:rsidRPr="00186B57">
              <w:rPr>
                <w:rFonts w:eastAsiaTheme="minorHAnsi" w:cs="TimesNewRomanPSMT"/>
                <w:i/>
              </w:rPr>
              <w:t xml:space="preserve"> Janssen will update the Australian </w:t>
            </w:r>
            <w:r w:rsidR="001E223F" w:rsidRPr="00186B57">
              <w:rPr>
                <w:rFonts w:eastAsiaTheme="minorHAnsi" w:cs="TimesNewRomanPSMT"/>
                <w:i/>
              </w:rPr>
              <w:t>PI</w:t>
            </w:r>
            <w:r w:rsidRPr="00186B57">
              <w:rPr>
                <w:rFonts w:eastAsiaTheme="minorHAnsi" w:cs="TimesNewRomanPSMT"/>
                <w:i/>
              </w:rPr>
              <w:t xml:space="preserve"> (AU PI), CMI and HCP booklets on approval of the nr-Axial </w:t>
            </w:r>
            <w:proofErr w:type="spellStart"/>
            <w:r w:rsidRPr="00186B57">
              <w:rPr>
                <w:rFonts w:eastAsiaTheme="minorHAnsi" w:cs="TimesNewRomanPSMT"/>
                <w:i/>
              </w:rPr>
              <w:t>SpA</w:t>
            </w:r>
            <w:proofErr w:type="spellEnd"/>
            <w:r w:rsidRPr="00186B57">
              <w:rPr>
                <w:rFonts w:eastAsiaTheme="minorHAnsi" w:cs="TimesNewRomanPSMT"/>
                <w:i/>
              </w:rPr>
              <w:t xml:space="preserve"> indication for </w:t>
            </w:r>
            <w:proofErr w:type="spellStart"/>
            <w:r w:rsidR="00B96E1C" w:rsidRPr="00186B57">
              <w:rPr>
                <w:rFonts w:eastAsiaTheme="minorHAnsi" w:cs="TimesNewRomanPSMT"/>
                <w:i/>
              </w:rPr>
              <w:t>Simponi</w:t>
            </w:r>
            <w:proofErr w:type="spellEnd"/>
            <w:r w:rsidRPr="00186B57">
              <w:rPr>
                <w:rFonts w:eastAsiaTheme="minorHAnsi" w:cs="TimesNewRomanPSMT"/>
                <w:i/>
              </w:rPr>
              <w:t>.</w:t>
            </w:r>
          </w:p>
          <w:p w:rsidR="00286EF7" w:rsidRPr="00186B57" w:rsidRDefault="00286EF7" w:rsidP="00101E94">
            <w:pPr>
              <w:rPr>
                <w:rFonts w:eastAsiaTheme="minorHAnsi" w:cs="TimesNewRomanPSMT"/>
              </w:rPr>
            </w:pPr>
            <w:r w:rsidRPr="00186B57">
              <w:rPr>
                <w:rFonts w:eastAsiaTheme="minorHAnsi" w:cs="TimesNewRomanPSMT"/>
                <w:i/>
              </w:rPr>
              <w:t xml:space="preserve">Annex 10 of the RMP provides details of the Additional Risk Minimisation Activities, and Janssen added </w:t>
            </w:r>
            <w:r w:rsidR="001E223F" w:rsidRPr="00186B57">
              <w:rPr>
                <w:rFonts w:eastAsiaTheme="minorHAnsi" w:cs="TimesNewRomanPSMT"/>
                <w:i/>
              </w:rPr>
              <w:t>‘</w:t>
            </w:r>
            <w:r w:rsidRPr="00186B57">
              <w:rPr>
                <w:rFonts w:eastAsiaTheme="minorHAnsi" w:cs="TimesNewRomanPSMT"/>
                <w:i/>
              </w:rPr>
              <w:t xml:space="preserve">nr-Axial </w:t>
            </w:r>
            <w:proofErr w:type="spellStart"/>
            <w:r w:rsidRPr="00186B57">
              <w:rPr>
                <w:rFonts w:eastAsiaTheme="minorHAnsi" w:cs="TimesNewRomanPSMT"/>
                <w:i/>
              </w:rPr>
              <w:t>SpA</w:t>
            </w:r>
            <w:proofErr w:type="spellEnd"/>
            <w:r w:rsidR="001E223F" w:rsidRPr="00186B57">
              <w:rPr>
                <w:rFonts w:eastAsiaTheme="minorHAnsi" w:cs="TimesNewRomanPSMT"/>
                <w:i/>
              </w:rPr>
              <w:t>’</w:t>
            </w:r>
            <w:r w:rsidRPr="00186B57">
              <w:rPr>
                <w:rFonts w:eastAsiaTheme="minorHAnsi" w:cs="TimesNewRomanPSMT"/>
                <w:i/>
              </w:rPr>
              <w:t xml:space="preserve"> as part of the RMP version update associated with the approval of the indication. Therefore, the use of current educational materials has been extended to HCPs prescribing </w:t>
            </w:r>
            <w:proofErr w:type="spellStart"/>
            <w:r w:rsidR="00B96E1C" w:rsidRPr="00186B57">
              <w:rPr>
                <w:rFonts w:eastAsiaTheme="minorHAnsi" w:cs="TimesNewRomanPSMT"/>
                <w:i/>
              </w:rPr>
              <w:t>Simponi</w:t>
            </w:r>
            <w:proofErr w:type="spellEnd"/>
            <w:r w:rsidRPr="00186B57">
              <w:rPr>
                <w:rFonts w:eastAsiaTheme="minorHAnsi" w:cs="TimesNewRomanPSMT"/>
                <w:i/>
              </w:rPr>
              <w:t xml:space="preserve"> for nr-Axial </w:t>
            </w:r>
            <w:proofErr w:type="spellStart"/>
            <w:r w:rsidRPr="00186B57">
              <w:rPr>
                <w:rFonts w:eastAsiaTheme="minorHAnsi" w:cs="TimesNewRomanPSMT"/>
                <w:i/>
              </w:rPr>
              <w:t>SpA</w:t>
            </w:r>
            <w:proofErr w:type="spellEnd"/>
            <w:r w:rsidRPr="00186B57">
              <w:rPr>
                <w:rFonts w:eastAsiaTheme="minorHAnsi" w:cs="TimesNewRomanPSMT"/>
                <w:i/>
              </w:rPr>
              <w:t xml:space="preserve">. Mock-ups for the educational materials were not available at the time of nr-Axial </w:t>
            </w:r>
            <w:proofErr w:type="spellStart"/>
            <w:r w:rsidRPr="00186B57">
              <w:rPr>
                <w:rFonts w:eastAsiaTheme="minorHAnsi" w:cs="TimesNewRomanPSMT"/>
                <w:i/>
              </w:rPr>
              <w:t>SpA</w:t>
            </w:r>
            <w:proofErr w:type="spellEnd"/>
            <w:r w:rsidRPr="00186B57">
              <w:rPr>
                <w:rFonts w:eastAsiaTheme="minorHAnsi" w:cs="TimesNewRomanPSMT"/>
                <w:i/>
              </w:rPr>
              <w:t xml:space="preserve"> submission in the EU.</w:t>
            </w:r>
          </w:p>
        </w:tc>
        <w:tc>
          <w:tcPr>
            <w:tcW w:w="1606" w:type="pct"/>
            <w:vMerge/>
            <w:tcBorders>
              <w:left w:val="single" w:sz="8" w:space="0" w:color="000000" w:themeColor="text1"/>
              <w:bottom w:val="single" w:sz="8" w:space="0" w:color="000000" w:themeColor="text1"/>
              <w:right w:val="single" w:sz="8" w:space="0" w:color="000000" w:themeColor="text1"/>
            </w:tcBorders>
            <w:noWrap/>
          </w:tcPr>
          <w:p w:rsidR="00286EF7" w:rsidRPr="00186B57" w:rsidRDefault="00286EF7" w:rsidP="00101E94"/>
        </w:tc>
      </w:tr>
      <w:tr w:rsidR="00286EF7" w:rsidRPr="00186B57" w:rsidTr="00186B57">
        <w:trPr>
          <w:jc w:val="center"/>
        </w:trPr>
        <w:tc>
          <w:tcPr>
            <w:tcW w:w="3394" w:type="pct"/>
            <w:gridSpan w:val="2"/>
            <w:tcBorders>
              <w:top w:val="single" w:sz="8" w:space="0" w:color="000000" w:themeColor="text1"/>
              <w:left w:val="single" w:sz="8" w:space="0" w:color="000000" w:themeColor="text1"/>
              <w:bottom w:val="dotted" w:sz="2" w:space="0" w:color="auto"/>
              <w:right w:val="single" w:sz="8" w:space="0" w:color="000000" w:themeColor="text1"/>
            </w:tcBorders>
            <w:noWrap/>
          </w:tcPr>
          <w:p w:rsidR="00286EF7" w:rsidRPr="00186B57" w:rsidRDefault="00286EF7" w:rsidP="00101E94">
            <w:pPr>
              <w:rPr>
                <w:color w:val="FF0000"/>
              </w:rPr>
            </w:pPr>
            <w:r w:rsidRPr="00186B57">
              <w:rPr>
                <w:rFonts w:cstheme="majorHAnsi"/>
                <w:color w:val="000000"/>
              </w:rPr>
              <w:t xml:space="preserve">Recommendation 4. </w:t>
            </w:r>
            <w:r w:rsidRPr="00186B57">
              <w:rPr>
                <w:rFonts w:cstheme="minorHAnsi"/>
              </w:rPr>
              <w:t xml:space="preserve">The approved </w:t>
            </w:r>
            <w:r w:rsidR="00186B57" w:rsidRPr="00186B57">
              <w:rPr>
                <w:rFonts w:cstheme="minorHAnsi"/>
              </w:rPr>
              <w:t>EU Summary of Product Characteristics (</w:t>
            </w:r>
            <w:proofErr w:type="spellStart"/>
            <w:r w:rsidRPr="00186B57">
              <w:rPr>
                <w:rFonts w:cstheme="minorHAnsi"/>
              </w:rPr>
              <w:t>SmPC</w:t>
            </w:r>
            <w:proofErr w:type="spellEnd"/>
            <w:r w:rsidR="00186B57" w:rsidRPr="00186B57">
              <w:rPr>
                <w:rFonts w:cstheme="minorHAnsi"/>
              </w:rPr>
              <w:t>)</w:t>
            </w:r>
            <w:r w:rsidRPr="00186B57">
              <w:rPr>
                <w:rFonts w:cstheme="minorHAnsi"/>
              </w:rPr>
              <w:t xml:space="preserve"> and proposed PI have been reviewed for their consistency. Advice relating to the safety concerns is considered to be generally equivalent in intent from a RMP perspective. However, it is noted that there are some differences in the text advice provided for, but not limited to, the following (based on proposed PI and </w:t>
            </w:r>
            <w:proofErr w:type="spellStart"/>
            <w:r w:rsidRPr="00186B57">
              <w:rPr>
                <w:rFonts w:cstheme="minorHAnsi"/>
              </w:rPr>
              <w:t>SmPC</w:t>
            </w:r>
            <w:proofErr w:type="spellEnd"/>
            <w:r w:rsidRPr="00186B57">
              <w:rPr>
                <w:rFonts w:cstheme="minorHAnsi"/>
              </w:rPr>
              <w:t xml:space="preserve"> for 50 mg solution for injection in pre-filled pen):</w:t>
            </w:r>
            <w:r w:rsidRPr="00186B57">
              <w:rPr>
                <w:color w:val="FF0000"/>
              </w:rPr>
              <w:t xml:space="preserve"> </w:t>
            </w:r>
            <w:r w:rsidRPr="00186B57">
              <w:rPr>
                <w:rFonts w:cstheme="minorHAnsi"/>
              </w:rPr>
              <w:t>Precautions relating to tuberculosis, hepatitis B reactivation, paediatric malignancy, lymphoma and leukaemia, colon dysplasia/carcinoma.</w:t>
            </w:r>
          </w:p>
          <w:p w:rsidR="00286EF7" w:rsidRPr="00186B57" w:rsidRDefault="00286EF7" w:rsidP="00101E94">
            <w:r w:rsidRPr="00186B57">
              <w:rPr>
                <w:rFonts w:cstheme="minorHAnsi"/>
              </w:rPr>
              <w:t xml:space="preserve">Given the differences observed, and in accordance with the RMP guidance, the sponsor should provide a table in the ASA which compares differences (and provides reasoning for such differences) between the risk minimisation advice of the </w:t>
            </w:r>
            <w:proofErr w:type="spellStart"/>
            <w:r w:rsidRPr="00186B57">
              <w:rPr>
                <w:rFonts w:cstheme="minorHAnsi"/>
              </w:rPr>
              <w:t>SmPC</w:t>
            </w:r>
            <w:proofErr w:type="spellEnd"/>
            <w:r w:rsidRPr="00186B57">
              <w:rPr>
                <w:rFonts w:cstheme="minorHAnsi"/>
              </w:rPr>
              <w:t xml:space="preserve"> and PI. Instructions for doing so can be found in the TGA guidance at </w:t>
            </w:r>
            <w:hyperlink r:id="rId15" w:history="1">
              <w:r w:rsidRPr="00186B57">
                <w:rPr>
                  <w:rStyle w:val="Hyperlink"/>
                  <w:rFonts w:asciiTheme="minorHAnsi" w:hAnsiTheme="minorHAnsi" w:cstheme="minorHAnsi"/>
                  <w:sz w:val="20"/>
                  <w:szCs w:val="20"/>
                </w:rPr>
                <w:t>http://www.tga.gov.au/book/australian-specific-annex-template</w:t>
              </w:r>
            </w:hyperlink>
            <w:r w:rsidRPr="00186B57">
              <w:rPr>
                <w:rFonts w:cstheme="minorHAnsi"/>
              </w:rPr>
              <w:t>.</w:t>
            </w:r>
          </w:p>
        </w:tc>
        <w:tc>
          <w:tcPr>
            <w:tcW w:w="1606" w:type="pct"/>
            <w:vMerge w:val="restart"/>
            <w:tcBorders>
              <w:top w:val="single" w:sz="8" w:space="0" w:color="000000" w:themeColor="text1"/>
              <w:left w:val="single" w:sz="8" w:space="0" w:color="000000" w:themeColor="text1"/>
              <w:right w:val="single" w:sz="8" w:space="0" w:color="000000" w:themeColor="text1"/>
            </w:tcBorders>
            <w:noWrap/>
          </w:tcPr>
          <w:p w:rsidR="00286EF7" w:rsidRPr="00186B57" w:rsidRDefault="00286EF7" w:rsidP="00101E94">
            <w:r w:rsidRPr="00186B57">
              <w:t xml:space="preserve">A table has been added in Appendix 5 of the ASA which compares the EU </w:t>
            </w:r>
            <w:proofErr w:type="spellStart"/>
            <w:r w:rsidRPr="00186B57">
              <w:t>SmPC</w:t>
            </w:r>
            <w:proofErr w:type="spellEnd"/>
            <w:r w:rsidRPr="00186B57">
              <w:t xml:space="preserve"> and Australian PI statements. However, this table should include the exact wording as stated in the TGA guidance.</w:t>
            </w:r>
          </w:p>
        </w:tc>
      </w:tr>
      <w:tr w:rsidR="00286EF7" w:rsidRPr="00186B57" w:rsidTr="00186B57">
        <w:trPr>
          <w:jc w:val="center"/>
        </w:trPr>
        <w:tc>
          <w:tcPr>
            <w:tcW w:w="3394" w:type="pct"/>
            <w:gridSpan w:val="2"/>
            <w:tcBorders>
              <w:top w:val="dotted" w:sz="2" w:space="0" w:color="auto"/>
              <w:left w:val="single" w:sz="8" w:space="0" w:color="000000" w:themeColor="text1"/>
              <w:bottom w:val="single" w:sz="8" w:space="0" w:color="000000" w:themeColor="text1"/>
              <w:right w:val="single" w:sz="8" w:space="0" w:color="000000" w:themeColor="text1"/>
            </w:tcBorders>
            <w:noWrap/>
          </w:tcPr>
          <w:p w:rsidR="00286EF7" w:rsidRPr="00186B57" w:rsidRDefault="00286EF7" w:rsidP="00101E94">
            <w:pPr>
              <w:rPr>
                <w:rFonts w:eastAsiaTheme="minorHAnsi" w:cs="TimesNewRomanPSMT"/>
                <w:i/>
              </w:rPr>
            </w:pPr>
            <w:r w:rsidRPr="00186B57">
              <w:rPr>
                <w:i/>
              </w:rPr>
              <w:t>Sponsor response:</w:t>
            </w:r>
            <w:r w:rsidRPr="00186B57">
              <w:rPr>
                <w:rFonts w:eastAsiaTheme="minorHAnsi" w:cs="TimesNewRomanPSMT"/>
                <w:i/>
              </w:rPr>
              <w:t xml:space="preserve"> Janssen has included a summary comparison table of the EU </w:t>
            </w:r>
            <w:proofErr w:type="spellStart"/>
            <w:r w:rsidRPr="00186B57">
              <w:rPr>
                <w:rFonts w:eastAsiaTheme="minorHAnsi" w:cs="TimesNewRomanPSMT"/>
                <w:i/>
              </w:rPr>
              <w:t>SmPC</w:t>
            </w:r>
            <w:proofErr w:type="spellEnd"/>
            <w:r w:rsidRPr="00186B57">
              <w:rPr>
                <w:rFonts w:eastAsiaTheme="minorHAnsi" w:cs="TimesNewRomanPSMT"/>
                <w:i/>
              </w:rPr>
              <w:t xml:space="preserve"> and AU PI text in an </w:t>
            </w:r>
            <w:r w:rsidRPr="00186B57">
              <w:rPr>
                <w:rFonts w:eastAsiaTheme="minorHAnsi" w:cs="TimesNewRomanPSMT"/>
                <w:i/>
              </w:rPr>
              <w:lastRenderedPageBreak/>
              <w:t>updated version of the ASA to the E</w:t>
            </w:r>
            <w:r w:rsidR="00186B57" w:rsidRPr="00186B57">
              <w:rPr>
                <w:rFonts w:eastAsiaTheme="minorHAnsi" w:cs="TimesNewRomanPSMT"/>
                <w:i/>
              </w:rPr>
              <w:t>U</w:t>
            </w:r>
            <w:r w:rsidRPr="00186B57">
              <w:rPr>
                <w:rFonts w:eastAsiaTheme="minorHAnsi" w:cs="TimesNewRomanPSMT"/>
                <w:i/>
              </w:rPr>
              <w:t>-RMP which is included with this response.</w:t>
            </w:r>
          </w:p>
        </w:tc>
        <w:tc>
          <w:tcPr>
            <w:tcW w:w="1606" w:type="pct"/>
            <w:vMerge/>
            <w:tcBorders>
              <w:left w:val="single" w:sz="8" w:space="0" w:color="000000" w:themeColor="text1"/>
              <w:bottom w:val="single" w:sz="8" w:space="0" w:color="000000" w:themeColor="text1"/>
              <w:right w:val="single" w:sz="8" w:space="0" w:color="000000" w:themeColor="text1"/>
            </w:tcBorders>
            <w:noWrap/>
          </w:tcPr>
          <w:p w:rsidR="00286EF7" w:rsidRPr="00186B57" w:rsidRDefault="00286EF7" w:rsidP="00101E94"/>
        </w:tc>
      </w:tr>
      <w:tr w:rsidR="00286EF7" w:rsidRPr="00186B57" w:rsidTr="00186B57">
        <w:trPr>
          <w:jc w:val="center"/>
        </w:trPr>
        <w:tc>
          <w:tcPr>
            <w:tcW w:w="3394" w:type="pct"/>
            <w:gridSpan w:val="2"/>
            <w:tcBorders>
              <w:top w:val="single" w:sz="8" w:space="0" w:color="000000" w:themeColor="text1"/>
              <w:left w:val="single" w:sz="8" w:space="0" w:color="000000" w:themeColor="text1"/>
              <w:bottom w:val="dotted" w:sz="2" w:space="0" w:color="auto"/>
              <w:right w:val="single" w:sz="8" w:space="0" w:color="000000" w:themeColor="text1"/>
            </w:tcBorders>
            <w:noWrap/>
          </w:tcPr>
          <w:p w:rsidR="00286EF7" w:rsidRPr="00186B57" w:rsidRDefault="00286EF7" w:rsidP="00101E94">
            <w:r w:rsidRPr="00186B57">
              <w:rPr>
                <w:rFonts w:cstheme="majorHAnsi"/>
                <w:color w:val="000000"/>
              </w:rPr>
              <w:lastRenderedPageBreak/>
              <w:t xml:space="preserve">Recommendation 5. </w:t>
            </w:r>
            <w:r w:rsidRPr="00186B57">
              <w:t xml:space="preserve">In addition, the </w:t>
            </w:r>
            <w:proofErr w:type="spellStart"/>
            <w:r w:rsidRPr="00186B57">
              <w:t>SmPC</w:t>
            </w:r>
            <w:proofErr w:type="spellEnd"/>
            <w:r w:rsidRPr="00186B57">
              <w:t xml:space="preserve"> includes the following precaution relating to potential for medication error:</w:t>
            </w:r>
          </w:p>
          <w:p w:rsidR="00286EF7" w:rsidRPr="00186B57" w:rsidRDefault="00286EF7" w:rsidP="00101E94">
            <w:pPr>
              <w:rPr>
                <w:i/>
              </w:rPr>
            </w:pPr>
            <w:r w:rsidRPr="00186B57">
              <w:rPr>
                <w:i/>
              </w:rPr>
              <w:t xml:space="preserve">Potential for medication error: </w:t>
            </w:r>
            <w:proofErr w:type="spellStart"/>
            <w:r w:rsidRPr="00186B57">
              <w:rPr>
                <w:i/>
              </w:rPr>
              <w:t>Simponi</w:t>
            </w:r>
            <w:proofErr w:type="spellEnd"/>
            <w:r w:rsidRPr="00186B57">
              <w:rPr>
                <w:i/>
              </w:rPr>
              <w:t xml:space="preserve"> is registered in 50 mg and 100 mg strengths for subcutaneous administration. It is important that the right strength is used to administer the correct dose as indicated in the posology (see section 4.2). Care should be taken to provide the right strength to ensure that patients are not </w:t>
            </w:r>
            <w:proofErr w:type="spellStart"/>
            <w:r w:rsidRPr="00186B57">
              <w:rPr>
                <w:i/>
              </w:rPr>
              <w:t>underdosed</w:t>
            </w:r>
            <w:proofErr w:type="spellEnd"/>
            <w:r w:rsidRPr="00186B57">
              <w:rPr>
                <w:i/>
              </w:rPr>
              <w:t xml:space="preserve"> or overdosed.</w:t>
            </w:r>
          </w:p>
          <w:p w:rsidR="00286EF7" w:rsidRPr="00186B57" w:rsidRDefault="00286EF7" w:rsidP="00101E94">
            <w:r w:rsidRPr="00186B57">
              <w:t>The Delegate may wish to consider whether a similar precaution should be explicitly provided in the PI.</w:t>
            </w:r>
          </w:p>
        </w:tc>
        <w:tc>
          <w:tcPr>
            <w:tcW w:w="1606" w:type="pct"/>
            <w:vMerge w:val="restart"/>
            <w:tcBorders>
              <w:top w:val="single" w:sz="8" w:space="0" w:color="000000" w:themeColor="text1"/>
              <w:left w:val="single" w:sz="8" w:space="0" w:color="000000" w:themeColor="text1"/>
              <w:right w:val="single" w:sz="8" w:space="0" w:color="000000" w:themeColor="text1"/>
            </w:tcBorders>
            <w:noWrap/>
          </w:tcPr>
          <w:p w:rsidR="00286EF7" w:rsidRPr="00186B57" w:rsidRDefault="00286EF7" w:rsidP="00101E94">
            <w:r w:rsidRPr="00186B57">
              <w:t>This recommendation will be retained for the Delegate to consider.</w:t>
            </w:r>
          </w:p>
        </w:tc>
      </w:tr>
      <w:tr w:rsidR="00286EF7" w:rsidRPr="00186B57" w:rsidTr="00186B57">
        <w:trPr>
          <w:jc w:val="center"/>
        </w:trPr>
        <w:tc>
          <w:tcPr>
            <w:tcW w:w="3394" w:type="pct"/>
            <w:gridSpan w:val="2"/>
            <w:tcBorders>
              <w:top w:val="dotted" w:sz="2" w:space="0" w:color="auto"/>
              <w:left w:val="single" w:sz="8" w:space="0" w:color="000000" w:themeColor="text1"/>
              <w:bottom w:val="single" w:sz="8" w:space="0" w:color="000000" w:themeColor="text1"/>
              <w:right w:val="single" w:sz="8" w:space="0" w:color="000000" w:themeColor="text1"/>
            </w:tcBorders>
            <w:noWrap/>
          </w:tcPr>
          <w:p w:rsidR="00286EF7" w:rsidRPr="00186B57" w:rsidRDefault="00286EF7" w:rsidP="00101E94">
            <w:pPr>
              <w:rPr>
                <w:rFonts w:eastAsiaTheme="minorHAnsi" w:cs="TimesNewRomanPSMT"/>
                <w:i/>
              </w:rPr>
            </w:pPr>
            <w:r w:rsidRPr="00186B57">
              <w:rPr>
                <w:i/>
              </w:rPr>
              <w:t>Sponsor response:</w:t>
            </w:r>
            <w:r w:rsidRPr="00186B57">
              <w:rPr>
                <w:rFonts w:eastAsiaTheme="minorHAnsi" w:cs="TimesNewRomanPSMT"/>
                <w:i/>
              </w:rPr>
              <w:t xml:space="preserve"> Janssen acknowledges the RMP Evaluator’s comments and awaits the Delegate’s advice on whether additional statements on the potential for medication error are required.</w:t>
            </w:r>
          </w:p>
          <w:p w:rsidR="00286EF7" w:rsidRPr="00186B57" w:rsidRDefault="00286EF7" w:rsidP="00101E94">
            <w:pPr>
              <w:rPr>
                <w:rFonts w:eastAsiaTheme="minorHAnsi" w:cs="TimesNewRomanPSMT"/>
                <w:i/>
              </w:rPr>
            </w:pPr>
            <w:r w:rsidRPr="00186B57">
              <w:rPr>
                <w:rFonts w:eastAsiaTheme="minorHAnsi" w:cs="TimesNewRomanPS-BoldMT"/>
                <w:bCs/>
                <w:i/>
              </w:rPr>
              <w:t>N</w:t>
            </w:r>
            <w:r w:rsidR="00186B57" w:rsidRPr="00186B57">
              <w:rPr>
                <w:rFonts w:eastAsiaTheme="minorHAnsi" w:cs="TimesNewRomanPS-BoldMT"/>
                <w:bCs/>
                <w:i/>
              </w:rPr>
              <w:t>ote</w:t>
            </w:r>
            <w:r w:rsidRPr="00186B57">
              <w:rPr>
                <w:rFonts w:eastAsiaTheme="minorHAnsi" w:cs="TimesNewRomanPS-BoldMT"/>
                <w:bCs/>
                <w:i/>
              </w:rPr>
              <w:t xml:space="preserve"> to Evaluator</w:t>
            </w:r>
            <w:r w:rsidR="00186B57" w:rsidRPr="00186B57">
              <w:rPr>
                <w:rFonts w:eastAsiaTheme="minorHAnsi" w:cs="TimesNewRomanPS-BoldMT"/>
                <w:bCs/>
                <w:i/>
              </w:rPr>
              <w:t>:</w:t>
            </w:r>
            <w:r w:rsidRPr="00186B57">
              <w:rPr>
                <w:rFonts w:eastAsiaTheme="minorHAnsi" w:cs="TimesNewRomanPSMT"/>
                <w:i/>
              </w:rPr>
              <w:t xml:space="preserve"> As the EU-RMP v15.0 has recently become available</w:t>
            </w:r>
            <w:r w:rsidR="00186B57" w:rsidRPr="00186B57">
              <w:rPr>
                <w:rFonts w:eastAsiaTheme="minorHAnsi" w:cs="TimesNewRomanPSMT"/>
                <w:i/>
              </w:rPr>
              <w:t xml:space="preserve"> and</w:t>
            </w:r>
            <w:r w:rsidRPr="00186B57">
              <w:rPr>
                <w:rFonts w:eastAsiaTheme="minorHAnsi" w:cs="TimesNewRomanPSMT"/>
                <w:i/>
              </w:rPr>
              <w:t xml:space="preserve"> Janssen has taken this opportunity to provide this version and has updated the ASA in line with this version.</w:t>
            </w:r>
          </w:p>
        </w:tc>
        <w:tc>
          <w:tcPr>
            <w:tcW w:w="1606" w:type="pct"/>
            <w:vMerge/>
            <w:tcBorders>
              <w:left w:val="single" w:sz="8" w:space="0" w:color="000000" w:themeColor="text1"/>
              <w:bottom w:val="single" w:sz="8" w:space="0" w:color="000000" w:themeColor="text1"/>
              <w:right w:val="single" w:sz="8" w:space="0" w:color="000000" w:themeColor="text1"/>
            </w:tcBorders>
            <w:noWrap/>
          </w:tcPr>
          <w:p w:rsidR="00286EF7" w:rsidRPr="00186B57" w:rsidRDefault="00286EF7" w:rsidP="00101E94"/>
        </w:tc>
      </w:tr>
    </w:tbl>
    <w:p w:rsidR="008E7846" w:rsidRDefault="008E7846" w:rsidP="008E7846">
      <w:pPr>
        <w:pStyle w:val="Heading4"/>
        <w:rPr>
          <w:lang w:eastAsia="en-AU"/>
        </w:rPr>
      </w:pPr>
      <w:r>
        <w:rPr>
          <w:lang w:eastAsia="en-AU"/>
        </w:rPr>
        <w:t xml:space="preserve">Summary of </w:t>
      </w:r>
      <w:r w:rsidR="003A7F6C">
        <w:rPr>
          <w:lang w:eastAsia="en-AU"/>
        </w:rPr>
        <w:t>r</w:t>
      </w:r>
      <w:r>
        <w:rPr>
          <w:lang w:eastAsia="en-AU"/>
        </w:rPr>
        <w:t>ecommendations</w:t>
      </w:r>
    </w:p>
    <w:p w:rsidR="00286EF7" w:rsidRPr="00502C09" w:rsidRDefault="00286EF7" w:rsidP="00286EF7">
      <w:pPr>
        <w:pStyle w:val="Heading5"/>
      </w:pPr>
      <w:bookmarkStart w:id="79" w:name="_Toc314842510"/>
      <w:r w:rsidRPr="00502C09">
        <w:t>Outstanding issues</w:t>
      </w:r>
    </w:p>
    <w:p w:rsidR="00286EF7" w:rsidRPr="00502C09" w:rsidRDefault="00286EF7" w:rsidP="00286EF7">
      <w:pPr>
        <w:pStyle w:val="Heading6"/>
      </w:pPr>
      <w:r w:rsidRPr="00502C09">
        <w:t xml:space="preserve">Issues in relation to the RMP </w:t>
      </w:r>
    </w:p>
    <w:p w:rsidR="00286EF7" w:rsidRDefault="00286EF7" w:rsidP="00286EF7">
      <w:r>
        <w:t>A number of recommendations were not adequately addressed by the sponsor. It is noted that these issues are of relatively minor consequence and the incorporation of these changes into the next scheduled update of the EU-RMP/ASA would be acceptable. The following issues should be addressed:</w:t>
      </w:r>
    </w:p>
    <w:p w:rsidR="00286EF7" w:rsidRPr="00D454BC" w:rsidRDefault="00286EF7" w:rsidP="00286EF7">
      <w:pPr>
        <w:pStyle w:val="ListBullet"/>
      </w:pPr>
      <w:r w:rsidRPr="00101E94">
        <w:rPr>
          <w:b/>
        </w:rPr>
        <w:t>Recommendation 2</w:t>
      </w:r>
      <w:r w:rsidRPr="00D454BC">
        <w:t xml:space="preserve">. The sponsor has indicated that Study C0524T18 was completed in February 2016, with results incorporated into the EU-RMP version 15.0. The sponsor is reminded that the results of pharmacovigilance activities should be reported to the TGA in an appropriate and timely manner (for example through </w:t>
      </w:r>
      <w:r w:rsidR="00FA14AA">
        <w:t>Periodic Safety Update Report (</w:t>
      </w:r>
      <w:r w:rsidRPr="00D454BC">
        <w:t>PSUR</w:t>
      </w:r>
      <w:r w:rsidR="00FA14AA">
        <w:t>)</w:t>
      </w:r>
      <w:r w:rsidRPr="00D454BC">
        <w:t xml:space="preserve"> reporting or as a Safety Related Request).</w:t>
      </w:r>
    </w:p>
    <w:p w:rsidR="00286EF7" w:rsidRPr="00D454BC" w:rsidRDefault="00286EF7" w:rsidP="00286EF7">
      <w:pPr>
        <w:pStyle w:val="ListBullet"/>
      </w:pPr>
      <w:r w:rsidRPr="00101E94">
        <w:rPr>
          <w:b/>
        </w:rPr>
        <w:t>Recommendation 3</w:t>
      </w:r>
      <w:r w:rsidRPr="00D454BC">
        <w:t>. The sponsor should indicate how the draft educational materials for HCPs and patients will be modified to include the proposed indication.</w:t>
      </w:r>
      <w:r>
        <w:t xml:space="preserve"> If </w:t>
      </w:r>
      <w:proofErr w:type="spellStart"/>
      <w:r>
        <w:t>golimumab</w:t>
      </w:r>
      <w:proofErr w:type="spellEnd"/>
      <w:r>
        <w:t xml:space="preserve"> is approved for the proposed indication, the revised educational material should be included as an attachment to the updated ASA.</w:t>
      </w:r>
    </w:p>
    <w:p w:rsidR="00286EF7" w:rsidRPr="00D454BC" w:rsidRDefault="00286EF7" w:rsidP="00286EF7">
      <w:pPr>
        <w:pStyle w:val="ListBullet"/>
      </w:pPr>
      <w:r w:rsidRPr="00101E94">
        <w:rPr>
          <w:b/>
        </w:rPr>
        <w:lastRenderedPageBreak/>
        <w:t>Recommendation 4</w:t>
      </w:r>
      <w:r w:rsidRPr="00D454BC">
        <w:t xml:space="preserve">. The sponsor should modify the table in Appendix 5 of ASA to include the exact wording of the EU </w:t>
      </w:r>
      <w:proofErr w:type="spellStart"/>
      <w:r w:rsidRPr="00D454BC">
        <w:t>SmPC</w:t>
      </w:r>
      <w:proofErr w:type="spellEnd"/>
      <w:r w:rsidRPr="00D454BC">
        <w:t xml:space="preserve"> and Australian PI as indicated in the TGA ASA template.</w:t>
      </w:r>
    </w:p>
    <w:p w:rsidR="00286EF7" w:rsidRPr="00D454BC" w:rsidRDefault="00286EF7" w:rsidP="00286EF7">
      <w:pPr>
        <w:pStyle w:val="ListBullet"/>
      </w:pPr>
      <w:r w:rsidRPr="00101E94">
        <w:rPr>
          <w:b/>
        </w:rPr>
        <w:t>Recommendation 5</w:t>
      </w:r>
      <w:r w:rsidRPr="00D454BC">
        <w:t xml:space="preserve">. The EU </w:t>
      </w:r>
      <w:proofErr w:type="spellStart"/>
      <w:r w:rsidRPr="00D454BC">
        <w:t>SmPC</w:t>
      </w:r>
      <w:proofErr w:type="spellEnd"/>
      <w:r w:rsidRPr="00D454BC">
        <w:t xml:space="preserve"> includes a precaution for </w:t>
      </w:r>
      <w:r w:rsidR="001E223F">
        <w:t>‘</w:t>
      </w:r>
      <w:r w:rsidR="00FA14AA">
        <w:t>P</w:t>
      </w:r>
      <w:r w:rsidRPr="00D454BC">
        <w:t>otential for medication errors</w:t>
      </w:r>
      <w:r w:rsidR="001E223F">
        <w:t>’</w:t>
      </w:r>
      <w:r w:rsidRPr="00D454BC">
        <w:t xml:space="preserve"> without a corresponding warning in the Australian PI. The Delegate should consider whether a similar warning should be included in the Australian PI.</w:t>
      </w:r>
    </w:p>
    <w:p w:rsidR="00286EF7" w:rsidRPr="00502C09" w:rsidRDefault="00286EF7" w:rsidP="00286EF7">
      <w:pPr>
        <w:pStyle w:val="Heading5"/>
      </w:pPr>
      <w:r w:rsidRPr="00502C09">
        <w:t xml:space="preserve">Advice from the </w:t>
      </w:r>
      <w:r w:rsidRPr="00502C09">
        <w:rPr>
          <w:rStyle w:val="st1"/>
          <w:rFonts w:asciiTheme="minorHAnsi" w:hAnsiTheme="minorHAnsi" w:cstheme="majorHAnsi"/>
          <w:color w:val="000000"/>
        </w:rPr>
        <w:t>Advisory Committee on the Safety of Medicines</w:t>
      </w:r>
      <w:r w:rsidRPr="00502C09">
        <w:rPr>
          <w:rStyle w:val="st1"/>
          <w:rFonts w:asciiTheme="minorHAnsi" w:hAnsiTheme="minorHAnsi" w:cstheme="majorHAnsi"/>
          <w:color w:val="222222"/>
        </w:rPr>
        <w:t xml:space="preserve"> (</w:t>
      </w:r>
      <w:r w:rsidRPr="00502C09">
        <w:rPr>
          <w:rStyle w:val="st1"/>
          <w:rFonts w:asciiTheme="minorHAnsi" w:hAnsiTheme="minorHAnsi" w:cstheme="majorHAnsi"/>
          <w:color w:val="000000"/>
        </w:rPr>
        <w:t>ACSOM</w:t>
      </w:r>
      <w:r w:rsidRPr="00502C09">
        <w:rPr>
          <w:rStyle w:val="st1"/>
          <w:rFonts w:asciiTheme="minorHAnsi" w:hAnsiTheme="minorHAnsi" w:cstheme="majorHAnsi"/>
          <w:color w:val="222222"/>
        </w:rPr>
        <w:t>)</w:t>
      </w:r>
    </w:p>
    <w:p w:rsidR="00286EF7" w:rsidRPr="00404D55" w:rsidRDefault="00286EF7" w:rsidP="00FA14AA">
      <w:r w:rsidRPr="00404D55">
        <w:t>ACSOM advice was not sought for this submission.</w:t>
      </w:r>
    </w:p>
    <w:p w:rsidR="00286EF7" w:rsidRPr="00502C09" w:rsidRDefault="00286EF7" w:rsidP="00286EF7">
      <w:pPr>
        <w:pStyle w:val="Heading5"/>
      </w:pPr>
      <w:r w:rsidRPr="00502C09">
        <w:t xml:space="preserve">Key changes to the updated RMP </w:t>
      </w:r>
    </w:p>
    <w:p w:rsidR="00286EF7" w:rsidRPr="0095371D" w:rsidRDefault="00286EF7" w:rsidP="00286EF7">
      <w:r w:rsidRPr="0095371D">
        <w:t>EU-RMP Version 11.4 (dated 14 May 2015, D</w:t>
      </w:r>
      <w:r w:rsidR="00FA14AA">
        <w:t xml:space="preserve">ata </w:t>
      </w:r>
      <w:r w:rsidRPr="0095371D">
        <w:t>L</w:t>
      </w:r>
      <w:r w:rsidR="00FA14AA">
        <w:t xml:space="preserve">ock </w:t>
      </w:r>
      <w:r w:rsidRPr="0095371D">
        <w:t>P</w:t>
      </w:r>
      <w:r w:rsidR="00FA14AA">
        <w:t>oint</w:t>
      </w:r>
      <w:r w:rsidRPr="0095371D">
        <w:t xml:space="preserve"> 6 May 2014) with Australian Specific Annex (ASA) Version 4.0 (dated 13 July 2015)</w:t>
      </w:r>
      <w:r>
        <w:t xml:space="preserve"> </w:t>
      </w:r>
      <w:r w:rsidRPr="0095371D">
        <w:t>has been superseded by:</w:t>
      </w:r>
    </w:p>
    <w:p w:rsidR="00286EF7" w:rsidRPr="0095371D" w:rsidRDefault="00286EF7" w:rsidP="00286EF7">
      <w:r w:rsidRPr="0095371D">
        <w:t xml:space="preserve">EU-RMP Version 15.0 (dated 2 February 2016, DLP 6 October 2015) and Australian Specific Annex Version 4.1 (dated 29 March 2016), which has incorporated </w:t>
      </w:r>
      <w:r w:rsidRPr="0095371D">
        <w:rPr>
          <w:rFonts w:eastAsia="MS Mincho" w:cstheme="minorBidi"/>
        </w:rPr>
        <w:t>the sponsor</w:t>
      </w:r>
      <w:r>
        <w:rPr>
          <w:rFonts w:eastAsia="MS Mincho" w:cstheme="minorBidi"/>
        </w:rPr>
        <w:t>’</w:t>
      </w:r>
      <w:r w:rsidRPr="0095371D">
        <w:rPr>
          <w:rFonts w:eastAsia="MS Mincho" w:cstheme="minorBidi"/>
        </w:rPr>
        <w:t xml:space="preserve">s </w:t>
      </w:r>
      <w:r w:rsidR="00FA14AA">
        <w:t>response to the TGA’s</w:t>
      </w:r>
      <w:r w:rsidRPr="0095371D">
        <w:t xml:space="preserve"> requests. Key changes from the version evaluated </w:t>
      </w:r>
      <w:r w:rsidR="00FA14AA">
        <w:t>in the first round evaluation</w:t>
      </w:r>
      <w:r w:rsidRPr="0095371D">
        <w:t xml:space="preserve"> are summarised below:</w:t>
      </w:r>
    </w:p>
    <w:tbl>
      <w:tblPr>
        <w:tblStyle w:val="TableTGAblue1"/>
        <w:tblW w:w="0" w:type="auto"/>
        <w:tblLook w:val="04A0" w:firstRow="1" w:lastRow="0" w:firstColumn="1" w:lastColumn="0" w:noHBand="0" w:noVBand="1"/>
      </w:tblPr>
      <w:tblGrid>
        <w:gridCol w:w="2122"/>
        <w:gridCol w:w="6598"/>
      </w:tblGrid>
      <w:tr w:rsidR="00286EF7" w:rsidRPr="00FA14AA" w:rsidTr="0028583A">
        <w:trPr>
          <w:cnfStyle w:val="100000000000" w:firstRow="1" w:lastRow="0" w:firstColumn="0" w:lastColumn="0" w:oddVBand="0" w:evenVBand="0" w:oddHBand="0" w:evenHBand="0" w:firstRowFirstColumn="0" w:firstRowLastColumn="0" w:lastRowFirstColumn="0" w:lastRowLastColumn="0"/>
          <w:cantSplit/>
          <w:trHeight w:val="274"/>
          <w:tblHeader/>
        </w:trPr>
        <w:tc>
          <w:tcPr>
            <w:tcW w:w="9854" w:type="dxa"/>
            <w:gridSpan w:val="2"/>
          </w:tcPr>
          <w:p w:rsidR="00286EF7" w:rsidRPr="00FA14AA" w:rsidRDefault="00286EF7" w:rsidP="00101E94">
            <w:pPr>
              <w:rPr>
                <w:lang w:eastAsia="en-AU"/>
              </w:rPr>
            </w:pPr>
            <w:r w:rsidRPr="00FA14AA">
              <w:rPr>
                <w:lang w:eastAsia="en-AU"/>
              </w:rPr>
              <w:t>Summary of</w:t>
            </w:r>
            <w:r w:rsidR="00004149" w:rsidRPr="00FA14AA">
              <w:rPr>
                <w:lang w:eastAsia="en-AU"/>
              </w:rPr>
              <w:t xml:space="preserve"> </w:t>
            </w:r>
            <w:r w:rsidRPr="00FA14AA">
              <w:rPr>
                <w:lang w:eastAsia="en-AU"/>
              </w:rPr>
              <w:t xml:space="preserve">key changes between EU-RMP versions 11.4 and </w:t>
            </w:r>
            <w:proofErr w:type="gramStart"/>
            <w:r w:rsidRPr="00FA14AA">
              <w:rPr>
                <w:lang w:eastAsia="en-AU"/>
              </w:rPr>
              <w:t>15.0,</w:t>
            </w:r>
            <w:proofErr w:type="gramEnd"/>
            <w:r w:rsidRPr="00FA14AA">
              <w:rPr>
                <w:lang w:eastAsia="en-AU"/>
              </w:rPr>
              <w:t xml:space="preserve"> and ASA versions 4.0 and 4.1.</w:t>
            </w:r>
          </w:p>
        </w:tc>
      </w:tr>
      <w:tr w:rsidR="00286EF7" w:rsidRPr="00FA14AA" w:rsidTr="0028583A">
        <w:trPr>
          <w:cantSplit/>
          <w:trHeight w:val="270"/>
        </w:trPr>
        <w:tc>
          <w:tcPr>
            <w:tcW w:w="215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286EF7" w:rsidRPr="00FA14AA" w:rsidRDefault="00286EF7" w:rsidP="00101E94">
            <w:pPr>
              <w:rPr>
                <w:lang w:eastAsia="en-AU"/>
              </w:rPr>
            </w:pPr>
            <w:r w:rsidRPr="00FA14AA">
              <w:rPr>
                <w:lang w:eastAsia="en-AU"/>
              </w:rPr>
              <w:t>Indications</w:t>
            </w:r>
          </w:p>
        </w:tc>
        <w:tc>
          <w:tcPr>
            <w:tcW w:w="770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286EF7" w:rsidRPr="00FA14AA" w:rsidRDefault="00286EF7" w:rsidP="00101E94">
            <w:pPr>
              <w:rPr>
                <w:rFonts w:eastAsia="TimesNewRoman" w:cs="TimesNewRoman"/>
              </w:rPr>
            </w:pPr>
            <w:proofErr w:type="spellStart"/>
            <w:r w:rsidRPr="00FA14AA">
              <w:rPr>
                <w:rFonts w:eastAsia="TimesNewRoman" w:cs="TimesNewRoman"/>
              </w:rPr>
              <w:t>Polyarticular</w:t>
            </w:r>
            <w:proofErr w:type="spellEnd"/>
            <w:r w:rsidRPr="00FA14AA">
              <w:rPr>
                <w:rFonts w:eastAsia="TimesNewRoman" w:cs="TimesNewRoman"/>
              </w:rPr>
              <w:t xml:space="preserve"> juvenile idiopathic arthritis added as a proposed indication (EU)</w:t>
            </w:r>
          </w:p>
        </w:tc>
      </w:tr>
      <w:tr w:rsidR="00286EF7" w:rsidRPr="00FA14AA" w:rsidTr="0028583A">
        <w:trPr>
          <w:cantSplit/>
          <w:trHeight w:val="270"/>
        </w:trPr>
        <w:tc>
          <w:tcPr>
            <w:tcW w:w="2152"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286EF7" w:rsidRPr="00FA14AA" w:rsidRDefault="00286EF7" w:rsidP="00101E94">
            <w:pPr>
              <w:rPr>
                <w:lang w:eastAsia="en-AU"/>
              </w:rPr>
            </w:pPr>
            <w:r w:rsidRPr="00FA14AA">
              <w:rPr>
                <w:lang w:eastAsia="en-AU"/>
              </w:rPr>
              <w:t>Safety specification</w:t>
            </w:r>
          </w:p>
        </w:tc>
        <w:tc>
          <w:tcPr>
            <w:tcW w:w="770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286EF7" w:rsidRPr="00FA14AA" w:rsidRDefault="001E223F" w:rsidP="00101E94">
            <w:r w:rsidRPr="00FA14AA">
              <w:t>‘</w:t>
            </w:r>
            <w:r w:rsidR="00286EF7" w:rsidRPr="00FA14AA">
              <w:t>Sarcoidosis/</w:t>
            </w:r>
            <w:proofErr w:type="spellStart"/>
            <w:r w:rsidR="00286EF7" w:rsidRPr="00FA14AA">
              <w:t>sarcoid</w:t>
            </w:r>
            <w:proofErr w:type="spellEnd"/>
            <w:r w:rsidR="00286EF7" w:rsidRPr="00FA14AA">
              <w:t>-like reaction</w:t>
            </w:r>
            <w:r w:rsidRPr="00FA14AA">
              <w:t>’</w:t>
            </w:r>
            <w:r w:rsidR="00286EF7" w:rsidRPr="00FA14AA">
              <w:t xml:space="preserve"> changed from a potential risk to an identified risk.</w:t>
            </w:r>
          </w:p>
          <w:p w:rsidR="00286EF7" w:rsidRPr="00FA14AA" w:rsidRDefault="001E223F" w:rsidP="00101E94">
            <w:r w:rsidRPr="00FA14AA">
              <w:t>‘</w:t>
            </w:r>
            <w:r w:rsidR="00286EF7" w:rsidRPr="00FA14AA">
              <w:t>Leukaemia</w:t>
            </w:r>
            <w:r w:rsidRPr="00FA14AA">
              <w:t>’</w:t>
            </w:r>
            <w:r w:rsidR="00286EF7" w:rsidRPr="00FA14AA">
              <w:t xml:space="preserve"> added as an important identified risk</w:t>
            </w:r>
          </w:p>
          <w:p w:rsidR="00286EF7" w:rsidRPr="00FA14AA" w:rsidRDefault="00286EF7" w:rsidP="00101E94">
            <w:r w:rsidRPr="00FA14AA">
              <w:t xml:space="preserve">Description of safety concerns due to missing information changed from </w:t>
            </w:r>
            <w:r w:rsidR="001E223F" w:rsidRPr="00FA14AA">
              <w:t>‘</w:t>
            </w:r>
            <w:r w:rsidRPr="00FA14AA">
              <w:t>use in paediatric patients</w:t>
            </w:r>
            <w:r w:rsidR="001E223F" w:rsidRPr="00FA14AA">
              <w:t>’</w:t>
            </w:r>
            <w:r w:rsidRPr="00FA14AA">
              <w:t xml:space="preserve"> to </w:t>
            </w:r>
            <w:r w:rsidR="001E223F" w:rsidRPr="00FA14AA">
              <w:t>‘</w:t>
            </w:r>
            <w:r w:rsidRPr="00FA14AA">
              <w:t>use in paediatric patients with ulcerative colitis</w:t>
            </w:r>
            <w:r w:rsidR="001E223F" w:rsidRPr="00FA14AA">
              <w:t>’</w:t>
            </w:r>
            <w:bookmarkStart w:id="80" w:name="_Ref450567038"/>
            <w:r w:rsidRPr="00FA14AA">
              <w:t>.</w:t>
            </w:r>
            <w:bookmarkStart w:id="81" w:name="_Ref450567137"/>
            <w:r w:rsidRPr="00FA14AA">
              <w:rPr>
                <w:rStyle w:val="FootnoteReference"/>
                <w:rFonts w:asciiTheme="minorHAnsi" w:eastAsia="TimesNewRoman" w:hAnsiTheme="minorHAnsi" w:cs="TimesNewRoman"/>
                <w:sz w:val="20"/>
                <w:szCs w:val="20"/>
              </w:rPr>
              <w:footnoteReference w:id="3"/>
            </w:r>
            <w:bookmarkEnd w:id="80"/>
            <w:bookmarkEnd w:id="81"/>
          </w:p>
          <w:p w:rsidR="00286EF7" w:rsidRPr="00FA14AA" w:rsidRDefault="001E223F" w:rsidP="00101E94">
            <w:r w:rsidRPr="00FA14AA">
              <w:t>‘</w:t>
            </w:r>
            <w:r w:rsidR="00286EF7" w:rsidRPr="00FA14AA">
              <w:t xml:space="preserve">Long term safety in </w:t>
            </w:r>
            <w:proofErr w:type="gramStart"/>
            <w:r w:rsidR="00286EF7" w:rsidRPr="00FA14AA">
              <w:t>paediatrics</w:t>
            </w:r>
            <w:r w:rsidRPr="00FA14AA">
              <w:t>’</w:t>
            </w:r>
            <w:proofErr w:type="gramEnd"/>
            <w:r w:rsidR="00286EF7" w:rsidRPr="00FA14AA">
              <w:t xml:space="preserve"> added as new missing information.</w:t>
            </w:r>
            <w:r w:rsidR="00286EF7" w:rsidRPr="00FA14AA">
              <w:rPr>
                <w:vertAlign w:val="superscript"/>
              </w:rPr>
              <w:fldChar w:fldCharType="begin"/>
            </w:r>
            <w:r w:rsidR="00286EF7" w:rsidRPr="00FA14AA">
              <w:rPr>
                <w:vertAlign w:val="superscript"/>
              </w:rPr>
              <w:instrText xml:space="preserve"> NOTEREF _Ref450567038 \h  \* MERGEFORMAT </w:instrText>
            </w:r>
            <w:r w:rsidR="00286EF7" w:rsidRPr="00FA14AA">
              <w:rPr>
                <w:vertAlign w:val="superscript"/>
              </w:rPr>
            </w:r>
            <w:r w:rsidR="00286EF7" w:rsidRPr="00FA14AA">
              <w:rPr>
                <w:vertAlign w:val="superscript"/>
              </w:rPr>
              <w:fldChar w:fldCharType="separate"/>
            </w:r>
            <w:r w:rsidR="00185FD0">
              <w:rPr>
                <w:vertAlign w:val="superscript"/>
              </w:rPr>
              <w:t>3</w:t>
            </w:r>
            <w:r w:rsidR="00286EF7" w:rsidRPr="00FA14AA">
              <w:rPr>
                <w:vertAlign w:val="superscript"/>
              </w:rPr>
              <w:fldChar w:fldCharType="end"/>
            </w:r>
          </w:p>
          <w:p w:rsidR="00286EF7" w:rsidRPr="00FA14AA" w:rsidRDefault="00286EF7" w:rsidP="00101E94">
            <w:r w:rsidRPr="00FA14AA">
              <w:t xml:space="preserve">Description of missing information changed from </w:t>
            </w:r>
            <w:r w:rsidR="001E223F" w:rsidRPr="00FA14AA">
              <w:t>‘</w:t>
            </w:r>
            <w:r w:rsidRPr="00FA14AA">
              <w:t>Long term safety</w:t>
            </w:r>
            <w:r w:rsidR="001E223F" w:rsidRPr="00FA14AA">
              <w:t>’</w:t>
            </w:r>
            <w:r w:rsidRPr="00FA14AA">
              <w:t xml:space="preserve"> to </w:t>
            </w:r>
            <w:r w:rsidR="001E223F" w:rsidRPr="00FA14AA">
              <w:t>‘</w:t>
            </w:r>
            <w:r w:rsidRPr="00FA14AA">
              <w:t>Long term safety in adults</w:t>
            </w:r>
            <w:r w:rsidR="001E223F" w:rsidRPr="00FA14AA">
              <w:t>’</w:t>
            </w:r>
            <w:r w:rsidRPr="00FA14AA">
              <w:t>.</w:t>
            </w:r>
            <w:r w:rsidRPr="00FA14AA">
              <w:rPr>
                <w:vertAlign w:val="superscript"/>
              </w:rPr>
              <w:fldChar w:fldCharType="begin"/>
            </w:r>
            <w:r w:rsidRPr="00FA14AA">
              <w:rPr>
                <w:vertAlign w:val="superscript"/>
              </w:rPr>
              <w:instrText xml:space="preserve"> NOTEREF _Ref450567038 \h  \* MERGEFORMAT </w:instrText>
            </w:r>
            <w:r w:rsidRPr="00FA14AA">
              <w:rPr>
                <w:vertAlign w:val="superscript"/>
              </w:rPr>
            </w:r>
            <w:r w:rsidRPr="00FA14AA">
              <w:rPr>
                <w:vertAlign w:val="superscript"/>
              </w:rPr>
              <w:fldChar w:fldCharType="separate"/>
            </w:r>
            <w:r w:rsidR="00185FD0">
              <w:rPr>
                <w:vertAlign w:val="superscript"/>
              </w:rPr>
              <w:t>3</w:t>
            </w:r>
            <w:r w:rsidRPr="00FA14AA">
              <w:rPr>
                <w:vertAlign w:val="superscript"/>
              </w:rPr>
              <w:fldChar w:fldCharType="end"/>
            </w:r>
          </w:p>
        </w:tc>
      </w:tr>
      <w:tr w:rsidR="00286EF7" w:rsidRPr="00FA14AA" w:rsidTr="0028583A">
        <w:trPr>
          <w:cantSplit/>
          <w:trHeight w:val="524"/>
        </w:trPr>
        <w:tc>
          <w:tcPr>
            <w:tcW w:w="2152"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286EF7" w:rsidRPr="00FA14AA" w:rsidRDefault="00286EF7" w:rsidP="00101E94">
            <w:pPr>
              <w:rPr>
                <w:lang w:eastAsia="en-AU"/>
              </w:rPr>
            </w:pPr>
            <w:r w:rsidRPr="00FA14AA">
              <w:rPr>
                <w:lang w:eastAsia="en-AU"/>
              </w:rPr>
              <w:t>Pharmacovigilance activities</w:t>
            </w:r>
          </w:p>
        </w:tc>
        <w:tc>
          <w:tcPr>
            <w:tcW w:w="770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286EF7" w:rsidRPr="00FA14AA" w:rsidRDefault="00286EF7" w:rsidP="00101E94">
            <w:r w:rsidRPr="00FA14AA">
              <w:t>Study CNTO148UCO1001 added as an additional PV activity</w:t>
            </w:r>
          </w:p>
          <w:p w:rsidR="00286EF7" w:rsidRPr="00FA14AA" w:rsidRDefault="00286EF7" w:rsidP="00101E94">
            <w:r w:rsidRPr="00FA14AA">
              <w:t>Updated with study MK-8259-050 to include all important identified and potential safety concerns with the exception of colon cancer/dysplasia (in ulcerative colitis).</w:t>
            </w:r>
            <w:bookmarkStart w:id="82" w:name="_Ref450567074"/>
            <w:r w:rsidRPr="00FA14AA">
              <w:rPr>
                <w:rStyle w:val="FootnoteReference"/>
                <w:rFonts w:asciiTheme="minorHAnsi" w:eastAsia="TimesNewRoman" w:hAnsiTheme="minorHAnsi" w:cs="TimesNewRoman"/>
                <w:sz w:val="20"/>
                <w:szCs w:val="20"/>
              </w:rPr>
              <w:footnoteReference w:id="4"/>
            </w:r>
            <w:bookmarkEnd w:id="82"/>
          </w:p>
          <w:p w:rsidR="00286EF7" w:rsidRPr="00FA14AA" w:rsidRDefault="00286EF7" w:rsidP="00101E94">
            <w:r w:rsidRPr="00FA14AA">
              <w:t>Added JIA registry as additional PV activity.</w:t>
            </w:r>
            <w:r w:rsidRPr="00FA14AA">
              <w:rPr>
                <w:vertAlign w:val="superscript"/>
              </w:rPr>
              <w:fldChar w:fldCharType="begin"/>
            </w:r>
            <w:r w:rsidRPr="00FA14AA">
              <w:rPr>
                <w:vertAlign w:val="superscript"/>
              </w:rPr>
              <w:instrText xml:space="preserve"> NOTEREF _Ref450567074 \h  \* MERGEFORMAT </w:instrText>
            </w:r>
            <w:r w:rsidRPr="00FA14AA">
              <w:rPr>
                <w:vertAlign w:val="superscript"/>
              </w:rPr>
            </w:r>
            <w:r w:rsidRPr="00FA14AA">
              <w:rPr>
                <w:vertAlign w:val="superscript"/>
              </w:rPr>
              <w:fldChar w:fldCharType="separate"/>
            </w:r>
            <w:r w:rsidR="00185FD0">
              <w:rPr>
                <w:vertAlign w:val="superscript"/>
              </w:rPr>
              <w:t>4</w:t>
            </w:r>
            <w:r w:rsidRPr="00FA14AA">
              <w:rPr>
                <w:vertAlign w:val="superscript"/>
              </w:rPr>
              <w:fldChar w:fldCharType="end"/>
            </w:r>
            <w:r w:rsidRPr="00FA14AA">
              <w:t xml:space="preserve"> </w:t>
            </w:r>
          </w:p>
          <w:p w:rsidR="00286EF7" w:rsidRPr="00FA14AA" w:rsidRDefault="00286EF7" w:rsidP="00101E94">
            <w:r w:rsidRPr="00FA14AA">
              <w:rPr>
                <w:spacing w:val="-1"/>
              </w:rPr>
              <w:t>Submission of final clinical study</w:t>
            </w:r>
            <w:r w:rsidRPr="00FA14AA">
              <w:t xml:space="preserve"> </w:t>
            </w:r>
            <w:r w:rsidRPr="00FA14AA">
              <w:rPr>
                <w:spacing w:val="-1"/>
              </w:rPr>
              <w:t>reports</w:t>
            </w:r>
            <w:r w:rsidRPr="00FA14AA">
              <w:t xml:space="preserve"> of</w:t>
            </w:r>
            <w:r w:rsidRPr="00FA14AA">
              <w:rPr>
                <w:spacing w:val="1"/>
              </w:rPr>
              <w:t xml:space="preserve"> </w:t>
            </w:r>
            <w:r w:rsidRPr="00FA14AA">
              <w:rPr>
                <w:spacing w:val="-1"/>
              </w:rPr>
              <w:t xml:space="preserve">Phase </w:t>
            </w:r>
            <w:r w:rsidRPr="00FA14AA">
              <w:t>3</w:t>
            </w:r>
            <w:r w:rsidRPr="00FA14AA">
              <w:rPr>
                <w:spacing w:val="-1"/>
              </w:rPr>
              <w:t xml:space="preserve"> UC clinical study</w:t>
            </w:r>
            <w:r w:rsidRPr="00FA14AA">
              <w:rPr>
                <w:spacing w:val="24"/>
              </w:rPr>
              <w:t xml:space="preserve"> </w:t>
            </w:r>
            <w:r w:rsidRPr="00FA14AA">
              <w:rPr>
                <w:spacing w:val="-1"/>
              </w:rPr>
              <w:t xml:space="preserve">C0524T18 (category 3) and Phase </w:t>
            </w:r>
            <w:r w:rsidRPr="00FA14AA">
              <w:t>3</w:t>
            </w:r>
            <w:r w:rsidRPr="00FA14AA">
              <w:rPr>
                <w:spacing w:val="-1"/>
              </w:rPr>
              <w:t xml:space="preserve"> nr-</w:t>
            </w:r>
            <w:r w:rsidRPr="00FA14AA">
              <w:rPr>
                <w:spacing w:val="28"/>
              </w:rPr>
              <w:t xml:space="preserve"> </w:t>
            </w:r>
            <w:r w:rsidRPr="00FA14AA">
              <w:rPr>
                <w:spacing w:val="-1"/>
              </w:rPr>
              <w:t xml:space="preserve">Axial </w:t>
            </w:r>
            <w:proofErr w:type="spellStart"/>
            <w:r w:rsidRPr="00FA14AA">
              <w:rPr>
                <w:spacing w:val="-1"/>
              </w:rPr>
              <w:t>SpA</w:t>
            </w:r>
            <w:proofErr w:type="spellEnd"/>
            <w:r w:rsidRPr="00FA14AA">
              <w:rPr>
                <w:spacing w:val="-1"/>
              </w:rPr>
              <w:t xml:space="preserve"> cl</w:t>
            </w:r>
            <w:r w:rsidRPr="00FA14AA">
              <w:rPr>
                <w:spacing w:val="5"/>
              </w:rPr>
              <w:t>i</w:t>
            </w:r>
            <w:r w:rsidRPr="00FA14AA">
              <w:rPr>
                <w:spacing w:val="-1"/>
              </w:rPr>
              <w:t>nical study P07642</w:t>
            </w:r>
            <w:r w:rsidRPr="00FA14AA">
              <w:t xml:space="preserve"> </w:t>
            </w:r>
            <w:r w:rsidRPr="00FA14AA">
              <w:rPr>
                <w:spacing w:val="-1"/>
              </w:rPr>
              <w:t>(category 4).</w:t>
            </w:r>
          </w:p>
        </w:tc>
      </w:tr>
      <w:tr w:rsidR="00286EF7" w:rsidRPr="00FA14AA" w:rsidTr="0028583A">
        <w:trPr>
          <w:cantSplit/>
          <w:trHeight w:val="524"/>
        </w:trPr>
        <w:tc>
          <w:tcPr>
            <w:tcW w:w="215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286EF7" w:rsidRPr="00FA14AA" w:rsidRDefault="00286EF7" w:rsidP="00101E94">
            <w:pPr>
              <w:rPr>
                <w:lang w:eastAsia="en-AU"/>
              </w:rPr>
            </w:pPr>
            <w:r w:rsidRPr="00FA14AA">
              <w:rPr>
                <w:lang w:eastAsia="en-AU"/>
              </w:rPr>
              <w:t>Risk minimisation activities</w:t>
            </w:r>
          </w:p>
        </w:tc>
        <w:tc>
          <w:tcPr>
            <w:tcW w:w="770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286EF7" w:rsidRPr="00FA14AA" w:rsidRDefault="00286EF7" w:rsidP="00101E94">
            <w:r w:rsidRPr="00FA14AA">
              <w:rPr>
                <w:rFonts w:eastAsia="TimesNewRoman" w:cs="TimesNewRoman"/>
              </w:rPr>
              <w:t>Updated to include wording on medication error.</w:t>
            </w:r>
          </w:p>
        </w:tc>
      </w:tr>
      <w:tr w:rsidR="00286EF7" w:rsidRPr="00FA14AA" w:rsidTr="0028583A">
        <w:trPr>
          <w:cantSplit/>
          <w:trHeight w:val="524"/>
        </w:trPr>
        <w:tc>
          <w:tcPr>
            <w:tcW w:w="215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286EF7" w:rsidRPr="00FA14AA" w:rsidRDefault="00286EF7" w:rsidP="00101E94">
            <w:pPr>
              <w:rPr>
                <w:lang w:eastAsia="en-AU"/>
              </w:rPr>
            </w:pPr>
            <w:r w:rsidRPr="00FA14AA">
              <w:rPr>
                <w:lang w:eastAsia="en-AU"/>
              </w:rPr>
              <w:lastRenderedPageBreak/>
              <w:t>ASA</w:t>
            </w:r>
          </w:p>
        </w:tc>
        <w:tc>
          <w:tcPr>
            <w:tcW w:w="770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286EF7" w:rsidRPr="00FA14AA" w:rsidRDefault="00286EF7" w:rsidP="00101E94">
            <w:r w:rsidRPr="00FA14AA">
              <w:t>‘Leukaemia’ added as an important identified risk.</w:t>
            </w:r>
          </w:p>
          <w:p w:rsidR="00286EF7" w:rsidRPr="00FA14AA" w:rsidRDefault="00286EF7" w:rsidP="00101E94">
            <w:r w:rsidRPr="00FA14AA">
              <w:t>‘Sarcoidosis/</w:t>
            </w:r>
            <w:proofErr w:type="spellStart"/>
            <w:r w:rsidRPr="00FA14AA">
              <w:t>sarcoid</w:t>
            </w:r>
            <w:proofErr w:type="spellEnd"/>
            <w:r w:rsidRPr="00FA14AA">
              <w:t>-like reaction’ updated from important potential risk to an important identified risk.</w:t>
            </w:r>
          </w:p>
          <w:p w:rsidR="00286EF7" w:rsidRPr="00FA14AA" w:rsidRDefault="00286EF7" w:rsidP="00101E94">
            <w:r w:rsidRPr="00FA14AA">
              <w:t xml:space="preserve">Minor editorial changes to align with EU-RMP v15.0 </w:t>
            </w:r>
          </w:p>
          <w:p w:rsidR="00286EF7" w:rsidRPr="00FA14AA" w:rsidRDefault="00286EF7" w:rsidP="00101E94">
            <w:r w:rsidRPr="00FA14AA">
              <w:t>History of submission for EU RMP 11.4 added</w:t>
            </w:r>
          </w:p>
          <w:p w:rsidR="00286EF7" w:rsidRPr="00FA14AA" w:rsidRDefault="00286EF7" w:rsidP="00101E94">
            <w:r w:rsidRPr="00FA14AA">
              <w:t>Table of studies in Pharmacovigilance plan updated with revised dates, and Study C0524T18 removed from Table 4 (current studies) as it has been completed</w:t>
            </w:r>
          </w:p>
          <w:p w:rsidR="00286EF7" w:rsidRPr="00FA14AA" w:rsidRDefault="00286EF7" w:rsidP="00101E94">
            <w:r w:rsidRPr="00FA14AA">
              <w:t xml:space="preserve">Risk minimisation section updated to refer to Appendix 1 (printed educational material for HCPs) </w:t>
            </w:r>
          </w:p>
          <w:p w:rsidR="00286EF7" w:rsidRPr="00FA14AA" w:rsidRDefault="00286EF7" w:rsidP="00101E94">
            <w:r w:rsidRPr="00FA14AA">
              <w:t xml:space="preserve">Appendix 5 added which compares wording in </w:t>
            </w:r>
            <w:proofErr w:type="spellStart"/>
            <w:r w:rsidRPr="00FA14AA">
              <w:t>SmPC</w:t>
            </w:r>
            <w:proofErr w:type="spellEnd"/>
            <w:r w:rsidRPr="00FA14AA">
              <w:t xml:space="preserve"> with PI</w:t>
            </w:r>
          </w:p>
          <w:p w:rsidR="00286EF7" w:rsidRPr="00FA14AA" w:rsidRDefault="00286EF7" w:rsidP="00101E94">
            <w:r w:rsidRPr="00FA14AA">
              <w:t>Questionnaire in Appendix 3 updated with 2016 date</w:t>
            </w:r>
          </w:p>
        </w:tc>
      </w:tr>
    </w:tbl>
    <w:p w:rsidR="00286EF7" w:rsidRDefault="00286EF7" w:rsidP="00FA14AA">
      <w:r w:rsidRPr="00E97CDC">
        <w:t xml:space="preserve">The evaluator has no objection to the above changes and recommends to the Delegate that the updated version is implemented. </w:t>
      </w:r>
    </w:p>
    <w:p w:rsidR="00286EF7" w:rsidRPr="00A40043" w:rsidRDefault="00286EF7" w:rsidP="00286EF7">
      <w:r w:rsidRPr="00E97CDC">
        <w:t xml:space="preserve">Some of the changes in the EU-RMP do not relate to Australia as the </w:t>
      </w:r>
      <w:proofErr w:type="spellStart"/>
      <w:r w:rsidRPr="00E97CDC">
        <w:rPr>
          <w:rFonts w:eastAsia="TimesNewRoman" w:cs="TimesNewRoman"/>
        </w:rPr>
        <w:t>polyarticular</w:t>
      </w:r>
      <w:proofErr w:type="spellEnd"/>
      <w:r w:rsidRPr="00E97CDC">
        <w:rPr>
          <w:rFonts w:eastAsia="TimesNewRoman" w:cs="TimesNewRoman"/>
        </w:rPr>
        <w:t xml:space="preserve"> juvenile idiopathic arthritis indication has not been sought here.</w:t>
      </w:r>
      <w:r>
        <w:rPr>
          <w:rFonts w:eastAsia="TimesNewRoman" w:cs="TimesNewRoman"/>
        </w:rPr>
        <w:t xml:space="preserve"> In addition, some of the changes listed in the </w:t>
      </w:r>
      <w:r w:rsidRPr="00A40043">
        <w:rPr>
          <w:rFonts w:eastAsiaTheme="minorHAnsi" w:cs="Arial,Bold"/>
          <w:bCs/>
          <w:i/>
        </w:rPr>
        <w:t>Summary of Chang</w:t>
      </w:r>
      <w:r w:rsidR="00D70C58">
        <w:rPr>
          <w:rFonts w:eastAsiaTheme="minorHAnsi" w:cs="Arial,Bold"/>
          <w:bCs/>
          <w:i/>
        </w:rPr>
        <w:t>es to the Risk Management Plan o</w:t>
      </w:r>
      <w:r w:rsidRPr="00A40043">
        <w:rPr>
          <w:rFonts w:eastAsiaTheme="minorHAnsi" w:cs="Arial,Bold"/>
          <w:bCs/>
          <w:i/>
        </w:rPr>
        <w:t>ver Time</w:t>
      </w:r>
      <w:r>
        <w:rPr>
          <w:rFonts w:eastAsiaTheme="minorHAnsi" w:cs="Arial,Bold"/>
          <w:bCs/>
        </w:rPr>
        <w:t xml:space="preserve"> have not been implemented in the revised EU-RMP (see footnotes </w:t>
      </w:r>
      <w:r w:rsidR="00D70C58">
        <w:rPr>
          <w:rFonts w:eastAsiaTheme="minorHAnsi" w:cs="Arial,Bold"/>
          <w:bCs/>
        </w:rPr>
        <w:t>3 and 4</w:t>
      </w:r>
      <w:r>
        <w:rPr>
          <w:rFonts w:eastAsiaTheme="minorHAnsi" w:cs="Arial,Bold"/>
          <w:bCs/>
        </w:rPr>
        <w:t>).</w:t>
      </w:r>
    </w:p>
    <w:p w:rsidR="00286EF7" w:rsidRPr="00404D55" w:rsidRDefault="00286EF7" w:rsidP="00286EF7">
      <w:r>
        <w:t>In summary, while the proposed changes are considered acceptable, the quality of the revised EU</w:t>
      </w:r>
      <w:r>
        <w:noBreakHyphen/>
        <w:t>RMP and ASA should be addressed by the sponsor.</w:t>
      </w:r>
    </w:p>
    <w:p w:rsidR="00286EF7" w:rsidRPr="00502C09" w:rsidRDefault="00286EF7" w:rsidP="00286EF7">
      <w:pPr>
        <w:pStyle w:val="Heading5"/>
      </w:pPr>
      <w:r w:rsidRPr="00502C09">
        <w:t xml:space="preserve">Suggested wording for conditions of registration </w:t>
      </w:r>
    </w:p>
    <w:p w:rsidR="00286EF7" w:rsidRPr="00502C09" w:rsidRDefault="00286EF7" w:rsidP="00286EF7">
      <w:pPr>
        <w:pStyle w:val="Heading6"/>
      </w:pPr>
      <w:r w:rsidRPr="00502C09">
        <w:t>RMP</w:t>
      </w:r>
    </w:p>
    <w:p w:rsidR="00286EF7" w:rsidRPr="00502C09" w:rsidRDefault="00286EF7" w:rsidP="00286EF7">
      <w:r w:rsidRPr="00502C09">
        <w:t>Any changes to which the sponsor agreed become part of the risk management system, whether they are included in the currently available version of the RMP document, or not included, inadvertently or otherwise.</w:t>
      </w:r>
    </w:p>
    <w:p w:rsidR="00286EF7" w:rsidRPr="00E97CDC" w:rsidRDefault="00286EF7" w:rsidP="00286EF7">
      <w:r w:rsidRPr="00502C09">
        <w:t>The suggested wording is:</w:t>
      </w:r>
    </w:p>
    <w:p w:rsidR="00286EF7" w:rsidRDefault="00286EF7" w:rsidP="00286EF7">
      <w:pPr>
        <w:pStyle w:val="ListBullet"/>
      </w:pPr>
      <w:r w:rsidRPr="0095371D">
        <w:t>EU-RMP Version 15.0 (dated 2 February 2016, DLP 6 October 2015) and Australian Specific Annex Version 4.1 (dated 29 March 2016)</w:t>
      </w:r>
      <w:r w:rsidRPr="00E97CDC">
        <w:t>, to be revised to the satisfaction of the TGA, must be implemente</w:t>
      </w:r>
      <w:r w:rsidR="0041540F">
        <w:t>d</w:t>
      </w:r>
      <w:r w:rsidRPr="00E97CDC">
        <w:t>.</w:t>
      </w:r>
      <w:r w:rsidRPr="00502C09">
        <w:t xml:space="preserve"> </w:t>
      </w:r>
    </w:p>
    <w:p w:rsidR="008E7846" w:rsidRPr="00792A32" w:rsidRDefault="008E7846" w:rsidP="00286EF7">
      <w:pPr>
        <w:pStyle w:val="Heading2"/>
      </w:pPr>
      <w:bookmarkStart w:id="83" w:name="_Toc487718635"/>
      <w:r>
        <w:t xml:space="preserve">VI. </w:t>
      </w:r>
      <w:r w:rsidRPr="00792A32">
        <w:t xml:space="preserve">Overall </w:t>
      </w:r>
      <w:r>
        <w:t>c</w:t>
      </w:r>
      <w:r w:rsidRPr="00792A32">
        <w:t xml:space="preserve">onclusion and </w:t>
      </w:r>
      <w:r>
        <w:t>r</w:t>
      </w:r>
      <w:r w:rsidRPr="00792A32">
        <w:t>isk/</w:t>
      </w:r>
      <w:r>
        <w:t>b</w:t>
      </w:r>
      <w:r w:rsidRPr="00792A32">
        <w:t xml:space="preserve">enefit </w:t>
      </w:r>
      <w:r>
        <w:t>a</w:t>
      </w:r>
      <w:r w:rsidRPr="00792A32">
        <w:t>ssessment</w:t>
      </w:r>
      <w:bookmarkEnd w:id="68"/>
      <w:bookmarkEnd w:id="78"/>
      <w:bookmarkEnd w:id="79"/>
      <w:bookmarkEnd w:id="83"/>
    </w:p>
    <w:p w:rsidR="008E7846" w:rsidRDefault="008E7846" w:rsidP="008E7846">
      <w:bookmarkStart w:id="84" w:name="_Toc247691528"/>
      <w:r>
        <w:t xml:space="preserve">The submission was summarised in the following </w:t>
      </w:r>
      <w:r w:rsidRPr="00EF5C48">
        <w:t xml:space="preserve">Delegate’s </w:t>
      </w:r>
      <w:r>
        <w:t>overview</w:t>
      </w:r>
      <w:r w:rsidRPr="00EF5C48">
        <w:t xml:space="preserve"> and recommendation</w:t>
      </w:r>
      <w:r>
        <w:t>s:</w:t>
      </w:r>
    </w:p>
    <w:p w:rsidR="008E7846" w:rsidRDefault="008E7846" w:rsidP="008E7846">
      <w:pPr>
        <w:pStyle w:val="Heading3"/>
      </w:pPr>
      <w:bookmarkStart w:id="85" w:name="_Toc314842511"/>
      <w:bookmarkStart w:id="86" w:name="_Toc487718636"/>
      <w:r>
        <w:t>Quality</w:t>
      </w:r>
      <w:bookmarkEnd w:id="84"/>
      <w:bookmarkEnd w:id="85"/>
      <w:bookmarkEnd w:id="86"/>
    </w:p>
    <w:p w:rsidR="00E45619" w:rsidRDefault="008E7846" w:rsidP="003A7F6C">
      <w:r>
        <w:t>There was no requirement for a quality evaluation in a submission of this type.</w:t>
      </w:r>
    </w:p>
    <w:p w:rsidR="008E7846" w:rsidRDefault="008E7846" w:rsidP="008E7846">
      <w:pPr>
        <w:pStyle w:val="Heading3"/>
      </w:pPr>
      <w:bookmarkStart w:id="87" w:name="_Toc314842512"/>
      <w:bookmarkStart w:id="88" w:name="_Toc487718637"/>
      <w:r>
        <w:lastRenderedPageBreak/>
        <w:t>Nonclinical</w:t>
      </w:r>
      <w:bookmarkEnd w:id="87"/>
      <w:bookmarkEnd w:id="88"/>
    </w:p>
    <w:p w:rsidR="008E7846" w:rsidRDefault="008E7846" w:rsidP="008E7846">
      <w:r>
        <w:t>There was no requirement for a nonclinical evaluation in a submission of this type.</w:t>
      </w:r>
    </w:p>
    <w:p w:rsidR="008E7846" w:rsidRDefault="008E7846" w:rsidP="008E7846">
      <w:pPr>
        <w:pStyle w:val="Heading3"/>
      </w:pPr>
      <w:bookmarkStart w:id="89" w:name="_Toc247691530"/>
      <w:bookmarkStart w:id="90" w:name="_Toc314842513"/>
      <w:bookmarkStart w:id="91" w:name="_Toc487718638"/>
      <w:r>
        <w:t>Clinical</w:t>
      </w:r>
      <w:bookmarkEnd w:id="89"/>
      <w:bookmarkEnd w:id="90"/>
      <w:bookmarkEnd w:id="91"/>
    </w:p>
    <w:p w:rsidR="00407E36" w:rsidRPr="00407E36" w:rsidRDefault="00407E36" w:rsidP="0041540F">
      <w:bookmarkStart w:id="92" w:name="_Toc314842514"/>
      <w:r w:rsidRPr="00407E36">
        <w:t>The clinical eva</w:t>
      </w:r>
      <w:r w:rsidR="0041540F">
        <w:t>luator has recommended approval</w:t>
      </w:r>
      <w:r w:rsidRPr="00407E36">
        <w:t xml:space="preserve"> for the proposed indication.</w:t>
      </w:r>
    </w:p>
    <w:p w:rsidR="00407E36" w:rsidRPr="00407E36" w:rsidRDefault="00407E36" w:rsidP="0041540F">
      <w:pPr>
        <w:pStyle w:val="Heading4"/>
      </w:pPr>
      <w:r w:rsidRPr="00407E36">
        <w:t>Pharmacokinetics</w:t>
      </w:r>
    </w:p>
    <w:p w:rsidR="00407E36" w:rsidRPr="00407E36" w:rsidRDefault="00407E36" w:rsidP="0041540F">
      <w:r w:rsidRPr="00407E36">
        <w:t xml:space="preserve">Median steady-state </w:t>
      </w:r>
      <w:proofErr w:type="spellStart"/>
      <w:r w:rsidRPr="00407E36">
        <w:t>golimumab</w:t>
      </w:r>
      <w:proofErr w:type="spellEnd"/>
      <w:r w:rsidRPr="00407E36">
        <w:t xml:space="preserve"> concentration after treatment with </w:t>
      </w:r>
      <w:proofErr w:type="spellStart"/>
      <w:r w:rsidRPr="00407E36">
        <w:t>golimumab</w:t>
      </w:r>
      <w:proofErr w:type="spellEnd"/>
      <w:r w:rsidRPr="00407E36">
        <w:t xml:space="preserve"> 50 mg SC every 4 weeks in nr-Axial </w:t>
      </w:r>
      <w:proofErr w:type="spellStart"/>
      <w:r w:rsidRPr="00407E36">
        <w:t>SpA</w:t>
      </w:r>
      <w:proofErr w:type="spellEnd"/>
      <w:r w:rsidRPr="00407E36">
        <w:t xml:space="preserve"> was 0.8 </w:t>
      </w:r>
      <w:proofErr w:type="spellStart"/>
      <w:r w:rsidRPr="00407E36">
        <w:t>μg</w:t>
      </w:r>
      <w:proofErr w:type="spellEnd"/>
      <w:r w:rsidRPr="00407E36">
        <w:t xml:space="preserve">/mL which was comparable to the median steady-state trough serum concentrations in patients with AS of </w:t>
      </w:r>
      <w:r w:rsidR="0041540F">
        <w:t xml:space="preserve"> approximately </w:t>
      </w:r>
      <w:r w:rsidRPr="00407E36">
        <w:t xml:space="preserve">0.6 </w:t>
      </w:r>
      <w:proofErr w:type="spellStart"/>
      <w:r w:rsidRPr="00407E36">
        <w:t>μg</w:t>
      </w:r>
      <w:proofErr w:type="spellEnd"/>
      <w:r w:rsidRPr="00407E36">
        <w:t xml:space="preserve">/mL (PI) or 0.7 </w:t>
      </w:r>
      <w:proofErr w:type="spellStart"/>
      <w:r w:rsidRPr="00407E36">
        <w:t>μg</w:t>
      </w:r>
      <w:proofErr w:type="spellEnd"/>
      <w:r w:rsidRPr="00407E36">
        <w:t>/mL (at Week 104 in Study C0524T09 when the same assay was used ).</w:t>
      </w:r>
      <w:r w:rsidR="00004149">
        <w:t xml:space="preserve"> </w:t>
      </w:r>
      <w:r w:rsidRPr="00407E36">
        <w:t xml:space="preserve">A trend for lower serum </w:t>
      </w:r>
      <w:proofErr w:type="spellStart"/>
      <w:r w:rsidRPr="00407E36">
        <w:t>golimumab</w:t>
      </w:r>
      <w:proofErr w:type="spellEnd"/>
      <w:r w:rsidRPr="00407E36">
        <w:t xml:space="preserve"> concentrations in subjects with nr-Axial </w:t>
      </w:r>
      <w:proofErr w:type="spellStart"/>
      <w:r w:rsidRPr="00407E36">
        <w:t>SpA</w:t>
      </w:r>
      <w:proofErr w:type="spellEnd"/>
      <w:r w:rsidRPr="00407E36">
        <w:t xml:space="preserve"> weighing &gt;</w:t>
      </w:r>
      <w:r w:rsidR="0041540F">
        <w:t xml:space="preserve"> </w:t>
      </w:r>
      <w:r w:rsidRPr="00407E36">
        <w:t>100</w:t>
      </w:r>
      <w:r w:rsidR="0041540F">
        <w:t xml:space="preserve"> </w:t>
      </w:r>
      <w:r w:rsidRPr="00407E36">
        <w:t xml:space="preserve">kg was seen which was also observed in population pharmacokinetic analyses for the other </w:t>
      </w:r>
      <w:proofErr w:type="spellStart"/>
      <w:r w:rsidRPr="00407E36">
        <w:t>rheumatological</w:t>
      </w:r>
      <w:proofErr w:type="spellEnd"/>
      <w:r w:rsidRPr="00407E36">
        <w:t xml:space="preserve"> indications.</w:t>
      </w:r>
      <w:r w:rsidR="00004149">
        <w:t xml:space="preserve"> </w:t>
      </w:r>
      <w:r w:rsidR="0041540F">
        <w:t>At W</w:t>
      </w:r>
      <w:r w:rsidRPr="00407E36">
        <w:t xml:space="preserve">eek 52, the median </w:t>
      </w:r>
      <w:proofErr w:type="spellStart"/>
      <w:r w:rsidRPr="00407E36">
        <w:t>golimumab</w:t>
      </w:r>
      <w:proofErr w:type="spellEnd"/>
      <w:r w:rsidRPr="00407E36">
        <w:t xml:space="preserve"> concentration was </w:t>
      </w:r>
      <w:proofErr w:type="gramStart"/>
      <w:r w:rsidRPr="00407E36">
        <w:t xml:space="preserve">0.8 </w:t>
      </w:r>
      <w:proofErr w:type="spellStart"/>
      <w:r w:rsidRPr="00407E36">
        <w:t>μg</w:t>
      </w:r>
      <w:proofErr w:type="spellEnd"/>
      <w:r w:rsidRPr="00407E36">
        <w:t>/</w:t>
      </w:r>
      <w:proofErr w:type="spellStart"/>
      <w:r w:rsidRPr="00407E36">
        <w:t>mL</w:t>
      </w:r>
      <w:proofErr w:type="gramEnd"/>
      <w:r w:rsidRPr="00407E36">
        <w:t>.</w:t>
      </w:r>
      <w:proofErr w:type="spellEnd"/>
    </w:p>
    <w:p w:rsidR="00407E36" w:rsidRPr="00407E36" w:rsidRDefault="00407E36" w:rsidP="0041540F">
      <w:pPr>
        <w:pStyle w:val="Heading4"/>
      </w:pPr>
      <w:r w:rsidRPr="00407E36">
        <w:t>Pharmacodynamics</w:t>
      </w:r>
    </w:p>
    <w:p w:rsidR="00407E36" w:rsidRPr="00407E36" w:rsidRDefault="00407E36" w:rsidP="0041540F">
      <w:r w:rsidRPr="00407E36">
        <w:t xml:space="preserve">A significantly greater reduction in CRP at Week 16 was seen in subjects in the </w:t>
      </w:r>
      <w:proofErr w:type="spellStart"/>
      <w:r w:rsidRPr="00407E36">
        <w:t>golimumab</w:t>
      </w:r>
      <w:proofErr w:type="spellEnd"/>
      <w:r w:rsidRPr="00407E36">
        <w:t xml:space="preserve"> 5</w:t>
      </w:r>
      <w:r w:rsidR="004945DB">
        <w:t>0 mg</w:t>
      </w:r>
      <w:r w:rsidRPr="00407E36">
        <w:t xml:space="preserve"> group than in the placebo group (-0.99 mg/</w:t>
      </w:r>
      <w:proofErr w:type="spellStart"/>
      <w:r w:rsidRPr="00407E36">
        <w:t>dL</w:t>
      </w:r>
      <w:proofErr w:type="spellEnd"/>
      <w:r w:rsidR="00004149">
        <w:t xml:space="preserve"> versus </w:t>
      </w:r>
      <w:r w:rsidRPr="00407E36">
        <w:t>-0.35 mg/</w:t>
      </w:r>
      <w:proofErr w:type="spellStart"/>
      <w:r w:rsidRPr="00407E36">
        <w:t>dL</w:t>
      </w:r>
      <w:proofErr w:type="spellEnd"/>
      <w:r w:rsidRPr="00407E36">
        <w:t>, respectively; p=0.0003).</w:t>
      </w:r>
    </w:p>
    <w:p w:rsidR="00407E36" w:rsidRPr="0041540F" w:rsidRDefault="00407E36" w:rsidP="0041540F">
      <w:pPr>
        <w:pStyle w:val="Heading4"/>
      </w:pPr>
      <w:r w:rsidRPr="00407E36">
        <w:t>Efficacy</w:t>
      </w:r>
    </w:p>
    <w:p w:rsidR="00407E36" w:rsidRPr="00407E36" w:rsidRDefault="00407E36" w:rsidP="0041540F">
      <w:r w:rsidRPr="00407E36">
        <w:t xml:space="preserve">Dose selection for the nr-Axial </w:t>
      </w:r>
      <w:proofErr w:type="spellStart"/>
      <w:r w:rsidRPr="00407E36">
        <w:t>SpA</w:t>
      </w:r>
      <w:proofErr w:type="spellEnd"/>
      <w:r w:rsidRPr="00407E36">
        <w:t xml:space="preserve"> indication was based on the currently approved dose for the treatment of AS and other rheumatologic diseases which is considered acceptable given the overlap between AS and nr-Axial </w:t>
      </w:r>
      <w:proofErr w:type="spellStart"/>
      <w:r w:rsidRPr="00407E36">
        <w:t>SpA</w:t>
      </w:r>
      <w:proofErr w:type="spellEnd"/>
      <w:r w:rsidRPr="00407E36">
        <w:t>.</w:t>
      </w:r>
      <w:r w:rsidR="00004149">
        <w:t xml:space="preserve"> </w:t>
      </w:r>
    </w:p>
    <w:p w:rsidR="004945DB" w:rsidRDefault="00407E36" w:rsidP="0041540F">
      <w:r w:rsidRPr="00407E36">
        <w:t>Study P0764</w:t>
      </w:r>
      <w:r w:rsidR="004945DB">
        <w:t xml:space="preserve">2 (GO-AHEAD): This was a Phase </w:t>
      </w:r>
      <w:proofErr w:type="spellStart"/>
      <w:r w:rsidR="004945DB">
        <w:t>III</w:t>
      </w:r>
      <w:r w:rsidRPr="00407E36">
        <w:t>b</w:t>
      </w:r>
      <w:proofErr w:type="spellEnd"/>
      <w:r w:rsidRPr="00407E36">
        <w:t>, multinational, multicentre, two-part, randomised, double-blind, placebo-controlled study of 5</w:t>
      </w:r>
      <w:r w:rsidR="004945DB">
        <w:t>0 mg</w:t>
      </w:r>
      <w:r w:rsidRPr="00407E36">
        <w:t xml:space="preserve"> SC every 4 weeks of </w:t>
      </w:r>
      <w:proofErr w:type="spellStart"/>
      <w:r w:rsidRPr="00407E36">
        <w:t>golimumab</w:t>
      </w:r>
      <w:proofErr w:type="spellEnd"/>
      <w:r w:rsidRPr="00407E36">
        <w:t xml:space="preserve"> in 198 subjects with nr-Axial </w:t>
      </w:r>
      <w:proofErr w:type="spellStart"/>
      <w:r w:rsidRPr="00407E36">
        <w:t>SpA</w:t>
      </w:r>
      <w:proofErr w:type="spellEnd"/>
      <w:r w:rsidRPr="00407E36">
        <w:t>.</w:t>
      </w:r>
      <w:r w:rsidR="00004149">
        <w:t xml:space="preserve"> </w:t>
      </w:r>
      <w:r w:rsidRPr="00407E36">
        <w:t xml:space="preserve">The study had a double blind placebo controlled period of 16 weeks followed by an open label extension of 44 weeks in which everyone received </w:t>
      </w:r>
      <w:proofErr w:type="spellStart"/>
      <w:r w:rsidRPr="00407E36">
        <w:t>golimumab</w:t>
      </w:r>
      <w:proofErr w:type="spellEnd"/>
      <w:r w:rsidRPr="00407E36">
        <w:t xml:space="preserve"> 5</w:t>
      </w:r>
      <w:r w:rsidR="004945DB">
        <w:t>0 mg</w:t>
      </w:r>
      <w:r w:rsidRPr="00407E36">
        <w:t xml:space="preserve">. </w:t>
      </w:r>
    </w:p>
    <w:p w:rsidR="004945DB" w:rsidRDefault="00407E36" w:rsidP="0041540F">
      <w:r w:rsidRPr="00407E36">
        <w:t xml:space="preserve">The sponsor </w:t>
      </w:r>
      <w:r w:rsidR="004945DB">
        <w:t>initially submitted data up to W</w:t>
      </w:r>
      <w:r w:rsidRPr="00407E36">
        <w:t>eek 24 but pro</w:t>
      </w:r>
      <w:r w:rsidR="004945DB">
        <w:t>vided the full study report to W</w:t>
      </w:r>
      <w:r w:rsidRPr="00407E36">
        <w:t>eek 60 during the second round of evaluation.</w:t>
      </w:r>
      <w:r w:rsidR="00004149">
        <w:t xml:space="preserve"> </w:t>
      </w:r>
    </w:p>
    <w:p w:rsidR="004945DB" w:rsidRDefault="00407E36" w:rsidP="0041540F">
      <w:r w:rsidRPr="00407E36">
        <w:t>Background NSAIDs were permitted.</w:t>
      </w:r>
      <w:r w:rsidR="00004149">
        <w:t xml:space="preserve"> </w:t>
      </w:r>
      <w:r w:rsidRPr="00407E36">
        <w:t xml:space="preserve">Males and females aged 18 </w:t>
      </w:r>
      <w:r w:rsidR="004945DB">
        <w:t>to</w:t>
      </w:r>
      <w:r w:rsidRPr="00407E36">
        <w:t xml:space="preserve"> 45 years with a physician’s diagnosis of active Axial </w:t>
      </w:r>
      <w:proofErr w:type="spellStart"/>
      <w:r w:rsidRPr="00407E36">
        <w:t>SpA</w:t>
      </w:r>
      <w:proofErr w:type="spellEnd"/>
      <w:r w:rsidRPr="00407E36">
        <w:t xml:space="preserve"> with disease duration ≤</w:t>
      </w:r>
      <w:r w:rsidR="004945DB">
        <w:t xml:space="preserve"> </w:t>
      </w:r>
      <w:r w:rsidRPr="00407E36">
        <w:t>5 years, chronic back pain ≥</w:t>
      </w:r>
      <w:r w:rsidR="004945DB">
        <w:t xml:space="preserve"> </w:t>
      </w:r>
      <w:r w:rsidRPr="00407E36">
        <w:t xml:space="preserve">3 months duration, and an inadequate response or intolerance to NSAIDs were eligible and in addition each subject had to meet one of two criteria adopted from the Assessment in </w:t>
      </w:r>
      <w:proofErr w:type="spellStart"/>
      <w:r w:rsidRPr="00407E36">
        <w:t>Spondyloarthritis</w:t>
      </w:r>
      <w:proofErr w:type="spellEnd"/>
      <w:r w:rsidRPr="00407E36">
        <w:t xml:space="preserve"> International Society (ASAS) for diagnosis of </w:t>
      </w:r>
      <w:proofErr w:type="spellStart"/>
      <w:r w:rsidRPr="00407E36">
        <w:t>SpA</w:t>
      </w:r>
      <w:proofErr w:type="spellEnd"/>
      <w:r w:rsidRPr="00407E36">
        <w:t>.</w:t>
      </w:r>
      <w:r w:rsidR="00004149">
        <w:t xml:space="preserve"> </w:t>
      </w:r>
      <w:r w:rsidRPr="00407E36">
        <w:t xml:space="preserve">These criteria included active inflammation on MRI highly suggestive of </w:t>
      </w:r>
      <w:proofErr w:type="spellStart"/>
      <w:r w:rsidRPr="00407E36">
        <w:t>sacroiliitis</w:t>
      </w:r>
      <w:proofErr w:type="spellEnd"/>
      <w:r w:rsidRPr="00407E36">
        <w:t xml:space="preserve"> associated with </w:t>
      </w:r>
      <w:proofErr w:type="spellStart"/>
      <w:r w:rsidRPr="00407E36">
        <w:t>spondyloarthropathy</w:t>
      </w:r>
      <w:proofErr w:type="spellEnd"/>
      <w:r w:rsidRPr="00407E36">
        <w:t xml:space="preserve"> (as evidenced by the central reader) and 1 or more </w:t>
      </w:r>
      <w:proofErr w:type="spellStart"/>
      <w:r w:rsidRPr="00407E36">
        <w:t>spondyloarthritis</w:t>
      </w:r>
      <w:proofErr w:type="spellEnd"/>
      <w:r w:rsidRPr="00407E36">
        <w:t xml:space="preserve"> characteristics or HLA-B27+ gene and 2 or more </w:t>
      </w:r>
      <w:proofErr w:type="spellStart"/>
      <w:r w:rsidRPr="00407E36">
        <w:t>spondyloarthritis</w:t>
      </w:r>
      <w:proofErr w:type="spellEnd"/>
      <w:r w:rsidRPr="00407E36">
        <w:t xml:space="preserve"> characteristics.</w:t>
      </w:r>
      <w:r w:rsidR="00004149">
        <w:t xml:space="preserve"> </w:t>
      </w:r>
    </w:p>
    <w:p w:rsidR="004945DB" w:rsidRDefault="00407E36" w:rsidP="0041540F">
      <w:r w:rsidRPr="00407E36">
        <w:t xml:space="preserve">The </w:t>
      </w:r>
      <w:proofErr w:type="spellStart"/>
      <w:r w:rsidRPr="00407E36">
        <w:t>spondyloarthritis</w:t>
      </w:r>
      <w:proofErr w:type="spellEnd"/>
      <w:r w:rsidRPr="00407E36">
        <w:t xml:space="preserve"> characteristics included inflammatory back pain, elevated CRP, arthritis and family history of </w:t>
      </w:r>
      <w:proofErr w:type="spellStart"/>
      <w:r w:rsidRPr="00407E36">
        <w:t>SpA</w:t>
      </w:r>
      <w:proofErr w:type="spellEnd"/>
      <w:r w:rsidRPr="00407E36">
        <w:t xml:space="preserve"> amongst others.</w:t>
      </w:r>
      <w:r w:rsidR="00004149">
        <w:t xml:space="preserve"> </w:t>
      </w:r>
      <w:r w:rsidRPr="00407E36">
        <w:t xml:space="preserve">Patients were excluded if they had bilateral </w:t>
      </w:r>
      <w:proofErr w:type="spellStart"/>
      <w:r w:rsidRPr="00407E36">
        <w:t>sacroiliitis</w:t>
      </w:r>
      <w:proofErr w:type="spellEnd"/>
      <w:r w:rsidRPr="00407E36">
        <w:t xml:space="preserve"> Grade 2 or unilateral </w:t>
      </w:r>
      <w:proofErr w:type="spellStart"/>
      <w:r w:rsidRPr="00407E36">
        <w:t>sacroiliitis</w:t>
      </w:r>
      <w:proofErr w:type="spellEnd"/>
      <w:r w:rsidRPr="00407E36">
        <w:t xml:space="preserve"> Grade 3 or Grade 4 on conventional X-rays (</w:t>
      </w:r>
      <w:r w:rsidR="004945DB">
        <w:t>that is,</w:t>
      </w:r>
      <w:r w:rsidRPr="00407E36">
        <w:t xml:space="preserve"> excluding New York modified criteria for diagnosis of AS).</w:t>
      </w:r>
      <w:r w:rsidR="00004149">
        <w:t xml:space="preserve"> </w:t>
      </w:r>
      <w:r w:rsidR="004945DB">
        <w:t>T</w:t>
      </w:r>
      <w:r w:rsidRPr="00407E36">
        <w:t xml:space="preserve">o determine if patients had AS, 82% had x-rays taken within 30 days of screening and the remainder </w:t>
      </w:r>
      <w:r w:rsidR="004945DB">
        <w:t xml:space="preserve">had them </w:t>
      </w:r>
      <w:r w:rsidRPr="00407E36">
        <w:t>up to 71 days</w:t>
      </w:r>
      <w:r w:rsidR="004945DB">
        <w:t xml:space="preserve"> of screening</w:t>
      </w:r>
      <w:r w:rsidRPr="00407E36">
        <w:t>.</w:t>
      </w:r>
      <w:r w:rsidR="00004149">
        <w:t xml:space="preserve"> </w:t>
      </w:r>
    </w:p>
    <w:p w:rsidR="007C047F" w:rsidRDefault="00407E36" w:rsidP="0041540F">
      <w:r w:rsidRPr="00407E36">
        <w:lastRenderedPageBreak/>
        <w:t xml:space="preserve">Randomisation was stratified by evidence of </w:t>
      </w:r>
      <w:proofErr w:type="spellStart"/>
      <w:r w:rsidRPr="00407E36">
        <w:t>sacroiliitis</w:t>
      </w:r>
      <w:proofErr w:type="spellEnd"/>
      <w:r w:rsidRPr="00407E36">
        <w:t xml:space="preserve"> on MRI and CRP level and the protocol was subsequently amended to ensure that subjects had active inflammation at study entry.</w:t>
      </w:r>
      <w:r w:rsidR="00004149">
        <w:t xml:space="preserve"> </w:t>
      </w:r>
      <w:r w:rsidRPr="00407E36">
        <w:t>X-rays and MRIs were read centrally by readers blinded to treatment assignment, clinical information, and results of investigator readings.</w:t>
      </w:r>
      <w:r w:rsidR="00004149">
        <w:t xml:space="preserve"> </w:t>
      </w:r>
      <w:r w:rsidRPr="00407E36">
        <w:t xml:space="preserve">An analysis population was added prior to </w:t>
      </w:r>
      <w:proofErr w:type="spellStart"/>
      <w:r w:rsidRPr="00407E36">
        <w:t>unblinding</w:t>
      </w:r>
      <w:proofErr w:type="spellEnd"/>
      <w:r w:rsidRPr="00407E36">
        <w:t xml:space="preserve"> called the OSI Population which is a subset of the full analysis set and consisted of subjects with baseline evidence of </w:t>
      </w:r>
      <w:proofErr w:type="spellStart"/>
      <w:r w:rsidRPr="00407E36">
        <w:t>sacroiliitis</w:t>
      </w:r>
      <w:proofErr w:type="spellEnd"/>
      <w:r w:rsidRPr="00407E36">
        <w:t xml:space="preserve"> on MRI and/or screening CRP level &gt;ULN.</w:t>
      </w:r>
      <w:r w:rsidR="00004149">
        <w:t xml:space="preserve"> </w:t>
      </w:r>
      <w:r w:rsidR="007C047F">
        <w:t>Study completion rate was 88.9% at W</w:t>
      </w:r>
      <w:r w:rsidRPr="00407E36">
        <w:t>eek 52.</w:t>
      </w:r>
    </w:p>
    <w:p w:rsidR="00407E36" w:rsidRPr="00407E36" w:rsidRDefault="00407E36" w:rsidP="0041540F">
      <w:r w:rsidRPr="00407E36">
        <w:t xml:space="preserve">Baseline demographics and disease characteristics were similar between </w:t>
      </w:r>
      <w:proofErr w:type="spellStart"/>
      <w:r w:rsidRPr="00407E36">
        <w:t>golimumab</w:t>
      </w:r>
      <w:proofErr w:type="spellEnd"/>
      <w:r w:rsidRPr="00407E36">
        <w:t xml:space="preserve"> and placebo groups (male 57.1%, median 30 years of age, 100% </w:t>
      </w:r>
      <w:r w:rsidR="007C047F">
        <w:t>W</w:t>
      </w:r>
      <w:r w:rsidRPr="00407E36">
        <w:t>hite, 67% having a disease duration &lt;</w:t>
      </w:r>
      <w:r w:rsidR="007C047F">
        <w:t xml:space="preserve"> </w:t>
      </w:r>
      <w:r w:rsidRPr="00407E36">
        <w:t>1 year, 82% HLA-B27 positive, &gt;</w:t>
      </w:r>
      <w:r w:rsidR="007C047F">
        <w:t xml:space="preserve"> </w:t>
      </w:r>
      <w:r w:rsidRPr="00407E36">
        <w:t>50% had failed ≥</w:t>
      </w:r>
      <w:r w:rsidR="007C047F">
        <w:t xml:space="preserve"> </w:t>
      </w:r>
      <w:r w:rsidRPr="00407E36">
        <w:t xml:space="preserve">2 prior NSAIDs, 41% elevated CRP, 67% evidence of </w:t>
      </w:r>
      <w:proofErr w:type="spellStart"/>
      <w:r w:rsidRPr="00407E36">
        <w:t>sacroiliitis</w:t>
      </w:r>
      <w:proofErr w:type="spellEnd"/>
      <w:r w:rsidRPr="00407E36">
        <w:t xml:space="preserve"> on MRI, mean BASDAI score of 6.6</w:t>
      </w:r>
      <w:r w:rsidR="004274CF">
        <w:t xml:space="preserve"> </w:t>
      </w:r>
      <w:r w:rsidRPr="00407E36">
        <w:t>cm and 6.4</w:t>
      </w:r>
      <w:r w:rsidR="004274CF">
        <w:t xml:space="preserve"> </w:t>
      </w:r>
      <w:r w:rsidRPr="00407E36">
        <w:t>cm, 87.6%</w:t>
      </w:r>
      <w:r w:rsidR="00004149">
        <w:t xml:space="preserve"> versus </w:t>
      </w:r>
      <w:r w:rsidRPr="00407E36">
        <w:t>83.0% on anti-inflammatory/anti-rheumatic product) except gender (male 62.2%</w:t>
      </w:r>
      <w:r w:rsidR="00004149">
        <w:t xml:space="preserve"> versus </w:t>
      </w:r>
      <w:r w:rsidRPr="00407E36">
        <w:t>52%).</w:t>
      </w:r>
      <w:r w:rsidR="00004149">
        <w:t xml:space="preserve"> </w:t>
      </w:r>
      <w:r w:rsidRPr="00407E36">
        <w:t xml:space="preserve">In the OSI population the baseline demographics and disease characteristics were similar to those seen in the FAS population with the exception of those characteristics related to the definition of the OSI population (CRP &gt;ULN in 51%, 83% evidence of MRI </w:t>
      </w:r>
      <w:proofErr w:type="spellStart"/>
      <w:r w:rsidRPr="00407E36">
        <w:t>sacroiliitis</w:t>
      </w:r>
      <w:proofErr w:type="spellEnd"/>
      <w:r w:rsidRPr="00407E36">
        <w:t xml:space="preserve"> and 33.5% had both).</w:t>
      </w:r>
    </w:p>
    <w:p w:rsidR="00407E36" w:rsidRPr="00407E36" w:rsidRDefault="00407E36" w:rsidP="004274CF">
      <w:r w:rsidRPr="00407E36">
        <w:t>The primary efficacy endpoint which was the proportion of subjects who achieved an ASAS-20</w:t>
      </w:r>
      <w:r w:rsidR="00004149">
        <w:t xml:space="preserve"> </w:t>
      </w:r>
      <w:r w:rsidRPr="00407E36">
        <w:t xml:space="preserve">response at Week 16 for </w:t>
      </w:r>
      <w:proofErr w:type="spellStart"/>
      <w:r w:rsidRPr="00407E36">
        <w:t>golimumab</w:t>
      </w:r>
      <w:proofErr w:type="spellEnd"/>
      <w:r w:rsidR="00004149">
        <w:t xml:space="preserve"> versus </w:t>
      </w:r>
      <w:r w:rsidRPr="00407E36">
        <w:t xml:space="preserve">placebo using the final analysis set, was significantly higher on </w:t>
      </w:r>
      <w:proofErr w:type="spellStart"/>
      <w:r w:rsidRPr="00407E36">
        <w:t>golimumab</w:t>
      </w:r>
      <w:proofErr w:type="spellEnd"/>
      <w:r w:rsidRPr="00407E36">
        <w:t xml:space="preserve"> (71.1%)</w:t>
      </w:r>
      <w:r w:rsidR="00004149">
        <w:t xml:space="preserve"> versus </w:t>
      </w:r>
      <w:r w:rsidRPr="00407E36">
        <w:t>placebo (40.0%), with a difference of 31.2% (95%CI 17.5-43.6; p&lt;0.0001).</w:t>
      </w:r>
      <w:r w:rsidR="00004149">
        <w:t xml:space="preserve"> </w:t>
      </w:r>
      <w:r w:rsidRPr="00407E36">
        <w:t xml:space="preserve">The </w:t>
      </w:r>
      <w:r w:rsidR="004274CF">
        <w:t>PP</w:t>
      </w:r>
      <w:r w:rsidRPr="00407E36">
        <w:t xml:space="preserve"> analysis showed similar results.</w:t>
      </w:r>
      <w:r w:rsidR="00004149">
        <w:t xml:space="preserve"> </w:t>
      </w:r>
      <w:r w:rsidRPr="00407E36">
        <w:t xml:space="preserve">The OSI population result was similar at 76.9% on </w:t>
      </w:r>
      <w:proofErr w:type="spellStart"/>
      <w:r w:rsidRPr="00407E36">
        <w:t>golimumab</w:t>
      </w:r>
      <w:proofErr w:type="spellEnd"/>
      <w:r w:rsidR="00004149">
        <w:t xml:space="preserve"> versus </w:t>
      </w:r>
      <w:r w:rsidRPr="00407E36">
        <w:t>37.5% on placebo, a difference of 39.6% (95% CI: 24.6, 52.6; p&lt;0.0001).</w:t>
      </w:r>
      <w:r w:rsidR="00004149">
        <w:t xml:space="preserve"> </w:t>
      </w:r>
      <w:r w:rsidRPr="00407E36">
        <w:t xml:space="preserve">Key secondary endpoints, </w:t>
      </w:r>
      <w:r w:rsidR="004274CF">
        <w:t>Full Analysis Set (</w:t>
      </w:r>
      <w:r w:rsidRPr="00407E36">
        <w:t>FAS</w:t>
      </w:r>
      <w:r w:rsidR="004274CF">
        <w:t>)</w:t>
      </w:r>
      <w:r w:rsidRPr="00407E36">
        <w:t xml:space="preserve">, were significantly higher on </w:t>
      </w:r>
      <w:proofErr w:type="spellStart"/>
      <w:r w:rsidRPr="00407E36">
        <w:t>golimumab</w:t>
      </w:r>
      <w:proofErr w:type="spellEnd"/>
      <w:r w:rsidR="00004149">
        <w:t xml:space="preserve"> versus </w:t>
      </w:r>
      <w:r w:rsidRPr="00407E36">
        <w:t>placebo for the ASAS-40 (56.7</w:t>
      </w:r>
      <w:r w:rsidR="00004149">
        <w:t xml:space="preserve"> versus </w:t>
      </w:r>
      <w:r w:rsidRPr="00407E36">
        <w:t>23.0%), BASDAI 50 (57.7</w:t>
      </w:r>
      <w:r w:rsidR="00004149">
        <w:t xml:space="preserve"> versus </w:t>
      </w:r>
      <w:r w:rsidRPr="00407E36">
        <w:t>30.0%), and ASAS Partial Remission (33.0</w:t>
      </w:r>
      <w:r w:rsidR="00004149">
        <w:t xml:space="preserve"> versus </w:t>
      </w:r>
      <w:r w:rsidRPr="00407E36">
        <w:t>18.0%) endpoints.</w:t>
      </w:r>
      <w:r w:rsidR="00004149">
        <w:t xml:space="preserve"> </w:t>
      </w:r>
      <w:r w:rsidRPr="00407E36">
        <w:t xml:space="preserve">A significantly greater reduction from baseline in the SPARCC MRI SI joints score was seen on </w:t>
      </w:r>
      <w:proofErr w:type="spellStart"/>
      <w:r w:rsidRPr="00407E36">
        <w:t>golimumab</w:t>
      </w:r>
      <w:proofErr w:type="spellEnd"/>
      <w:r w:rsidR="00004149">
        <w:t xml:space="preserve"> versus </w:t>
      </w:r>
      <w:r w:rsidRPr="00407E36">
        <w:t>placebo (-5.3</w:t>
      </w:r>
      <w:r w:rsidR="00004149">
        <w:t xml:space="preserve"> versus </w:t>
      </w:r>
      <w:r w:rsidRPr="00407E36">
        <w:t>-0.9, respectively; p&lt;0.0001).</w:t>
      </w:r>
      <w:r w:rsidR="00004149">
        <w:t xml:space="preserve"> </w:t>
      </w:r>
      <w:r w:rsidRPr="00407E36">
        <w:t>Similar results were seen for the OSI population.</w:t>
      </w:r>
      <w:r w:rsidR="00004149">
        <w:t xml:space="preserve"> </w:t>
      </w:r>
      <w:r w:rsidRPr="00407E36">
        <w:t>Four subjects developed antibodies but all achieved an ASAS-20.</w:t>
      </w:r>
    </w:p>
    <w:p w:rsidR="00407E36" w:rsidRDefault="00407E36" w:rsidP="004274CF">
      <w:r w:rsidRPr="00407E36">
        <w:t>Examining the sub</w:t>
      </w:r>
      <w:r w:rsidR="004274CF">
        <w:t>groups for ASAS-20 response at W</w:t>
      </w:r>
      <w:r w:rsidRPr="00407E36">
        <w:t xml:space="preserve">eek 16, it was noted that the subgroup </w:t>
      </w:r>
      <w:r w:rsidR="00D711C6">
        <w:t>that</w:t>
      </w:r>
      <w:r w:rsidRPr="00407E36">
        <w:t xml:space="preserve"> had both a negative MRI and normal CRP at baseline had no difference detected</w:t>
      </w:r>
      <w:r w:rsidR="004274CF">
        <w:t xml:space="preserve"> between </w:t>
      </w:r>
      <w:proofErr w:type="spellStart"/>
      <w:r w:rsidR="004274CF">
        <w:t>golimumab</w:t>
      </w:r>
      <w:proofErr w:type="spellEnd"/>
      <w:r w:rsidR="004274CF">
        <w:t xml:space="preserve"> and placebo whereas</w:t>
      </w:r>
      <w:r w:rsidRPr="00407E36">
        <w:t xml:space="preserve"> the other combinations did as shown below.</w:t>
      </w:r>
      <w:r w:rsidR="00004149">
        <w:t xml:space="preserve"> </w:t>
      </w:r>
      <w:r w:rsidRPr="00407E36">
        <w:t>Female response rates showed a smaller treatment difference than was expected, which may have been at least partially due to a higher proportion of female than male subjects with a CRP within the normal limits (77%</w:t>
      </w:r>
      <w:r w:rsidR="00004149">
        <w:t xml:space="preserve"> versus </w:t>
      </w:r>
      <w:r w:rsidRPr="00407E36">
        <w:t>46%, respectively).</w:t>
      </w:r>
      <w:r w:rsidR="00004149">
        <w:t xml:space="preserve"> </w:t>
      </w:r>
      <w:r w:rsidRPr="00407E36">
        <w:t>In the OSI population, which excluded those subjects with both a negative MRI and a CRP ≤</w:t>
      </w:r>
      <w:r w:rsidR="004274CF">
        <w:t xml:space="preserve"> </w:t>
      </w:r>
      <w:r w:rsidRPr="00407E36">
        <w:t>ULN, ASAS response was lower</w:t>
      </w:r>
      <w:r w:rsidR="004274CF">
        <w:t xml:space="preserve"> in females than males</w:t>
      </w:r>
      <w:r w:rsidRPr="00407E36">
        <w:t>.</w:t>
      </w:r>
    </w:p>
    <w:p w:rsidR="00407E36" w:rsidRDefault="00E07CB6" w:rsidP="00E07CB6">
      <w:pPr>
        <w:pStyle w:val="TableTitle"/>
      </w:pPr>
      <w:r>
        <w:lastRenderedPageBreak/>
        <w:t xml:space="preserve">Table 3: </w:t>
      </w:r>
      <w:r w:rsidR="00407E36" w:rsidRPr="00407E36">
        <w:t>Subgroup Analysis of Subjects Achieving ASAS 20 Response at Week 16 by Baseline MRI and Screening CRP (FAS, Part 1)</w:t>
      </w:r>
    </w:p>
    <w:p w:rsidR="004274CF" w:rsidRPr="004274CF" w:rsidRDefault="004274CF" w:rsidP="004274CF">
      <w:r>
        <w:rPr>
          <w:bCs/>
          <w:noProof/>
          <w:lang w:eastAsia="en-AU"/>
        </w:rPr>
        <w:drawing>
          <wp:inline distT="0" distB="0" distL="0" distR="0" wp14:anchorId="44C6FA32" wp14:editId="20791C4B">
            <wp:extent cx="5335146" cy="2458187"/>
            <wp:effectExtent l="19050" t="19050" r="18415" b="18415"/>
            <wp:docPr id="26" name="Picture 26" descr="Table 3: Subgroup Analysis of Subjects Achieving ASAS 20 Response at Week 16 by Baseline MRI and Screening CRP (FAS, Par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rotWithShape="1">
                    <a:blip r:embed="rId16">
                      <a:lum bright="-20000" contrast="40000"/>
                      <a:extLst>
                        <a:ext uri="{28A0092B-C50C-407E-A947-70E740481C1C}">
                          <a14:useLocalDpi xmlns:a14="http://schemas.microsoft.com/office/drawing/2010/main" val="0"/>
                        </a:ext>
                      </a:extLst>
                    </a:blip>
                    <a:srcRect r="1147" b="1621"/>
                    <a:stretch/>
                  </pic:blipFill>
                  <pic:spPr bwMode="auto">
                    <a:xfrm>
                      <a:off x="0" y="0"/>
                      <a:ext cx="5338128" cy="2459561"/>
                    </a:xfrm>
                    <a:prstGeom prst="rect">
                      <a:avLst/>
                    </a:prstGeom>
                    <a:noFill/>
                    <a:ln w="12700"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rsidR="00407E36" w:rsidRPr="00407E36" w:rsidRDefault="00407E36" w:rsidP="004274CF">
      <w:r w:rsidRPr="00407E36">
        <w:t xml:space="preserve">In the extension phase, efficacy (as measured by the primary and key secondary efficacy endpoints) that was observed with </w:t>
      </w:r>
      <w:proofErr w:type="spellStart"/>
      <w:r w:rsidRPr="00407E36">
        <w:t>golimumab</w:t>
      </w:r>
      <w:proofErr w:type="spellEnd"/>
      <w:r w:rsidRPr="00407E36">
        <w:t xml:space="preserve"> treatment at Week 16 was maintained out to Week 52.</w:t>
      </w:r>
      <w:r w:rsidR="00004149">
        <w:t xml:space="preserve"> </w:t>
      </w:r>
      <w:r w:rsidRPr="00407E36">
        <w:t>Results in the OSI population were consistent with those in the FAS population.</w:t>
      </w:r>
      <w:r w:rsidR="00004149">
        <w:t xml:space="preserve"> </w:t>
      </w:r>
      <w:r w:rsidRPr="00407E36">
        <w:t>Reduction in CRP from baseline was relatively stable between Week 24 (-1.02 mg/</w:t>
      </w:r>
      <w:proofErr w:type="spellStart"/>
      <w:r w:rsidRPr="00407E36">
        <w:t>dL</w:t>
      </w:r>
      <w:proofErr w:type="spellEnd"/>
      <w:r w:rsidRPr="00407E36">
        <w:t>) and Week 52 (-1.15 mg/</w:t>
      </w:r>
      <w:proofErr w:type="spellStart"/>
      <w:r w:rsidRPr="00407E36">
        <w:t>dL</w:t>
      </w:r>
      <w:proofErr w:type="spellEnd"/>
      <w:r w:rsidRPr="00407E36">
        <w:t>).</w:t>
      </w:r>
      <w:r w:rsidR="00004149">
        <w:t xml:space="preserve"> </w:t>
      </w:r>
      <w:r w:rsidRPr="00407E36">
        <w:t>In the placebo s</w:t>
      </w:r>
      <w:r w:rsidR="004274CF">
        <w:t xml:space="preserve">witch to </w:t>
      </w:r>
      <w:proofErr w:type="spellStart"/>
      <w:r w:rsidR="004274CF">
        <w:t>golimumab</w:t>
      </w:r>
      <w:proofErr w:type="spellEnd"/>
      <w:r w:rsidR="004274CF">
        <w:t xml:space="preserve"> group at W</w:t>
      </w:r>
      <w:r w:rsidRPr="00407E36">
        <w:t>eek 16, a marked improvement in efficacy response was observed between Week 16 and Week 20 and the response remained relatively stable thereafter.</w:t>
      </w:r>
      <w:r w:rsidR="00004149">
        <w:t xml:space="preserve"> </w:t>
      </w:r>
      <w:r w:rsidRPr="00407E36">
        <w:t xml:space="preserve">Of the 14 subjects who were positive for antibodies to </w:t>
      </w:r>
      <w:proofErr w:type="spellStart"/>
      <w:r w:rsidRPr="00407E36">
        <w:t>golimumab</w:t>
      </w:r>
      <w:proofErr w:type="spellEnd"/>
      <w:r w:rsidRPr="00407E36">
        <w:t>, 8 achieved ASAS 20 at Week 52, 4 did not achieve ASAS 20 at Week 52, and 2 terminated early.</w:t>
      </w:r>
      <w:r w:rsidR="00004149">
        <w:t xml:space="preserve"> </w:t>
      </w:r>
    </w:p>
    <w:p w:rsidR="00407E36" w:rsidRPr="00407E36" w:rsidRDefault="00407E36" w:rsidP="004274CF">
      <w:pPr>
        <w:pStyle w:val="Heading4"/>
      </w:pPr>
      <w:r w:rsidRPr="00407E36">
        <w:t>Safety</w:t>
      </w:r>
    </w:p>
    <w:p w:rsidR="00407E36" w:rsidRPr="00407E36" w:rsidRDefault="00407E36" w:rsidP="00E07CB6">
      <w:r w:rsidRPr="00407E36">
        <w:t xml:space="preserve">Exposure to </w:t>
      </w:r>
      <w:proofErr w:type="spellStart"/>
      <w:r w:rsidRPr="00407E36">
        <w:t>golimumab</w:t>
      </w:r>
      <w:proofErr w:type="spellEnd"/>
      <w:r w:rsidRPr="00407E36">
        <w:t xml:space="preserve"> in the pivotal study occurred in 97 subjects during the controlled period and 189 subjects were exposed during the open label extension period (mean 297 days) with 83 patients exposed between 48</w:t>
      </w:r>
      <w:r w:rsidR="00E07CB6">
        <w:t xml:space="preserve"> and </w:t>
      </w:r>
      <w:r w:rsidRPr="00407E36">
        <w:t xml:space="preserve">52 weeks. Comparing </w:t>
      </w:r>
      <w:proofErr w:type="spellStart"/>
      <w:r w:rsidRPr="00407E36">
        <w:t>golimumab</w:t>
      </w:r>
      <w:proofErr w:type="spellEnd"/>
      <w:r w:rsidRPr="00407E36">
        <w:t xml:space="preserve"> with placebo during the controlled period, AEs occurred in 41.2%</w:t>
      </w:r>
      <w:r w:rsidR="00004149">
        <w:t xml:space="preserve"> versus</w:t>
      </w:r>
      <w:r w:rsidRPr="00407E36">
        <w:t xml:space="preserve"> 47.0% with th</w:t>
      </w:r>
      <w:r w:rsidR="00E07CB6">
        <w:t xml:space="preserve">e most common categories being Infections and infestations, </w:t>
      </w:r>
      <w:proofErr w:type="gramStart"/>
      <w:r w:rsidR="00E07CB6">
        <w:t>G</w:t>
      </w:r>
      <w:r w:rsidRPr="00407E36">
        <w:t>astrointestinal</w:t>
      </w:r>
      <w:proofErr w:type="gramEnd"/>
      <w:r w:rsidRPr="00407E36">
        <w:t xml:space="preserve"> disorders</w:t>
      </w:r>
      <w:r w:rsidR="00E07CB6">
        <w:t xml:space="preserve"> and N</w:t>
      </w:r>
      <w:r w:rsidRPr="00407E36">
        <w:t>ervous system disorders.</w:t>
      </w:r>
      <w:r w:rsidR="00004149">
        <w:t xml:space="preserve"> </w:t>
      </w:r>
      <w:r w:rsidRPr="00407E36">
        <w:t xml:space="preserve">The most common AEs were: </w:t>
      </w:r>
      <w:proofErr w:type="spellStart"/>
      <w:r w:rsidRPr="00407E36">
        <w:t>nasopharyngitis</w:t>
      </w:r>
      <w:proofErr w:type="spellEnd"/>
      <w:r w:rsidRPr="00407E36">
        <w:t xml:space="preserve"> (9.3%</w:t>
      </w:r>
      <w:r w:rsidR="00004149">
        <w:t xml:space="preserve"> versus </w:t>
      </w:r>
      <w:r w:rsidRPr="00407E36">
        <w:t>9.0%), headache (7.2%</w:t>
      </w:r>
      <w:r w:rsidR="00004149">
        <w:t xml:space="preserve"> versus </w:t>
      </w:r>
      <w:r w:rsidRPr="00407E36">
        <w:t xml:space="preserve">6.0%), nausea (6% placebo), oropharyngeal pain (5.2% </w:t>
      </w:r>
      <w:proofErr w:type="spellStart"/>
      <w:r w:rsidRPr="00407E36">
        <w:t>golimumab</w:t>
      </w:r>
      <w:proofErr w:type="spellEnd"/>
      <w:r w:rsidRPr="00407E36">
        <w:t>), and influenza (5% placebo).</w:t>
      </w:r>
      <w:r w:rsidR="00004149">
        <w:t xml:space="preserve"> </w:t>
      </w:r>
      <w:r w:rsidRPr="00407E36">
        <w:t>Most events (89%) were mild to moderate.</w:t>
      </w:r>
      <w:r w:rsidR="00004149">
        <w:t xml:space="preserve"> </w:t>
      </w:r>
      <w:r w:rsidRPr="00407E36">
        <w:t>ADRs occurred in 13.4%</w:t>
      </w:r>
      <w:r w:rsidR="00004149">
        <w:t xml:space="preserve"> versus </w:t>
      </w:r>
      <w:r w:rsidRPr="00407E36">
        <w:t>17%, with infections/infestations being most common (9.3%</w:t>
      </w:r>
      <w:r w:rsidR="00004149">
        <w:t xml:space="preserve"> versus </w:t>
      </w:r>
      <w:r w:rsidRPr="00407E36">
        <w:t>7%).</w:t>
      </w:r>
      <w:r w:rsidR="00004149">
        <w:t xml:space="preserve"> </w:t>
      </w:r>
      <w:r w:rsidRPr="00407E36">
        <w:t>No deaths were reported and one unrelated SAE was reported.</w:t>
      </w:r>
      <w:r w:rsidR="00004149">
        <w:t xml:space="preserve"> </w:t>
      </w:r>
      <w:r w:rsidRPr="00407E36">
        <w:t>Discontinuations were low. No malignancies, clinically important hepatobiliary events, serious infections or serious hypersensitivity reactions were reported.</w:t>
      </w:r>
      <w:r w:rsidR="00004149">
        <w:t xml:space="preserve"> </w:t>
      </w:r>
      <w:r w:rsidRPr="00407E36">
        <w:t>Injections site reactions occurred in 3 placebo patients.</w:t>
      </w:r>
      <w:r w:rsidR="00004149">
        <w:t xml:space="preserve"> </w:t>
      </w:r>
      <w:r w:rsidRPr="00407E36">
        <w:t>Four subjects were antibody positive (all neutralising).</w:t>
      </w:r>
    </w:p>
    <w:p w:rsidR="00407E36" w:rsidRPr="00407E36" w:rsidRDefault="00407E36" w:rsidP="00E07CB6">
      <w:r w:rsidRPr="00407E36">
        <w:t>In the extension period, there w</w:t>
      </w:r>
      <w:r w:rsidR="00E07CB6">
        <w:t>as</w:t>
      </w:r>
      <w:r w:rsidRPr="00407E36">
        <w:t xml:space="preserve"> no new safety signals observed.</w:t>
      </w:r>
      <w:r w:rsidR="00004149">
        <w:t xml:space="preserve"> </w:t>
      </w:r>
      <w:r w:rsidRPr="00407E36">
        <w:t xml:space="preserve">AEs occurred slightly less in those who stayed on </w:t>
      </w:r>
      <w:proofErr w:type="spellStart"/>
      <w:r w:rsidRPr="00407E36">
        <w:t>golimumab</w:t>
      </w:r>
      <w:proofErr w:type="spellEnd"/>
      <w:r w:rsidR="00004149">
        <w:t xml:space="preserve"> versus </w:t>
      </w:r>
      <w:r w:rsidRPr="00407E36">
        <w:t>the switch group (41.9% and 54.2%).</w:t>
      </w:r>
      <w:r w:rsidR="00004149">
        <w:t xml:space="preserve"> </w:t>
      </w:r>
      <w:r w:rsidRPr="00407E36">
        <w:t xml:space="preserve">The most common AEs for those who stayed on </w:t>
      </w:r>
      <w:proofErr w:type="spellStart"/>
      <w:r w:rsidRPr="00407E36">
        <w:t>golimumab</w:t>
      </w:r>
      <w:proofErr w:type="spellEnd"/>
      <w:r w:rsidRPr="00407E36">
        <w:t xml:space="preserve"> were: </w:t>
      </w:r>
      <w:proofErr w:type="spellStart"/>
      <w:r w:rsidRPr="00407E36">
        <w:t>nasopharyngitis</w:t>
      </w:r>
      <w:proofErr w:type="spellEnd"/>
      <w:r w:rsidRPr="00407E36">
        <w:t xml:space="preserve"> (5.4%), influenza (2.2%), headache (6.5%), and </w:t>
      </w:r>
      <w:r w:rsidR="00E07CB6">
        <w:t>upper respiratory tract infection (</w:t>
      </w:r>
      <w:r w:rsidRPr="00407E36">
        <w:t>URTI</w:t>
      </w:r>
      <w:r w:rsidR="00E07CB6">
        <w:t>)</w:t>
      </w:r>
      <w:r w:rsidRPr="00407E36">
        <w:t xml:space="preserve"> (4.3%).</w:t>
      </w:r>
      <w:r w:rsidR="00004149">
        <w:t xml:space="preserve"> </w:t>
      </w:r>
      <w:r w:rsidRPr="00407E36">
        <w:t>Most events (94%) were mild to moderate. ADRs occurred at a similar rate to the controlled p</w:t>
      </w:r>
      <w:r w:rsidR="00E07CB6">
        <w:t xml:space="preserve">eriod at 12.9%, with Infections and </w:t>
      </w:r>
      <w:r w:rsidRPr="00407E36">
        <w:t>infestations being most common (10.8%).</w:t>
      </w:r>
      <w:r w:rsidR="00004149">
        <w:t xml:space="preserve"> </w:t>
      </w:r>
      <w:r w:rsidRPr="00407E36">
        <w:t>No deaths were reported in the extension and five SAEs were noted (2 related of migraine and bacterial infection).</w:t>
      </w:r>
      <w:r w:rsidR="00004149">
        <w:t xml:space="preserve"> </w:t>
      </w:r>
      <w:r w:rsidRPr="00407E36">
        <w:t>Discontinuations were low.</w:t>
      </w:r>
      <w:r w:rsidR="00004149">
        <w:t xml:space="preserve"> </w:t>
      </w:r>
      <w:r w:rsidRPr="00407E36">
        <w:t>No malignancies, clinically important hepatobiliary events or serious hypersensitivity reactions were reported.</w:t>
      </w:r>
      <w:r w:rsidR="00004149">
        <w:t xml:space="preserve"> </w:t>
      </w:r>
      <w:r w:rsidRPr="00407E36">
        <w:t>Two serious infections were reported. Injections site reactions occurred in 4 patients.</w:t>
      </w:r>
      <w:r w:rsidR="00004149">
        <w:t xml:space="preserve"> </w:t>
      </w:r>
      <w:r w:rsidRPr="00407E36">
        <w:t xml:space="preserve">Fourteen </w:t>
      </w:r>
      <w:r w:rsidRPr="00407E36">
        <w:lastRenderedPageBreak/>
        <w:t>subjects were antibody positive (all neutralising).</w:t>
      </w:r>
      <w:r w:rsidR="00004149">
        <w:t xml:space="preserve"> </w:t>
      </w:r>
      <w:r w:rsidRPr="00407E36">
        <w:t xml:space="preserve">There were few additional adverse events reported in the final CSR, with no new safety signals identified in patients with nr-Axial </w:t>
      </w:r>
      <w:proofErr w:type="spellStart"/>
      <w:r w:rsidRPr="00407E36">
        <w:t>SpA</w:t>
      </w:r>
      <w:proofErr w:type="spellEnd"/>
      <w:r w:rsidRPr="00407E36">
        <w:t>.</w:t>
      </w:r>
    </w:p>
    <w:p w:rsidR="00407E36" w:rsidRDefault="00407E36" w:rsidP="00E07CB6">
      <w:r w:rsidRPr="00407E36">
        <w:t xml:space="preserve">Three subjects on </w:t>
      </w:r>
      <w:proofErr w:type="spellStart"/>
      <w:r w:rsidRPr="00407E36">
        <w:t>golimumab</w:t>
      </w:r>
      <w:proofErr w:type="spellEnd"/>
      <w:r w:rsidRPr="00407E36">
        <w:t xml:space="preserve"> had an </w:t>
      </w:r>
      <w:r w:rsidR="00E07CB6">
        <w:t>alanine aminotransferase (</w:t>
      </w:r>
      <w:r w:rsidRPr="00407E36">
        <w:t>ALT</w:t>
      </w:r>
      <w:r w:rsidR="00E07CB6">
        <w:t>)</w:t>
      </w:r>
      <w:r w:rsidRPr="00407E36">
        <w:t xml:space="preserve"> ≥</w:t>
      </w:r>
      <w:r w:rsidR="00E07CB6">
        <w:t xml:space="preserve"> </w:t>
      </w:r>
      <w:r w:rsidRPr="00407E36">
        <w:t xml:space="preserve">3x ULN and no subjects had an </w:t>
      </w:r>
      <w:r w:rsidR="00E07CB6">
        <w:t>aspartate aminotransferase (</w:t>
      </w:r>
      <w:r w:rsidRPr="00407E36">
        <w:t>AST</w:t>
      </w:r>
      <w:r w:rsidR="00E07CB6">
        <w:t>)</w:t>
      </w:r>
      <w:r w:rsidRPr="00407E36">
        <w:t xml:space="preserve"> ≥</w:t>
      </w:r>
      <w:r w:rsidR="00E07CB6">
        <w:t xml:space="preserve"> </w:t>
      </w:r>
      <w:r w:rsidRPr="00407E36">
        <w:t>3x ULN after baseline.</w:t>
      </w:r>
      <w:r w:rsidR="00004149">
        <w:t xml:space="preserve"> </w:t>
      </w:r>
      <w:r w:rsidRPr="00407E36">
        <w:t xml:space="preserve">Haematological abnormalities were noted, </w:t>
      </w:r>
      <w:r w:rsidR="00E07CB6">
        <w:t>for example</w:t>
      </w:r>
      <w:r w:rsidRPr="00407E36">
        <w:t xml:space="preserve"> neutropenia and </w:t>
      </w:r>
      <w:proofErr w:type="spellStart"/>
      <w:r w:rsidRPr="00407E36">
        <w:t>lymphopenia</w:t>
      </w:r>
      <w:proofErr w:type="spellEnd"/>
      <w:r w:rsidRPr="00407E36">
        <w:t>.</w:t>
      </w:r>
    </w:p>
    <w:p w:rsidR="008E7846" w:rsidRDefault="00386150" w:rsidP="007B6132">
      <w:pPr>
        <w:pStyle w:val="Heading3"/>
        <w:rPr>
          <w:lang w:eastAsia="en-AU"/>
        </w:rPr>
      </w:pPr>
      <w:bookmarkStart w:id="93" w:name="_Toc487718639"/>
      <w:r>
        <w:rPr>
          <w:lang w:eastAsia="en-AU"/>
        </w:rPr>
        <w:t>Risk m</w:t>
      </w:r>
      <w:r w:rsidR="008E7846">
        <w:rPr>
          <w:lang w:eastAsia="en-AU"/>
        </w:rPr>
        <w:t xml:space="preserve">anagement </w:t>
      </w:r>
      <w:r>
        <w:rPr>
          <w:lang w:eastAsia="en-AU"/>
        </w:rPr>
        <w:t>p</w:t>
      </w:r>
      <w:r w:rsidR="008E7846">
        <w:rPr>
          <w:lang w:eastAsia="en-AU"/>
        </w:rPr>
        <w:t>lan</w:t>
      </w:r>
      <w:bookmarkEnd w:id="92"/>
      <w:bookmarkEnd w:id="93"/>
    </w:p>
    <w:p w:rsidR="00407E36" w:rsidRDefault="00E07CB6" w:rsidP="00E07CB6">
      <w:r>
        <w:t>The TGA</w:t>
      </w:r>
      <w:r w:rsidR="00407E36">
        <w:t xml:space="preserve"> has accepted the EU Risk Management Plan for </w:t>
      </w:r>
      <w:proofErr w:type="spellStart"/>
      <w:r w:rsidR="00407E36">
        <w:t>Simponi</w:t>
      </w:r>
      <w:proofErr w:type="spellEnd"/>
      <w:r w:rsidR="00407E36">
        <w:t xml:space="preserve"> (</w:t>
      </w:r>
      <w:proofErr w:type="spellStart"/>
      <w:r w:rsidR="00407E36">
        <w:t>golimumab</w:t>
      </w:r>
      <w:proofErr w:type="spellEnd"/>
      <w:r w:rsidR="00407E36">
        <w:t>), version 15.0 (dated 2 February 2016, DLP 6 October 2015), with the Australian Specific Annex, version 4.1 (dated 29 March 2016) and any future updates as a condition of registration.</w:t>
      </w:r>
    </w:p>
    <w:p w:rsidR="00407E36" w:rsidRDefault="00407E36" w:rsidP="00E07CB6">
      <w:r>
        <w:t>There were a number of relatively minor recommendations whose incorporation into the next scheduled update of the EU-RMP/ASA would be acceptable.</w:t>
      </w:r>
      <w:r w:rsidR="00004149">
        <w:t xml:space="preserve"> </w:t>
      </w:r>
      <w:r>
        <w:t>The sponsor has provided assurances to address them, which the RMP evaluator has accepted.</w:t>
      </w:r>
    </w:p>
    <w:p w:rsidR="00407E36" w:rsidRDefault="00407E36" w:rsidP="00E07CB6">
      <w:r>
        <w:t>The following outstanding matters should be followed up by the sponsor with the RMP evaluator and in the Pre-A</w:t>
      </w:r>
      <w:r w:rsidR="00E07CB6">
        <w:t>dvisory Committee on Prescription Medicines (A</w:t>
      </w:r>
      <w:r>
        <w:t>CPM</w:t>
      </w:r>
      <w:r w:rsidR="00E07CB6">
        <w:t>)</w:t>
      </w:r>
      <w:r>
        <w:t xml:space="preserve"> Response where required:</w:t>
      </w:r>
    </w:p>
    <w:p w:rsidR="008E7846" w:rsidRDefault="00407E36" w:rsidP="00E07CB6">
      <w:pPr>
        <w:pStyle w:val="Numberbullet2"/>
        <w:numPr>
          <w:ilvl w:val="1"/>
          <w:numId w:val="39"/>
        </w:numPr>
      </w:pPr>
      <w:r>
        <w:t xml:space="preserve">Statement on potential for medication errors in the EU </w:t>
      </w:r>
      <w:proofErr w:type="spellStart"/>
      <w:r>
        <w:t>S</w:t>
      </w:r>
      <w:r w:rsidR="00E07CB6">
        <w:t>m</w:t>
      </w:r>
      <w:r>
        <w:t>PC</w:t>
      </w:r>
      <w:proofErr w:type="spellEnd"/>
      <w:r>
        <w:t xml:space="preserve">. The sponsor should explain why it was included in the EU </w:t>
      </w:r>
      <w:proofErr w:type="spellStart"/>
      <w:r>
        <w:t>S</w:t>
      </w:r>
      <w:r w:rsidR="00E07CB6">
        <w:t>m</w:t>
      </w:r>
      <w:r>
        <w:t>PC</w:t>
      </w:r>
      <w:proofErr w:type="spellEnd"/>
      <w:r>
        <w:t xml:space="preserve"> and whether this was based on reports of medication errors.</w:t>
      </w:r>
    </w:p>
    <w:p w:rsidR="008E7846" w:rsidRDefault="00AA0ED0" w:rsidP="008E7846">
      <w:pPr>
        <w:pStyle w:val="Heading3"/>
      </w:pPr>
      <w:bookmarkStart w:id="94" w:name="_Toc247691531"/>
      <w:bookmarkStart w:id="95" w:name="_Toc314842515"/>
      <w:bookmarkStart w:id="96" w:name="_Toc487718640"/>
      <w:bookmarkStart w:id="97" w:name="_Toc196046505"/>
      <w:bookmarkStart w:id="98" w:name="_Toc196046949"/>
      <w:r>
        <w:t>Risk-benefit a</w:t>
      </w:r>
      <w:r w:rsidR="008E7846">
        <w:t>nalysis</w:t>
      </w:r>
      <w:bookmarkEnd w:id="94"/>
      <w:bookmarkEnd w:id="95"/>
      <w:bookmarkEnd w:id="96"/>
    </w:p>
    <w:p w:rsidR="00E07CB6" w:rsidRPr="00E07CB6" w:rsidRDefault="00407E36" w:rsidP="00E07CB6">
      <w:pPr>
        <w:pStyle w:val="Heading4"/>
      </w:pPr>
      <w:r w:rsidRPr="00ED03BE">
        <w:t>Efficacy</w:t>
      </w:r>
    </w:p>
    <w:p w:rsidR="00364895" w:rsidRDefault="00407E36" w:rsidP="00E07CB6">
      <w:r>
        <w:t xml:space="preserve">The efficacy of </w:t>
      </w:r>
      <w:proofErr w:type="spellStart"/>
      <w:r>
        <w:t>golimumab</w:t>
      </w:r>
      <w:proofErr w:type="spellEnd"/>
      <w:r>
        <w:t xml:space="preserve"> in patients with nr-Axial-</w:t>
      </w:r>
      <w:proofErr w:type="spellStart"/>
      <w:r>
        <w:t>SpA</w:t>
      </w:r>
      <w:proofErr w:type="spellEnd"/>
      <w:r>
        <w:t xml:space="preserve"> has been sat</w:t>
      </w:r>
      <w:r w:rsidR="00E07CB6">
        <w:t>isfactorily demonstrated up to W</w:t>
      </w:r>
      <w:r>
        <w:t>eek 16 in a single pivotal study and was maintained in the open label exte</w:t>
      </w:r>
      <w:r w:rsidR="00E07CB6">
        <w:t>nsion phase of the study up to W</w:t>
      </w:r>
      <w:r>
        <w:t>eek 52.</w:t>
      </w:r>
      <w:r w:rsidR="00004149">
        <w:t xml:space="preserve"> </w:t>
      </w:r>
      <w:r>
        <w:t xml:space="preserve">The proposed dose is the same as for other approved </w:t>
      </w:r>
      <w:proofErr w:type="spellStart"/>
      <w:r>
        <w:t>rheumatological</w:t>
      </w:r>
      <w:proofErr w:type="spellEnd"/>
      <w:r>
        <w:t xml:space="preserve"> indications and although there is no specific EU guideline on nr-Axial- </w:t>
      </w:r>
      <w:proofErr w:type="spellStart"/>
      <w:r>
        <w:t>SpA</w:t>
      </w:r>
      <w:proofErr w:type="spellEnd"/>
      <w:r>
        <w:t>, the design and duration of the study is broadly consistent with the EU guideline on ankylosing spondylitis.</w:t>
      </w:r>
      <w:r w:rsidR="00004149">
        <w:t xml:space="preserve"> </w:t>
      </w:r>
      <w:r>
        <w:t>The primary efficacy endpoint is considered an acceptable and validated endpoint in ankylosing spondylitis and therefore reasonable to use in nr-Axial-</w:t>
      </w:r>
      <w:proofErr w:type="spellStart"/>
      <w:r>
        <w:t>SpA</w:t>
      </w:r>
      <w:proofErr w:type="spellEnd"/>
      <w:r>
        <w:t xml:space="preserve"> and whilst the secondary endpoints are mostly commonly used, only the four key secondary endpoints were</w:t>
      </w:r>
      <w:r w:rsidRPr="004435C1">
        <w:t xml:space="preserve"> adjust</w:t>
      </w:r>
      <w:r>
        <w:t>ed</w:t>
      </w:r>
      <w:r w:rsidRPr="004435C1">
        <w:t xml:space="preserve"> for multiplicity </w:t>
      </w:r>
      <w:r>
        <w:t>effects and not the numerous other endpoints which are therefore of descriptive nature only.</w:t>
      </w:r>
      <w:r w:rsidR="00004149">
        <w:t xml:space="preserve"> </w:t>
      </w:r>
      <w:r>
        <w:t>ASAS-40 rather than 20 is considered a preferable primary endpoint in an ankylosing spondylitis population and although this was a secondary endpoint in this study, it demonstrated a statistically significant result.</w:t>
      </w:r>
      <w:r w:rsidR="00004149">
        <w:t xml:space="preserve"> </w:t>
      </w:r>
      <w:r>
        <w:t xml:space="preserve">There is a </w:t>
      </w:r>
      <w:r w:rsidRPr="009229F3">
        <w:t xml:space="preserve">potential </w:t>
      </w:r>
      <w:r>
        <w:t xml:space="preserve">for </w:t>
      </w:r>
      <w:r w:rsidRPr="009229F3">
        <w:t xml:space="preserve">misclassification </w:t>
      </w:r>
      <w:r>
        <w:t xml:space="preserve">of patients with ankylosing spondylitis </w:t>
      </w:r>
      <w:r w:rsidRPr="009229F3">
        <w:t>in th</w:t>
      </w:r>
      <w:r>
        <w:t>is</w:t>
      </w:r>
      <w:r w:rsidRPr="009229F3">
        <w:t xml:space="preserve"> relatively newly recognised clinical entity of nr-</w:t>
      </w:r>
      <w:proofErr w:type="spellStart"/>
      <w:r w:rsidRPr="009229F3">
        <w:t>axSpA</w:t>
      </w:r>
      <w:proofErr w:type="spellEnd"/>
      <w:r>
        <w:t xml:space="preserve"> and the use of historical x-rays at screening could add to this misclassification.</w:t>
      </w:r>
      <w:r w:rsidR="00004149">
        <w:t xml:space="preserve"> </w:t>
      </w:r>
      <w:r>
        <w:t>However x-rays (and MRIs) were read centrally in a blinded manner and at screening 82% had x-rays within 30 days of screening which is considered acceptable given the slow rate of disease progression.</w:t>
      </w:r>
      <w:r w:rsidR="00004149">
        <w:t xml:space="preserve"> </w:t>
      </w:r>
    </w:p>
    <w:p w:rsidR="00407E36" w:rsidRDefault="00407E36" w:rsidP="00364895">
      <w:r w:rsidRPr="00B85F2D">
        <w:t>Central evaluation of changes in SI joint inflammation (for the key secondary endpoint) was performed by duplicate independent readings of MRI scans for each subject.</w:t>
      </w:r>
      <w:r w:rsidR="00004149">
        <w:t xml:space="preserve"> </w:t>
      </w:r>
      <w:r w:rsidRPr="00B85F2D">
        <w:t>The readers were additionally blinded to the chronological order of the scans and the scores of other readers</w:t>
      </w:r>
      <w:r>
        <w:t xml:space="preserve"> to reduce bias.</w:t>
      </w:r>
      <w:r w:rsidR="00004149">
        <w:t xml:space="preserve"> </w:t>
      </w:r>
      <w:r>
        <w:t xml:space="preserve">The dosing instructions will also advise use should be initiated and supervised by a qualified physician experienced in the diagnosis and treatment of nr-Axial </w:t>
      </w:r>
      <w:proofErr w:type="spellStart"/>
      <w:r>
        <w:t>SpA</w:t>
      </w:r>
      <w:proofErr w:type="spellEnd"/>
      <w:r>
        <w:t>, which will most likely be rheumatologists to ensure appropriate diagnosis of patients.</w:t>
      </w:r>
      <w:r w:rsidR="00004149">
        <w:t xml:space="preserve"> </w:t>
      </w:r>
      <w:r>
        <w:t xml:space="preserve">This is also a disease for which the natural history is not well defined </w:t>
      </w:r>
      <w:r>
        <w:lastRenderedPageBreak/>
        <w:t>and patients may spontaneously remit.</w:t>
      </w:r>
      <w:r w:rsidR="00004149">
        <w:t xml:space="preserve"> </w:t>
      </w:r>
      <w:r>
        <w:t>It is not clear what proportion of patients may relapse following cessation of treatment, or the proportion of patients likely to respond to NSAIDs alone.</w:t>
      </w:r>
    </w:p>
    <w:p w:rsidR="00407E36" w:rsidRPr="00EA16D6" w:rsidRDefault="00407E36" w:rsidP="00364895">
      <w:r>
        <w:t>The indication restriction to require objective signs of in</w:t>
      </w:r>
      <w:r w:rsidRPr="00390B3A">
        <w:t>flammation as indicated by elevated CRP and/or MRI evidence</w:t>
      </w:r>
      <w:r>
        <w:t xml:space="preserve"> is appropriate given the supportive subgroup analysis results and slightly increased efficacy in the objective signs of inflammation target population, however these comparisons were not adjusted for multiplicity and should therefore be interpreted with caution.</w:t>
      </w:r>
      <w:r w:rsidR="00004149">
        <w:t xml:space="preserve"> </w:t>
      </w:r>
      <w:r>
        <w:t>Patients with n</w:t>
      </w:r>
      <w:r w:rsidR="00364895">
        <w:t>o</w:t>
      </w:r>
      <w:r>
        <w:t xml:space="preserve"> MRI evidence or elevated CRP did not demonstrate a treatment benefit and will be excluded by the indication.</w:t>
      </w:r>
      <w:r w:rsidR="00004149">
        <w:t xml:space="preserve"> </w:t>
      </w:r>
      <w:r>
        <w:t xml:space="preserve">Females had a lower ASAS response than males but still trended in favour of </w:t>
      </w:r>
      <w:proofErr w:type="spellStart"/>
      <w:r>
        <w:t>golimumab</w:t>
      </w:r>
      <w:proofErr w:type="spellEnd"/>
      <w:r>
        <w:t xml:space="preserve"> in the indicated population.</w:t>
      </w:r>
      <w:r w:rsidR="00004149">
        <w:t xml:space="preserve"> </w:t>
      </w:r>
    </w:p>
    <w:p w:rsidR="00364895" w:rsidRDefault="00407E36" w:rsidP="00364895">
      <w:pPr>
        <w:pStyle w:val="Heading4"/>
      </w:pPr>
      <w:r>
        <w:t>Safety</w:t>
      </w:r>
    </w:p>
    <w:p w:rsidR="00407E36" w:rsidRPr="00357DF5" w:rsidRDefault="00407E36" w:rsidP="00364895">
      <w:r>
        <w:t xml:space="preserve">The safety profile of </w:t>
      </w:r>
      <w:proofErr w:type="spellStart"/>
      <w:r>
        <w:t>golimumab</w:t>
      </w:r>
      <w:proofErr w:type="spellEnd"/>
      <w:r>
        <w:t xml:space="preserve"> in the </w:t>
      </w:r>
      <w:r w:rsidRPr="00B14198">
        <w:t xml:space="preserve">nr-Axial </w:t>
      </w:r>
      <w:proofErr w:type="spellStart"/>
      <w:r w:rsidRPr="00B14198">
        <w:t>SpA</w:t>
      </w:r>
      <w:proofErr w:type="spellEnd"/>
      <w:r w:rsidRPr="00B14198">
        <w:t xml:space="preserve"> population </w:t>
      </w:r>
      <w:r>
        <w:t>appeared</w:t>
      </w:r>
      <w:r w:rsidRPr="00B14198">
        <w:t xml:space="preserve"> comparable with the k</w:t>
      </w:r>
      <w:r>
        <w:t xml:space="preserve">nown safety profile for other </w:t>
      </w:r>
      <w:proofErr w:type="spellStart"/>
      <w:r>
        <w:t>rheumatological</w:t>
      </w:r>
      <w:proofErr w:type="spellEnd"/>
      <w:r>
        <w:t xml:space="preserve"> indications.</w:t>
      </w:r>
      <w:r w:rsidR="00004149">
        <w:t xml:space="preserve"> </w:t>
      </w:r>
      <w:r>
        <w:t>Although there is up to one year of data, the size of the study population is limited and less than 100 were exposed for a year, which limits the understanding of the safety profile in this new population.</w:t>
      </w:r>
      <w:r w:rsidR="00004149">
        <w:t xml:space="preserve"> </w:t>
      </w:r>
      <w:r>
        <w:t xml:space="preserve">However considering the availability of safety data from AS and other </w:t>
      </w:r>
      <w:proofErr w:type="spellStart"/>
      <w:r>
        <w:t>rheumatological</w:t>
      </w:r>
      <w:proofErr w:type="spellEnd"/>
      <w:r>
        <w:t xml:space="preserve"> populations, then this is acceptable. Nevertheless, the potential for serious infections, malignancies, hypersensitivity reactions, injections site reactions and antibody development remains present in this population.</w:t>
      </w:r>
      <w:r w:rsidR="00004149">
        <w:t xml:space="preserve"> </w:t>
      </w:r>
      <w:r>
        <w:t>Antibody development was reported and all were neutralising antibodies.</w:t>
      </w:r>
      <w:r w:rsidR="00004149">
        <w:t xml:space="preserve"> </w:t>
      </w:r>
    </w:p>
    <w:p w:rsidR="00364895" w:rsidRDefault="00407E36" w:rsidP="00364895">
      <w:pPr>
        <w:pStyle w:val="Heading4"/>
      </w:pPr>
      <w:r w:rsidRPr="0007565D">
        <w:t>RMP</w:t>
      </w:r>
    </w:p>
    <w:p w:rsidR="00407E36" w:rsidRPr="0007565D" w:rsidRDefault="00407E36" w:rsidP="00364895">
      <w:r>
        <w:t xml:space="preserve"> An acceptable RMP has been provided along with acceptable assurances from the sponsor to address outstanding matters.</w:t>
      </w:r>
    </w:p>
    <w:p w:rsidR="00364895" w:rsidRDefault="00407E36" w:rsidP="00364895">
      <w:pPr>
        <w:pStyle w:val="Heading4"/>
      </w:pPr>
      <w:r w:rsidRPr="0007565D">
        <w:t>Overall</w:t>
      </w:r>
    </w:p>
    <w:p w:rsidR="00407E36" w:rsidRDefault="00364895" w:rsidP="00364895">
      <w:r>
        <w:t>The D</w:t>
      </w:r>
      <w:r w:rsidR="00407E36">
        <w:t xml:space="preserve">elegate considers the efficacy and safety of </w:t>
      </w:r>
      <w:proofErr w:type="spellStart"/>
      <w:r w:rsidR="00407E36">
        <w:t>golimumab</w:t>
      </w:r>
      <w:proofErr w:type="spellEnd"/>
      <w:r w:rsidR="00407E36">
        <w:t xml:space="preserve"> at the dose requested to be satisfactorily established for the new indication of </w:t>
      </w:r>
      <w:r w:rsidR="00407E36" w:rsidRPr="00390B3A">
        <w:rPr>
          <w:rFonts w:asciiTheme="minorHAnsi" w:eastAsia="TimesNewRoman" w:hAnsiTheme="minorHAnsi" w:cs="TimesNewRoman"/>
        </w:rPr>
        <w:t>non-radiographic axial</w:t>
      </w:r>
      <w:r w:rsidR="00407E36">
        <w:rPr>
          <w:rFonts w:asciiTheme="minorHAnsi" w:eastAsia="TimesNewRoman" w:hAnsiTheme="minorHAnsi" w:cs="TimesNewRoman"/>
        </w:rPr>
        <w:t xml:space="preserve"> </w:t>
      </w:r>
      <w:proofErr w:type="spellStart"/>
      <w:r w:rsidR="00407E36" w:rsidRPr="00390B3A">
        <w:rPr>
          <w:rFonts w:asciiTheme="minorHAnsi" w:eastAsia="TimesNewRoman" w:hAnsiTheme="minorHAnsi" w:cs="TimesNewRoman"/>
        </w:rPr>
        <w:t>spondyloarth</w:t>
      </w:r>
      <w:r w:rsidR="00407E36">
        <w:rPr>
          <w:rFonts w:asciiTheme="minorHAnsi" w:eastAsia="TimesNewRoman" w:hAnsiTheme="minorHAnsi" w:cs="TimesNewRoman"/>
        </w:rPr>
        <w:t>ritis</w:t>
      </w:r>
      <w:proofErr w:type="spellEnd"/>
      <w:r w:rsidR="00407E36">
        <w:rPr>
          <w:rFonts w:asciiTheme="minorHAnsi" w:eastAsia="TimesNewRoman" w:hAnsiTheme="minorHAnsi" w:cs="TimesNewRoman"/>
        </w:rPr>
        <w:t xml:space="preserve"> </w:t>
      </w:r>
      <w:r w:rsidR="00407E36">
        <w:t>pending further advice from ACPM and the PI changes requested herein.</w:t>
      </w:r>
    </w:p>
    <w:p w:rsidR="00364895" w:rsidRDefault="00407E36" w:rsidP="00364895">
      <w:pPr>
        <w:pStyle w:val="Heading4"/>
      </w:pPr>
      <w:r>
        <w:t>Data deficiencies</w:t>
      </w:r>
    </w:p>
    <w:p w:rsidR="00407E36" w:rsidRPr="00195435" w:rsidRDefault="00407E36" w:rsidP="00364895">
      <w:r>
        <w:t xml:space="preserve">The size and duration of exposure to </w:t>
      </w:r>
      <w:proofErr w:type="spellStart"/>
      <w:r>
        <w:t>golimumab</w:t>
      </w:r>
      <w:proofErr w:type="spellEnd"/>
      <w:r>
        <w:t xml:space="preserve"> is limited.</w:t>
      </w:r>
      <w:r w:rsidR="00004149">
        <w:t xml:space="preserve"> </w:t>
      </w:r>
      <w:r>
        <w:t xml:space="preserve">There is a lack of data on disease modifying effects, </w:t>
      </w:r>
      <w:r w:rsidR="00364895">
        <w:t>for example</w:t>
      </w:r>
      <w:r>
        <w:t xml:space="preserve"> structural changes.</w:t>
      </w:r>
      <w:r w:rsidR="00004149">
        <w:t xml:space="preserve"> </w:t>
      </w:r>
      <w:r>
        <w:t>The pivotal study only included patients aged 18</w:t>
      </w:r>
      <w:r w:rsidR="00364895">
        <w:t xml:space="preserve"> to </w:t>
      </w:r>
      <w:r>
        <w:t>45 years.</w:t>
      </w:r>
    </w:p>
    <w:p w:rsidR="00364895" w:rsidRDefault="00407E36" w:rsidP="00364895">
      <w:pPr>
        <w:pStyle w:val="Heading4"/>
      </w:pPr>
      <w:r>
        <w:t xml:space="preserve">Conditions of </w:t>
      </w:r>
      <w:r w:rsidR="00101E94">
        <w:t>r</w:t>
      </w:r>
      <w:r>
        <w:t>egistration</w:t>
      </w:r>
    </w:p>
    <w:p w:rsidR="00407E36" w:rsidRDefault="00407E36" w:rsidP="00364895">
      <w:r w:rsidRPr="00295D2E">
        <w:t>The following are proposed as conditions of registration</w:t>
      </w:r>
      <w:r>
        <w:t xml:space="preserve"> and the sponsor is invited to comment </w:t>
      </w:r>
      <w:r w:rsidR="00364895">
        <w:t xml:space="preserve">on this </w:t>
      </w:r>
      <w:r>
        <w:t>in the Pre-ACPM response:</w:t>
      </w:r>
    </w:p>
    <w:p w:rsidR="00407E36" w:rsidRPr="006160A3" w:rsidRDefault="00407E36" w:rsidP="00364895">
      <w:pPr>
        <w:pStyle w:val="Numberbullet0"/>
        <w:numPr>
          <w:ilvl w:val="0"/>
          <w:numId w:val="40"/>
        </w:numPr>
      </w:pPr>
      <w:r w:rsidRPr="00E624CF">
        <w:t xml:space="preserve">The implementation in Australia of the EU Risk Management Plan for </w:t>
      </w:r>
      <w:proofErr w:type="spellStart"/>
      <w:r w:rsidRPr="00E624CF">
        <w:t>Simponi</w:t>
      </w:r>
      <w:proofErr w:type="spellEnd"/>
      <w:r w:rsidRPr="00E624CF">
        <w:t xml:space="preserve"> (</w:t>
      </w:r>
      <w:proofErr w:type="spellStart"/>
      <w:r w:rsidRPr="00E624CF">
        <w:t>golimumab</w:t>
      </w:r>
      <w:proofErr w:type="spellEnd"/>
      <w:r w:rsidRPr="00E624CF">
        <w:t>), version 15.0 (dated 2 February 2016, DLP 6 October 2015), with the Australian Specific Annex, version 4.1 (dated 29 March 2016), included with submission PM-2015-01879-1-3, and the sponsor’s response to the RMP dated 28 May 2016 and the responses in the Pre-ACPM Response dated [date], and any subsequent revisions, as agreed with the TGA</w:t>
      </w:r>
      <w:r w:rsidRPr="006160A3">
        <w:t>.</w:t>
      </w:r>
    </w:p>
    <w:p w:rsidR="00364895" w:rsidRDefault="00364895" w:rsidP="00364895">
      <w:pPr>
        <w:pStyle w:val="Heading4"/>
      </w:pPr>
      <w:r>
        <w:lastRenderedPageBreak/>
        <w:t>Questions for the s</w:t>
      </w:r>
      <w:r w:rsidR="00407E36">
        <w:t>ponsor</w:t>
      </w:r>
    </w:p>
    <w:p w:rsidR="00407E36" w:rsidRDefault="00407E36" w:rsidP="00364895">
      <w:r>
        <w:t>The sponsor is requested to address the following issues in the Pre-ACPM Response:</w:t>
      </w:r>
    </w:p>
    <w:p w:rsidR="00407E36" w:rsidRPr="00407E36" w:rsidRDefault="00407E36" w:rsidP="00364895">
      <w:pPr>
        <w:pStyle w:val="ListBullet"/>
      </w:pPr>
      <w:r>
        <w:t xml:space="preserve">What further data/studies are planned or ongoing in nr-Axial- </w:t>
      </w:r>
      <w:proofErr w:type="spellStart"/>
      <w:r>
        <w:t>SpA</w:t>
      </w:r>
      <w:proofErr w:type="spellEnd"/>
      <w:r>
        <w:t xml:space="preserve"> for </w:t>
      </w:r>
      <w:proofErr w:type="spellStart"/>
      <w:r>
        <w:t>golimumab</w:t>
      </w:r>
      <w:proofErr w:type="spellEnd"/>
      <w:r>
        <w:t>?</w:t>
      </w:r>
      <w:r w:rsidR="00004149">
        <w:t xml:space="preserve"> </w:t>
      </w:r>
      <w:r>
        <w:t xml:space="preserve">Are any of these studies expected to assess the effects of </w:t>
      </w:r>
      <w:proofErr w:type="spellStart"/>
      <w:r>
        <w:t>golimumab</w:t>
      </w:r>
      <w:proofErr w:type="spellEnd"/>
      <w:r>
        <w:t xml:space="preserve"> on long term disability or radiographic progression (structural change)?</w:t>
      </w:r>
    </w:p>
    <w:p w:rsidR="00407E36" w:rsidRDefault="00D23139" w:rsidP="00364895">
      <w:pPr>
        <w:pStyle w:val="Heading4"/>
      </w:pPr>
      <w:r w:rsidRPr="00D23139">
        <w:t>Delegate’s considerations</w:t>
      </w:r>
    </w:p>
    <w:p w:rsidR="00407E36" w:rsidRDefault="00407E36" w:rsidP="00364895">
      <w:r>
        <w:t>The primary issues with this submission are as follows with further information in the Discussion section:</w:t>
      </w:r>
    </w:p>
    <w:p w:rsidR="00407E36" w:rsidRDefault="00407E36" w:rsidP="00364895">
      <w:pPr>
        <w:pStyle w:val="Numberbullet0"/>
        <w:numPr>
          <w:ilvl w:val="0"/>
          <w:numId w:val="41"/>
        </w:numPr>
      </w:pPr>
      <w:r>
        <w:t xml:space="preserve">There is some uncertainty whether AS and nr-Axial </w:t>
      </w:r>
      <w:proofErr w:type="spellStart"/>
      <w:r>
        <w:t>SpA</w:t>
      </w:r>
      <w:proofErr w:type="spellEnd"/>
      <w:r>
        <w:t xml:space="preserve"> represent distinct but overlapping disorders or simply different points in the severity or chronology of illness along a single spectrum.</w:t>
      </w:r>
      <w:r w:rsidR="00004149">
        <w:t xml:space="preserve"> </w:t>
      </w:r>
      <w:r>
        <w:t>Patients may also spontaneously remit.</w:t>
      </w:r>
    </w:p>
    <w:p w:rsidR="00407E36" w:rsidRDefault="00407E36" w:rsidP="00364895">
      <w:pPr>
        <w:pStyle w:val="Numberbullet0"/>
      </w:pPr>
      <w:r>
        <w:t>The pivotal study only included patients aged 18</w:t>
      </w:r>
      <w:r w:rsidR="00531672">
        <w:t xml:space="preserve"> to </w:t>
      </w:r>
      <w:r>
        <w:t>45 years.</w:t>
      </w:r>
    </w:p>
    <w:p w:rsidR="00D23139" w:rsidRPr="00D23139" w:rsidRDefault="00407E36" w:rsidP="00364895">
      <w:pPr>
        <w:pStyle w:val="Numberbullet0"/>
      </w:pPr>
      <w:r>
        <w:t>The sponsor has been requested to include a statement regarding suitable treatment duration before continued therapy should be reconsidered in patients not responding.</w:t>
      </w:r>
      <w:r w:rsidR="00D23139" w:rsidRPr="00D23139">
        <w:t xml:space="preserve"> </w:t>
      </w:r>
    </w:p>
    <w:p w:rsidR="00D23139" w:rsidRPr="00D23139" w:rsidRDefault="00531672" w:rsidP="00531672">
      <w:pPr>
        <w:pStyle w:val="Heading4"/>
      </w:pPr>
      <w:r>
        <w:t xml:space="preserve">Delegate’s </w:t>
      </w:r>
      <w:r w:rsidRPr="00531672">
        <w:t>p</w:t>
      </w:r>
      <w:r w:rsidR="00D23139" w:rsidRPr="00531672">
        <w:t>roposed</w:t>
      </w:r>
      <w:r w:rsidR="00D23139" w:rsidRPr="00D23139">
        <w:t xml:space="preserve"> action</w:t>
      </w:r>
    </w:p>
    <w:p w:rsidR="00407E36" w:rsidRDefault="00531672" w:rsidP="00531672">
      <w:r>
        <w:t>The Delegate had</w:t>
      </w:r>
      <w:r w:rsidR="00407E36">
        <w:t xml:space="preserve"> no reason to say, at this time, that the application for </w:t>
      </w:r>
      <w:proofErr w:type="spellStart"/>
      <w:r w:rsidR="00407E36">
        <w:t>Simponi</w:t>
      </w:r>
      <w:proofErr w:type="spellEnd"/>
      <w:r w:rsidR="00407E36">
        <w:t xml:space="preserve"> should not be approved for registration, pending further advice from ACPM.</w:t>
      </w:r>
    </w:p>
    <w:p w:rsidR="00407E36" w:rsidRDefault="00531672" w:rsidP="00531672">
      <w:r>
        <w:t>The D</w:t>
      </w:r>
      <w:r w:rsidR="00407E36">
        <w:t>elegate’s suggested wording for the indications is:</w:t>
      </w:r>
    </w:p>
    <w:p w:rsidR="00407E36" w:rsidRPr="00531672" w:rsidRDefault="00407E36" w:rsidP="00531672">
      <w:pPr>
        <w:ind w:left="720"/>
        <w:rPr>
          <w:i/>
        </w:rPr>
      </w:pPr>
      <w:r w:rsidRPr="00531672">
        <w:rPr>
          <w:i/>
        </w:rPr>
        <w:t xml:space="preserve">Non-radiographic axial </w:t>
      </w:r>
      <w:proofErr w:type="spellStart"/>
      <w:r w:rsidRPr="00531672">
        <w:rPr>
          <w:i/>
        </w:rPr>
        <w:t>spondyloarthritis</w:t>
      </w:r>
      <w:proofErr w:type="spellEnd"/>
      <w:r w:rsidRPr="00531672">
        <w:rPr>
          <w:i/>
        </w:rPr>
        <w:t xml:space="preserve"> (nr-Axial </w:t>
      </w:r>
      <w:proofErr w:type="spellStart"/>
      <w:r w:rsidRPr="00531672">
        <w:rPr>
          <w:i/>
        </w:rPr>
        <w:t>SpA</w:t>
      </w:r>
      <w:proofErr w:type="spellEnd"/>
      <w:r w:rsidRPr="00531672">
        <w:rPr>
          <w:i/>
        </w:rPr>
        <w:t>)</w:t>
      </w:r>
    </w:p>
    <w:p w:rsidR="00407E36" w:rsidRPr="00531672" w:rsidRDefault="00B96E1C" w:rsidP="00531672">
      <w:pPr>
        <w:ind w:left="720"/>
        <w:rPr>
          <w:i/>
        </w:rPr>
      </w:pPr>
      <w:proofErr w:type="spellStart"/>
      <w:r w:rsidRPr="00531672">
        <w:rPr>
          <w:i/>
        </w:rPr>
        <w:t>Simponi</w:t>
      </w:r>
      <w:proofErr w:type="spellEnd"/>
      <w:r w:rsidR="00407E36" w:rsidRPr="00531672">
        <w:rPr>
          <w:i/>
        </w:rPr>
        <w:t xml:space="preserve"> is indicated for the treatment of adults with severe, active non-radiographic axial </w:t>
      </w:r>
      <w:proofErr w:type="spellStart"/>
      <w:r w:rsidR="00407E36" w:rsidRPr="00531672">
        <w:rPr>
          <w:i/>
        </w:rPr>
        <w:t>spondyloarthritis</w:t>
      </w:r>
      <w:proofErr w:type="spellEnd"/>
      <w:r w:rsidR="00407E36" w:rsidRPr="00531672">
        <w:rPr>
          <w:i/>
        </w:rPr>
        <w:t xml:space="preserve"> with objective signs of inflammation as indicated by elevated C-reactive protein (CRP) and/or magnetic resonance imaging (MRI) evidence, </w:t>
      </w:r>
      <w:proofErr w:type="gramStart"/>
      <w:r w:rsidR="00407E36" w:rsidRPr="00531672">
        <w:rPr>
          <w:i/>
        </w:rPr>
        <w:t>who</w:t>
      </w:r>
      <w:proofErr w:type="gramEnd"/>
      <w:r w:rsidR="00407E36" w:rsidRPr="00531672">
        <w:rPr>
          <w:i/>
        </w:rPr>
        <w:t xml:space="preserve"> have had an inadequate response to, or are intolerant to, nonsteroidal anti-inflammatory drugs (NSAIDs).</w:t>
      </w:r>
    </w:p>
    <w:p w:rsidR="00D23139" w:rsidRPr="00531672" w:rsidRDefault="00D23139" w:rsidP="00531672">
      <w:pPr>
        <w:pStyle w:val="Heading4"/>
      </w:pPr>
      <w:r w:rsidRPr="00D23139">
        <w:t>Request for ACPM advice</w:t>
      </w:r>
    </w:p>
    <w:p w:rsidR="00407E36" w:rsidRDefault="00407E36" w:rsidP="00407E36">
      <w:r>
        <w:t>The committee is requested to provide advice on the following specific issues:</w:t>
      </w:r>
    </w:p>
    <w:p w:rsidR="00407E36" w:rsidRDefault="00407E36" w:rsidP="00531672">
      <w:pPr>
        <w:pStyle w:val="Numberbullet0"/>
        <w:numPr>
          <w:ilvl w:val="0"/>
          <w:numId w:val="42"/>
        </w:numPr>
      </w:pPr>
      <w:r>
        <w:t xml:space="preserve">Does ACPM consider the nr-Axial </w:t>
      </w:r>
      <w:proofErr w:type="spellStart"/>
      <w:r>
        <w:t>SpA</w:t>
      </w:r>
      <w:proofErr w:type="spellEnd"/>
      <w:r>
        <w:t xml:space="preserve"> population to be adequately defined in the clinical studies?</w:t>
      </w:r>
    </w:p>
    <w:p w:rsidR="00407E36" w:rsidRDefault="00407E36" w:rsidP="00531672">
      <w:pPr>
        <w:pStyle w:val="Numberbullet0"/>
      </w:pPr>
      <w:r>
        <w:t>Does ACPM consider the age range of the study population acceptable given the nature of the disease?</w:t>
      </w:r>
    </w:p>
    <w:p w:rsidR="00407E36" w:rsidRDefault="00407E36" w:rsidP="00531672">
      <w:pPr>
        <w:pStyle w:val="Numberbullet0"/>
      </w:pPr>
      <w:r>
        <w:t>What would be an acceptable period of treatment for a clinical response to be achieved before continued therapy should be reconsidered for non-responders?</w:t>
      </w:r>
    </w:p>
    <w:p w:rsidR="00407E36" w:rsidRPr="00407E36" w:rsidRDefault="00407E36" w:rsidP="00407E36">
      <w:r>
        <w:t>The committee is also requested to provide advice on any other issues that it thinks may be relevant to a decision on whether or not to approve this application.</w:t>
      </w:r>
    </w:p>
    <w:p w:rsidR="00D23139" w:rsidRDefault="00D23139" w:rsidP="00D23139">
      <w:pPr>
        <w:pStyle w:val="Heading4"/>
      </w:pPr>
      <w:r w:rsidRPr="00D23139">
        <w:t xml:space="preserve">Response from </w:t>
      </w:r>
      <w:r w:rsidR="00101E94">
        <w:t>s</w:t>
      </w:r>
      <w:r w:rsidRPr="00D23139">
        <w:t xml:space="preserve">ponsor </w:t>
      </w:r>
    </w:p>
    <w:p w:rsidR="00203F1E" w:rsidRDefault="00203F1E" w:rsidP="00203F1E">
      <w:r>
        <w:t>Janssen would like to take the opportunity to respond to the issues raised by the Delegate in the request for ACPM ad</w:t>
      </w:r>
      <w:r w:rsidR="00531672">
        <w:t>vice. The issues raised by the D</w:t>
      </w:r>
      <w:r>
        <w:t>elegate appear in bold font followed by the sponsor (Janssen’s) response.</w:t>
      </w:r>
    </w:p>
    <w:p w:rsidR="00203F1E" w:rsidRDefault="00531672" w:rsidP="00531672">
      <w:pPr>
        <w:pStyle w:val="Heading5"/>
      </w:pPr>
      <w:r>
        <w:lastRenderedPageBreak/>
        <w:t>Delegate’s questions for ACPM</w:t>
      </w:r>
    </w:p>
    <w:p w:rsidR="00203F1E" w:rsidRPr="00531672" w:rsidRDefault="00203F1E" w:rsidP="00531672">
      <w:pPr>
        <w:pStyle w:val="Numberbullet0"/>
        <w:numPr>
          <w:ilvl w:val="0"/>
          <w:numId w:val="44"/>
        </w:numPr>
        <w:rPr>
          <w:i/>
        </w:rPr>
      </w:pPr>
      <w:r w:rsidRPr="00531672">
        <w:rPr>
          <w:i/>
        </w:rPr>
        <w:t>Does ACPM consider the nr</w:t>
      </w:r>
      <w:r w:rsidRPr="00531672">
        <w:rPr>
          <w:rFonts w:ascii="Cambria Math" w:hAnsi="Cambria Math" w:cs="Cambria Math"/>
          <w:i/>
        </w:rPr>
        <w:t>‐</w:t>
      </w:r>
      <w:r w:rsidRPr="00531672">
        <w:rPr>
          <w:i/>
        </w:rPr>
        <w:t xml:space="preserve">Axial </w:t>
      </w:r>
      <w:proofErr w:type="spellStart"/>
      <w:r w:rsidRPr="00531672">
        <w:rPr>
          <w:i/>
        </w:rPr>
        <w:t>SpA</w:t>
      </w:r>
      <w:proofErr w:type="spellEnd"/>
      <w:r w:rsidRPr="00531672">
        <w:rPr>
          <w:i/>
        </w:rPr>
        <w:t xml:space="preserve"> population to be adequately defined in the clinical studies?</w:t>
      </w:r>
    </w:p>
    <w:p w:rsidR="00203F1E" w:rsidRDefault="00531672" w:rsidP="00531672">
      <w:pPr>
        <w:pStyle w:val="Heading6"/>
      </w:pPr>
      <w:r w:rsidRPr="00531672">
        <w:t>Jans</w:t>
      </w:r>
      <w:r>
        <w:t>sen’s response</w:t>
      </w:r>
    </w:p>
    <w:p w:rsidR="00203F1E" w:rsidRDefault="00203F1E" w:rsidP="00203F1E">
      <w:r>
        <w:t xml:space="preserve">Janssen followed the accepted criteria and have taken appropriate steps to ensure that the AS population is differentiated from the nr-Axial </w:t>
      </w:r>
      <w:proofErr w:type="spellStart"/>
      <w:r>
        <w:t>SpA</w:t>
      </w:r>
      <w:proofErr w:type="spellEnd"/>
      <w:r>
        <w:t xml:space="preserve"> population. The extension of indication for </w:t>
      </w:r>
      <w:proofErr w:type="spellStart"/>
      <w:r w:rsidR="00B96E1C">
        <w:t>Simponi</w:t>
      </w:r>
      <w:proofErr w:type="spellEnd"/>
      <w:r>
        <w:t xml:space="preserve"> to include nr-Axial </w:t>
      </w:r>
      <w:proofErr w:type="spellStart"/>
      <w:r>
        <w:t>SpA</w:t>
      </w:r>
      <w:proofErr w:type="spellEnd"/>
      <w:r>
        <w:t xml:space="preserve"> as a distinct disorder/disease entity that warrants biologic treatment is consistent with the current approved Australian PI for </w:t>
      </w:r>
      <w:proofErr w:type="spellStart"/>
      <w:r>
        <w:t>entanercept</w:t>
      </w:r>
      <w:proofErr w:type="spellEnd"/>
      <w:r>
        <w:t>.</w:t>
      </w:r>
    </w:p>
    <w:p w:rsidR="00203F1E" w:rsidRDefault="00203F1E" w:rsidP="00203F1E">
      <w:r>
        <w:t xml:space="preserve">In the GO-AHEAD trial (Study P07642), the nr-Axial </w:t>
      </w:r>
      <w:proofErr w:type="spellStart"/>
      <w:r>
        <w:t>SpA</w:t>
      </w:r>
      <w:proofErr w:type="spellEnd"/>
      <w:r>
        <w:t xml:space="preserve"> population was well-defined. Subjects who were eligible and were entered into the clinical study were those who had a physician’s diagnosis of active Axial </w:t>
      </w:r>
      <w:proofErr w:type="spellStart"/>
      <w:r>
        <w:t>SpA</w:t>
      </w:r>
      <w:proofErr w:type="spellEnd"/>
      <w:r>
        <w:t xml:space="preserve"> according to established ASAS classification criteria for Axial </w:t>
      </w:r>
      <w:proofErr w:type="spellStart"/>
      <w:r>
        <w:t>SpA</w:t>
      </w:r>
      <w:proofErr w:type="spellEnd"/>
      <w:r>
        <w:t xml:space="preserve"> and had centrally read x-rays that did not </w:t>
      </w:r>
      <w:r w:rsidR="00531672">
        <w:t>fulfil</w:t>
      </w:r>
      <w:r>
        <w:t xml:space="preserve"> the modified radiographic New York criteria for AS. In addition, subjects must have had an inadequate response to NSAIDs and active disease at screening and baseline with total back pain VAS score ≥ 40mm and BASDAI score of ≥ 40mm on VAS scale of 0-100mm.</w:t>
      </w:r>
    </w:p>
    <w:p w:rsidR="00203F1E" w:rsidRPr="00531672" w:rsidRDefault="00203F1E" w:rsidP="00531672">
      <w:pPr>
        <w:pStyle w:val="Numberbullet0"/>
        <w:numPr>
          <w:ilvl w:val="0"/>
          <w:numId w:val="44"/>
        </w:numPr>
        <w:rPr>
          <w:i/>
        </w:rPr>
      </w:pPr>
      <w:r w:rsidRPr="00531672">
        <w:rPr>
          <w:i/>
        </w:rPr>
        <w:t>Does ACPM consider the age range of the study population acceptable given the nature of the disease?</w:t>
      </w:r>
    </w:p>
    <w:p w:rsidR="00203F1E" w:rsidRDefault="00531672" w:rsidP="00531672">
      <w:pPr>
        <w:pStyle w:val="Heading6"/>
      </w:pPr>
      <w:r w:rsidRPr="00531672">
        <w:t>Jans</w:t>
      </w:r>
      <w:r>
        <w:t>sen’s response</w:t>
      </w:r>
    </w:p>
    <w:p w:rsidR="00203F1E" w:rsidRDefault="00203F1E" w:rsidP="00203F1E">
      <w:r>
        <w:t xml:space="preserve">It is believed that nr-Axial </w:t>
      </w:r>
      <w:proofErr w:type="spellStart"/>
      <w:r>
        <w:t>SpA</w:t>
      </w:r>
      <w:proofErr w:type="spellEnd"/>
      <w:r>
        <w:t xml:space="preserve"> is in general an earlier disease in the overall spectrum of Axial </w:t>
      </w:r>
      <w:proofErr w:type="spellStart"/>
      <w:r>
        <w:t>SpA</w:t>
      </w:r>
      <w:proofErr w:type="spellEnd"/>
      <w:r>
        <w:t xml:space="preserve">; available evidence indicates that the majority of newly diagnosed patients with Axial </w:t>
      </w:r>
      <w:proofErr w:type="spellStart"/>
      <w:r>
        <w:t>SpA</w:t>
      </w:r>
      <w:proofErr w:type="spellEnd"/>
      <w:r>
        <w:t xml:space="preserve"> can be expected to have nr-Axial </w:t>
      </w:r>
      <w:proofErr w:type="spellStart"/>
      <w:r>
        <w:t>SpA</w:t>
      </w:r>
      <w:proofErr w:type="spellEnd"/>
      <w:r>
        <w:t xml:space="preserve">, and if left untreated nr-Axial </w:t>
      </w:r>
      <w:proofErr w:type="spellStart"/>
      <w:r>
        <w:t>SpA</w:t>
      </w:r>
      <w:proofErr w:type="spellEnd"/>
      <w:r>
        <w:t xml:space="preserve"> can progress to AS. The ASAS classification criteria for Axial </w:t>
      </w:r>
      <w:proofErr w:type="spellStart"/>
      <w:r>
        <w:t>SpA</w:t>
      </w:r>
      <w:proofErr w:type="spellEnd"/>
      <w:r>
        <w:t xml:space="preserve"> includes an age criterion of &lt;</w:t>
      </w:r>
      <w:r w:rsidR="00CE7F35">
        <w:t xml:space="preserve">  </w:t>
      </w:r>
      <w:r>
        <w:t>45 years for onset of symptoms</w:t>
      </w:r>
      <w:r w:rsidR="00B81187">
        <w:rPr>
          <w:rStyle w:val="FootnoteReference"/>
        </w:rPr>
        <w:footnoteReference w:id="5"/>
      </w:r>
      <w:r>
        <w:t xml:space="preserve">, and to help ensure the trial captured a true non-radiographic Axial </w:t>
      </w:r>
      <w:proofErr w:type="spellStart"/>
      <w:r>
        <w:t>SpA</w:t>
      </w:r>
      <w:proofErr w:type="spellEnd"/>
      <w:r>
        <w:t xml:space="preserve"> population, the trial included only adult subjects who were ≥</w:t>
      </w:r>
      <w:r w:rsidR="00CE7F35">
        <w:t xml:space="preserve"> </w:t>
      </w:r>
      <w:r>
        <w:t>18 and ≤ 45 years of age.</w:t>
      </w:r>
    </w:p>
    <w:p w:rsidR="00203F1E" w:rsidRPr="00CE7F35" w:rsidRDefault="00203F1E" w:rsidP="00CE7F35">
      <w:pPr>
        <w:pStyle w:val="Numberbullet0"/>
        <w:numPr>
          <w:ilvl w:val="0"/>
          <w:numId w:val="44"/>
        </w:numPr>
        <w:rPr>
          <w:i/>
        </w:rPr>
      </w:pPr>
      <w:r w:rsidRPr="00CE7F35">
        <w:rPr>
          <w:i/>
        </w:rPr>
        <w:t>What would be an acceptable period of treatment for a clinical response to be achieved before continued therapy should be reconsidered for non‐responders?</w:t>
      </w:r>
    </w:p>
    <w:p w:rsidR="00203F1E" w:rsidRDefault="00203F1E" w:rsidP="00203F1E">
      <w:r w:rsidRPr="00CE7F35">
        <w:rPr>
          <w:i/>
        </w:rPr>
        <w:t>Janssen’s response</w:t>
      </w:r>
    </w:p>
    <w:p w:rsidR="00203F1E" w:rsidRDefault="00203F1E" w:rsidP="00203F1E">
      <w:r>
        <w:t>Janssen feels an acceptable period of treatment for a clinical response is usually within 12 weeks (after 3</w:t>
      </w:r>
      <w:r w:rsidR="00CE7F35">
        <w:t xml:space="preserve"> to </w:t>
      </w:r>
      <w:r>
        <w:t>4 doses).</w:t>
      </w:r>
      <w:r w:rsidR="00004149">
        <w:t xml:space="preserve"> </w:t>
      </w:r>
      <w:r>
        <w:t>Continued therapy should be reconsidered in patients who show no evidence of therapeutic benefit within this time period.</w:t>
      </w:r>
    </w:p>
    <w:p w:rsidR="00203F1E" w:rsidRDefault="00203F1E" w:rsidP="00203F1E">
      <w:r>
        <w:t>The Dosage and Administration section of the PI has been amended to reflect this information.</w:t>
      </w:r>
    </w:p>
    <w:p w:rsidR="00203F1E" w:rsidRPr="00CE7F35" w:rsidRDefault="00203F1E" w:rsidP="00CE7F35">
      <w:pPr>
        <w:pStyle w:val="Heading5"/>
      </w:pPr>
      <w:r w:rsidRPr="00CE7F35">
        <w:t>D</w:t>
      </w:r>
      <w:r w:rsidR="00CE7F35">
        <w:t>elegate’s</w:t>
      </w:r>
      <w:r w:rsidRPr="00CE7F35">
        <w:t xml:space="preserve"> </w:t>
      </w:r>
      <w:r w:rsidR="00CE7F35" w:rsidRPr="00CE7F35">
        <w:t>questions</w:t>
      </w:r>
      <w:r w:rsidRPr="00CE7F35">
        <w:t xml:space="preserve"> </w:t>
      </w:r>
      <w:r w:rsidR="00CE7F35">
        <w:t>for the sponsor</w:t>
      </w:r>
    </w:p>
    <w:p w:rsidR="00203F1E" w:rsidRPr="00CE7F35" w:rsidRDefault="00203F1E" w:rsidP="00CE7F35">
      <w:pPr>
        <w:pStyle w:val="Numberbullet0"/>
        <w:numPr>
          <w:ilvl w:val="0"/>
          <w:numId w:val="46"/>
        </w:numPr>
        <w:rPr>
          <w:i/>
        </w:rPr>
      </w:pPr>
      <w:r w:rsidRPr="00CE7F35">
        <w:rPr>
          <w:i/>
        </w:rPr>
        <w:t xml:space="preserve">What further data/studies are planned or ongoing in nr-Axial </w:t>
      </w:r>
      <w:proofErr w:type="spellStart"/>
      <w:r w:rsidRPr="00CE7F35">
        <w:rPr>
          <w:i/>
        </w:rPr>
        <w:t>SpA</w:t>
      </w:r>
      <w:proofErr w:type="spellEnd"/>
      <w:r w:rsidRPr="00CE7F35">
        <w:rPr>
          <w:i/>
        </w:rPr>
        <w:t xml:space="preserve"> for </w:t>
      </w:r>
      <w:proofErr w:type="spellStart"/>
      <w:r w:rsidRPr="00CE7F35">
        <w:rPr>
          <w:i/>
        </w:rPr>
        <w:t>golimumab</w:t>
      </w:r>
      <w:proofErr w:type="spellEnd"/>
      <w:r w:rsidRPr="00CE7F35">
        <w:rPr>
          <w:i/>
        </w:rPr>
        <w:t xml:space="preserve">? Are any of these studies expected to assess the effects of </w:t>
      </w:r>
      <w:proofErr w:type="spellStart"/>
      <w:r w:rsidRPr="00CE7F35">
        <w:rPr>
          <w:i/>
        </w:rPr>
        <w:t>golimumab</w:t>
      </w:r>
      <w:proofErr w:type="spellEnd"/>
      <w:r w:rsidRPr="00CE7F35">
        <w:rPr>
          <w:i/>
        </w:rPr>
        <w:t xml:space="preserve"> on long term disability or radiographic progression (structural change)?</w:t>
      </w:r>
    </w:p>
    <w:p w:rsidR="00203F1E" w:rsidRPr="00CE7F35" w:rsidRDefault="00CE7F35" w:rsidP="00CE7F35">
      <w:pPr>
        <w:pStyle w:val="Heading6"/>
      </w:pPr>
      <w:r>
        <w:t>Janssen’s response</w:t>
      </w:r>
    </w:p>
    <w:p w:rsidR="00203F1E" w:rsidRDefault="00203F1E" w:rsidP="00CE7F35">
      <w:r>
        <w:t>A post-marketing commitment study is planned for the EU but the study does not address radiographic progression. In AS, anti-TNFs are approved but have not displayed an impact on radiographic progression. The primary objective of the post-marketing commitment study is to evaluate the effect of treatment withdrawal v</w:t>
      </w:r>
      <w:r w:rsidR="00CE7F35">
        <w:t>ersu</w:t>
      </w:r>
      <w:r>
        <w:t xml:space="preserve">s continued treatment with </w:t>
      </w:r>
      <w:proofErr w:type="spellStart"/>
      <w:r>
        <w:t>golimumab</w:t>
      </w:r>
      <w:proofErr w:type="spellEnd"/>
      <w:r>
        <w:t xml:space="preserve"> administered </w:t>
      </w:r>
      <w:r w:rsidR="00CE7F35">
        <w:t>SC</w:t>
      </w:r>
      <w:r>
        <w:t xml:space="preserve"> (either monthly or bi-monthly) on the incidence of disease-</w:t>
      </w:r>
      <w:r>
        <w:lastRenderedPageBreak/>
        <w:t>activity flare during up to 12 months in adults with active nr-</w:t>
      </w:r>
      <w:proofErr w:type="spellStart"/>
      <w:r>
        <w:t>AxSpA</w:t>
      </w:r>
      <w:proofErr w:type="spellEnd"/>
      <w:r>
        <w:t xml:space="preserve"> who attain inactive disease after receiving op</w:t>
      </w:r>
      <w:r w:rsidR="00CE7F35">
        <w:t xml:space="preserve">en– label </w:t>
      </w:r>
      <w:proofErr w:type="spellStart"/>
      <w:r w:rsidR="00CE7F35">
        <w:t>golimumab</w:t>
      </w:r>
      <w:proofErr w:type="spellEnd"/>
      <w:r w:rsidR="00CE7F35">
        <w:t xml:space="preserve"> during a 10 </w:t>
      </w:r>
      <w:r>
        <w:t>month run-in.</w:t>
      </w:r>
    </w:p>
    <w:p w:rsidR="00203F1E" w:rsidRDefault="00CE7F35" w:rsidP="00CE7F35">
      <w:pPr>
        <w:pStyle w:val="Heading5"/>
      </w:pPr>
      <w:r>
        <w:t>Delegate comments on the RMP</w:t>
      </w:r>
    </w:p>
    <w:p w:rsidR="00203F1E" w:rsidRDefault="00203F1E" w:rsidP="00203F1E">
      <w:r>
        <w:t>The following outstanding matters should be followed up by the sponsor with the RMP evaluator and in the Pre‐ACPM Response where required:</w:t>
      </w:r>
    </w:p>
    <w:p w:rsidR="00203F1E" w:rsidRPr="00CE7F35" w:rsidRDefault="00203F1E" w:rsidP="00CE7F35">
      <w:pPr>
        <w:pStyle w:val="Numberbullet2"/>
        <w:rPr>
          <w:i/>
        </w:rPr>
      </w:pPr>
      <w:r w:rsidRPr="00CE7F35">
        <w:rPr>
          <w:i/>
        </w:rPr>
        <w:t>Statement on potential for medication errors in the EU SPC. The sponsor should explain why it was included in the EU SPC and whether this was based on reports of medication errors</w:t>
      </w:r>
      <w:r w:rsidR="00CE7F35">
        <w:rPr>
          <w:i/>
        </w:rPr>
        <w:t>.</w:t>
      </w:r>
    </w:p>
    <w:p w:rsidR="00D23139" w:rsidRDefault="00203F1E" w:rsidP="00CE7F35">
      <w:pPr>
        <w:pStyle w:val="Heading6"/>
      </w:pPr>
      <w:r>
        <w:t>Janss</w:t>
      </w:r>
      <w:r w:rsidR="00CE7F35">
        <w:t>en’s response</w:t>
      </w:r>
    </w:p>
    <w:p w:rsidR="00203F1E" w:rsidRDefault="00203F1E" w:rsidP="00203F1E">
      <w:r w:rsidRPr="00203F1E">
        <w:t xml:space="preserve">The Precaution regarding medication errors was added to the EU </w:t>
      </w:r>
      <w:proofErr w:type="spellStart"/>
      <w:r w:rsidRPr="00203F1E">
        <w:t>SmPC</w:t>
      </w:r>
      <w:proofErr w:type="spellEnd"/>
      <w:r w:rsidRPr="00203F1E">
        <w:t xml:space="preserve"> as a result of the Pharmacovigilance Risk Assessment Committee (P</w:t>
      </w:r>
      <w:r w:rsidR="00B81187">
        <w:t xml:space="preserve">RAC) assessment report dated 13 </w:t>
      </w:r>
      <w:r w:rsidRPr="00203F1E">
        <w:t>Jun</w:t>
      </w:r>
      <w:r w:rsidR="00B81187">
        <w:t xml:space="preserve">e </w:t>
      </w:r>
      <w:r w:rsidRPr="00203F1E">
        <w:t>2013 for the 10</w:t>
      </w:r>
      <w:r w:rsidR="004945DB">
        <w:t>0 mg</w:t>
      </w:r>
      <w:r w:rsidRPr="00203F1E">
        <w:t xml:space="preserve"> Line Extension. The PRAC, having considered the data submitted for the new 100 mg presentation, was of the opinion that the proposed risk minimisation measures were not sufficient to minimise the risks of the product in relation to medication errors. Therefore, the PRAC advised that the </w:t>
      </w:r>
      <w:r w:rsidR="00B81187">
        <w:t>market authorisation holder (</w:t>
      </w:r>
      <w:r w:rsidRPr="00203F1E">
        <w:t>MAH</w:t>
      </w:r>
      <w:r w:rsidR="00B81187">
        <w:t>)</w:t>
      </w:r>
      <w:r w:rsidRPr="00203F1E">
        <w:t xml:space="preserve"> should make propos</w:t>
      </w:r>
      <w:r w:rsidR="00B81187">
        <w:t xml:space="preserve">als for </w:t>
      </w:r>
      <w:r w:rsidRPr="00203F1E">
        <w:t xml:space="preserve">the </w:t>
      </w:r>
      <w:proofErr w:type="spellStart"/>
      <w:r w:rsidRPr="00203F1E">
        <w:t>SmPC</w:t>
      </w:r>
      <w:proofErr w:type="spellEnd"/>
      <w:r w:rsidRPr="00203F1E">
        <w:t xml:space="preserve"> of the product to</w:t>
      </w:r>
      <w:r w:rsidR="00B81187">
        <w:t xml:space="preserve"> accurately reflect and emphasis</w:t>
      </w:r>
      <w:r w:rsidRPr="00203F1E">
        <w:t>e the restricted use of the 10</w:t>
      </w:r>
      <w:r w:rsidR="004945DB">
        <w:t>0 mg</w:t>
      </w:r>
      <w:r w:rsidRPr="00203F1E">
        <w:t xml:space="preserve"> pen in patients with rheumatoid arthritis, psoriatic arthritis and ankylosing spondylitis. In summary, this statement was added to accurately reflect when 100 mg should be used and not due to actual reports based on medication errors.</w:t>
      </w:r>
    </w:p>
    <w:p w:rsidR="00203F1E" w:rsidRDefault="00B81187" w:rsidP="00B81187">
      <w:pPr>
        <w:pStyle w:val="Heading5"/>
      </w:pPr>
      <w:r>
        <w:t>Conclusion</w:t>
      </w:r>
    </w:p>
    <w:p w:rsidR="00203F1E" w:rsidRDefault="00B81187" w:rsidP="00203F1E">
      <w:r>
        <w:t>Janssen thanks the D</w:t>
      </w:r>
      <w:r w:rsidR="00203F1E">
        <w:t xml:space="preserve">elegate for their overview and agrees that the application for </w:t>
      </w:r>
      <w:proofErr w:type="spellStart"/>
      <w:r w:rsidR="00B96E1C">
        <w:t>Simponi</w:t>
      </w:r>
      <w:proofErr w:type="spellEnd"/>
      <w:r w:rsidR="00203F1E">
        <w:t xml:space="preserve"> should be approved for registration, for the following indication:</w:t>
      </w:r>
    </w:p>
    <w:p w:rsidR="00203F1E" w:rsidRPr="00B81187" w:rsidRDefault="00203F1E" w:rsidP="00B81187">
      <w:pPr>
        <w:ind w:left="720"/>
        <w:rPr>
          <w:i/>
        </w:rPr>
      </w:pPr>
      <w:r w:rsidRPr="00B81187">
        <w:rPr>
          <w:i/>
        </w:rPr>
        <w:t xml:space="preserve">Non-radiographic axial </w:t>
      </w:r>
      <w:proofErr w:type="spellStart"/>
      <w:r w:rsidRPr="00B81187">
        <w:rPr>
          <w:i/>
        </w:rPr>
        <w:t>spondyloarthritis</w:t>
      </w:r>
      <w:proofErr w:type="spellEnd"/>
      <w:r w:rsidRPr="00B81187">
        <w:rPr>
          <w:i/>
        </w:rPr>
        <w:t xml:space="preserve"> (nr-Axial </w:t>
      </w:r>
      <w:proofErr w:type="spellStart"/>
      <w:r w:rsidRPr="00B81187">
        <w:rPr>
          <w:i/>
        </w:rPr>
        <w:t>SpA</w:t>
      </w:r>
      <w:proofErr w:type="spellEnd"/>
      <w:r w:rsidRPr="00B81187">
        <w:rPr>
          <w:i/>
        </w:rPr>
        <w:t xml:space="preserve">) </w:t>
      </w:r>
      <w:proofErr w:type="spellStart"/>
      <w:r w:rsidR="00B96E1C" w:rsidRPr="00B81187">
        <w:rPr>
          <w:i/>
        </w:rPr>
        <w:t>Simponi</w:t>
      </w:r>
      <w:proofErr w:type="spellEnd"/>
      <w:r w:rsidRPr="00B81187">
        <w:rPr>
          <w:i/>
        </w:rPr>
        <w:t xml:space="preserve"> is indicated for the treatment of adults with active Non-radiographic axial </w:t>
      </w:r>
      <w:proofErr w:type="spellStart"/>
      <w:r w:rsidRPr="00B81187">
        <w:rPr>
          <w:i/>
        </w:rPr>
        <w:t>spondyloarthritis</w:t>
      </w:r>
      <w:proofErr w:type="spellEnd"/>
      <w:r w:rsidRPr="00B81187">
        <w:rPr>
          <w:i/>
        </w:rPr>
        <w:t xml:space="preserve"> with objective signs of inflammation as indicated by elevated C-reactive protein (CRP) and/or magnetic resonance imaging (MRI) evidence, who have had an inadequate response to, or are intolerant to, nonsteroidal anti-inflammatory drugs (NSAIDs).</w:t>
      </w:r>
    </w:p>
    <w:p w:rsidR="008E7846" w:rsidRDefault="008E7846" w:rsidP="008E7846">
      <w:pPr>
        <w:pStyle w:val="Heading4"/>
      </w:pPr>
      <w:r>
        <w:t xml:space="preserve">Advisory </w:t>
      </w:r>
      <w:r w:rsidR="00101E94">
        <w:t>c</w:t>
      </w:r>
      <w:r>
        <w:t xml:space="preserve">ommittee </w:t>
      </w:r>
      <w:r w:rsidR="00101E94">
        <w:t>c</w:t>
      </w:r>
      <w:r>
        <w:t>onsiderations</w:t>
      </w:r>
    </w:p>
    <w:p w:rsidR="0033190A" w:rsidRPr="00C11AF8" w:rsidRDefault="0033190A" w:rsidP="0033190A">
      <w:pPr>
        <w:rPr>
          <w:rFonts w:eastAsia="Times New Roman" w:cs="Arial"/>
          <w:lang w:eastAsia="en-AU"/>
        </w:rPr>
      </w:pPr>
      <w:r w:rsidRPr="00C11AF8">
        <w:rPr>
          <w:rFonts w:eastAsia="Times New Roman" w:cs="Arial"/>
          <w:lang w:eastAsia="en-AU"/>
        </w:rPr>
        <w:t xml:space="preserve">The ACPM resolved to recommend to the TGA </w:t>
      </w:r>
      <w:r>
        <w:rPr>
          <w:rFonts w:eastAsia="Times New Roman" w:cs="Arial"/>
          <w:lang w:eastAsia="en-AU"/>
        </w:rPr>
        <w:t>delegate of the Secretary that:</w:t>
      </w:r>
    </w:p>
    <w:p w:rsidR="0033190A" w:rsidRPr="002848CC" w:rsidRDefault="0033190A" w:rsidP="0033190A">
      <w:pPr>
        <w:rPr>
          <w:rFonts w:cs="Calibri"/>
          <w:b/>
          <w:color w:val="000000" w:themeColor="text1"/>
        </w:rPr>
      </w:pPr>
      <w:r w:rsidRPr="002848CC">
        <w:rPr>
          <w:rFonts w:cs="Calibri"/>
          <w:color w:val="000000" w:themeColor="text1"/>
        </w:rPr>
        <w:t>The ACPM, taking into account the submitted evidence of efficacy, safet</w:t>
      </w:r>
      <w:r>
        <w:rPr>
          <w:rFonts w:cs="Calibri"/>
          <w:color w:val="000000" w:themeColor="text1"/>
        </w:rPr>
        <w:t>y and quality, agreed with the D</w:t>
      </w:r>
      <w:r w:rsidRPr="002848CC">
        <w:rPr>
          <w:rFonts w:cs="Calibri"/>
          <w:color w:val="000000" w:themeColor="text1"/>
        </w:rPr>
        <w:t xml:space="preserve">elegate and considered </w:t>
      </w:r>
      <w:r w:rsidR="00B96E1C">
        <w:rPr>
          <w:bCs/>
          <w:noProof/>
        </w:rPr>
        <w:t>Simponi</w:t>
      </w:r>
      <w:r w:rsidRPr="00887B4C">
        <w:t xml:space="preserve"> </w:t>
      </w:r>
      <w:r w:rsidRPr="00A52154">
        <w:rPr>
          <w:bCs/>
          <w:noProof/>
        </w:rPr>
        <w:t>solution for injection, prefilled syringe and pen</w:t>
      </w:r>
      <w:r w:rsidRPr="00887B4C">
        <w:rPr>
          <w:bCs/>
        </w:rPr>
        <w:t xml:space="preserve"> containing </w:t>
      </w:r>
      <w:r w:rsidRPr="00A52154">
        <w:rPr>
          <w:bCs/>
          <w:noProof/>
        </w:rPr>
        <w:t>50</w:t>
      </w:r>
      <w:r>
        <w:rPr>
          <w:bCs/>
          <w:noProof/>
        </w:rPr>
        <w:t xml:space="preserve"> </w:t>
      </w:r>
      <w:r w:rsidRPr="00A52154">
        <w:rPr>
          <w:bCs/>
          <w:noProof/>
        </w:rPr>
        <w:t>mg/0.5</w:t>
      </w:r>
      <w:r>
        <w:rPr>
          <w:bCs/>
          <w:noProof/>
        </w:rPr>
        <w:t xml:space="preserve"> </w:t>
      </w:r>
      <w:r w:rsidRPr="00A52154">
        <w:rPr>
          <w:bCs/>
          <w:noProof/>
        </w:rPr>
        <w:t>mL and 100</w:t>
      </w:r>
      <w:r>
        <w:rPr>
          <w:bCs/>
          <w:noProof/>
        </w:rPr>
        <w:t xml:space="preserve"> </w:t>
      </w:r>
      <w:r w:rsidRPr="00A52154">
        <w:rPr>
          <w:bCs/>
          <w:noProof/>
        </w:rPr>
        <w:t>mg/1</w:t>
      </w:r>
      <w:r>
        <w:rPr>
          <w:bCs/>
          <w:noProof/>
        </w:rPr>
        <w:t xml:space="preserve"> </w:t>
      </w:r>
      <w:r w:rsidRPr="00A52154">
        <w:rPr>
          <w:bCs/>
          <w:noProof/>
        </w:rPr>
        <w:t>mL</w:t>
      </w:r>
      <w:r w:rsidRPr="00887B4C">
        <w:rPr>
          <w:bCs/>
        </w:rPr>
        <w:t xml:space="preserve"> of </w:t>
      </w:r>
      <w:r>
        <w:rPr>
          <w:bCs/>
          <w:noProof/>
        </w:rPr>
        <w:t>g</w:t>
      </w:r>
      <w:r w:rsidRPr="00A52154">
        <w:rPr>
          <w:bCs/>
          <w:noProof/>
        </w:rPr>
        <w:t>olimumab</w:t>
      </w:r>
      <w:r>
        <w:rPr>
          <w:b/>
          <w:bCs/>
        </w:rPr>
        <w:t xml:space="preserve"> </w:t>
      </w:r>
      <w:r w:rsidRPr="002848CC">
        <w:rPr>
          <w:rFonts w:cs="Calibri"/>
          <w:color w:val="000000" w:themeColor="text1"/>
        </w:rPr>
        <w:t xml:space="preserve">to have an overall positive benefit–risk profile for </w:t>
      </w:r>
      <w:r w:rsidRPr="004D3436">
        <w:rPr>
          <w:rFonts w:cs="Calibri"/>
        </w:rPr>
        <w:t>the indi</w:t>
      </w:r>
      <w:r w:rsidRPr="002848CC">
        <w:rPr>
          <w:rFonts w:cs="Calibri"/>
          <w:color w:val="000000" w:themeColor="text1"/>
        </w:rPr>
        <w:t>cation</w:t>
      </w:r>
      <w:r w:rsidR="00B81187">
        <w:rPr>
          <w:rFonts w:cs="Calibri"/>
          <w:color w:val="000000" w:themeColor="text1"/>
        </w:rPr>
        <w:t>;</w:t>
      </w:r>
    </w:p>
    <w:p w:rsidR="0033190A" w:rsidRPr="00B81187" w:rsidRDefault="00B96E1C" w:rsidP="00B81187">
      <w:pPr>
        <w:ind w:left="720"/>
        <w:rPr>
          <w:i/>
          <w:noProof/>
        </w:rPr>
      </w:pPr>
      <w:r w:rsidRPr="00B81187">
        <w:rPr>
          <w:i/>
          <w:noProof/>
        </w:rPr>
        <w:t>Simponi</w:t>
      </w:r>
      <w:r w:rsidR="0033190A" w:rsidRPr="00B81187">
        <w:rPr>
          <w:i/>
          <w:noProof/>
        </w:rPr>
        <w:t xml:space="preserve"> is indicated for the treatment of adults with active non</w:t>
      </w:r>
      <w:r w:rsidR="0033190A" w:rsidRPr="00B81187">
        <w:rPr>
          <w:i/>
          <w:noProof/>
        </w:rPr>
        <w:noBreakHyphen/>
        <w:t>radiographic axial spondyloarthritis with objective signs of inflammation as indicated by elevated C-reactive protein (CRP) and/or magnetic resonance imaging (MRI) evidence, who have had an inadequate response to, or are intolerant to, nonsteroidal anti-inflammatory drugs (NSAIDs).</w:t>
      </w:r>
    </w:p>
    <w:p w:rsidR="0033190A" w:rsidRPr="00976934" w:rsidRDefault="0033190A" w:rsidP="00B81187">
      <w:r w:rsidRPr="00976934">
        <w:t>In making this recommendation the ACPM</w:t>
      </w:r>
    </w:p>
    <w:p w:rsidR="0033190A" w:rsidRDefault="0033190A" w:rsidP="00B81187">
      <w:pPr>
        <w:pStyle w:val="ListBullet"/>
      </w:pPr>
      <w:proofErr w:type="gramStart"/>
      <w:r w:rsidRPr="002848CC">
        <w:t>noted</w:t>
      </w:r>
      <w:proofErr w:type="gramEnd"/>
      <w:r w:rsidRPr="002848CC">
        <w:t xml:space="preserve"> </w:t>
      </w:r>
      <w:r>
        <w:t>that the subgroup of patients in the clinical study GO-AHEAD with both negative MRI and normal CRP at baseline did not demonstrate a benefit on treatment.</w:t>
      </w:r>
    </w:p>
    <w:p w:rsidR="0033190A" w:rsidRDefault="0033190A" w:rsidP="00B81187">
      <w:pPr>
        <w:pStyle w:val="ListBullet"/>
      </w:pPr>
      <w:proofErr w:type="gramStart"/>
      <w:r>
        <w:t>noted</w:t>
      </w:r>
      <w:proofErr w:type="gramEnd"/>
      <w:r>
        <w:t xml:space="preserve"> that patients should have persistently elevated C-reactive protein (CRP) and/or consistent MRI evidence to be present for the diagnosis of the </w:t>
      </w:r>
      <w:r w:rsidRPr="00B76D45">
        <w:t>non</w:t>
      </w:r>
      <w:r>
        <w:noBreakHyphen/>
      </w:r>
      <w:r w:rsidRPr="00B76D45">
        <w:t xml:space="preserve">radiographic axial </w:t>
      </w:r>
      <w:proofErr w:type="spellStart"/>
      <w:r w:rsidRPr="00B76D45">
        <w:t>spondyloarthritis</w:t>
      </w:r>
      <w:proofErr w:type="spellEnd"/>
      <w:r>
        <w:t>.</w:t>
      </w:r>
    </w:p>
    <w:p w:rsidR="0033190A" w:rsidRDefault="0033190A" w:rsidP="00B81187">
      <w:pPr>
        <w:pStyle w:val="ListBullet"/>
      </w:pPr>
      <w:proofErr w:type="gramStart"/>
      <w:r>
        <w:lastRenderedPageBreak/>
        <w:t>noted</w:t>
      </w:r>
      <w:proofErr w:type="gramEnd"/>
      <w:r>
        <w:t xml:space="preserve"> that although there may be spontaneous remission in </w:t>
      </w:r>
      <w:r w:rsidRPr="00B76D45">
        <w:t xml:space="preserve">non-radiographic axial </w:t>
      </w:r>
      <w:proofErr w:type="spellStart"/>
      <w:r w:rsidRPr="00B76D45">
        <w:t>spondyloarthritis</w:t>
      </w:r>
      <w:proofErr w:type="spellEnd"/>
      <w:r>
        <w:t>, the goal is to treat patients early and there is no benefit in delaying treatment.</w:t>
      </w:r>
    </w:p>
    <w:p w:rsidR="0033190A" w:rsidRDefault="0033190A" w:rsidP="00B81187">
      <w:pPr>
        <w:pStyle w:val="ListBullet"/>
      </w:pPr>
      <w:proofErr w:type="gramStart"/>
      <w:r>
        <w:t>advised</w:t>
      </w:r>
      <w:proofErr w:type="gramEnd"/>
      <w:r>
        <w:t xml:space="preserve"> that the inclusion of 'severe' to describe </w:t>
      </w:r>
      <w:r w:rsidRPr="00B76D45">
        <w:t>non</w:t>
      </w:r>
      <w:r>
        <w:t>-</w:t>
      </w:r>
      <w:r w:rsidRPr="00B76D45">
        <w:t xml:space="preserve">radiographic axial </w:t>
      </w:r>
      <w:proofErr w:type="spellStart"/>
      <w:r w:rsidRPr="00B76D45">
        <w:t>spondyloarthritis</w:t>
      </w:r>
      <w:proofErr w:type="spellEnd"/>
      <w:r w:rsidRPr="00B76D45">
        <w:t xml:space="preserve"> </w:t>
      </w:r>
      <w:r>
        <w:t>in the indication is not required.</w:t>
      </w:r>
    </w:p>
    <w:p w:rsidR="0033190A" w:rsidRPr="00440322" w:rsidRDefault="0033190A" w:rsidP="00B81187">
      <w:pPr>
        <w:pStyle w:val="ListBullet"/>
      </w:pPr>
      <w:proofErr w:type="gramStart"/>
      <w:r>
        <w:t>noted</w:t>
      </w:r>
      <w:proofErr w:type="gramEnd"/>
      <w:r>
        <w:t xml:space="preserve"> that there is no clinical evidence for the use of DMARD therapy in </w:t>
      </w:r>
      <w:r w:rsidRPr="00B76D45">
        <w:t>non</w:t>
      </w:r>
      <w:r>
        <w:noBreakHyphen/>
      </w:r>
      <w:r w:rsidRPr="00B76D45">
        <w:t xml:space="preserve">radiographic axial </w:t>
      </w:r>
      <w:proofErr w:type="spellStart"/>
      <w:r w:rsidRPr="00B76D45">
        <w:t>spondyloarthritis</w:t>
      </w:r>
      <w:proofErr w:type="spellEnd"/>
      <w:r>
        <w:t>.</w:t>
      </w:r>
    </w:p>
    <w:p w:rsidR="0033190A" w:rsidRPr="00D724FC" w:rsidRDefault="0033190A" w:rsidP="00B81187">
      <w:pPr>
        <w:pStyle w:val="Heading5"/>
      </w:pPr>
      <w:r w:rsidRPr="00D724FC">
        <w:t>Proposed conditions of registration</w:t>
      </w:r>
    </w:p>
    <w:p w:rsidR="0033190A" w:rsidRDefault="0033190A" w:rsidP="0033190A">
      <w:pPr>
        <w:spacing w:after="0"/>
        <w:rPr>
          <w:bCs/>
        </w:rPr>
      </w:pPr>
      <w:r w:rsidRPr="002848CC">
        <w:rPr>
          <w:rFonts w:cs="Calibri"/>
          <w:color w:val="000000" w:themeColor="text1"/>
        </w:rPr>
        <w:t>T</w:t>
      </w:r>
      <w:r>
        <w:rPr>
          <w:bCs/>
        </w:rPr>
        <w:t>he ACPM agreed with the D</w:t>
      </w:r>
      <w:r w:rsidRPr="002848CC">
        <w:rPr>
          <w:bCs/>
        </w:rPr>
        <w:t>elegate on the proposed conditions of registration and advised on the inclusion of the following</w:t>
      </w:r>
      <w:r>
        <w:rPr>
          <w:bCs/>
        </w:rPr>
        <w:t>:</w:t>
      </w:r>
    </w:p>
    <w:p w:rsidR="0033190A" w:rsidRPr="004D3436" w:rsidRDefault="0033190A" w:rsidP="00B81187">
      <w:pPr>
        <w:pStyle w:val="ListBullet"/>
        <w:rPr>
          <w:rFonts w:cs="Arial"/>
          <w:bCs/>
          <w:iCs/>
        </w:rPr>
      </w:pPr>
      <w:r w:rsidRPr="004D3436">
        <w:t>Subject to satisfactory implementation of the EU Risk Management Plan</w:t>
      </w:r>
    </w:p>
    <w:p w:rsidR="0033190A" w:rsidRPr="00D724FC" w:rsidRDefault="0033190A" w:rsidP="00B81187">
      <w:pPr>
        <w:pStyle w:val="Heading5"/>
        <w:rPr>
          <w:u w:val="single"/>
        </w:rPr>
      </w:pPr>
      <w:r w:rsidRPr="00D724FC">
        <w:t>Proposed Product Information (PI)/Consumer Medicine Information (CMI) amendments</w:t>
      </w:r>
    </w:p>
    <w:p w:rsidR="0033190A" w:rsidRPr="002848CC" w:rsidRDefault="00B81187" w:rsidP="0033190A">
      <w:pPr>
        <w:rPr>
          <w:bCs/>
        </w:rPr>
      </w:pPr>
      <w:r>
        <w:rPr>
          <w:bCs/>
        </w:rPr>
        <w:t>The ACPM agreed with the D</w:t>
      </w:r>
      <w:r w:rsidR="0033190A" w:rsidRPr="002848CC">
        <w:rPr>
          <w:bCs/>
        </w:rPr>
        <w:t>elegate to the proposed amendments to the Product Information (PI) and Consumer Medicine Information (CMI).</w:t>
      </w:r>
    </w:p>
    <w:p w:rsidR="0033190A" w:rsidRPr="00D724FC" w:rsidRDefault="0033190A" w:rsidP="00B81187">
      <w:pPr>
        <w:pStyle w:val="Heading5"/>
        <w:rPr>
          <w:szCs w:val="22"/>
          <w:highlight w:val="yellow"/>
        </w:rPr>
      </w:pPr>
      <w:r w:rsidRPr="00D724FC">
        <w:t xml:space="preserve">Specific </w:t>
      </w:r>
      <w:r w:rsidR="00101E94">
        <w:t>a</w:t>
      </w:r>
      <w:r w:rsidRPr="00D724FC">
        <w:t>dvice</w:t>
      </w:r>
    </w:p>
    <w:p w:rsidR="0033190A" w:rsidRPr="005733AE" w:rsidRDefault="0033190A" w:rsidP="0033190A">
      <w:pPr>
        <w:rPr>
          <w:b/>
          <w:bCs/>
          <w:iCs/>
          <w:highlight w:val="yellow"/>
        </w:rPr>
      </w:pPr>
      <w:r w:rsidRPr="001E711E">
        <w:rPr>
          <w:rFonts w:cs="Arial"/>
        </w:rPr>
        <w:t>The ACPM advi</w:t>
      </w:r>
      <w:r>
        <w:rPr>
          <w:rFonts w:cs="Arial"/>
        </w:rPr>
        <w:t>s</w:t>
      </w:r>
      <w:r w:rsidRPr="001E711E">
        <w:rPr>
          <w:rFonts w:cs="Arial"/>
        </w:rPr>
        <w:t>ed th</w:t>
      </w:r>
      <w:r>
        <w:rPr>
          <w:rFonts w:cs="Arial"/>
        </w:rPr>
        <w:t>e following in response to the D</w:t>
      </w:r>
      <w:r w:rsidRPr="001E711E">
        <w:rPr>
          <w:rFonts w:cs="Arial"/>
        </w:rPr>
        <w:t>elegate’s specific questions on this submission:</w:t>
      </w:r>
    </w:p>
    <w:p w:rsidR="0033190A" w:rsidRPr="00B81187" w:rsidRDefault="0033190A" w:rsidP="00B81187">
      <w:pPr>
        <w:pStyle w:val="Numberbullet0"/>
        <w:numPr>
          <w:ilvl w:val="0"/>
          <w:numId w:val="47"/>
        </w:numPr>
        <w:rPr>
          <w:i/>
          <w:noProof/>
        </w:rPr>
      </w:pPr>
      <w:r w:rsidRPr="00B81187">
        <w:rPr>
          <w:i/>
          <w:noProof/>
        </w:rPr>
        <w:t>Does ACPM consider the nr-Axial SpA population to be adequately defined in the clinical studies?</w:t>
      </w:r>
    </w:p>
    <w:p w:rsidR="0033190A" w:rsidRPr="004D3436" w:rsidRDefault="0033190A" w:rsidP="0033190A">
      <w:r w:rsidRPr="004D3436">
        <w:t xml:space="preserve">The ACPM agreed that the nr-Axial </w:t>
      </w:r>
      <w:proofErr w:type="spellStart"/>
      <w:r w:rsidRPr="004D3436">
        <w:t>SpA</w:t>
      </w:r>
      <w:proofErr w:type="spellEnd"/>
      <w:r w:rsidRPr="004D3436">
        <w:t xml:space="preserve"> population is adequately defined in the </w:t>
      </w:r>
      <w:r>
        <w:t>GO-AHEAD clinical study</w:t>
      </w:r>
      <w:r w:rsidRPr="004D3436">
        <w:t>.</w:t>
      </w:r>
    </w:p>
    <w:p w:rsidR="0033190A" w:rsidRPr="00B81187" w:rsidRDefault="0033190A" w:rsidP="00B81187">
      <w:pPr>
        <w:pStyle w:val="Numberbullet0"/>
        <w:rPr>
          <w:i/>
          <w:noProof/>
        </w:rPr>
      </w:pPr>
      <w:r w:rsidRPr="00B81187">
        <w:rPr>
          <w:i/>
          <w:noProof/>
        </w:rPr>
        <w:t>Does ACPM consider the age range of the study population acceptable given the nature of the disease?</w:t>
      </w:r>
    </w:p>
    <w:p w:rsidR="0033190A" w:rsidRPr="004D3436" w:rsidRDefault="0033190A" w:rsidP="0033190A">
      <w:r w:rsidRPr="004D3436">
        <w:t xml:space="preserve">The ACPM agreed that the age range of the study population is acceptable given the </w:t>
      </w:r>
      <w:r>
        <w:t>epidemiology</w:t>
      </w:r>
      <w:r w:rsidRPr="004D3436">
        <w:t xml:space="preserve"> of the disease.</w:t>
      </w:r>
    </w:p>
    <w:p w:rsidR="0033190A" w:rsidRPr="00B81187" w:rsidRDefault="0033190A" w:rsidP="00B81187">
      <w:pPr>
        <w:pStyle w:val="Numberbullet0"/>
        <w:rPr>
          <w:i/>
          <w:noProof/>
        </w:rPr>
      </w:pPr>
      <w:r w:rsidRPr="00B81187">
        <w:rPr>
          <w:i/>
          <w:noProof/>
        </w:rPr>
        <w:t>What would be an acceptable period of treatment for a clinical response to be achieved before continued therapy should be reconsidered for non</w:t>
      </w:r>
      <w:r w:rsidRPr="00B81187">
        <w:rPr>
          <w:i/>
          <w:noProof/>
        </w:rPr>
        <w:noBreakHyphen/>
        <w:t>responders?</w:t>
      </w:r>
    </w:p>
    <w:p w:rsidR="0033190A" w:rsidRPr="00416E0C" w:rsidRDefault="0033190A" w:rsidP="0033190A">
      <w:r w:rsidRPr="00416E0C">
        <w:t xml:space="preserve">The ACPM </w:t>
      </w:r>
      <w:r>
        <w:t>advised</w:t>
      </w:r>
      <w:r w:rsidRPr="00416E0C">
        <w:t xml:space="preserve"> that </w:t>
      </w:r>
      <w:r w:rsidR="00B81187">
        <w:t xml:space="preserve">12 to </w:t>
      </w:r>
      <w:r>
        <w:t>16</w:t>
      </w:r>
      <w:r w:rsidRPr="00416E0C">
        <w:t xml:space="preserve"> </w:t>
      </w:r>
      <w:r>
        <w:t>weeks</w:t>
      </w:r>
      <w:r w:rsidRPr="00416E0C">
        <w:t xml:space="preserve"> would be an acceptable period for treatment for a clinical response.</w:t>
      </w:r>
    </w:p>
    <w:p w:rsidR="008E7846" w:rsidRDefault="0033190A" w:rsidP="0033190A">
      <w:pPr>
        <w:rPr>
          <w:bCs/>
        </w:rPr>
      </w:pPr>
      <w:r w:rsidRPr="002848CC">
        <w:rPr>
          <w:bCs/>
        </w:rPr>
        <w:t>The ACPM advised that implementation by the sponsor of the recommendations outlined above to the satisfaction of the TGA, in addition to the evidence of efficacy and safety provided would support the</w:t>
      </w:r>
      <w:r>
        <w:rPr>
          <w:bCs/>
        </w:rPr>
        <w:t xml:space="preserve"> safe and effective use of this</w:t>
      </w:r>
      <w:r w:rsidRPr="002848CC">
        <w:rPr>
          <w:bCs/>
        </w:rPr>
        <w:t xml:space="preserve"> product</w:t>
      </w:r>
      <w:r>
        <w:rPr>
          <w:bCs/>
        </w:rPr>
        <w:t>.</w:t>
      </w:r>
    </w:p>
    <w:p w:rsidR="008E7846" w:rsidRPr="002E238E" w:rsidRDefault="008E7846" w:rsidP="008E7846">
      <w:pPr>
        <w:pStyle w:val="Heading3"/>
      </w:pPr>
      <w:bookmarkStart w:id="99" w:name="_Toc247691532"/>
      <w:bookmarkStart w:id="100" w:name="_Toc314842516"/>
      <w:bookmarkStart w:id="101" w:name="_Toc487718641"/>
      <w:bookmarkEnd w:id="69"/>
      <w:bookmarkEnd w:id="97"/>
      <w:bookmarkEnd w:id="98"/>
      <w:r>
        <w:t>Outcome</w:t>
      </w:r>
      <w:bookmarkEnd w:id="99"/>
      <w:bookmarkEnd w:id="100"/>
      <w:bookmarkEnd w:id="101"/>
    </w:p>
    <w:p w:rsidR="0033190A" w:rsidRDefault="00D23139" w:rsidP="0033190A">
      <w:bookmarkStart w:id="102" w:name="_Toc247691533"/>
      <w:bookmarkStart w:id="103" w:name="_Toc314842517"/>
      <w:r w:rsidRPr="00D23139">
        <w:t xml:space="preserve">Based on a review of quality, safety and efficacy, TGA approved the registration of </w:t>
      </w:r>
      <w:proofErr w:type="spellStart"/>
      <w:r w:rsidR="007319E1">
        <w:t>Simponi</w:t>
      </w:r>
      <w:proofErr w:type="spellEnd"/>
      <w:r w:rsidR="007319E1">
        <w:t xml:space="preserve"> </w:t>
      </w:r>
      <w:r w:rsidR="0033190A">
        <w:t xml:space="preserve">containing </w:t>
      </w:r>
      <w:proofErr w:type="spellStart"/>
      <w:r w:rsidR="0033190A">
        <w:t>golimumab</w:t>
      </w:r>
      <w:proofErr w:type="spellEnd"/>
      <w:r w:rsidR="0033190A">
        <w:t xml:space="preserve"> (</w:t>
      </w:r>
      <w:proofErr w:type="spellStart"/>
      <w:r w:rsidR="0033190A">
        <w:t>r</w:t>
      </w:r>
      <w:r w:rsidR="007319E1">
        <w:t>mc</w:t>
      </w:r>
      <w:proofErr w:type="spellEnd"/>
      <w:r w:rsidR="0033190A">
        <w:t>) for the new indication:</w:t>
      </w:r>
    </w:p>
    <w:p w:rsidR="007319E1" w:rsidRDefault="007319E1" w:rsidP="007319E1">
      <w:r>
        <w:t xml:space="preserve">Non-radiographic axial </w:t>
      </w:r>
      <w:proofErr w:type="spellStart"/>
      <w:r>
        <w:t>spondyloarthritis</w:t>
      </w:r>
      <w:proofErr w:type="spellEnd"/>
      <w:r>
        <w:t xml:space="preserve"> (nr-Axial</w:t>
      </w:r>
      <w:r w:rsidR="00004149">
        <w:t xml:space="preserve"> </w:t>
      </w:r>
      <w:proofErr w:type="spellStart"/>
      <w:r>
        <w:t>SpAJ</w:t>
      </w:r>
      <w:proofErr w:type="spellEnd"/>
    </w:p>
    <w:p w:rsidR="007319E1" w:rsidRPr="00C174FF" w:rsidRDefault="007319E1" w:rsidP="00C174FF">
      <w:pPr>
        <w:ind w:left="720"/>
        <w:rPr>
          <w:i/>
        </w:rPr>
      </w:pPr>
      <w:proofErr w:type="spellStart"/>
      <w:r w:rsidRPr="00C174FF">
        <w:rPr>
          <w:i/>
        </w:rPr>
        <w:t>S</w:t>
      </w:r>
      <w:r w:rsidR="00C174FF" w:rsidRPr="00C174FF">
        <w:rPr>
          <w:i/>
        </w:rPr>
        <w:t>imponi</w:t>
      </w:r>
      <w:proofErr w:type="spellEnd"/>
      <w:r w:rsidRPr="00C174FF">
        <w:rPr>
          <w:i/>
        </w:rPr>
        <w:t xml:space="preserve"> is indicated for the treatment of adults with active non-radiographic axial </w:t>
      </w:r>
      <w:proofErr w:type="spellStart"/>
      <w:r w:rsidRPr="00C174FF">
        <w:rPr>
          <w:i/>
        </w:rPr>
        <w:t>spondyloarthritis</w:t>
      </w:r>
      <w:proofErr w:type="spellEnd"/>
      <w:r w:rsidRPr="00C174FF">
        <w:rPr>
          <w:i/>
        </w:rPr>
        <w:t xml:space="preserve"> with objective signs of inflammation as indicated by elevated C-reactive protein (CRP) and/or magnetic resonance imaging (MRI) evidence, </w:t>
      </w:r>
      <w:proofErr w:type="gramStart"/>
      <w:r w:rsidRPr="00C174FF">
        <w:rPr>
          <w:i/>
        </w:rPr>
        <w:t>who</w:t>
      </w:r>
      <w:proofErr w:type="gramEnd"/>
      <w:r w:rsidRPr="00C174FF">
        <w:rPr>
          <w:i/>
        </w:rPr>
        <w:t xml:space="preserve"> have had an inadequate response to, or are intolerant to, nonsteroidal anti-i</w:t>
      </w:r>
      <w:r w:rsidR="00C174FF" w:rsidRPr="00C174FF">
        <w:rPr>
          <w:i/>
        </w:rPr>
        <w:t>nflammatory drugs (NSAI</w:t>
      </w:r>
      <w:r w:rsidRPr="00C174FF">
        <w:rPr>
          <w:i/>
        </w:rPr>
        <w:t>Ds).</w:t>
      </w:r>
    </w:p>
    <w:p w:rsidR="00D23139" w:rsidRPr="00D23139" w:rsidRDefault="00D23139" w:rsidP="00D23139">
      <w:pPr>
        <w:pStyle w:val="Heading4"/>
      </w:pPr>
      <w:r w:rsidRPr="00D23139">
        <w:lastRenderedPageBreak/>
        <w:t>Specific conditions of registration applying to these goods</w:t>
      </w:r>
    </w:p>
    <w:p w:rsidR="009752A5" w:rsidRDefault="007319E1" w:rsidP="00C174FF">
      <w:pPr>
        <w:pStyle w:val="Numberbullet0"/>
        <w:numPr>
          <w:ilvl w:val="0"/>
          <w:numId w:val="48"/>
        </w:numPr>
      </w:pPr>
      <w:r w:rsidRPr="007319E1">
        <w:t xml:space="preserve">The </w:t>
      </w:r>
      <w:proofErr w:type="spellStart"/>
      <w:r w:rsidRPr="007319E1">
        <w:t>Simponi</w:t>
      </w:r>
      <w:proofErr w:type="spellEnd"/>
      <w:r w:rsidRPr="007319E1">
        <w:t xml:space="preserve"> (</w:t>
      </w:r>
      <w:proofErr w:type="spellStart"/>
      <w:r w:rsidRPr="007319E1">
        <w:t>golimumab</w:t>
      </w:r>
      <w:proofErr w:type="spellEnd"/>
      <w:r w:rsidRPr="007319E1">
        <w:t>) EU Risk Management Plan (RMP), version 15.0, (dated 2 February 2016, OLP 6 October 2015), with the Australian Specific Annex, version 4.1 (dated 29 March 2016), and the sponsor's response to the RMP evaluation report dated 28 May 2016, included with submission PM-2015-01879-1-3, and any subsequent revisions, as agreed with the TGA will be implemented in Australia.</w:t>
      </w:r>
    </w:p>
    <w:p w:rsidR="007319E1" w:rsidRDefault="007319E1" w:rsidP="00C174FF">
      <w:pPr>
        <w:pStyle w:val="Numberbullet0"/>
      </w:pPr>
      <w:r>
        <w:t>The following study reports must be submitted to the TGA as soon as possible after completion, for evaluation as a Category 1 submission(s):</w:t>
      </w:r>
    </w:p>
    <w:p w:rsidR="007319E1" w:rsidRDefault="007319E1" w:rsidP="00C174FF">
      <w:pPr>
        <w:pStyle w:val="Numberbullet2"/>
      </w:pPr>
      <w:r>
        <w:t>Final study report for MK-8259-038.</w:t>
      </w:r>
    </w:p>
    <w:p w:rsidR="008E7846" w:rsidRDefault="00A80B5B" w:rsidP="00D23139">
      <w:pPr>
        <w:pStyle w:val="Heading2"/>
      </w:pPr>
      <w:bookmarkStart w:id="104" w:name="_Toc487718642"/>
      <w:proofErr w:type="gramStart"/>
      <w:r>
        <w:t>Attachment 1.</w:t>
      </w:r>
      <w:proofErr w:type="gramEnd"/>
      <w:r>
        <w:t xml:space="preserve"> </w:t>
      </w:r>
      <w:r w:rsidR="008E7846">
        <w:t xml:space="preserve">Product </w:t>
      </w:r>
      <w:r w:rsidR="00AA0ED0">
        <w:t>I</w:t>
      </w:r>
      <w:r w:rsidR="008E7846">
        <w:t>nformation</w:t>
      </w:r>
      <w:bookmarkEnd w:id="102"/>
      <w:bookmarkEnd w:id="103"/>
      <w:bookmarkEnd w:id="104"/>
    </w:p>
    <w:p w:rsidR="00C80137" w:rsidRDefault="006136D7" w:rsidP="00C80137">
      <w:pPr>
        <w:rPr>
          <w:color w:val="000000"/>
          <w:lang w:eastAsia="en-AU"/>
        </w:rPr>
      </w:pPr>
      <w:r w:rsidRPr="002B3624">
        <w:t xml:space="preserve">The </w:t>
      </w:r>
      <w:r>
        <w:t>PI</w:t>
      </w:r>
      <w:r w:rsidRPr="002B3624">
        <w:t xml:space="preserve"> for </w:t>
      </w:r>
      <w:proofErr w:type="spellStart"/>
      <w:r w:rsidR="007319E1">
        <w:t>Simponi</w:t>
      </w:r>
      <w:proofErr w:type="spellEnd"/>
      <w:r w:rsidRPr="002B3624">
        <w:t xml:space="preserve"> </w:t>
      </w:r>
      <w:r>
        <w:t xml:space="preserve">approved with the submission which is described in </w:t>
      </w:r>
      <w:r w:rsidRPr="002B3624">
        <w:t xml:space="preserve">this AusPAR is at Attachment 1. For the most recent </w:t>
      </w:r>
      <w:r>
        <w:t>PI,</w:t>
      </w:r>
      <w:r w:rsidRPr="002B3624">
        <w:t xml:space="preserve"> please refer to the </w:t>
      </w:r>
      <w:r w:rsidRPr="007C6B9B">
        <w:t xml:space="preserve">TGA website at </w:t>
      </w:r>
      <w:r w:rsidR="007C6B9B" w:rsidRPr="007C6B9B">
        <w:t>&lt;</w:t>
      </w:r>
      <w:hyperlink r:id="rId17" w:history="1">
        <w:r w:rsidR="007C6B9B" w:rsidRPr="007C6B9B">
          <w:rPr>
            <w:rStyle w:val="Hyperlink"/>
          </w:rPr>
          <w:t>https://www.tga.gov.au/product-information-pi</w:t>
        </w:r>
      </w:hyperlink>
      <w:r w:rsidR="007C6B9B" w:rsidRPr="007C6B9B">
        <w:t xml:space="preserve">&gt;. </w:t>
      </w:r>
    </w:p>
    <w:p w:rsidR="00C80137" w:rsidRDefault="00C80137" w:rsidP="00C80137">
      <w:pPr>
        <w:pStyle w:val="Heading2"/>
        <w:rPr>
          <w:lang w:eastAsia="en-AU"/>
        </w:rPr>
      </w:pPr>
      <w:bookmarkStart w:id="105" w:name="_Toc487718643"/>
      <w:proofErr w:type="gramStart"/>
      <w:r>
        <w:rPr>
          <w:lang w:eastAsia="en-AU"/>
        </w:rPr>
        <w:t>Attachment 2.</w:t>
      </w:r>
      <w:proofErr w:type="gramEnd"/>
      <w:r w:rsidR="00A80B5B">
        <w:rPr>
          <w:lang w:eastAsia="en-AU"/>
        </w:rPr>
        <w:t xml:space="preserve"> </w:t>
      </w:r>
      <w:r>
        <w:rPr>
          <w:lang w:eastAsia="en-AU"/>
        </w:rPr>
        <w:t>Extract from the Clinical Evaluation Report</w:t>
      </w:r>
      <w:bookmarkEnd w:id="105"/>
    </w:p>
    <w:p w:rsidR="00291957" w:rsidRDefault="008E7846" w:rsidP="00101E94">
      <w:pPr>
        <w:autoSpaceDE w:val="0"/>
        <w:autoSpaceDN w:val="0"/>
        <w:adjustRightInd w:val="0"/>
        <w:spacing w:after="0"/>
        <w:rPr>
          <w:lang w:eastAsia="ja-JP"/>
        </w:rPr>
      </w:pPr>
      <w:r w:rsidRPr="00C80137">
        <w:rPr>
          <w:b/>
        </w:rPr>
        <w:br w:type="page"/>
      </w:r>
    </w:p>
    <w:p w:rsidR="00C80137" w:rsidRPr="001D043B" w:rsidRDefault="00C80137" w:rsidP="003A7F6C">
      <w:pPr>
        <w:pStyle w:val="TableTitle"/>
        <w:sectPr w:rsidR="00C80137" w:rsidRPr="001D043B" w:rsidSect="00B452CE">
          <w:headerReference w:type="even" r:id="rId18"/>
          <w:headerReference w:type="default" r:id="rId19"/>
          <w:headerReference w:type="first" r:id="rId20"/>
          <w:footerReference w:type="first" r:id="rId21"/>
          <w:pgSz w:w="11906" w:h="16838" w:code="9"/>
          <w:pgMar w:top="834" w:right="1701" w:bottom="1191" w:left="1701" w:header="907" w:footer="216" w:gutter="0"/>
          <w:cols w:space="708"/>
          <w:docGrid w:linePitch="360"/>
        </w:sectPr>
      </w:pPr>
    </w:p>
    <w:tbl>
      <w:tblPr>
        <w:tblW w:w="9175" w:type="dxa"/>
        <w:tblInd w:w="-284" w:type="dxa"/>
        <w:tblLayout w:type="fixed"/>
        <w:tblCellMar>
          <w:left w:w="0" w:type="dxa"/>
          <w:right w:w="0" w:type="dxa"/>
        </w:tblCellMar>
        <w:tblLook w:val="04A0" w:firstRow="1" w:lastRow="0" w:firstColumn="1" w:lastColumn="0" w:noHBand="0" w:noVBand="1"/>
      </w:tblPr>
      <w:tblGrid>
        <w:gridCol w:w="9175"/>
      </w:tblGrid>
      <w:tr w:rsidR="001C32CD" w:rsidRPr="00487162" w:rsidTr="00A05FA4">
        <w:trPr>
          <w:trHeight w:hRule="exact" w:val="704"/>
        </w:trPr>
        <w:tc>
          <w:tcPr>
            <w:tcW w:w="9175" w:type="dxa"/>
          </w:tcPr>
          <w:p w:rsidR="001C32CD" w:rsidRPr="00487162" w:rsidRDefault="001C32CD" w:rsidP="00A05FA4">
            <w:pPr>
              <w:pStyle w:val="TGASignoff"/>
            </w:pPr>
            <w:r w:rsidRPr="00487162">
              <w:lastRenderedPageBreak/>
              <w:t>Therapeutic Goods Administration</w:t>
            </w:r>
          </w:p>
        </w:tc>
      </w:tr>
      <w:tr w:rsidR="001C32CD" w:rsidRPr="004C239D" w:rsidTr="00A05FA4">
        <w:trPr>
          <w:trHeight w:val="1221"/>
        </w:trPr>
        <w:tc>
          <w:tcPr>
            <w:tcW w:w="9175" w:type="dxa"/>
            <w:tcMar>
              <w:top w:w="28" w:type="dxa"/>
            </w:tcMar>
          </w:tcPr>
          <w:p w:rsidR="001C32CD" w:rsidRPr="00487162" w:rsidRDefault="001C32CD" w:rsidP="00A05FA4">
            <w:pPr>
              <w:pStyle w:val="Address"/>
            </w:pPr>
            <w:r w:rsidRPr="00487162">
              <w:t>PO Box 100 Woden ACT 2606 Australia</w:t>
            </w:r>
          </w:p>
          <w:p w:rsidR="001C32CD" w:rsidRPr="00487162" w:rsidRDefault="001C32CD" w:rsidP="00A05FA4">
            <w:pPr>
              <w:pStyle w:val="Address"/>
            </w:pPr>
            <w:r w:rsidRPr="00487162">
              <w:t xml:space="preserve">Email: </w:t>
            </w:r>
            <w:hyperlink r:id="rId22" w:history="1">
              <w:r w:rsidRPr="004C239D">
                <w:rPr>
                  <w:rStyle w:val="Hyperlink"/>
                </w:rPr>
                <w:t>info@tga.gov.au</w:t>
              </w:r>
            </w:hyperlink>
            <w:r w:rsidR="00004149">
              <w:t xml:space="preserve"> </w:t>
            </w:r>
            <w:r w:rsidRPr="00487162">
              <w:t>Phone: 1800 020 653</w:t>
            </w:r>
            <w:r w:rsidR="00004149">
              <w:t xml:space="preserve"> </w:t>
            </w:r>
            <w:r w:rsidRPr="00487162">
              <w:t>Fax: 02 6232 8605</w:t>
            </w:r>
          </w:p>
          <w:p w:rsidR="001C32CD" w:rsidRPr="004C239D" w:rsidRDefault="00FC4250" w:rsidP="00A05FA4">
            <w:pPr>
              <w:pStyle w:val="Address"/>
              <w:spacing w:line="260" w:lineRule="atLeast"/>
              <w:rPr>
                <w:b/>
                <w:color w:val="0000FF"/>
                <w:u w:val="single"/>
              </w:rPr>
            </w:pPr>
            <w:hyperlink r:id="rId23" w:history="1">
              <w:r w:rsidR="007C6B9B" w:rsidRPr="007C6B9B">
                <w:rPr>
                  <w:rStyle w:val="Hyperlink"/>
                  <w:b/>
                </w:rPr>
                <w:t>https://www.tga.gov.au</w:t>
              </w:r>
            </w:hyperlink>
          </w:p>
        </w:tc>
      </w:tr>
    </w:tbl>
    <w:p w:rsidR="00774E1D" w:rsidRPr="008A5E0B" w:rsidRDefault="00774E1D" w:rsidP="004C239D"/>
    <w:sectPr w:rsidR="00774E1D" w:rsidRPr="008A5E0B" w:rsidSect="001C32CD">
      <w:headerReference w:type="even" r:id="rId24"/>
      <w:headerReference w:type="default" r:id="rId25"/>
      <w:footerReference w:type="default" r:id="rId26"/>
      <w:headerReference w:type="first" r:id="rId27"/>
      <w:footerReference w:type="first" r:id="rId28"/>
      <w:pgSz w:w="11906" w:h="16838" w:code="9"/>
      <w:pgMar w:top="13467" w:right="1701" w:bottom="426" w:left="1701" w:header="907"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4250" w:rsidRDefault="00FC4250" w:rsidP="00C40A36">
      <w:pPr>
        <w:spacing w:after="0"/>
      </w:pPr>
      <w:r>
        <w:separator/>
      </w:r>
    </w:p>
  </w:endnote>
  <w:endnote w:type="continuationSeparator" w:id="0">
    <w:p w:rsidR="00FC4250" w:rsidRDefault="00FC4250" w:rsidP="00C40A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
    <w:panose1 w:val="020B0604020202030204"/>
    <w:charset w:val="00"/>
    <w:family w:val="swiss"/>
    <w:notTrueType/>
    <w:pitch w:val="variable"/>
    <w:sig w:usb0="00000003" w:usb1="00000000" w:usb2="00000000" w:usb3="00000000" w:csb0="00000001" w:csb1="00000000"/>
  </w:font>
  <w:font w:name="MingLiU">
    <w:altName w:val="細明體"/>
    <w:panose1 w:val="02020509000000000000"/>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imesNewRomanPSMT">
    <w:panose1 w:val="00000000000000000000"/>
    <w:charset w:val="00"/>
    <w:family w:val="roman"/>
    <w:notTrueType/>
    <w:pitch w:val="default"/>
    <w:sig w:usb0="00000003" w:usb1="00000000" w:usb2="00000000" w:usb3="00000000" w:csb0="00000001" w:csb1="00000000"/>
  </w:font>
  <w:font w:name="TimesNewRomanPS-BoldMT">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NewRoman">
    <w:altName w:val="MS Mincho"/>
    <w:panose1 w:val="00000000000000000000"/>
    <w:charset w:val="80"/>
    <w:family w:val="auto"/>
    <w:notTrueType/>
    <w:pitch w:val="default"/>
    <w:sig w:usb0="00000001" w:usb1="08070000" w:usb2="00000010" w:usb3="00000000" w:csb0="00020000" w:csb1="00000000"/>
  </w:font>
  <w:font w:name="Arial,Bold">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61" w:type="dxa"/>
      <w:tblBorders>
        <w:top w:val="single" w:sz="4" w:space="0" w:color="auto"/>
      </w:tblBorders>
      <w:tblLayout w:type="fixed"/>
      <w:tblCellMar>
        <w:top w:w="170" w:type="dxa"/>
        <w:left w:w="0" w:type="dxa"/>
        <w:bottom w:w="227" w:type="dxa"/>
        <w:right w:w="0" w:type="dxa"/>
      </w:tblCellMar>
      <w:tblLook w:val="04A0" w:firstRow="1" w:lastRow="0" w:firstColumn="1" w:lastColumn="0" w:noHBand="0" w:noVBand="1"/>
    </w:tblPr>
    <w:tblGrid>
      <w:gridCol w:w="7371"/>
      <w:gridCol w:w="1490"/>
    </w:tblGrid>
    <w:tr w:rsidR="00FC4250" w:rsidRPr="00487162" w:rsidTr="00DB750B">
      <w:trPr>
        <w:trHeight w:val="269"/>
      </w:trPr>
      <w:tc>
        <w:tcPr>
          <w:tcW w:w="7371" w:type="dxa"/>
          <w:tcMar>
            <w:top w:w="142" w:type="dxa"/>
            <w:bottom w:w="0" w:type="dxa"/>
          </w:tcMar>
        </w:tcPr>
        <w:p w:rsidR="00FC4250" w:rsidRPr="00487162" w:rsidRDefault="00FC4250" w:rsidP="00645808">
          <w:pPr>
            <w:pStyle w:val="Footer"/>
          </w:pPr>
          <w:r w:rsidRPr="00487162">
            <w:t>AusPA</w:t>
          </w:r>
          <w:r>
            <w:t xml:space="preserve">R </w:t>
          </w:r>
          <w:proofErr w:type="spellStart"/>
          <w:r>
            <w:t>Simponi</w:t>
          </w:r>
          <w:proofErr w:type="spellEnd"/>
          <w:r>
            <w:t xml:space="preserve"> </w:t>
          </w:r>
          <w:proofErr w:type="spellStart"/>
          <w:r w:rsidRPr="00BD42F6">
            <w:t>Golimumab</w:t>
          </w:r>
          <w:proofErr w:type="spellEnd"/>
          <w:r w:rsidRPr="00BD42F6">
            <w:t xml:space="preserve"> (</w:t>
          </w:r>
          <w:proofErr w:type="spellStart"/>
          <w:r w:rsidRPr="00BD42F6">
            <w:t>rmc</w:t>
          </w:r>
          <w:proofErr w:type="spellEnd"/>
          <w:r w:rsidRPr="00BD42F6">
            <w:t>)</w:t>
          </w:r>
          <w:r>
            <w:t xml:space="preserve"> </w:t>
          </w:r>
          <w:r w:rsidRPr="00BD42F6">
            <w:t xml:space="preserve">Janssen </w:t>
          </w:r>
          <w:proofErr w:type="spellStart"/>
          <w:r w:rsidRPr="00BD42F6">
            <w:t>Cilag</w:t>
          </w:r>
          <w:proofErr w:type="spellEnd"/>
          <w:r w:rsidRPr="00BD42F6">
            <w:t xml:space="preserve"> Pty Ltd</w:t>
          </w:r>
          <w:r>
            <w:t xml:space="preserve"> PM-2015</w:t>
          </w:r>
          <w:r w:rsidRPr="00487162">
            <w:t>-</w:t>
          </w:r>
          <w:r>
            <w:t>01879</w:t>
          </w:r>
          <w:r w:rsidRPr="00487162">
            <w:t>-</w:t>
          </w:r>
          <w:r>
            <w:t>1-3</w:t>
          </w:r>
          <w:r>
            <w:br/>
            <w:t>Final 19 June 2017</w:t>
          </w:r>
        </w:p>
      </w:tc>
      <w:tc>
        <w:tcPr>
          <w:tcW w:w="1490" w:type="dxa"/>
          <w:tcMar>
            <w:top w:w="142" w:type="dxa"/>
            <w:bottom w:w="0" w:type="dxa"/>
          </w:tcMar>
        </w:tcPr>
        <w:p w:rsidR="00FC4250" w:rsidRPr="00487162" w:rsidRDefault="00FC4250" w:rsidP="00DB750B">
          <w:pPr>
            <w:pStyle w:val="Footer"/>
            <w:jc w:val="right"/>
          </w:pPr>
          <w:r w:rsidRPr="00487162">
            <w:t xml:space="preserve">Page </w:t>
          </w:r>
          <w:r>
            <w:fldChar w:fldCharType="begin"/>
          </w:r>
          <w:r>
            <w:instrText xml:space="preserve"> PAGE  \* Arabic </w:instrText>
          </w:r>
          <w:r>
            <w:fldChar w:fldCharType="separate"/>
          </w:r>
          <w:r w:rsidR="00866B06">
            <w:rPr>
              <w:noProof/>
            </w:rPr>
            <w:t>34</w:t>
          </w:r>
          <w:r>
            <w:fldChar w:fldCharType="end"/>
          </w:r>
          <w:r w:rsidRPr="00487162">
            <w:t xml:space="preserve"> of </w:t>
          </w:r>
          <w:fldSimple w:instr=" NUMPAGES  \* Arabic ">
            <w:r w:rsidR="00866B06">
              <w:rPr>
                <w:noProof/>
              </w:rPr>
              <w:t>35</w:t>
            </w:r>
          </w:fldSimple>
        </w:p>
      </w:tc>
    </w:tr>
  </w:tbl>
  <w:p w:rsidR="00FC4250" w:rsidRDefault="00FC4250" w:rsidP="003D1E6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61" w:type="dxa"/>
      <w:tblLayout w:type="fixed"/>
      <w:tblCellMar>
        <w:top w:w="170" w:type="dxa"/>
        <w:left w:w="0" w:type="dxa"/>
        <w:bottom w:w="227" w:type="dxa"/>
        <w:right w:w="0" w:type="dxa"/>
      </w:tblCellMar>
      <w:tblLook w:val="04A0" w:firstRow="1" w:lastRow="0" w:firstColumn="1" w:lastColumn="0" w:noHBand="0" w:noVBand="1"/>
    </w:tblPr>
    <w:tblGrid>
      <w:gridCol w:w="4519"/>
      <w:gridCol w:w="4342"/>
    </w:tblGrid>
    <w:tr w:rsidR="00FC4250" w:rsidRPr="00487162" w:rsidTr="00E45619">
      <w:trPr>
        <w:trHeight w:val="269"/>
      </w:trPr>
      <w:tc>
        <w:tcPr>
          <w:tcW w:w="4519" w:type="dxa"/>
          <w:tcBorders>
            <w:top w:val="single" w:sz="4" w:space="0" w:color="auto"/>
          </w:tcBorders>
          <w:tcMar>
            <w:top w:w="142" w:type="dxa"/>
            <w:bottom w:w="0" w:type="dxa"/>
          </w:tcMar>
        </w:tcPr>
        <w:p w:rsidR="00FC4250" w:rsidRPr="00487162" w:rsidRDefault="00FC4250" w:rsidP="00FE1DEE">
          <w:pPr>
            <w:pStyle w:val="Footer"/>
          </w:pPr>
          <w:r w:rsidRPr="00487162">
            <w:t>Document title, Part #, Section # - Section title</w:t>
          </w:r>
        </w:p>
        <w:p w:rsidR="00FC4250" w:rsidRPr="00487162" w:rsidRDefault="00FC4250" w:rsidP="00FE1DEE">
          <w:pPr>
            <w:pStyle w:val="Footer"/>
          </w:pPr>
          <w:r w:rsidRPr="00487162">
            <w:t>V1.0 October 2010</w:t>
          </w:r>
        </w:p>
      </w:tc>
      <w:tc>
        <w:tcPr>
          <w:tcW w:w="4342" w:type="dxa"/>
          <w:tcBorders>
            <w:top w:val="single" w:sz="4" w:space="0" w:color="auto"/>
          </w:tcBorders>
          <w:tcMar>
            <w:top w:w="142" w:type="dxa"/>
            <w:bottom w:w="0" w:type="dxa"/>
          </w:tcMar>
        </w:tcPr>
        <w:p w:rsidR="00FC4250" w:rsidRPr="00487162" w:rsidRDefault="00FC4250" w:rsidP="00E45619">
          <w:pPr>
            <w:pStyle w:val="Footer"/>
            <w:jc w:val="right"/>
          </w:pPr>
          <w:r w:rsidRPr="00487162">
            <w:t xml:space="preserve">Page </w:t>
          </w:r>
          <w:r>
            <w:fldChar w:fldCharType="begin"/>
          </w:r>
          <w:r>
            <w:instrText xml:space="preserve"> PAGE   \* MERGEFORMAT </w:instrText>
          </w:r>
          <w:r>
            <w:fldChar w:fldCharType="separate"/>
          </w:r>
          <w:r w:rsidRPr="00487162">
            <w:rPr>
              <w:noProof/>
            </w:rPr>
            <w:t>3</w:t>
          </w:r>
          <w:r>
            <w:rPr>
              <w:noProof/>
            </w:rPr>
            <w:fldChar w:fldCharType="end"/>
          </w:r>
          <w:r w:rsidRPr="00487162">
            <w:t xml:space="preserve"> of </w:t>
          </w:r>
          <w:fldSimple w:instr=" NUMPAGES  ">
            <w:r>
              <w:rPr>
                <w:noProof/>
              </w:rPr>
              <w:t>1</w:t>
            </w:r>
          </w:fldSimple>
        </w:p>
      </w:tc>
    </w:tr>
  </w:tbl>
  <w:p w:rsidR="00FC4250" w:rsidRDefault="00FC425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4250" w:rsidRPr="001C32CD" w:rsidRDefault="00FC4250" w:rsidP="001C32C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75" w:type="dxa"/>
      <w:tblLayout w:type="fixed"/>
      <w:tblCellMar>
        <w:top w:w="170" w:type="dxa"/>
        <w:left w:w="0" w:type="dxa"/>
        <w:bottom w:w="227" w:type="dxa"/>
        <w:right w:w="0" w:type="dxa"/>
      </w:tblCellMar>
      <w:tblLook w:val="04A0" w:firstRow="1" w:lastRow="0" w:firstColumn="1" w:lastColumn="0" w:noHBand="0" w:noVBand="1"/>
    </w:tblPr>
    <w:tblGrid>
      <w:gridCol w:w="4519"/>
      <w:gridCol w:w="4356"/>
    </w:tblGrid>
    <w:tr w:rsidR="00FC4250" w:rsidTr="0010601F">
      <w:trPr>
        <w:trHeight w:val="108"/>
      </w:trPr>
      <w:tc>
        <w:tcPr>
          <w:tcW w:w="8875" w:type="dxa"/>
          <w:gridSpan w:val="2"/>
          <w:tcBorders>
            <w:bottom w:val="single" w:sz="4" w:space="0" w:color="auto"/>
          </w:tcBorders>
          <w:tcMar>
            <w:right w:w="284" w:type="dxa"/>
          </w:tcMar>
        </w:tcPr>
        <w:p w:rsidR="00FC4250" w:rsidRDefault="00FC4250" w:rsidP="006E08B3">
          <w:pPr>
            <w:pStyle w:val="Heading3"/>
          </w:pPr>
          <w:r>
            <w:t>Copyright</w:t>
          </w:r>
        </w:p>
        <w:p w:rsidR="00FC4250" w:rsidRDefault="00FC4250" w:rsidP="006E08B3">
          <w:r>
            <w:rPr>
              <w:rFonts w:cs="Arial"/>
            </w:rPr>
            <w:t>©</w:t>
          </w:r>
          <w:r>
            <w:t xml:space="preserve"> Commonwealth of Australia [add year]</w:t>
          </w:r>
        </w:p>
        <w:p w:rsidR="00FC4250" w:rsidRDefault="00FC4250" w:rsidP="006E08B3"/>
        <w:p w:rsidR="00FC4250" w:rsidRDefault="00FC4250" w:rsidP="006E08B3">
          <w:r>
            <w:t xml:space="preserve">This work is copyright. Apart from any use as permitted under the Copyright Act 1968, no part may be reproduced by any process without prior written permission from the Commonwealth Copyright Administration, Attorney General’s Department, National Circuit, Barton ACT 2600 or posted at  </w:t>
          </w:r>
          <w:r w:rsidRPr="006E08B3">
            <w:t>http://www.ag.gov.au/cca</w:t>
          </w:r>
        </w:p>
        <w:p w:rsidR="00FC4250" w:rsidRDefault="00FC4250" w:rsidP="006E08B3"/>
        <w:p w:rsidR="00FC4250" w:rsidRDefault="00FC4250" w:rsidP="006E08B3">
          <w:pPr>
            <w:pStyle w:val="Heading3"/>
          </w:pPr>
          <w:r>
            <w:t>Confidentiality</w:t>
          </w:r>
        </w:p>
        <w:p w:rsidR="00FC4250" w:rsidRDefault="00FC4250" w:rsidP="006E08B3">
          <w:r>
            <w:t>All submissions received will be placed on the TGA’s Internet site, unless marked confidential. Any confidential material contained within your submission should be provided under a separate cover and clearly marked ‘IN CONFIDENCE’. Reasons for a claim to confidentiality must be included in the space provided on the TGA submission coversheet.</w:t>
          </w:r>
        </w:p>
        <w:p w:rsidR="00FC4250" w:rsidRDefault="00FC4250" w:rsidP="006E08B3"/>
        <w:p w:rsidR="00FC4250" w:rsidRDefault="00FC4250" w:rsidP="006E08B3">
          <w:r>
            <w:t>For submission made by individuals, all personal details, other than your name, will be removed from your submission before it is published on the TGA’s Internet site.</w:t>
          </w:r>
        </w:p>
        <w:p w:rsidR="00FC4250" w:rsidRDefault="00FC4250" w:rsidP="006E08B3"/>
        <w:p w:rsidR="00FC4250" w:rsidRDefault="00FC4250" w:rsidP="006E08B3">
          <w:r>
            <w:t xml:space="preserve">In addition, a list of parties making submissions will be published. If you do not wish to be identified with your submission you must specifically request this in the space provided </w:t>
          </w:r>
          <w:proofErr w:type="spellStart"/>
          <w:r>
            <w:t>ib</w:t>
          </w:r>
          <w:proofErr w:type="spellEnd"/>
          <w:r>
            <w:t xml:space="preserve"> the submission coversheet.</w:t>
          </w:r>
        </w:p>
      </w:tc>
    </w:tr>
    <w:tr w:rsidR="00FC4250" w:rsidTr="0010601F">
      <w:trPr>
        <w:trHeight w:val="417"/>
      </w:trPr>
      <w:tc>
        <w:tcPr>
          <w:tcW w:w="4519" w:type="dxa"/>
          <w:tcBorders>
            <w:top w:val="single" w:sz="4" w:space="0" w:color="auto"/>
          </w:tcBorders>
          <w:tcMar>
            <w:top w:w="142" w:type="dxa"/>
            <w:bottom w:w="0" w:type="dxa"/>
          </w:tcMar>
        </w:tcPr>
        <w:p w:rsidR="00FC4250" w:rsidRDefault="00FC4250" w:rsidP="006E08B3">
          <w:r>
            <w:t>Document title, Part #, Section # - Section title</w:t>
          </w:r>
        </w:p>
        <w:p w:rsidR="00FC4250" w:rsidRDefault="00FC4250" w:rsidP="006E08B3">
          <w:r>
            <w:t>V1.0 October 2010</w:t>
          </w:r>
        </w:p>
      </w:tc>
      <w:tc>
        <w:tcPr>
          <w:tcW w:w="4356" w:type="dxa"/>
          <w:tcBorders>
            <w:top w:val="single" w:sz="4" w:space="0" w:color="auto"/>
          </w:tcBorders>
          <w:tcMar>
            <w:top w:w="142" w:type="dxa"/>
            <w:bottom w:w="0" w:type="dxa"/>
          </w:tcMar>
        </w:tcPr>
        <w:p w:rsidR="00FC4250" w:rsidRDefault="00FC4250" w:rsidP="006E08B3">
          <w:pPr>
            <w:jc w:val="right"/>
          </w:pPr>
          <w:r>
            <w:t xml:space="preserve">Page </w:t>
          </w:r>
          <w:r>
            <w:fldChar w:fldCharType="begin"/>
          </w:r>
          <w:r>
            <w:instrText xml:space="preserve"> PAGE   \* MERGEFORMAT </w:instrText>
          </w:r>
          <w:r>
            <w:fldChar w:fldCharType="separate"/>
          </w:r>
          <w:r>
            <w:rPr>
              <w:noProof/>
            </w:rPr>
            <w:t>1</w:t>
          </w:r>
          <w:r>
            <w:rPr>
              <w:noProof/>
            </w:rPr>
            <w:fldChar w:fldCharType="end"/>
          </w:r>
          <w:r>
            <w:t xml:space="preserve"> of </w:t>
          </w:r>
          <w:fldSimple w:instr=" NUMPAGES  \* Arabic ">
            <w:r>
              <w:rPr>
                <w:noProof/>
              </w:rPr>
              <w:t>1</w:t>
            </w:r>
          </w:fldSimple>
          <w:r>
            <w:t xml:space="preserve">  </w:t>
          </w:r>
        </w:p>
      </w:tc>
    </w:tr>
  </w:tbl>
  <w:p w:rsidR="00FC4250" w:rsidRDefault="00FC425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4250" w:rsidRDefault="00FC4250" w:rsidP="00C40A36">
      <w:pPr>
        <w:spacing w:after="0"/>
      </w:pPr>
      <w:r>
        <w:separator/>
      </w:r>
    </w:p>
  </w:footnote>
  <w:footnote w:type="continuationSeparator" w:id="0">
    <w:p w:rsidR="00FC4250" w:rsidRDefault="00FC4250" w:rsidP="00C40A36">
      <w:pPr>
        <w:spacing w:after="0"/>
      </w:pPr>
      <w:r>
        <w:continuationSeparator/>
      </w:r>
    </w:p>
  </w:footnote>
  <w:footnote w:id="1">
    <w:p w:rsidR="00FC4250" w:rsidRPr="00630037" w:rsidRDefault="00FC4250">
      <w:pPr>
        <w:pStyle w:val="FootnoteText"/>
        <w:rPr>
          <w:lang w:val="en-US"/>
        </w:rPr>
      </w:pPr>
      <w:r>
        <w:rPr>
          <w:rStyle w:val="FootnoteReference"/>
        </w:rPr>
        <w:footnoteRef/>
      </w:r>
      <w:r>
        <w:t xml:space="preserve"> </w:t>
      </w:r>
      <w:r w:rsidRPr="00630037">
        <w:t>CPMP/EWP/4891/03 Guideline on Clinical Investigation of Medicinal Products for the Treatment of Ankylosing Spondylitis</w:t>
      </w:r>
    </w:p>
  </w:footnote>
  <w:footnote w:id="2">
    <w:p w:rsidR="00FC4250" w:rsidRPr="00630037" w:rsidRDefault="00FC4250">
      <w:pPr>
        <w:pStyle w:val="FootnoteText"/>
        <w:rPr>
          <w:lang w:val="en-US"/>
        </w:rPr>
      </w:pPr>
      <w:r>
        <w:rPr>
          <w:rStyle w:val="FootnoteReference"/>
        </w:rPr>
        <w:footnoteRef/>
      </w:r>
      <w:r>
        <w:t xml:space="preserve"> </w:t>
      </w:r>
      <w:proofErr w:type="gramStart"/>
      <w:r w:rsidRPr="00630037">
        <w:t>CPMP/EWP/2330/99 Points to Consider on Application with 1.</w:t>
      </w:r>
      <w:proofErr w:type="gramEnd"/>
      <w:r w:rsidRPr="00630037">
        <w:t xml:space="preserve"> </w:t>
      </w:r>
      <w:proofErr w:type="gramStart"/>
      <w:r w:rsidRPr="00630037">
        <w:t>Meta-Analyses; 2.</w:t>
      </w:r>
      <w:proofErr w:type="gramEnd"/>
      <w:r w:rsidRPr="00630037">
        <w:t xml:space="preserve"> One Pivotal Study</w:t>
      </w:r>
    </w:p>
  </w:footnote>
  <w:footnote w:id="3">
    <w:p w:rsidR="00FC4250" w:rsidRPr="00D70C58" w:rsidRDefault="00FC4250" w:rsidP="00286EF7">
      <w:pPr>
        <w:pStyle w:val="FootnoteText"/>
        <w:rPr>
          <w:szCs w:val="18"/>
        </w:rPr>
      </w:pPr>
      <w:r>
        <w:rPr>
          <w:rStyle w:val="FootnoteReference"/>
        </w:rPr>
        <w:footnoteRef/>
      </w:r>
      <w:r>
        <w:t xml:space="preserve"> </w:t>
      </w:r>
      <w:r w:rsidRPr="00D70C58">
        <w:rPr>
          <w:szCs w:val="18"/>
        </w:rPr>
        <w:t>These changes are listed in Table 10 on p 404, but have not been included in the Summary of Safety Concerns table on p 273 [pages and tables referred to are not in this AusPAR].</w:t>
      </w:r>
    </w:p>
  </w:footnote>
  <w:footnote w:id="4">
    <w:p w:rsidR="00FC4250" w:rsidRDefault="00FC4250" w:rsidP="00286EF7">
      <w:pPr>
        <w:pStyle w:val="FootnoteText"/>
      </w:pPr>
      <w:r w:rsidRPr="00D70C58">
        <w:rPr>
          <w:rStyle w:val="FootnoteReference"/>
          <w:szCs w:val="18"/>
        </w:rPr>
        <w:footnoteRef/>
      </w:r>
      <w:r w:rsidRPr="00D70C58">
        <w:rPr>
          <w:szCs w:val="18"/>
        </w:rPr>
        <w:t xml:space="preserve"> T</w:t>
      </w:r>
      <w:r w:rsidRPr="00D70C58">
        <w:rPr>
          <w:rFonts w:eastAsia="TimesNewRoman" w:cs="TimesNewRoman"/>
          <w:szCs w:val="18"/>
        </w:rPr>
        <w:t>his change does not appear to have been implemented in the EU-RMP</w:t>
      </w:r>
      <w:r>
        <w:rPr>
          <w:rFonts w:eastAsia="TimesNewRoman" w:cs="TimesNewRoman"/>
          <w:szCs w:val="18"/>
        </w:rPr>
        <w:t>.</w:t>
      </w:r>
    </w:p>
  </w:footnote>
  <w:footnote w:id="5">
    <w:p w:rsidR="00FC4250" w:rsidRPr="00B81187" w:rsidRDefault="00FC4250">
      <w:pPr>
        <w:pStyle w:val="FootnoteText"/>
        <w:rPr>
          <w:lang w:val="en-US"/>
        </w:rPr>
      </w:pPr>
      <w:r>
        <w:rPr>
          <w:rStyle w:val="FootnoteReference"/>
        </w:rPr>
        <w:footnoteRef/>
      </w:r>
      <w:r>
        <w:t xml:space="preserve"> </w:t>
      </w:r>
      <w:proofErr w:type="spellStart"/>
      <w:r w:rsidRPr="00B81187">
        <w:t>Rudwaleit</w:t>
      </w:r>
      <w:proofErr w:type="spellEnd"/>
      <w:r w:rsidRPr="00B81187">
        <w:t xml:space="preserve">, ARD. </w:t>
      </w:r>
      <w:proofErr w:type="gramStart"/>
      <w:r w:rsidRPr="00B81187">
        <w:t xml:space="preserve">The development of Assessment of </w:t>
      </w:r>
      <w:proofErr w:type="spellStart"/>
      <w:r w:rsidRPr="00B81187">
        <w:t>SpondyloArthritis</w:t>
      </w:r>
      <w:proofErr w:type="spellEnd"/>
      <w:r w:rsidRPr="00B81187">
        <w:t>.</w:t>
      </w:r>
      <w:proofErr w:type="gramEnd"/>
      <w:r w:rsidRPr="00B81187">
        <w:t xml:space="preserve"> </w:t>
      </w:r>
      <w:proofErr w:type="spellStart"/>
      <w:r w:rsidRPr="00B81187">
        <w:t>s.l</w:t>
      </w:r>
      <w:proofErr w:type="spellEnd"/>
      <w:proofErr w:type="gramStart"/>
      <w:r w:rsidRPr="00B81187">
        <w:t>. :</w:t>
      </w:r>
      <w:proofErr w:type="gramEnd"/>
      <w:r w:rsidRPr="00B81187">
        <w:t xml:space="preserve"> International Society Classification criteria for axial </w:t>
      </w:r>
      <w:proofErr w:type="spellStart"/>
      <w:r w:rsidRPr="00B81187">
        <w:t>spondyloarthritis</w:t>
      </w:r>
      <w:proofErr w:type="spellEnd"/>
      <w:r w:rsidRPr="00B81187">
        <w:t xml:space="preserve"> (part II): validation and final selection, 2009.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4250" w:rsidRDefault="00FC4250" w:rsidP="00E45619">
    <w:pPr>
      <w:pStyle w:val="Header"/>
    </w:pPr>
    <w:r>
      <w:t>Therapeutic Goods Administration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4250" w:rsidRDefault="00FC4250">
    <w:pPr>
      <w:rPr>
        <w:noProof/>
        <w:lang w:eastAsia="en-AU"/>
      </w:rPr>
    </w:pPr>
    <w:r w:rsidRPr="00347824">
      <w:rPr>
        <w:noProof/>
        <w:lang w:eastAsia="en-AU"/>
      </w:rPr>
      <w:drawing>
        <wp:anchor distT="0" distB="0" distL="114300" distR="114300" simplePos="0" relativeHeight="251659264" behindDoc="1" locked="0" layoutInCell="1" allowOverlap="1" wp14:anchorId="498948C3" wp14:editId="32B9362F">
          <wp:simplePos x="0" y="0"/>
          <wp:positionH relativeFrom="column">
            <wp:posOffset>-1089660</wp:posOffset>
          </wp:positionH>
          <wp:positionV relativeFrom="paragraph">
            <wp:posOffset>-585470</wp:posOffset>
          </wp:positionV>
          <wp:extent cx="7572375" cy="10706100"/>
          <wp:effectExtent l="19050" t="0" r="0" b="0"/>
          <wp:wrapNone/>
          <wp:docPr id="21" name="Picture 0"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PAR-BG-HQ03.gif"/>
                  <pic:cNvPicPr/>
                </pic:nvPicPr>
                <pic:blipFill>
                  <a:blip r:embed="rId1"/>
                  <a:stretch>
                    <a:fillRect/>
                  </a:stretch>
                </pic:blipFill>
                <pic:spPr>
                  <a:xfrm>
                    <a:off x="0" y="0"/>
                    <a:ext cx="7568736" cy="10706100"/>
                  </a:xfrm>
                  <a:prstGeom prst="rect">
                    <a:avLst/>
                  </a:prstGeom>
                </pic:spPr>
              </pic:pic>
            </a:graphicData>
          </a:graphic>
        </wp:anchor>
      </w:drawing>
    </w:r>
  </w:p>
  <w:p w:rsidR="00FC4250" w:rsidRDefault="00FC4250" w:rsidP="00593AD1">
    <w:pPr>
      <w:pStyle w:val="HeaderNoLine"/>
    </w:pPr>
    <w:r>
      <w:rPr>
        <w:noProof/>
        <w:lang w:eastAsia="en-AU"/>
      </w:rPr>
      <w:drawing>
        <wp:inline distT="0" distB="0" distL="0" distR="0" wp14:anchorId="06607EA5" wp14:editId="3EE7440D">
          <wp:extent cx="5400675" cy="7639050"/>
          <wp:effectExtent l="0" t="0" r="9525" b="0"/>
          <wp:docPr id="22" name="Picture 22" descr="Light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ghtblue.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00675" cy="763905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4250" w:rsidRDefault="00FC425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4250" w:rsidRDefault="00FC4250">
    <w:pPr>
      <w:pStyle w:val="Header"/>
    </w:pPr>
    <w:r>
      <w:t>Therapeutic Goods Administration</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4250" w:rsidRDefault="00FC4250">
    <w:pPr>
      <w:pStyle w:val="Header"/>
    </w:pPr>
    <w:r>
      <w:t>Therapeutic Goods Administration</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4250" w:rsidRDefault="00FC4250">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4250" w:rsidRDefault="00FC4250" w:rsidP="004C239D">
    <w:pPr>
      <w:pStyle w:val="HeaderNoLine"/>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4250" w:rsidRDefault="00FC4250" w:rsidP="006E08B3">
    <w:r>
      <w:t>Therapeutic Goods Administration</w:t>
    </w:r>
  </w:p>
  <w:p w:rsidR="00FC4250" w:rsidRDefault="00FC4250" w:rsidP="006D03E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1">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2">
    <w:nsid w:val="FFFFFF89"/>
    <w:multiLevelType w:val="singleLevel"/>
    <w:tmpl w:val="0E18EFAC"/>
    <w:lvl w:ilvl="0">
      <w:start w:val="1"/>
      <w:numFmt w:val="bullet"/>
      <w:lvlText w:val=""/>
      <w:lvlJc w:val="left"/>
      <w:pPr>
        <w:tabs>
          <w:tab w:val="num" w:pos="360"/>
        </w:tabs>
        <w:ind w:left="360" w:hanging="360"/>
      </w:pPr>
      <w:rPr>
        <w:rFonts w:ascii="Symbol" w:hAnsi="Symbol" w:hint="default"/>
      </w:rPr>
    </w:lvl>
  </w:abstractNum>
  <w:abstractNum w:abstractNumId="3">
    <w:nsid w:val="FFFFFFFE"/>
    <w:multiLevelType w:val="singleLevel"/>
    <w:tmpl w:val="B8320B0A"/>
    <w:lvl w:ilvl="0">
      <w:numFmt w:val="bullet"/>
      <w:lvlText w:val="*"/>
      <w:lvlJc w:val="left"/>
    </w:lvl>
  </w:abstractNum>
  <w:abstractNum w:abstractNumId="4">
    <w:nsid w:val="0D022ACF"/>
    <w:multiLevelType w:val="hybridMultilevel"/>
    <w:tmpl w:val="4ABA48A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6">
    <w:nsid w:val="13711B93"/>
    <w:multiLevelType w:val="hybridMultilevel"/>
    <w:tmpl w:val="B9045C0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1">
      <w:start w:val="1"/>
      <w:numFmt w:val="bullet"/>
      <w:lvlText w:val=""/>
      <w:lvlJc w:val="left"/>
      <w:pPr>
        <w:ind w:left="2160" w:hanging="360"/>
      </w:pPr>
      <w:rPr>
        <w:rFonts w:ascii="Symbol" w:hAnsi="Symbol"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8">
    <w:nsid w:val="1DAB4D77"/>
    <w:multiLevelType w:val="hybridMultilevel"/>
    <w:tmpl w:val="84CC058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2BCF57AC"/>
    <w:multiLevelType w:val="hybridMultilevel"/>
    <w:tmpl w:val="132025F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58483C12">
      <w:numFmt w:val="bullet"/>
      <w:lvlText w:val="•"/>
      <w:lvlJc w:val="left"/>
      <w:pPr>
        <w:ind w:left="2160" w:hanging="360"/>
      </w:pPr>
      <w:rPr>
        <w:rFonts w:ascii="Cambria" w:eastAsia="Cambria" w:hAnsi="Cambria" w:cs="Arial"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366449FA"/>
    <w:multiLevelType w:val="hybridMultilevel"/>
    <w:tmpl w:val="872E80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4EA26597"/>
    <w:multiLevelType w:val="hybridMultilevel"/>
    <w:tmpl w:val="4B5452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51706F0A"/>
    <w:multiLevelType w:val="hybridMultilevel"/>
    <w:tmpl w:val="43269D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53287872"/>
    <w:multiLevelType w:val="hybridMultilevel"/>
    <w:tmpl w:val="B40CBA96"/>
    <w:lvl w:ilvl="0" w:tplc="8460FF20">
      <w:start w:val="1"/>
      <w:numFmt w:val="lowerRoman"/>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55A01D04"/>
    <w:multiLevelType w:val="hybridMultilevel"/>
    <w:tmpl w:val="C2720D3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676A1DC9"/>
    <w:multiLevelType w:val="hybridMultilevel"/>
    <w:tmpl w:val="6EECC222"/>
    <w:lvl w:ilvl="0" w:tplc="718EBC96">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6">
    <w:nsid w:val="69DE2D82"/>
    <w:multiLevelType w:val="hybridMultilevel"/>
    <w:tmpl w:val="0B08AC38"/>
    <w:lvl w:ilvl="0" w:tplc="0C09000F">
      <w:start w:val="1"/>
      <w:numFmt w:val="decimal"/>
      <w:lvlText w:val="%1."/>
      <w:lvlJc w:val="left"/>
      <w:pPr>
        <w:ind w:left="1080" w:hanging="36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7">
    <w:nsid w:val="7B703D1F"/>
    <w:multiLevelType w:val="hybridMultilevel"/>
    <w:tmpl w:val="32BCB4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7"/>
  </w:num>
  <w:num w:numId="4">
    <w:abstractNumId w:val="7"/>
  </w:num>
  <w:num w:numId="5">
    <w:abstractNumId w:val="0"/>
  </w:num>
  <w:num w:numId="6">
    <w:abstractNumId w:val="7"/>
  </w:num>
  <w:num w:numId="7">
    <w:abstractNumId w:val="7"/>
  </w:num>
  <w:num w:numId="8">
    <w:abstractNumId w:val="5"/>
  </w:num>
  <w:num w:numId="9">
    <w:abstractNumId w:val="5"/>
  </w:num>
  <w:num w:numId="10">
    <w:abstractNumId w:val="5"/>
  </w:num>
  <w:num w:numId="11">
    <w:abstractNumId w:val="5"/>
  </w:num>
  <w:num w:numId="12">
    <w:abstractNumId w:val="3"/>
    <w:lvlOverride w:ilvl="0">
      <w:lvl w:ilvl="0">
        <w:numFmt w:val="bullet"/>
        <w:lvlText w:val="•"/>
        <w:legacy w:legacy="1" w:legacySpace="0" w:legacyIndent="0"/>
        <w:lvlJc w:val="left"/>
        <w:rPr>
          <w:rFonts w:ascii="Helv" w:hAnsi="Helv" w:hint="default"/>
        </w:rPr>
      </w:lvl>
    </w:lvlOverride>
  </w:num>
  <w:num w:numId="13">
    <w:abstractNumId w:val="7"/>
  </w:num>
  <w:num w:numId="14">
    <w:abstractNumId w:val="7"/>
  </w:num>
  <w:num w:numId="15">
    <w:abstractNumId w:val="7"/>
  </w:num>
  <w:num w:numId="16">
    <w:abstractNumId w:val="5"/>
  </w:num>
  <w:num w:numId="17">
    <w:abstractNumId w:val="5"/>
  </w:num>
  <w:num w:numId="18">
    <w:abstractNumId w:val="5"/>
  </w:num>
  <w:num w:numId="19">
    <w:abstractNumId w:val="7"/>
  </w:num>
  <w:num w:numId="20">
    <w:abstractNumId w:val="7"/>
  </w:num>
  <w:num w:numId="21">
    <w:abstractNumId w:val="7"/>
  </w:num>
  <w:num w:numId="22">
    <w:abstractNumId w:val="5"/>
  </w:num>
  <w:num w:numId="23">
    <w:abstractNumId w:val="5"/>
  </w:num>
  <w:num w:numId="24">
    <w:abstractNumId w:val="5"/>
  </w:num>
  <w:num w:numId="25">
    <w:abstractNumId w:val="5"/>
    <w:lvlOverride w:ilvl="0">
      <w:lvl w:ilvl="0">
        <w:start w:val="1"/>
        <w:numFmt w:val="decimal"/>
        <w:pStyle w:val="Numberbullet0"/>
        <w:lvlText w:val="%1."/>
        <w:lvlJc w:val="left"/>
        <w:pPr>
          <w:ind w:left="425" w:hanging="425"/>
        </w:pPr>
        <w:rPr>
          <w:rFonts w:ascii="Cambria" w:hAnsi="Cambria" w:hint="default"/>
        </w:rPr>
      </w:lvl>
    </w:lvlOverride>
    <w:lvlOverride w:ilvl="1">
      <w:lvl w:ilvl="1">
        <w:start w:val="1"/>
        <w:numFmt w:val="lowerLetter"/>
        <w:pStyle w:val="Numberbullet2"/>
        <w:lvlText w:val="%2."/>
        <w:lvlJc w:val="left"/>
        <w:pPr>
          <w:ind w:left="851" w:hanging="426"/>
        </w:pPr>
        <w:rPr>
          <w:rFonts w:hint="default"/>
        </w:rPr>
      </w:lvl>
    </w:lvlOverride>
    <w:lvlOverride w:ilvl="2">
      <w:lvl w:ilvl="2">
        <w:start w:val="1"/>
        <w:numFmt w:val="lowerRoman"/>
        <w:pStyle w:val="Numberbullet3"/>
        <w:lvlText w:val="%3."/>
        <w:lvlJc w:val="left"/>
        <w:pPr>
          <w:ind w:left="1276" w:hanging="425"/>
        </w:pPr>
        <w:rPr>
          <w:rFonts w:hint="default"/>
        </w:rPr>
      </w:lvl>
    </w:lvlOverride>
    <w:lvlOverride w:ilvl="3">
      <w:lvl w:ilvl="3">
        <w:start w:val="1"/>
        <w:numFmt w:val="none"/>
        <w:lvlText w:val=""/>
        <w:lvlJc w:val="left"/>
        <w:pPr>
          <w:ind w:left="1276" w:hanging="425"/>
        </w:pPr>
        <w:rPr>
          <w:rFonts w:hint="default"/>
        </w:rPr>
      </w:lvl>
    </w:lvlOverride>
    <w:lvlOverride w:ilvl="4">
      <w:lvl w:ilvl="4">
        <w:start w:val="1"/>
        <w:numFmt w:val="none"/>
        <w:lvlText w:val=""/>
        <w:lvlJc w:val="left"/>
        <w:pPr>
          <w:ind w:left="1276" w:hanging="425"/>
        </w:pPr>
        <w:rPr>
          <w:rFonts w:hint="default"/>
        </w:rPr>
      </w:lvl>
    </w:lvlOverride>
    <w:lvlOverride w:ilvl="5">
      <w:lvl w:ilvl="5">
        <w:start w:val="1"/>
        <w:numFmt w:val="none"/>
        <w:lvlText w:val=""/>
        <w:lvlJc w:val="left"/>
        <w:pPr>
          <w:ind w:left="1276" w:hanging="425"/>
        </w:pPr>
        <w:rPr>
          <w:rFonts w:hint="default"/>
        </w:rPr>
      </w:lvl>
    </w:lvlOverride>
    <w:lvlOverride w:ilvl="6">
      <w:lvl w:ilvl="6">
        <w:start w:val="1"/>
        <w:numFmt w:val="none"/>
        <w:lvlText w:val="%7"/>
        <w:lvlJc w:val="left"/>
        <w:pPr>
          <w:ind w:left="1276" w:hanging="425"/>
        </w:pPr>
        <w:rPr>
          <w:rFonts w:hint="default"/>
        </w:rPr>
      </w:lvl>
    </w:lvlOverride>
    <w:lvlOverride w:ilvl="7">
      <w:lvl w:ilvl="7">
        <w:start w:val="1"/>
        <w:numFmt w:val="none"/>
        <w:lvlText w:val=""/>
        <w:lvlJc w:val="left"/>
        <w:pPr>
          <w:ind w:left="1276" w:hanging="425"/>
        </w:pPr>
        <w:rPr>
          <w:rFonts w:hint="default"/>
        </w:rPr>
      </w:lvl>
    </w:lvlOverride>
    <w:lvlOverride w:ilvl="8">
      <w:lvl w:ilvl="8">
        <w:start w:val="1"/>
        <w:numFmt w:val="none"/>
        <w:lvlText w:val=""/>
        <w:lvlJc w:val="left"/>
        <w:pPr>
          <w:ind w:left="1276" w:hanging="425"/>
        </w:pPr>
        <w:rPr>
          <w:rFonts w:hint="default"/>
        </w:rPr>
      </w:lvl>
    </w:lvlOverride>
  </w:num>
  <w:num w:numId="26">
    <w:abstractNumId w:val="5"/>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pStyle w:val="Numberbullet3"/>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27">
    <w:abstractNumId w:val="10"/>
  </w:num>
  <w:num w:numId="28">
    <w:abstractNumId w:val="14"/>
  </w:num>
  <w:num w:numId="29">
    <w:abstractNumId w:val="9"/>
  </w:num>
  <w:num w:numId="30">
    <w:abstractNumId w:val="11"/>
  </w:num>
  <w:num w:numId="31">
    <w:abstractNumId w:val="17"/>
  </w:num>
  <w:num w:numId="32">
    <w:abstractNumId w:val="13"/>
  </w:num>
  <w:num w:numId="33">
    <w:abstractNumId w:val="16"/>
  </w:num>
  <w:num w:numId="34">
    <w:abstractNumId w:val="6"/>
  </w:num>
  <w:num w:numId="35">
    <w:abstractNumId w:val="12"/>
  </w:num>
  <w:num w:numId="36">
    <w:abstractNumId w:val="15"/>
  </w:num>
  <w:num w:numId="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
  </w:num>
  <w:num w:numId="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8"/>
  </w:num>
  <w:num w:numId="4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2F6"/>
    <w:rsid w:val="00002031"/>
    <w:rsid w:val="00004149"/>
    <w:rsid w:val="00004734"/>
    <w:rsid w:val="00006B22"/>
    <w:rsid w:val="0001276A"/>
    <w:rsid w:val="000246AE"/>
    <w:rsid w:val="00025C67"/>
    <w:rsid w:val="00044772"/>
    <w:rsid w:val="0005559E"/>
    <w:rsid w:val="000604D6"/>
    <w:rsid w:val="000734D8"/>
    <w:rsid w:val="00077775"/>
    <w:rsid w:val="00090471"/>
    <w:rsid w:val="00096AA7"/>
    <w:rsid w:val="000A3AED"/>
    <w:rsid w:val="000B3532"/>
    <w:rsid w:val="000B3A75"/>
    <w:rsid w:val="000C00C2"/>
    <w:rsid w:val="000C690F"/>
    <w:rsid w:val="000D1295"/>
    <w:rsid w:val="000D391B"/>
    <w:rsid w:val="000D3D6D"/>
    <w:rsid w:val="000D4FC7"/>
    <w:rsid w:val="000E6196"/>
    <w:rsid w:val="000F4869"/>
    <w:rsid w:val="000F5B42"/>
    <w:rsid w:val="000F6E6F"/>
    <w:rsid w:val="00101E94"/>
    <w:rsid w:val="0010601F"/>
    <w:rsid w:val="0010788A"/>
    <w:rsid w:val="00107A31"/>
    <w:rsid w:val="00110EA5"/>
    <w:rsid w:val="00112F56"/>
    <w:rsid w:val="00125318"/>
    <w:rsid w:val="001305A2"/>
    <w:rsid w:val="00133238"/>
    <w:rsid w:val="00133A1B"/>
    <w:rsid w:val="0014197B"/>
    <w:rsid w:val="001447CD"/>
    <w:rsid w:val="001516B1"/>
    <w:rsid w:val="0015272E"/>
    <w:rsid w:val="00154EBB"/>
    <w:rsid w:val="00156316"/>
    <w:rsid w:val="00161181"/>
    <w:rsid w:val="00162D14"/>
    <w:rsid w:val="00165389"/>
    <w:rsid w:val="0017693F"/>
    <w:rsid w:val="0018110E"/>
    <w:rsid w:val="00181684"/>
    <w:rsid w:val="001843C6"/>
    <w:rsid w:val="001850E0"/>
    <w:rsid w:val="00185FD0"/>
    <w:rsid w:val="00186B57"/>
    <w:rsid w:val="001A2158"/>
    <w:rsid w:val="001A525F"/>
    <w:rsid w:val="001B09F9"/>
    <w:rsid w:val="001B5C90"/>
    <w:rsid w:val="001B6448"/>
    <w:rsid w:val="001C32CD"/>
    <w:rsid w:val="001D2984"/>
    <w:rsid w:val="001E07CF"/>
    <w:rsid w:val="001E223F"/>
    <w:rsid w:val="001E59F1"/>
    <w:rsid w:val="001F2CEE"/>
    <w:rsid w:val="001F49EB"/>
    <w:rsid w:val="001F6CBA"/>
    <w:rsid w:val="00201D4E"/>
    <w:rsid w:val="00203F1E"/>
    <w:rsid w:val="002076C9"/>
    <w:rsid w:val="00220B8A"/>
    <w:rsid w:val="002257F3"/>
    <w:rsid w:val="00233456"/>
    <w:rsid w:val="002339A5"/>
    <w:rsid w:val="00257848"/>
    <w:rsid w:val="0027084A"/>
    <w:rsid w:val="0028583A"/>
    <w:rsid w:val="00286434"/>
    <w:rsid w:val="00286C59"/>
    <w:rsid w:val="00286EF7"/>
    <w:rsid w:val="00291957"/>
    <w:rsid w:val="002942D1"/>
    <w:rsid w:val="0029501A"/>
    <w:rsid w:val="002A3721"/>
    <w:rsid w:val="002B1638"/>
    <w:rsid w:val="002B3624"/>
    <w:rsid w:val="002D0952"/>
    <w:rsid w:val="002E40B3"/>
    <w:rsid w:val="002E4C9A"/>
    <w:rsid w:val="002F11F8"/>
    <w:rsid w:val="002F3F56"/>
    <w:rsid w:val="002F44B5"/>
    <w:rsid w:val="00306F92"/>
    <w:rsid w:val="00311AC0"/>
    <w:rsid w:val="003176FC"/>
    <w:rsid w:val="0032583B"/>
    <w:rsid w:val="00327883"/>
    <w:rsid w:val="0033190A"/>
    <w:rsid w:val="00335504"/>
    <w:rsid w:val="00340C18"/>
    <w:rsid w:val="003442FD"/>
    <w:rsid w:val="00347824"/>
    <w:rsid w:val="00350567"/>
    <w:rsid w:val="003521E8"/>
    <w:rsid w:val="00364895"/>
    <w:rsid w:val="00370CE3"/>
    <w:rsid w:val="003728F3"/>
    <w:rsid w:val="0037496E"/>
    <w:rsid w:val="00383221"/>
    <w:rsid w:val="00386150"/>
    <w:rsid w:val="003874CE"/>
    <w:rsid w:val="00390900"/>
    <w:rsid w:val="003A0511"/>
    <w:rsid w:val="003A7F6C"/>
    <w:rsid w:val="003B4D60"/>
    <w:rsid w:val="003B7E39"/>
    <w:rsid w:val="003C58DC"/>
    <w:rsid w:val="003D1E62"/>
    <w:rsid w:val="003E0B99"/>
    <w:rsid w:val="003E2486"/>
    <w:rsid w:val="003E3208"/>
    <w:rsid w:val="003F0B04"/>
    <w:rsid w:val="0040134E"/>
    <w:rsid w:val="00407E36"/>
    <w:rsid w:val="00412D45"/>
    <w:rsid w:val="0041540F"/>
    <w:rsid w:val="004274CF"/>
    <w:rsid w:val="004334C7"/>
    <w:rsid w:val="00440A2D"/>
    <w:rsid w:val="00441C3F"/>
    <w:rsid w:val="004564A7"/>
    <w:rsid w:val="004617BF"/>
    <w:rsid w:val="00463658"/>
    <w:rsid w:val="004637A0"/>
    <w:rsid w:val="004722CC"/>
    <w:rsid w:val="004936E4"/>
    <w:rsid w:val="004945DB"/>
    <w:rsid w:val="00494E60"/>
    <w:rsid w:val="00497487"/>
    <w:rsid w:val="004A6189"/>
    <w:rsid w:val="004A7390"/>
    <w:rsid w:val="004B7B76"/>
    <w:rsid w:val="004C239D"/>
    <w:rsid w:val="004C2DCA"/>
    <w:rsid w:val="004C61D2"/>
    <w:rsid w:val="004E27F7"/>
    <w:rsid w:val="004F0C4A"/>
    <w:rsid w:val="004F0F38"/>
    <w:rsid w:val="004F47D6"/>
    <w:rsid w:val="00501921"/>
    <w:rsid w:val="00530354"/>
    <w:rsid w:val="00531672"/>
    <w:rsid w:val="0053625B"/>
    <w:rsid w:val="005434C6"/>
    <w:rsid w:val="00543B39"/>
    <w:rsid w:val="00546154"/>
    <w:rsid w:val="00550096"/>
    <w:rsid w:val="00555280"/>
    <w:rsid w:val="00557FF9"/>
    <w:rsid w:val="00562327"/>
    <w:rsid w:val="005711D5"/>
    <w:rsid w:val="00576378"/>
    <w:rsid w:val="00577130"/>
    <w:rsid w:val="00577945"/>
    <w:rsid w:val="00577E38"/>
    <w:rsid w:val="00585322"/>
    <w:rsid w:val="005857C6"/>
    <w:rsid w:val="00592F6E"/>
    <w:rsid w:val="00593AD1"/>
    <w:rsid w:val="005A68B6"/>
    <w:rsid w:val="005C5570"/>
    <w:rsid w:val="005C79A4"/>
    <w:rsid w:val="005D5442"/>
    <w:rsid w:val="00603F32"/>
    <w:rsid w:val="00605AD4"/>
    <w:rsid w:val="006136D7"/>
    <w:rsid w:val="00625A6E"/>
    <w:rsid w:val="00630037"/>
    <w:rsid w:val="00632398"/>
    <w:rsid w:val="00640FC3"/>
    <w:rsid w:val="00642020"/>
    <w:rsid w:val="00645808"/>
    <w:rsid w:val="0065337B"/>
    <w:rsid w:val="0065419D"/>
    <w:rsid w:val="006604D8"/>
    <w:rsid w:val="00664A5B"/>
    <w:rsid w:val="0066735C"/>
    <w:rsid w:val="006763D2"/>
    <w:rsid w:val="00680C08"/>
    <w:rsid w:val="006916A0"/>
    <w:rsid w:val="006931B1"/>
    <w:rsid w:val="006A15C0"/>
    <w:rsid w:val="006C3E2A"/>
    <w:rsid w:val="006C642F"/>
    <w:rsid w:val="006D03E5"/>
    <w:rsid w:val="006D5D3E"/>
    <w:rsid w:val="006E08B3"/>
    <w:rsid w:val="006F17AC"/>
    <w:rsid w:val="006F25B8"/>
    <w:rsid w:val="006F572E"/>
    <w:rsid w:val="007046D6"/>
    <w:rsid w:val="00705DB0"/>
    <w:rsid w:val="00722B57"/>
    <w:rsid w:val="00730F8A"/>
    <w:rsid w:val="007319E1"/>
    <w:rsid w:val="00733EBB"/>
    <w:rsid w:val="00735A8C"/>
    <w:rsid w:val="00736FE1"/>
    <w:rsid w:val="0074253D"/>
    <w:rsid w:val="0074429B"/>
    <w:rsid w:val="00745E61"/>
    <w:rsid w:val="007615BC"/>
    <w:rsid w:val="00762F05"/>
    <w:rsid w:val="007652FF"/>
    <w:rsid w:val="00770CAC"/>
    <w:rsid w:val="00770EF1"/>
    <w:rsid w:val="00773EF7"/>
    <w:rsid w:val="00774E1D"/>
    <w:rsid w:val="007765D8"/>
    <w:rsid w:val="0077675A"/>
    <w:rsid w:val="00777FB3"/>
    <w:rsid w:val="00780355"/>
    <w:rsid w:val="007819FD"/>
    <w:rsid w:val="00785717"/>
    <w:rsid w:val="00785721"/>
    <w:rsid w:val="00793A59"/>
    <w:rsid w:val="007B6132"/>
    <w:rsid w:val="007B6E9F"/>
    <w:rsid w:val="007C047F"/>
    <w:rsid w:val="007C1216"/>
    <w:rsid w:val="007C1AF7"/>
    <w:rsid w:val="007C6B9B"/>
    <w:rsid w:val="00805D27"/>
    <w:rsid w:val="00806DCB"/>
    <w:rsid w:val="00821776"/>
    <w:rsid w:val="008321F5"/>
    <w:rsid w:val="00832369"/>
    <w:rsid w:val="00834660"/>
    <w:rsid w:val="00836BC2"/>
    <w:rsid w:val="0085156D"/>
    <w:rsid w:val="0085641B"/>
    <w:rsid w:val="00857136"/>
    <w:rsid w:val="00866B06"/>
    <w:rsid w:val="00875A6B"/>
    <w:rsid w:val="00885B11"/>
    <w:rsid w:val="00886D15"/>
    <w:rsid w:val="00887DD8"/>
    <w:rsid w:val="00891BA9"/>
    <w:rsid w:val="00896018"/>
    <w:rsid w:val="008960DD"/>
    <w:rsid w:val="0089635C"/>
    <w:rsid w:val="008A2B9D"/>
    <w:rsid w:val="008A3D9F"/>
    <w:rsid w:val="008A5E0B"/>
    <w:rsid w:val="008A6D59"/>
    <w:rsid w:val="008B4B03"/>
    <w:rsid w:val="008B596F"/>
    <w:rsid w:val="008C159F"/>
    <w:rsid w:val="008C1623"/>
    <w:rsid w:val="008C1850"/>
    <w:rsid w:val="008C51A9"/>
    <w:rsid w:val="008E7846"/>
    <w:rsid w:val="008F02E5"/>
    <w:rsid w:val="008F1CCC"/>
    <w:rsid w:val="008F2967"/>
    <w:rsid w:val="008F6943"/>
    <w:rsid w:val="00902A21"/>
    <w:rsid w:val="00920330"/>
    <w:rsid w:val="009219D7"/>
    <w:rsid w:val="00922D53"/>
    <w:rsid w:val="00923B70"/>
    <w:rsid w:val="00924482"/>
    <w:rsid w:val="00930237"/>
    <w:rsid w:val="00937C17"/>
    <w:rsid w:val="00940A89"/>
    <w:rsid w:val="00946EA5"/>
    <w:rsid w:val="00953A39"/>
    <w:rsid w:val="00963C08"/>
    <w:rsid w:val="009752A5"/>
    <w:rsid w:val="0098585A"/>
    <w:rsid w:val="009A4CED"/>
    <w:rsid w:val="009A690D"/>
    <w:rsid w:val="009B1D12"/>
    <w:rsid w:val="009B416B"/>
    <w:rsid w:val="009C4BD5"/>
    <w:rsid w:val="009D7B77"/>
    <w:rsid w:val="009E0BB0"/>
    <w:rsid w:val="009E3FBB"/>
    <w:rsid w:val="009F7353"/>
    <w:rsid w:val="00A04F85"/>
    <w:rsid w:val="00A05FA4"/>
    <w:rsid w:val="00A102E4"/>
    <w:rsid w:val="00A12C42"/>
    <w:rsid w:val="00A14DF7"/>
    <w:rsid w:val="00A3246D"/>
    <w:rsid w:val="00A36FA7"/>
    <w:rsid w:val="00A44DDB"/>
    <w:rsid w:val="00A475B7"/>
    <w:rsid w:val="00A47AF7"/>
    <w:rsid w:val="00A47C3E"/>
    <w:rsid w:val="00A50226"/>
    <w:rsid w:val="00A60BAD"/>
    <w:rsid w:val="00A80B5B"/>
    <w:rsid w:val="00A81142"/>
    <w:rsid w:val="00A84E36"/>
    <w:rsid w:val="00A964D1"/>
    <w:rsid w:val="00AA0ED0"/>
    <w:rsid w:val="00AC2B40"/>
    <w:rsid w:val="00AC2BB2"/>
    <w:rsid w:val="00AC2C3C"/>
    <w:rsid w:val="00AC512D"/>
    <w:rsid w:val="00AD0083"/>
    <w:rsid w:val="00AD3935"/>
    <w:rsid w:val="00AD3EF5"/>
    <w:rsid w:val="00AE65EB"/>
    <w:rsid w:val="00AE67A7"/>
    <w:rsid w:val="00AF1D94"/>
    <w:rsid w:val="00AF5EEA"/>
    <w:rsid w:val="00AF60C5"/>
    <w:rsid w:val="00B009C6"/>
    <w:rsid w:val="00B01548"/>
    <w:rsid w:val="00B13EBD"/>
    <w:rsid w:val="00B2192C"/>
    <w:rsid w:val="00B21D29"/>
    <w:rsid w:val="00B25034"/>
    <w:rsid w:val="00B33588"/>
    <w:rsid w:val="00B33863"/>
    <w:rsid w:val="00B37D17"/>
    <w:rsid w:val="00B4175E"/>
    <w:rsid w:val="00B452CE"/>
    <w:rsid w:val="00B54C25"/>
    <w:rsid w:val="00B76B91"/>
    <w:rsid w:val="00B77EB1"/>
    <w:rsid w:val="00B81187"/>
    <w:rsid w:val="00B811C6"/>
    <w:rsid w:val="00B855B0"/>
    <w:rsid w:val="00B92E08"/>
    <w:rsid w:val="00B96E1C"/>
    <w:rsid w:val="00BA5FC6"/>
    <w:rsid w:val="00BC1A73"/>
    <w:rsid w:val="00BC622A"/>
    <w:rsid w:val="00BD42F6"/>
    <w:rsid w:val="00BE0A78"/>
    <w:rsid w:val="00BE79F0"/>
    <w:rsid w:val="00BF046D"/>
    <w:rsid w:val="00BF1190"/>
    <w:rsid w:val="00BF5D04"/>
    <w:rsid w:val="00C009AA"/>
    <w:rsid w:val="00C1164D"/>
    <w:rsid w:val="00C16861"/>
    <w:rsid w:val="00C174FF"/>
    <w:rsid w:val="00C346AB"/>
    <w:rsid w:val="00C404A6"/>
    <w:rsid w:val="00C40A36"/>
    <w:rsid w:val="00C44419"/>
    <w:rsid w:val="00C45E7B"/>
    <w:rsid w:val="00C471B1"/>
    <w:rsid w:val="00C6316B"/>
    <w:rsid w:val="00C634A9"/>
    <w:rsid w:val="00C64586"/>
    <w:rsid w:val="00C70D53"/>
    <w:rsid w:val="00C73D0B"/>
    <w:rsid w:val="00C772FF"/>
    <w:rsid w:val="00C80137"/>
    <w:rsid w:val="00C801AF"/>
    <w:rsid w:val="00C80256"/>
    <w:rsid w:val="00C93946"/>
    <w:rsid w:val="00C94CD4"/>
    <w:rsid w:val="00C9747E"/>
    <w:rsid w:val="00CA5936"/>
    <w:rsid w:val="00CB5967"/>
    <w:rsid w:val="00CB6BC0"/>
    <w:rsid w:val="00CC1B7C"/>
    <w:rsid w:val="00CC727F"/>
    <w:rsid w:val="00CD0AC6"/>
    <w:rsid w:val="00CE7F35"/>
    <w:rsid w:val="00CF15C3"/>
    <w:rsid w:val="00CF2B6F"/>
    <w:rsid w:val="00CF2F3E"/>
    <w:rsid w:val="00CF58B6"/>
    <w:rsid w:val="00CF6DB0"/>
    <w:rsid w:val="00D0062D"/>
    <w:rsid w:val="00D017ED"/>
    <w:rsid w:val="00D040D3"/>
    <w:rsid w:val="00D04C65"/>
    <w:rsid w:val="00D10A1B"/>
    <w:rsid w:val="00D201D2"/>
    <w:rsid w:val="00D224FE"/>
    <w:rsid w:val="00D23139"/>
    <w:rsid w:val="00D425BB"/>
    <w:rsid w:val="00D6493E"/>
    <w:rsid w:val="00D65845"/>
    <w:rsid w:val="00D70C58"/>
    <w:rsid w:val="00D711C6"/>
    <w:rsid w:val="00D7195D"/>
    <w:rsid w:val="00D7301E"/>
    <w:rsid w:val="00D83AE1"/>
    <w:rsid w:val="00D855D4"/>
    <w:rsid w:val="00D902C9"/>
    <w:rsid w:val="00D93466"/>
    <w:rsid w:val="00DA1124"/>
    <w:rsid w:val="00DB6124"/>
    <w:rsid w:val="00DB750B"/>
    <w:rsid w:val="00DB75B7"/>
    <w:rsid w:val="00DC6E02"/>
    <w:rsid w:val="00DD28CD"/>
    <w:rsid w:val="00DE02AE"/>
    <w:rsid w:val="00DE3BA0"/>
    <w:rsid w:val="00DF1D7F"/>
    <w:rsid w:val="00DF4BE4"/>
    <w:rsid w:val="00E02FB4"/>
    <w:rsid w:val="00E0459F"/>
    <w:rsid w:val="00E07CB6"/>
    <w:rsid w:val="00E13FC7"/>
    <w:rsid w:val="00E20571"/>
    <w:rsid w:val="00E235F7"/>
    <w:rsid w:val="00E23659"/>
    <w:rsid w:val="00E239D4"/>
    <w:rsid w:val="00E26130"/>
    <w:rsid w:val="00E40B22"/>
    <w:rsid w:val="00E44ED1"/>
    <w:rsid w:val="00E45619"/>
    <w:rsid w:val="00E4588F"/>
    <w:rsid w:val="00E46DA3"/>
    <w:rsid w:val="00E51BB1"/>
    <w:rsid w:val="00E624A5"/>
    <w:rsid w:val="00E64BA4"/>
    <w:rsid w:val="00E7344E"/>
    <w:rsid w:val="00E82665"/>
    <w:rsid w:val="00EB0798"/>
    <w:rsid w:val="00EB40AD"/>
    <w:rsid w:val="00EB586E"/>
    <w:rsid w:val="00EB5FC8"/>
    <w:rsid w:val="00EC463D"/>
    <w:rsid w:val="00EC7A85"/>
    <w:rsid w:val="00ED2922"/>
    <w:rsid w:val="00ED3CAD"/>
    <w:rsid w:val="00ED5A41"/>
    <w:rsid w:val="00EE1DE8"/>
    <w:rsid w:val="00EE27C2"/>
    <w:rsid w:val="00EF4BAD"/>
    <w:rsid w:val="00EF59DC"/>
    <w:rsid w:val="00F033EC"/>
    <w:rsid w:val="00F04F68"/>
    <w:rsid w:val="00F12670"/>
    <w:rsid w:val="00F14B27"/>
    <w:rsid w:val="00F3148D"/>
    <w:rsid w:val="00F325C5"/>
    <w:rsid w:val="00F32FE0"/>
    <w:rsid w:val="00F35298"/>
    <w:rsid w:val="00F47333"/>
    <w:rsid w:val="00F47E37"/>
    <w:rsid w:val="00F53C07"/>
    <w:rsid w:val="00F54B65"/>
    <w:rsid w:val="00F640B6"/>
    <w:rsid w:val="00F66DF2"/>
    <w:rsid w:val="00F80E40"/>
    <w:rsid w:val="00F848D9"/>
    <w:rsid w:val="00FA14AA"/>
    <w:rsid w:val="00FA5B82"/>
    <w:rsid w:val="00FA639E"/>
    <w:rsid w:val="00FC1FCA"/>
    <w:rsid w:val="00FC25E4"/>
    <w:rsid w:val="00FC4250"/>
    <w:rsid w:val="00FC4EF7"/>
    <w:rsid w:val="00FD0824"/>
    <w:rsid w:val="00FD119B"/>
    <w:rsid w:val="00FD1EDC"/>
    <w:rsid w:val="00FE1DEE"/>
    <w:rsid w:val="00FF2126"/>
    <w:rsid w:val="00FF5755"/>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semiHidden="0" w:unhideWhenUsed="0"/>
    <w:lsdException w:name="footer" w:semiHidden="0" w:unhideWhenUsed="0"/>
    <w:lsdException w:name="caption" w:semiHidden="0" w:uiPriority="35" w:unhideWhenUsed="0"/>
    <w:lsdException w:name="footnote reference" w:uiPriority="0"/>
    <w:lsdException w:name="List Bullet" w:semiHidden="0" w:uiPriority="2" w:unhideWhenUsed="0" w:qFormat="1"/>
    <w:lsdException w:name="List Bullet 2" w:semiHidden="0" w:uiPriority="2" w:unhideWhenUsed="0" w:qFormat="1"/>
    <w:lsdException w:name="List Bullet 3" w:uiPriority="2" w:qFormat="1"/>
    <w:lsdException w:name="Title" w:semiHidden="0" w:uiPriority="10" w:unhideWhenUsed="0"/>
    <w:lsdException w:name="Default Paragraph Font" w:uiPriority="1"/>
    <w:lsdException w:name="Subtitle" w:semiHidden="0" w:uiPriority="11" w:unhideWhenUsed="0"/>
    <w:lsdException w:name="Date" w:semiHidden="0" w:unhideWhenUsed="0"/>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uiPriority w:val="1"/>
    <w:qFormat/>
    <w:rsid w:val="004E27F7"/>
    <w:pPr>
      <w:spacing w:before="120" w:after="120" w:line="240" w:lineRule="atLeast"/>
    </w:pPr>
    <w:rPr>
      <w:rFonts w:ascii="Cambria" w:eastAsia="Cambria" w:hAnsi="Cambria" w:cs="Times New Roman"/>
    </w:rPr>
  </w:style>
  <w:style w:type="paragraph" w:styleId="Heading1">
    <w:name w:val="heading 1"/>
    <w:basedOn w:val="Heading2"/>
    <w:next w:val="Normal"/>
    <w:link w:val="Heading1Char"/>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rsid w:val="004722CC"/>
    <w:pPr>
      <w:keepNext/>
      <w:keepLines/>
      <w:spacing w:before="480"/>
      <w:outlineLvl w:val="1"/>
    </w:pPr>
    <w:rPr>
      <w:rFonts w:ascii="Arial" w:eastAsia="Times New Roman" w:hAnsi="Arial"/>
      <w:b/>
      <w:bCs/>
      <w:sz w:val="32"/>
      <w:szCs w:val="26"/>
    </w:rPr>
  </w:style>
  <w:style w:type="paragraph" w:styleId="Heading3">
    <w:name w:val="heading 3"/>
    <w:basedOn w:val="Normal"/>
    <w:next w:val="Normal"/>
    <w:link w:val="Heading3Char"/>
    <w:qFormat/>
    <w:rsid w:val="00EF59DC"/>
    <w:pPr>
      <w:keepNext/>
      <w:keepLines/>
      <w:spacing w:before="480" w:after="0" w:line="220" w:lineRule="atLeast"/>
      <w:outlineLvl w:val="2"/>
    </w:pPr>
    <w:rPr>
      <w:rFonts w:ascii="Arial" w:eastAsia="Times New Roman" w:hAnsi="Arial"/>
      <w:b/>
      <w:bCs/>
      <w:sz w:val="26"/>
      <w:szCs w:val="21"/>
    </w:rPr>
  </w:style>
  <w:style w:type="paragraph" w:styleId="Heading4">
    <w:name w:val="heading 4"/>
    <w:basedOn w:val="Normal"/>
    <w:next w:val="Normal"/>
    <w:link w:val="Heading4Char"/>
    <w:qFormat/>
    <w:rsid w:val="00AD0083"/>
    <w:pPr>
      <w:keepNext/>
      <w:spacing w:before="360" w:after="0" w:line="220" w:lineRule="atLeast"/>
      <w:outlineLvl w:val="3"/>
    </w:pPr>
    <w:rPr>
      <w:b/>
      <w:bCs/>
      <w:szCs w:val="21"/>
    </w:rPr>
  </w:style>
  <w:style w:type="paragraph" w:styleId="Heading5">
    <w:name w:val="heading 5"/>
    <w:basedOn w:val="Normal"/>
    <w:next w:val="Normal"/>
    <w:link w:val="Heading5Char"/>
    <w:qFormat/>
    <w:rsid w:val="004722CC"/>
    <w:pPr>
      <w:keepNext/>
      <w:keepLines/>
      <w:spacing w:line="220" w:lineRule="atLeast"/>
      <w:outlineLvl w:val="4"/>
    </w:pPr>
    <w:rPr>
      <w:rFonts w:eastAsia="Times New Roman"/>
      <w:b/>
      <w:bCs/>
      <w:i/>
      <w:color w:val="001523"/>
      <w:szCs w:val="21"/>
    </w:rPr>
  </w:style>
  <w:style w:type="paragraph" w:styleId="Heading6">
    <w:name w:val="heading 6"/>
    <w:basedOn w:val="Normal"/>
    <w:next w:val="Normal"/>
    <w:link w:val="Heading6Char"/>
    <w:uiPriority w:val="9"/>
    <w:rsid w:val="00577130"/>
    <w:pPr>
      <w:keepNext/>
      <w:spacing w:line="220" w:lineRule="atLeast"/>
      <w:outlineLvl w:val="5"/>
    </w:pPr>
    <w:rPr>
      <w:rFonts w:eastAsia="Times New Roman"/>
      <w:bCs/>
      <w:i/>
      <w:szCs w:val="21"/>
    </w:rPr>
  </w:style>
  <w:style w:type="paragraph" w:styleId="Heading7">
    <w:name w:val="heading 7"/>
    <w:basedOn w:val="Normal"/>
    <w:next w:val="Normal"/>
    <w:link w:val="Heading7Char"/>
    <w:uiPriority w:val="9"/>
    <w:rsid w:val="00770CAC"/>
    <w:pPr>
      <w:keepNext/>
      <w:spacing w:after="60" w:line="180" w:lineRule="atLeast"/>
      <w:outlineLvl w:val="6"/>
    </w:pPr>
    <w:rPr>
      <w:rFonts w:eastAsia="Times New Roman"/>
      <w:bCs/>
      <w:sz w:val="20"/>
      <w:szCs w:val="24"/>
    </w:rPr>
  </w:style>
  <w:style w:type="paragraph" w:styleId="Heading8">
    <w:name w:val="heading 8"/>
    <w:basedOn w:val="Normal"/>
    <w:next w:val="Normal"/>
    <w:link w:val="Heading8Char"/>
    <w:uiPriority w:val="9"/>
    <w:semiHidden/>
    <w:unhideWhenUsed/>
    <w:qFormat/>
    <w:rsid w:val="00733EBB"/>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rPr>
  </w:style>
  <w:style w:type="character" w:customStyle="1" w:styleId="Heading2Char">
    <w:name w:val="Heading 2 Char"/>
    <w:basedOn w:val="DefaultParagraphFont"/>
    <w:link w:val="Heading2"/>
    <w:rsid w:val="00AD3935"/>
    <w:rPr>
      <w:rFonts w:ascii="Arial" w:eastAsia="Times New Roman" w:hAnsi="Arial" w:cs="Times New Roman"/>
      <w:b/>
      <w:bCs/>
      <w:sz w:val="32"/>
      <w:szCs w:val="26"/>
    </w:rPr>
  </w:style>
  <w:style w:type="character" w:customStyle="1" w:styleId="Heading3Char">
    <w:name w:val="Heading 3 Char"/>
    <w:basedOn w:val="DefaultParagraphFont"/>
    <w:link w:val="Heading3"/>
    <w:rsid w:val="00EF59DC"/>
    <w:rPr>
      <w:rFonts w:ascii="Arial" w:eastAsia="Times New Roman" w:hAnsi="Arial" w:cs="Times New Roman"/>
      <w:b/>
      <w:bCs/>
      <w:sz w:val="26"/>
      <w:szCs w:val="21"/>
    </w:rPr>
  </w:style>
  <w:style w:type="paragraph" w:customStyle="1" w:styleId="Address">
    <w:name w:val="Address"/>
    <w:basedOn w:val="Normal"/>
    <w:rsid w:val="00E45619"/>
    <w:pPr>
      <w:spacing w:before="0" w:after="0" w:line="280" w:lineRule="atLeast"/>
      <w:jc w:val="center"/>
    </w:pPr>
  </w:style>
  <w:style w:type="paragraph" w:customStyle="1" w:styleId="AxisLabel">
    <w:name w:val="Axis Label"/>
    <w:basedOn w:val="Normal"/>
    <w:rsid w:val="00F3148D"/>
    <w:pPr>
      <w:spacing w:after="0" w:line="240" w:lineRule="auto"/>
    </w:pPr>
    <w:rPr>
      <w:rFonts w:ascii="Arial" w:hAnsi="Arial"/>
      <w:noProof/>
      <w:sz w:val="14"/>
      <w:lang w:eastAsia="en-AU"/>
    </w:rPr>
  </w:style>
  <w:style w:type="paragraph" w:customStyle="1" w:styleId="AxisTitle">
    <w:name w:val="Axis Title"/>
    <w:basedOn w:val="Normal"/>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uiPriority w:val="35"/>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F3148D"/>
    <w:pPr>
      <w:spacing w:after="0"/>
    </w:pPr>
    <w:rPr>
      <w:rFonts w:ascii="Arial" w:hAnsi="Arial"/>
      <w:sz w:val="28"/>
    </w:rPr>
  </w:style>
  <w:style w:type="character" w:customStyle="1" w:styleId="DateChar">
    <w:name w:val="Date Char"/>
    <w:basedOn w:val="DefaultParagraphFont"/>
    <w:link w:val="Date"/>
    <w:uiPriority w:val="99"/>
    <w:rsid w:val="00F3148D"/>
    <w:rPr>
      <w:rFonts w:ascii="Arial" w:hAnsi="Arial"/>
      <w:sz w:val="28"/>
    </w:rPr>
  </w:style>
  <w:style w:type="paragraph" w:customStyle="1" w:styleId="FigureDescription">
    <w:name w:val="Figure Description"/>
    <w:basedOn w:val="Normal"/>
    <w:rsid w:val="003D1E62"/>
    <w:pPr>
      <w:spacing w:after="0"/>
    </w:pPr>
    <w:rPr>
      <w:sz w:val="19"/>
    </w:rPr>
  </w:style>
  <w:style w:type="paragraph" w:customStyle="1" w:styleId="FigureTitle">
    <w:name w:val="Figure Title"/>
    <w:basedOn w:val="Normal"/>
    <w:rsid w:val="001B5C90"/>
    <w:pPr>
      <w:keepNext/>
      <w:spacing w:line="220" w:lineRule="atLeast"/>
    </w:pPr>
    <w:rPr>
      <w:b/>
    </w:rPr>
  </w:style>
  <w:style w:type="character" w:customStyle="1" w:styleId="Heading4Char">
    <w:name w:val="Heading 4 Char"/>
    <w:basedOn w:val="DefaultParagraphFont"/>
    <w:link w:val="Heading4"/>
    <w:rsid w:val="00AD3935"/>
    <w:rPr>
      <w:rFonts w:ascii="Cambria" w:eastAsia="Cambria" w:hAnsi="Cambria" w:cs="Times New Roman"/>
      <w:b/>
      <w:bCs/>
      <w:szCs w:val="21"/>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3B4D60"/>
    <w:rPr>
      <w:rFonts w:ascii="Cambria" w:eastAsia="Cambria" w:hAnsi="Cambria" w:cs="Times New Roman"/>
      <w:sz w:val="17"/>
    </w:rPr>
  </w:style>
  <w:style w:type="paragraph" w:styleId="Header">
    <w:name w:val="header"/>
    <w:basedOn w:val="Normal"/>
    <w:link w:val="HeaderChar"/>
    <w:uiPriority w:val="99"/>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uiPriority w:val="99"/>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rsid w:val="00AD3935"/>
    <w:rPr>
      <w:rFonts w:ascii="Cambria" w:eastAsia="Times New Roman" w:hAnsi="Cambria" w:cs="Times New Roman"/>
      <w:b/>
      <w:bCs/>
      <w:i/>
      <w:color w:val="001523"/>
      <w:szCs w:val="21"/>
    </w:rPr>
  </w:style>
  <w:style w:type="character" w:customStyle="1" w:styleId="Heading6Char">
    <w:name w:val="Heading 6 Char"/>
    <w:basedOn w:val="DefaultParagraphFont"/>
    <w:link w:val="Heading6"/>
    <w:uiPriority w:val="9"/>
    <w:rsid w:val="00577130"/>
    <w:rPr>
      <w:rFonts w:ascii="Cambria" w:eastAsia="Times New Roman" w:hAnsi="Cambria" w:cs="Times New Roman"/>
      <w:bCs/>
      <w:i/>
      <w:szCs w:val="21"/>
    </w:rPr>
  </w:style>
  <w:style w:type="character" w:customStyle="1" w:styleId="Heading7Char">
    <w:name w:val="Heading 7 Char"/>
    <w:basedOn w:val="DefaultParagraphFont"/>
    <w:link w:val="Heading7"/>
    <w:uiPriority w:val="9"/>
    <w:rsid w:val="00770CAC"/>
    <w:rPr>
      <w:rFonts w:ascii="Cambria" w:eastAsia="Times New Roman" w:hAnsi="Cambria" w:cs="Times New Roman"/>
      <w:bCs/>
      <w:sz w:val="20"/>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rsid w:val="00F3148D"/>
    <w:rPr>
      <w:sz w:val="14"/>
    </w:rPr>
  </w:style>
  <w:style w:type="paragraph" w:customStyle="1" w:styleId="LegalCopy">
    <w:name w:val="Legal Copy"/>
    <w:basedOn w:val="Footer"/>
    <w:rsid w:val="00F3148D"/>
  </w:style>
  <w:style w:type="paragraph" w:customStyle="1" w:styleId="LegalSubheading">
    <w:name w:val="Legal Subheading"/>
    <w:basedOn w:val="Footer"/>
    <w:rsid w:val="00F3148D"/>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4C2DCA"/>
    <w:pPr>
      <w:numPr>
        <w:numId w:val="21"/>
      </w:numPr>
    </w:pPr>
  </w:style>
  <w:style w:type="paragraph" w:styleId="ListBullet2">
    <w:name w:val="List Bullet 2"/>
    <w:basedOn w:val="Normal"/>
    <w:uiPriority w:val="2"/>
    <w:qFormat/>
    <w:rsid w:val="004C2DCA"/>
    <w:pPr>
      <w:numPr>
        <w:ilvl w:val="1"/>
        <w:numId w:val="21"/>
      </w:numPr>
    </w:pPr>
  </w:style>
  <w:style w:type="paragraph" w:styleId="ListBullet3">
    <w:name w:val="List Bullet 3"/>
    <w:basedOn w:val="Normal"/>
    <w:uiPriority w:val="2"/>
    <w:qFormat/>
    <w:rsid w:val="004C2DCA"/>
    <w:pPr>
      <w:numPr>
        <w:ilvl w:val="2"/>
        <w:numId w:val="21"/>
      </w:numPr>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rsid w:val="006763D2"/>
    <w:pPr>
      <w:spacing w:before="240"/>
    </w:pPr>
    <w:rPr>
      <w:rFonts w:ascii="Arial" w:hAnsi="Arial"/>
      <w:b/>
      <w:sz w:val="32"/>
    </w:rPr>
  </w:style>
  <w:style w:type="paragraph" w:customStyle="1" w:styleId="Notes">
    <w:name w:val="Notes"/>
    <w:basedOn w:val="Normal"/>
    <w:locked/>
    <w:rsid w:val="00F3148D"/>
    <w:pPr>
      <w:spacing w:after="0" w:line="240" w:lineRule="auto"/>
    </w:pPr>
    <w:rPr>
      <w:rFonts w:ascii="Arial" w:hAnsi="Arial"/>
      <w:sz w:val="16"/>
    </w:rPr>
  </w:style>
  <w:style w:type="paragraph" w:customStyle="1" w:styleId="Numberbullet0">
    <w:name w:val="Number bullet"/>
    <w:basedOn w:val="ListBullet"/>
    <w:qFormat/>
    <w:rsid w:val="004C2DCA"/>
    <w:pPr>
      <w:numPr>
        <w:numId w:val="24"/>
      </w:numPr>
    </w:pPr>
  </w:style>
  <w:style w:type="paragraph" w:customStyle="1" w:styleId="Numberbullet2">
    <w:name w:val="Number bullet 2"/>
    <w:basedOn w:val="ListBullet2"/>
    <w:qFormat/>
    <w:rsid w:val="004C2DCA"/>
    <w:pPr>
      <w:numPr>
        <w:numId w:val="24"/>
      </w:numPr>
    </w:pPr>
  </w:style>
  <w:style w:type="paragraph" w:customStyle="1" w:styleId="Numberbullet3">
    <w:name w:val="Number bullet 3"/>
    <w:basedOn w:val="ListBullet3"/>
    <w:qFormat/>
    <w:rsid w:val="004C2DCA"/>
    <w:pPr>
      <w:numPr>
        <w:numId w:val="24"/>
      </w:numPr>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rsid w:val="008A5E0B"/>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rsid w:val="00F3148D"/>
    <w:rPr>
      <w:rFonts w:ascii="Arial" w:eastAsia="Times New Roman" w:hAnsi="Arial" w:cs="Times New Roman"/>
      <w:bCs/>
      <w:iCs/>
      <w:sz w:val="40"/>
      <w:szCs w:val="24"/>
    </w:rPr>
  </w:style>
  <w:style w:type="paragraph" w:customStyle="1" w:styleId="TableDescription">
    <w:name w:val="Table Description"/>
    <w:basedOn w:val="FigureDescription"/>
    <w:rsid w:val="001B5C90"/>
    <w:pPr>
      <w:spacing w:before="0" w:line="240" w:lineRule="auto"/>
    </w:pPr>
    <w:rPr>
      <w:szCs w:val="19"/>
    </w:rPr>
  </w:style>
  <w:style w:type="table" w:styleId="TableGrid">
    <w:name w:val="Table Grid"/>
    <w:basedOn w:val="TableNormal"/>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rsid w:val="00F3148D"/>
    <w:rPr>
      <w:sz w:val="19"/>
    </w:rPr>
  </w:style>
  <w:style w:type="table" w:customStyle="1" w:styleId="TableTGAblue">
    <w:name w:val="Table TGA blue"/>
    <w:basedOn w:val="TableNormal"/>
    <w:uiPriority w:val="99"/>
    <w:qFormat/>
    <w:rsid w:val="00FD119B"/>
    <w:pPr>
      <w:spacing w:after="0" w:line="240" w:lineRule="auto"/>
      <w:ind w:left="170" w:right="170"/>
    </w:pPr>
    <w:rPr>
      <w:rFonts w:ascii="Cambria" w:hAnsi="Cambria" w:cs="Times New Roman"/>
      <w:color w:val="000000" w:themeColor="text1"/>
      <w:szCs w:val="21"/>
      <w:lang w:eastAsia="en-AU"/>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keepNext/>
        <w:wordWrap/>
      </w:pPr>
      <w:rPr>
        <w:rFonts w:ascii="Cambria" w:hAnsi="Cambria"/>
        <w:b/>
        <w:color w:val="FFFFFF" w:themeColor="background1"/>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EE1DE8"/>
    <w:pPr>
      <w:spacing w:before="60" w:after="0" w:line="240" w:lineRule="auto"/>
      <w:ind w:left="170" w:right="170"/>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rsid w:val="002E40B3"/>
    <w:pPr>
      <w:keepNext/>
    </w:pPr>
    <w:rPr>
      <w:b/>
    </w:rPr>
  </w:style>
  <w:style w:type="paragraph" w:customStyle="1" w:styleId="TGASignoff">
    <w:name w:val="TGA Signoff"/>
    <w:basedOn w:val="Normal"/>
    <w:rsid w:val="00F3148D"/>
    <w:pPr>
      <w:jc w:val="center"/>
    </w:pPr>
    <w:rPr>
      <w:rFonts w:ascii="Arial" w:hAnsi="Arial"/>
      <w:b/>
      <w:sz w:val="28"/>
    </w:rPr>
  </w:style>
  <w:style w:type="paragraph" w:styleId="Title">
    <w:name w:val="Title"/>
    <w:next w:val="Normal"/>
    <w:link w:val="TitleChar"/>
    <w:uiPriority w:val="10"/>
    <w:rsid w:val="00F3148D"/>
    <w:pPr>
      <w:spacing w:after="480" w:line="240" w:lineRule="auto"/>
      <w:contextualSpacing/>
    </w:pPr>
    <w:rPr>
      <w:rFonts w:ascii="Arial" w:eastAsia="Times New Roman" w:hAnsi="Arial" w:cs="Times New Roman"/>
      <w:spacing w:val="5"/>
      <w:kern w:val="28"/>
      <w:sz w:val="52"/>
      <w:szCs w:val="52"/>
    </w:rPr>
  </w:style>
  <w:style w:type="character" w:customStyle="1" w:styleId="TitleChar">
    <w:name w:val="Title Char"/>
    <w:basedOn w:val="DefaultParagraphFont"/>
    <w:link w:val="Title"/>
    <w:uiPriority w:val="10"/>
    <w:rsid w:val="00F3148D"/>
    <w:rPr>
      <w:rFonts w:ascii="Arial" w:eastAsia="Times New Roman" w:hAnsi="Arial" w:cs="Times New Roman"/>
      <w:spacing w:val="5"/>
      <w:kern w:val="28"/>
      <w:sz w:val="52"/>
      <w:szCs w:val="52"/>
    </w:rPr>
  </w:style>
  <w:style w:type="paragraph" w:styleId="TOC1">
    <w:name w:val="toc 1"/>
    <w:basedOn w:val="Normal"/>
    <w:next w:val="Normal"/>
    <w:uiPriority w:val="39"/>
    <w:rsid w:val="00F3148D"/>
    <w:pPr>
      <w:tabs>
        <w:tab w:val="right" w:pos="8505"/>
      </w:tabs>
      <w:spacing w:after="200"/>
    </w:pPr>
    <w:rPr>
      <w:rFonts w:ascii="Arial" w:hAnsi="Arial"/>
      <w:b/>
      <w:sz w:val="32"/>
    </w:rPr>
  </w:style>
  <w:style w:type="paragraph" w:styleId="TOC2">
    <w:name w:val="toc 2"/>
    <w:basedOn w:val="Normal"/>
    <w:next w:val="Normal"/>
    <w:uiPriority w:val="39"/>
    <w:rsid w:val="00F3148D"/>
    <w:pPr>
      <w:tabs>
        <w:tab w:val="right" w:leader="underscore" w:pos="8505"/>
      </w:tabs>
      <w:spacing w:after="100"/>
      <w:ind w:left="624"/>
    </w:pPr>
    <w:rPr>
      <w:b/>
      <w:sz w:val="25"/>
    </w:rPr>
  </w:style>
  <w:style w:type="paragraph" w:styleId="TOC3">
    <w:name w:val="toc 3"/>
    <w:basedOn w:val="Normal"/>
    <w:next w:val="Normal"/>
    <w:uiPriority w:val="39"/>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heme="minorBidi"/>
      <w:color w:val="002035"/>
      <w:sz w:val="28"/>
      <w:lang w:val="en-US"/>
    </w:rPr>
  </w:style>
  <w:style w:type="paragraph" w:styleId="FootnoteText">
    <w:name w:val="footnote text"/>
    <w:basedOn w:val="Normal"/>
    <w:link w:val="FootnoteTextChar"/>
    <w:semiHidden/>
    <w:unhideWhenUsed/>
    <w:rsid w:val="001B5C90"/>
    <w:pPr>
      <w:spacing w:before="0" w:after="0" w:line="240" w:lineRule="auto"/>
    </w:pPr>
    <w:rPr>
      <w:sz w:val="18"/>
      <w:szCs w:val="20"/>
    </w:rPr>
  </w:style>
  <w:style w:type="character" w:customStyle="1" w:styleId="FootnoteTextChar">
    <w:name w:val="Footnote Text Char"/>
    <w:basedOn w:val="DefaultParagraphFont"/>
    <w:link w:val="FootnoteText"/>
    <w:semiHidden/>
    <w:rsid w:val="001B5C90"/>
    <w:rPr>
      <w:rFonts w:ascii="Cambria" w:eastAsia="Cambria" w:hAnsi="Cambria" w:cs="Times New Roman"/>
      <w:sz w:val="18"/>
      <w:szCs w:val="20"/>
    </w:rPr>
  </w:style>
  <w:style w:type="character" w:styleId="FootnoteReference">
    <w:name w:val="footnote reference"/>
    <w:basedOn w:val="DefaultParagraphFont"/>
    <w:semiHidden/>
    <w:unhideWhenUsed/>
    <w:rsid w:val="001B5C90"/>
    <w:rPr>
      <w:vertAlign w:val="superscript"/>
    </w:rPr>
  </w:style>
  <w:style w:type="paragraph" w:customStyle="1" w:styleId="Quotation">
    <w:name w:val="Quotation"/>
    <w:basedOn w:val="Normal"/>
    <w:next w:val="Normal"/>
    <w:uiPriority w:val="4"/>
    <w:qFormat/>
    <w:rsid w:val="00E13FC7"/>
    <w:pPr>
      <w:spacing w:after="180"/>
      <w:ind w:left="425"/>
    </w:pPr>
    <w:rPr>
      <w:rFonts w:eastAsiaTheme="minorEastAsia" w:cstheme="minorBidi"/>
      <w:sz w:val="20"/>
      <w:lang w:eastAsia="zh-TW"/>
    </w:rPr>
  </w:style>
  <w:style w:type="paragraph" w:customStyle="1" w:styleId="Comment">
    <w:name w:val="Comment"/>
    <w:basedOn w:val="Normal"/>
    <w:next w:val="Normal"/>
    <w:uiPriority w:val="1"/>
    <w:qFormat/>
    <w:rsid w:val="00DD28CD"/>
    <w:pPr>
      <w:ind w:left="992" w:hanging="992"/>
    </w:pPr>
  </w:style>
  <w:style w:type="paragraph" w:styleId="EndnoteText">
    <w:name w:val="endnote text"/>
    <w:basedOn w:val="Normal"/>
    <w:link w:val="EndnoteTextChar"/>
    <w:uiPriority w:val="99"/>
    <w:semiHidden/>
    <w:unhideWhenUsed/>
    <w:rsid w:val="000E6196"/>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0E6196"/>
    <w:rPr>
      <w:rFonts w:ascii="Cambria" w:eastAsia="Cambria" w:hAnsi="Cambria" w:cs="Times New Roman"/>
      <w:sz w:val="20"/>
      <w:szCs w:val="20"/>
    </w:rPr>
  </w:style>
  <w:style w:type="character" w:styleId="EndnoteReference">
    <w:name w:val="endnote reference"/>
    <w:basedOn w:val="DefaultParagraphFont"/>
    <w:uiPriority w:val="99"/>
    <w:semiHidden/>
    <w:unhideWhenUsed/>
    <w:rsid w:val="000E6196"/>
    <w:rPr>
      <w:vertAlign w:val="superscript"/>
    </w:rPr>
  </w:style>
  <w:style w:type="character" w:styleId="CommentReference">
    <w:name w:val="annotation reference"/>
    <w:basedOn w:val="DefaultParagraphFont"/>
    <w:uiPriority w:val="99"/>
    <w:semiHidden/>
    <w:unhideWhenUsed/>
    <w:rsid w:val="00EC463D"/>
    <w:rPr>
      <w:sz w:val="16"/>
      <w:szCs w:val="16"/>
    </w:rPr>
  </w:style>
  <w:style w:type="paragraph" w:styleId="CommentText">
    <w:name w:val="annotation text"/>
    <w:basedOn w:val="Normal"/>
    <w:link w:val="CommentTextChar"/>
    <w:uiPriority w:val="99"/>
    <w:semiHidden/>
    <w:unhideWhenUsed/>
    <w:rsid w:val="00EC463D"/>
    <w:pPr>
      <w:spacing w:line="240" w:lineRule="auto"/>
    </w:pPr>
    <w:rPr>
      <w:sz w:val="20"/>
      <w:szCs w:val="20"/>
    </w:rPr>
  </w:style>
  <w:style w:type="character" w:customStyle="1" w:styleId="CommentTextChar">
    <w:name w:val="Comment Text Char"/>
    <w:basedOn w:val="DefaultParagraphFont"/>
    <w:link w:val="CommentText"/>
    <w:uiPriority w:val="99"/>
    <w:semiHidden/>
    <w:rsid w:val="00EC463D"/>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EC463D"/>
    <w:rPr>
      <w:b/>
      <w:bCs/>
    </w:rPr>
  </w:style>
  <w:style w:type="character" w:customStyle="1" w:styleId="CommentSubjectChar">
    <w:name w:val="Comment Subject Char"/>
    <w:basedOn w:val="CommentTextChar"/>
    <w:link w:val="CommentSubject"/>
    <w:uiPriority w:val="99"/>
    <w:semiHidden/>
    <w:rsid w:val="00EC463D"/>
    <w:rPr>
      <w:rFonts w:ascii="Cambria" w:eastAsia="Cambria" w:hAnsi="Cambria" w:cs="Times New Roman"/>
      <w:b/>
      <w:bCs/>
      <w:sz w:val="20"/>
      <w:szCs w:val="20"/>
    </w:rPr>
  </w:style>
  <w:style w:type="paragraph" w:styleId="Revision">
    <w:name w:val="Revision"/>
    <w:hidden/>
    <w:uiPriority w:val="99"/>
    <w:semiHidden/>
    <w:rsid w:val="003442FD"/>
    <w:pPr>
      <w:spacing w:after="0" w:line="240" w:lineRule="auto"/>
    </w:pPr>
    <w:rPr>
      <w:rFonts w:ascii="Cambria" w:eastAsia="Cambria" w:hAnsi="Cambria" w:cs="Times New Roman"/>
    </w:rPr>
  </w:style>
  <w:style w:type="paragraph" w:customStyle="1" w:styleId="Instructions">
    <w:name w:val="Instructions"/>
    <w:basedOn w:val="Normal"/>
    <w:next w:val="Normal"/>
    <w:uiPriority w:val="1"/>
    <w:qFormat/>
    <w:rsid w:val="00EE27C2"/>
    <w:rPr>
      <w:i/>
      <w:color w:val="007099"/>
    </w:rPr>
  </w:style>
  <w:style w:type="character" w:customStyle="1" w:styleId="Heading8Char">
    <w:name w:val="Heading 8 Char"/>
    <w:basedOn w:val="DefaultParagraphFont"/>
    <w:link w:val="Heading8"/>
    <w:uiPriority w:val="9"/>
    <w:semiHidden/>
    <w:rsid w:val="00733EBB"/>
    <w:rPr>
      <w:rFonts w:asciiTheme="majorHAnsi" w:eastAsiaTheme="majorEastAsia" w:hAnsiTheme="majorHAnsi" w:cstheme="majorBidi"/>
      <w:color w:val="404040" w:themeColor="text1" w:themeTint="BF"/>
      <w:sz w:val="20"/>
      <w:szCs w:val="20"/>
    </w:rPr>
  </w:style>
  <w:style w:type="paragraph" w:styleId="ListParagraph">
    <w:name w:val="List Paragraph"/>
    <w:basedOn w:val="Normal"/>
    <w:uiPriority w:val="34"/>
    <w:qFormat/>
    <w:rsid w:val="00BA5FC6"/>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ind w:left="720"/>
      <w:contextualSpacing/>
    </w:pPr>
    <w:rPr>
      <w:rFonts w:ascii="Times New Roman" w:eastAsia="Times New Roman" w:hAnsi="Times New Roman"/>
      <w:kern w:val="16"/>
      <w:sz w:val="24"/>
      <w:szCs w:val="24"/>
      <w:lang w:eastAsia="en-AU"/>
    </w:rPr>
  </w:style>
  <w:style w:type="paragraph" w:customStyle="1" w:styleId="Standard">
    <w:name w:val="Standard"/>
    <w:basedOn w:val="Normal"/>
    <w:link w:val="StandardChar"/>
    <w:rsid w:val="00286EF7"/>
    <w:pPr>
      <w:spacing w:before="0" w:after="220" w:line="252" w:lineRule="auto"/>
    </w:pPr>
    <w:rPr>
      <w:rFonts w:eastAsia="Times New Roman"/>
      <w:snapToGrid w:val="0"/>
      <w:kern w:val="16"/>
      <w:szCs w:val="24"/>
    </w:rPr>
  </w:style>
  <w:style w:type="paragraph" w:styleId="Quote">
    <w:name w:val="Quote"/>
    <w:basedOn w:val="Standard"/>
    <w:next w:val="Standard"/>
    <w:link w:val="QuoteChar"/>
    <w:qFormat/>
    <w:rsid w:val="00286EF7"/>
    <w:pPr>
      <w:spacing w:after="280"/>
      <w:ind w:left="482" w:right="397" w:hanging="85"/>
    </w:pPr>
  </w:style>
  <w:style w:type="character" w:customStyle="1" w:styleId="QuoteChar">
    <w:name w:val="Quote Char"/>
    <w:basedOn w:val="DefaultParagraphFont"/>
    <w:link w:val="Quote"/>
    <w:rsid w:val="00286EF7"/>
    <w:rPr>
      <w:rFonts w:ascii="Cambria" w:eastAsia="Times New Roman" w:hAnsi="Cambria" w:cs="Times New Roman"/>
      <w:snapToGrid w:val="0"/>
      <w:kern w:val="16"/>
      <w:szCs w:val="24"/>
    </w:rPr>
  </w:style>
  <w:style w:type="character" w:customStyle="1" w:styleId="StandardChar">
    <w:name w:val="Standard Char"/>
    <w:basedOn w:val="DefaultParagraphFont"/>
    <w:link w:val="Standard"/>
    <w:rsid w:val="00286EF7"/>
    <w:rPr>
      <w:rFonts w:ascii="Cambria" w:eastAsia="Times New Roman" w:hAnsi="Cambria" w:cs="Times New Roman"/>
      <w:snapToGrid w:val="0"/>
      <w:kern w:val="16"/>
      <w:szCs w:val="24"/>
    </w:rPr>
  </w:style>
  <w:style w:type="character" w:customStyle="1" w:styleId="st1">
    <w:name w:val="st1"/>
    <w:basedOn w:val="DefaultParagraphFont"/>
    <w:rsid w:val="00286EF7"/>
  </w:style>
  <w:style w:type="table" w:customStyle="1" w:styleId="TableTGAblue1">
    <w:name w:val="Table TGA blue1"/>
    <w:basedOn w:val="TableNormal"/>
    <w:uiPriority w:val="99"/>
    <w:qFormat/>
    <w:rsid w:val="00286EF7"/>
    <w:pPr>
      <w:spacing w:after="0" w:line="240" w:lineRule="auto"/>
    </w:pPr>
    <w:rPr>
      <w:rFonts w:ascii="Cambria" w:hAnsi="Cambria" w:cs="Times New Roman"/>
      <w:color w:val="000000"/>
      <w:szCs w:val="21"/>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wordWrap/>
      </w:pPr>
      <w:rPr>
        <w:rFonts w:ascii="Cambria" w:hAnsi="Cambria" w:hint="default"/>
        <w:b/>
        <w:color w:val="FFFFFF"/>
        <w:sz w:val="22"/>
        <w:szCs w:val="22"/>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semiHidden="0" w:unhideWhenUsed="0"/>
    <w:lsdException w:name="footer" w:semiHidden="0" w:unhideWhenUsed="0"/>
    <w:lsdException w:name="caption" w:semiHidden="0" w:uiPriority="35" w:unhideWhenUsed="0"/>
    <w:lsdException w:name="footnote reference" w:uiPriority="0"/>
    <w:lsdException w:name="List Bullet" w:semiHidden="0" w:uiPriority="2" w:unhideWhenUsed="0" w:qFormat="1"/>
    <w:lsdException w:name="List Bullet 2" w:semiHidden="0" w:uiPriority="2" w:unhideWhenUsed="0" w:qFormat="1"/>
    <w:lsdException w:name="List Bullet 3" w:uiPriority="2" w:qFormat="1"/>
    <w:lsdException w:name="Title" w:semiHidden="0" w:uiPriority="10" w:unhideWhenUsed="0"/>
    <w:lsdException w:name="Default Paragraph Font" w:uiPriority="1"/>
    <w:lsdException w:name="Subtitle" w:semiHidden="0" w:uiPriority="11" w:unhideWhenUsed="0"/>
    <w:lsdException w:name="Date" w:semiHidden="0" w:unhideWhenUsed="0"/>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uiPriority w:val="1"/>
    <w:qFormat/>
    <w:rsid w:val="004E27F7"/>
    <w:pPr>
      <w:spacing w:before="120" w:after="120" w:line="240" w:lineRule="atLeast"/>
    </w:pPr>
    <w:rPr>
      <w:rFonts w:ascii="Cambria" w:eastAsia="Cambria" w:hAnsi="Cambria" w:cs="Times New Roman"/>
    </w:rPr>
  </w:style>
  <w:style w:type="paragraph" w:styleId="Heading1">
    <w:name w:val="heading 1"/>
    <w:basedOn w:val="Heading2"/>
    <w:next w:val="Normal"/>
    <w:link w:val="Heading1Char"/>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rsid w:val="004722CC"/>
    <w:pPr>
      <w:keepNext/>
      <w:keepLines/>
      <w:spacing w:before="480"/>
      <w:outlineLvl w:val="1"/>
    </w:pPr>
    <w:rPr>
      <w:rFonts w:ascii="Arial" w:eastAsia="Times New Roman" w:hAnsi="Arial"/>
      <w:b/>
      <w:bCs/>
      <w:sz w:val="32"/>
      <w:szCs w:val="26"/>
    </w:rPr>
  </w:style>
  <w:style w:type="paragraph" w:styleId="Heading3">
    <w:name w:val="heading 3"/>
    <w:basedOn w:val="Normal"/>
    <w:next w:val="Normal"/>
    <w:link w:val="Heading3Char"/>
    <w:qFormat/>
    <w:rsid w:val="00EF59DC"/>
    <w:pPr>
      <w:keepNext/>
      <w:keepLines/>
      <w:spacing w:before="480" w:after="0" w:line="220" w:lineRule="atLeast"/>
      <w:outlineLvl w:val="2"/>
    </w:pPr>
    <w:rPr>
      <w:rFonts w:ascii="Arial" w:eastAsia="Times New Roman" w:hAnsi="Arial"/>
      <w:b/>
      <w:bCs/>
      <w:sz w:val="26"/>
      <w:szCs w:val="21"/>
    </w:rPr>
  </w:style>
  <w:style w:type="paragraph" w:styleId="Heading4">
    <w:name w:val="heading 4"/>
    <w:basedOn w:val="Normal"/>
    <w:next w:val="Normal"/>
    <w:link w:val="Heading4Char"/>
    <w:qFormat/>
    <w:rsid w:val="00AD0083"/>
    <w:pPr>
      <w:keepNext/>
      <w:spacing w:before="360" w:after="0" w:line="220" w:lineRule="atLeast"/>
      <w:outlineLvl w:val="3"/>
    </w:pPr>
    <w:rPr>
      <w:b/>
      <w:bCs/>
      <w:szCs w:val="21"/>
    </w:rPr>
  </w:style>
  <w:style w:type="paragraph" w:styleId="Heading5">
    <w:name w:val="heading 5"/>
    <w:basedOn w:val="Normal"/>
    <w:next w:val="Normal"/>
    <w:link w:val="Heading5Char"/>
    <w:qFormat/>
    <w:rsid w:val="004722CC"/>
    <w:pPr>
      <w:keepNext/>
      <w:keepLines/>
      <w:spacing w:line="220" w:lineRule="atLeast"/>
      <w:outlineLvl w:val="4"/>
    </w:pPr>
    <w:rPr>
      <w:rFonts w:eastAsia="Times New Roman"/>
      <w:b/>
      <w:bCs/>
      <w:i/>
      <w:color w:val="001523"/>
      <w:szCs w:val="21"/>
    </w:rPr>
  </w:style>
  <w:style w:type="paragraph" w:styleId="Heading6">
    <w:name w:val="heading 6"/>
    <w:basedOn w:val="Normal"/>
    <w:next w:val="Normal"/>
    <w:link w:val="Heading6Char"/>
    <w:uiPriority w:val="9"/>
    <w:rsid w:val="00577130"/>
    <w:pPr>
      <w:keepNext/>
      <w:spacing w:line="220" w:lineRule="atLeast"/>
      <w:outlineLvl w:val="5"/>
    </w:pPr>
    <w:rPr>
      <w:rFonts w:eastAsia="Times New Roman"/>
      <w:bCs/>
      <w:i/>
      <w:szCs w:val="21"/>
    </w:rPr>
  </w:style>
  <w:style w:type="paragraph" w:styleId="Heading7">
    <w:name w:val="heading 7"/>
    <w:basedOn w:val="Normal"/>
    <w:next w:val="Normal"/>
    <w:link w:val="Heading7Char"/>
    <w:uiPriority w:val="9"/>
    <w:rsid w:val="00770CAC"/>
    <w:pPr>
      <w:keepNext/>
      <w:spacing w:after="60" w:line="180" w:lineRule="atLeast"/>
      <w:outlineLvl w:val="6"/>
    </w:pPr>
    <w:rPr>
      <w:rFonts w:eastAsia="Times New Roman"/>
      <w:bCs/>
      <w:sz w:val="20"/>
      <w:szCs w:val="24"/>
    </w:rPr>
  </w:style>
  <w:style w:type="paragraph" w:styleId="Heading8">
    <w:name w:val="heading 8"/>
    <w:basedOn w:val="Normal"/>
    <w:next w:val="Normal"/>
    <w:link w:val="Heading8Char"/>
    <w:uiPriority w:val="9"/>
    <w:semiHidden/>
    <w:unhideWhenUsed/>
    <w:qFormat/>
    <w:rsid w:val="00733EBB"/>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rPr>
  </w:style>
  <w:style w:type="character" w:customStyle="1" w:styleId="Heading2Char">
    <w:name w:val="Heading 2 Char"/>
    <w:basedOn w:val="DefaultParagraphFont"/>
    <w:link w:val="Heading2"/>
    <w:rsid w:val="00AD3935"/>
    <w:rPr>
      <w:rFonts w:ascii="Arial" w:eastAsia="Times New Roman" w:hAnsi="Arial" w:cs="Times New Roman"/>
      <w:b/>
      <w:bCs/>
      <w:sz w:val="32"/>
      <w:szCs w:val="26"/>
    </w:rPr>
  </w:style>
  <w:style w:type="character" w:customStyle="1" w:styleId="Heading3Char">
    <w:name w:val="Heading 3 Char"/>
    <w:basedOn w:val="DefaultParagraphFont"/>
    <w:link w:val="Heading3"/>
    <w:rsid w:val="00EF59DC"/>
    <w:rPr>
      <w:rFonts w:ascii="Arial" w:eastAsia="Times New Roman" w:hAnsi="Arial" w:cs="Times New Roman"/>
      <w:b/>
      <w:bCs/>
      <w:sz w:val="26"/>
      <w:szCs w:val="21"/>
    </w:rPr>
  </w:style>
  <w:style w:type="paragraph" w:customStyle="1" w:styleId="Address">
    <w:name w:val="Address"/>
    <w:basedOn w:val="Normal"/>
    <w:rsid w:val="00E45619"/>
    <w:pPr>
      <w:spacing w:before="0" w:after="0" w:line="280" w:lineRule="atLeast"/>
      <w:jc w:val="center"/>
    </w:pPr>
  </w:style>
  <w:style w:type="paragraph" w:customStyle="1" w:styleId="AxisLabel">
    <w:name w:val="Axis Label"/>
    <w:basedOn w:val="Normal"/>
    <w:rsid w:val="00F3148D"/>
    <w:pPr>
      <w:spacing w:after="0" w:line="240" w:lineRule="auto"/>
    </w:pPr>
    <w:rPr>
      <w:rFonts w:ascii="Arial" w:hAnsi="Arial"/>
      <w:noProof/>
      <w:sz w:val="14"/>
      <w:lang w:eastAsia="en-AU"/>
    </w:rPr>
  </w:style>
  <w:style w:type="paragraph" w:customStyle="1" w:styleId="AxisTitle">
    <w:name w:val="Axis Title"/>
    <w:basedOn w:val="Normal"/>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uiPriority w:val="35"/>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F3148D"/>
    <w:pPr>
      <w:spacing w:after="0"/>
    </w:pPr>
    <w:rPr>
      <w:rFonts w:ascii="Arial" w:hAnsi="Arial"/>
      <w:sz w:val="28"/>
    </w:rPr>
  </w:style>
  <w:style w:type="character" w:customStyle="1" w:styleId="DateChar">
    <w:name w:val="Date Char"/>
    <w:basedOn w:val="DefaultParagraphFont"/>
    <w:link w:val="Date"/>
    <w:uiPriority w:val="99"/>
    <w:rsid w:val="00F3148D"/>
    <w:rPr>
      <w:rFonts w:ascii="Arial" w:hAnsi="Arial"/>
      <w:sz w:val="28"/>
    </w:rPr>
  </w:style>
  <w:style w:type="paragraph" w:customStyle="1" w:styleId="FigureDescription">
    <w:name w:val="Figure Description"/>
    <w:basedOn w:val="Normal"/>
    <w:rsid w:val="003D1E62"/>
    <w:pPr>
      <w:spacing w:after="0"/>
    </w:pPr>
    <w:rPr>
      <w:sz w:val="19"/>
    </w:rPr>
  </w:style>
  <w:style w:type="paragraph" w:customStyle="1" w:styleId="FigureTitle">
    <w:name w:val="Figure Title"/>
    <w:basedOn w:val="Normal"/>
    <w:rsid w:val="001B5C90"/>
    <w:pPr>
      <w:keepNext/>
      <w:spacing w:line="220" w:lineRule="atLeast"/>
    </w:pPr>
    <w:rPr>
      <w:b/>
    </w:rPr>
  </w:style>
  <w:style w:type="character" w:customStyle="1" w:styleId="Heading4Char">
    <w:name w:val="Heading 4 Char"/>
    <w:basedOn w:val="DefaultParagraphFont"/>
    <w:link w:val="Heading4"/>
    <w:rsid w:val="00AD3935"/>
    <w:rPr>
      <w:rFonts w:ascii="Cambria" w:eastAsia="Cambria" w:hAnsi="Cambria" w:cs="Times New Roman"/>
      <w:b/>
      <w:bCs/>
      <w:szCs w:val="21"/>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3B4D60"/>
    <w:rPr>
      <w:rFonts w:ascii="Cambria" w:eastAsia="Cambria" w:hAnsi="Cambria" w:cs="Times New Roman"/>
      <w:sz w:val="17"/>
    </w:rPr>
  </w:style>
  <w:style w:type="paragraph" w:styleId="Header">
    <w:name w:val="header"/>
    <w:basedOn w:val="Normal"/>
    <w:link w:val="HeaderChar"/>
    <w:uiPriority w:val="99"/>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uiPriority w:val="99"/>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rsid w:val="00AD3935"/>
    <w:rPr>
      <w:rFonts w:ascii="Cambria" w:eastAsia="Times New Roman" w:hAnsi="Cambria" w:cs="Times New Roman"/>
      <w:b/>
      <w:bCs/>
      <w:i/>
      <w:color w:val="001523"/>
      <w:szCs w:val="21"/>
    </w:rPr>
  </w:style>
  <w:style w:type="character" w:customStyle="1" w:styleId="Heading6Char">
    <w:name w:val="Heading 6 Char"/>
    <w:basedOn w:val="DefaultParagraphFont"/>
    <w:link w:val="Heading6"/>
    <w:uiPriority w:val="9"/>
    <w:rsid w:val="00577130"/>
    <w:rPr>
      <w:rFonts w:ascii="Cambria" w:eastAsia="Times New Roman" w:hAnsi="Cambria" w:cs="Times New Roman"/>
      <w:bCs/>
      <w:i/>
      <w:szCs w:val="21"/>
    </w:rPr>
  </w:style>
  <w:style w:type="character" w:customStyle="1" w:styleId="Heading7Char">
    <w:name w:val="Heading 7 Char"/>
    <w:basedOn w:val="DefaultParagraphFont"/>
    <w:link w:val="Heading7"/>
    <w:uiPriority w:val="9"/>
    <w:rsid w:val="00770CAC"/>
    <w:rPr>
      <w:rFonts w:ascii="Cambria" w:eastAsia="Times New Roman" w:hAnsi="Cambria" w:cs="Times New Roman"/>
      <w:bCs/>
      <w:sz w:val="20"/>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rsid w:val="00F3148D"/>
    <w:rPr>
      <w:sz w:val="14"/>
    </w:rPr>
  </w:style>
  <w:style w:type="paragraph" w:customStyle="1" w:styleId="LegalCopy">
    <w:name w:val="Legal Copy"/>
    <w:basedOn w:val="Footer"/>
    <w:rsid w:val="00F3148D"/>
  </w:style>
  <w:style w:type="paragraph" w:customStyle="1" w:styleId="LegalSubheading">
    <w:name w:val="Legal Subheading"/>
    <w:basedOn w:val="Footer"/>
    <w:rsid w:val="00F3148D"/>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4C2DCA"/>
    <w:pPr>
      <w:numPr>
        <w:numId w:val="21"/>
      </w:numPr>
    </w:pPr>
  </w:style>
  <w:style w:type="paragraph" w:styleId="ListBullet2">
    <w:name w:val="List Bullet 2"/>
    <w:basedOn w:val="Normal"/>
    <w:uiPriority w:val="2"/>
    <w:qFormat/>
    <w:rsid w:val="004C2DCA"/>
    <w:pPr>
      <w:numPr>
        <w:ilvl w:val="1"/>
        <w:numId w:val="21"/>
      </w:numPr>
    </w:pPr>
  </w:style>
  <w:style w:type="paragraph" w:styleId="ListBullet3">
    <w:name w:val="List Bullet 3"/>
    <w:basedOn w:val="Normal"/>
    <w:uiPriority w:val="2"/>
    <w:qFormat/>
    <w:rsid w:val="004C2DCA"/>
    <w:pPr>
      <w:numPr>
        <w:ilvl w:val="2"/>
        <w:numId w:val="21"/>
      </w:numPr>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rsid w:val="006763D2"/>
    <w:pPr>
      <w:spacing w:before="240"/>
    </w:pPr>
    <w:rPr>
      <w:rFonts w:ascii="Arial" w:hAnsi="Arial"/>
      <w:b/>
      <w:sz w:val="32"/>
    </w:rPr>
  </w:style>
  <w:style w:type="paragraph" w:customStyle="1" w:styleId="Notes">
    <w:name w:val="Notes"/>
    <w:basedOn w:val="Normal"/>
    <w:locked/>
    <w:rsid w:val="00F3148D"/>
    <w:pPr>
      <w:spacing w:after="0" w:line="240" w:lineRule="auto"/>
    </w:pPr>
    <w:rPr>
      <w:rFonts w:ascii="Arial" w:hAnsi="Arial"/>
      <w:sz w:val="16"/>
    </w:rPr>
  </w:style>
  <w:style w:type="paragraph" w:customStyle="1" w:styleId="Numberbullet0">
    <w:name w:val="Number bullet"/>
    <w:basedOn w:val="ListBullet"/>
    <w:qFormat/>
    <w:rsid w:val="004C2DCA"/>
    <w:pPr>
      <w:numPr>
        <w:numId w:val="24"/>
      </w:numPr>
    </w:pPr>
  </w:style>
  <w:style w:type="paragraph" w:customStyle="1" w:styleId="Numberbullet2">
    <w:name w:val="Number bullet 2"/>
    <w:basedOn w:val="ListBullet2"/>
    <w:qFormat/>
    <w:rsid w:val="004C2DCA"/>
    <w:pPr>
      <w:numPr>
        <w:numId w:val="24"/>
      </w:numPr>
    </w:pPr>
  </w:style>
  <w:style w:type="paragraph" w:customStyle="1" w:styleId="Numberbullet3">
    <w:name w:val="Number bullet 3"/>
    <w:basedOn w:val="ListBullet3"/>
    <w:qFormat/>
    <w:rsid w:val="004C2DCA"/>
    <w:pPr>
      <w:numPr>
        <w:numId w:val="24"/>
      </w:numPr>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rsid w:val="008A5E0B"/>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rsid w:val="00F3148D"/>
    <w:rPr>
      <w:rFonts w:ascii="Arial" w:eastAsia="Times New Roman" w:hAnsi="Arial" w:cs="Times New Roman"/>
      <w:bCs/>
      <w:iCs/>
      <w:sz w:val="40"/>
      <w:szCs w:val="24"/>
    </w:rPr>
  </w:style>
  <w:style w:type="paragraph" w:customStyle="1" w:styleId="TableDescription">
    <w:name w:val="Table Description"/>
    <w:basedOn w:val="FigureDescription"/>
    <w:rsid w:val="001B5C90"/>
    <w:pPr>
      <w:spacing w:before="0" w:line="240" w:lineRule="auto"/>
    </w:pPr>
    <w:rPr>
      <w:szCs w:val="19"/>
    </w:rPr>
  </w:style>
  <w:style w:type="table" w:styleId="TableGrid">
    <w:name w:val="Table Grid"/>
    <w:basedOn w:val="TableNormal"/>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rsid w:val="00F3148D"/>
    <w:rPr>
      <w:sz w:val="19"/>
    </w:rPr>
  </w:style>
  <w:style w:type="table" w:customStyle="1" w:styleId="TableTGAblue">
    <w:name w:val="Table TGA blue"/>
    <w:basedOn w:val="TableNormal"/>
    <w:uiPriority w:val="99"/>
    <w:qFormat/>
    <w:rsid w:val="00FD119B"/>
    <w:pPr>
      <w:spacing w:after="0" w:line="240" w:lineRule="auto"/>
      <w:ind w:left="170" w:right="170"/>
    </w:pPr>
    <w:rPr>
      <w:rFonts w:ascii="Cambria" w:hAnsi="Cambria" w:cs="Times New Roman"/>
      <w:color w:val="000000" w:themeColor="text1"/>
      <w:szCs w:val="21"/>
      <w:lang w:eastAsia="en-AU"/>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keepNext/>
        <w:wordWrap/>
      </w:pPr>
      <w:rPr>
        <w:rFonts w:ascii="Cambria" w:hAnsi="Cambria"/>
        <w:b/>
        <w:color w:val="FFFFFF" w:themeColor="background1"/>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EE1DE8"/>
    <w:pPr>
      <w:spacing w:before="60" w:after="0" w:line="240" w:lineRule="auto"/>
      <w:ind w:left="170" w:right="170"/>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rsid w:val="002E40B3"/>
    <w:pPr>
      <w:keepNext/>
    </w:pPr>
    <w:rPr>
      <w:b/>
    </w:rPr>
  </w:style>
  <w:style w:type="paragraph" w:customStyle="1" w:styleId="TGASignoff">
    <w:name w:val="TGA Signoff"/>
    <w:basedOn w:val="Normal"/>
    <w:rsid w:val="00F3148D"/>
    <w:pPr>
      <w:jc w:val="center"/>
    </w:pPr>
    <w:rPr>
      <w:rFonts w:ascii="Arial" w:hAnsi="Arial"/>
      <w:b/>
      <w:sz w:val="28"/>
    </w:rPr>
  </w:style>
  <w:style w:type="paragraph" w:styleId="Title">
    <w:name w:val="Title"/>
    <w:next w:val="Normal"/>
    <w:link w:val="TitleChar"/>
    <w:uiPriority w:val="10"/>
    <w:rsid w:val="00F3148D"/>
    <w:pPr>
      <w:spacing w:after="480" w:line="240" w:lineRule="auto"/>
      <w:contextualSpacing/>
    </w:pPr>
    <w:rPr>
      <w:rFonts w:ascii="Arial" w:eastAsia="Times New Roman" w:hAnsi="Arial" w:cs="Times New Roman"/>
      <w:spacing w:val="5"/>
      <w:kern w:val="28"/>
      <w:sz w:val="52"/>
      <w:szCs w:val="52"/>
    </w:rPr>
  </w:style>
  <w:style w:type="character" w:customStyle="1" w:styleId="TitleChar">
    <w:name w:val="Title Char"/>
    <w:basedOn w:val="DefaultParagraphFont"/>
    <w:link w:val="Title"/>
    <w:uiPriority w:val="10"/>
    <w:rsid w:val="00F3148D"/>
    <w:rPr>
      <w:rFonts w:ascii="Arial" w:eastAsia="Times New Roman" w:hAnsi="Arial" w:cs="Times New Roman"/>
      <w:spacing w:val="5"/>
      <w:kern w:val="28"/>
      <w:sz w:val="52"/>
      <w:szCs w:val="52"/>
    </w:rPr>
  </w:style>
  <w:style w:type="paragraph" w:styleId="TOC1">
    <w:name w:val="toc 1"/>
    <w:basedOn w:val="Normal"/>
    <w:next w:val="Normal"/>
    <w:uiPriority w:val="39"/>
    <w:rsid w:val="00F3148D"/>
    <w:pPr>
      <w:tabs>
        <w:tab w:val="right" w:pos="8505"/>
      </w:tabs>
      <w:spacing w:after="200"/>
    </w:pPr>
    <w:rPr>
      <w:rFonts w:ascii="Arial" w:hAnsi="Arial"/>
      <w:b/>
      <w:sz w:val="32"/>
    </w:rPr>
  </w:style>
  <w:style w:type="paragraph" w:styleId="TOC2">
    <w:name w:val="toc 2"/>
    <w:basedOn w:val="Normal"/>
    <w:next w:val="Normal"/>
    <w:uiPriority w:val="39"/>
    <w:rsid w:val="00F3148D"/>
    <w:pPr>
      <w:tabs>
        <w:tab w:val="right" w:leader="underscore" w:pos="8505"/>
      </w:tabs>
      <w:spacing w:after="100"/>
      <w:ind w:left="624"/>
    </w:pPr>
    <w:rPr>
      <w:b/>
      <w:sz w:val="25"/>
    </w:rPr>
  </w:style>
  <w:style w:type="paragraph" w:styleId="TOC3">
    <w:name w:val="toc 3"/>
    <w:basedOn w:val="Normal"/>
    <w:next w:val="Normal"/>
    <w:uiPriority w:val="39"/>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heme="minorBidi"/>
      <w:color w:val="002035"/>
      <w:sz w:val="28"/>
      <w:lang w:val="en-US"/>
    </w:rPr>
  </w:style>
  <w:style w:type="paragraph" w:styleId="FootnoteText">
    <w:name w:val="footnote text"/>
    <w:basedOn w:val="Normal"/>
    <w:link w:val="FootnoteTextChar"/>
    <w:semiHidden/>
    <w:unhideWhenUsed/>
    <w:rsid w:val="001B5C90"/>
    <w:pPr>
      <w:spacing w:before="0" w:after="0" w:line="240" w:lineRule="auto"/>
    </w:pPr>
    <w:rPr>
      <w:sz w:val="18"/>
      <w:szCs w:val="20"/>
    </w:rPr>
  </w:style>
  <w:style w:type="character" w:customStyle="1" w:styleId="FootnoteTextChar">
    <w:name w:val="Footnote Text Char"/>
    <w:basedOn w:val="DefaultParagraphFont"/>
    <w:link w:val="FootnoteText"/>
    <w:semiHidden/>
    <w:rsid w:val="001B5C90"/>
    <w:rPr>
      <w:rFonts w:ascii="Cambria" w:eastAsia="Cambria" w:hAnsi="Cambria" w:cs="Times New Roman"/>
      <w:sz w:val="18"/>
      <w:szCs w:val="20"/>
    </w:rPr>
  </w:style>
  <w:style w:type="character" w:styleId="FootnoteReference">
    <w:name w:val="footnote reference"/>
    <w:basedOn w:val="DefaultParagraphFont"/>
    <w:semiHidden/>
    <w:unhideWhenUsed/>
    <w:rsid w:val="001B5C90"/>
    <w:rPr>
      <w:vertAlign w:val="superscript"/>
    </w:rPr>
  </w:style>
  <w:style w:type="paragraph" w:customStyle="1" w:styleId="Quotation">
    <w:name w:val="Quotation"/>
    <w:basedOn w:val="Normal"/>
    <w:next w:val="Normal"/>
    <w:uiPriority w:val="4"/>
    <w:qFormat/>
    <w:rsid w:val="00E13FC7"/>
    <w:pPr>
      <w:spacing w:after="180"/>
      <w:ind w:left="425"/>
    </w:pPr>
    <w:rPr>
      <w:rFonts w:eastAsiaTheme="minorEastAsia" w:cstheme="minorBidi"/>
      <w:sz w:val="20"/>
      <w:lang w:eastAsia="zh-TW"/>
    </w:rPr>
  </w:style>
  <w:style w:type="paragraph" w:customStyle="1" w:styleId="Comment">
    <w:name w:val="Comment"/>
    <w:basedOn w:val="Normal"/>
    <w:next w:val="Normal"/>
    <w:uiPriority w:val="1"/>
    <w:qFormat/>
    <w:rsid w:val="00DD28CD"/>
    <w:pPr>
      <w:ind w:left="992" w:hanging="992"/>
    </w:pPr>
  </w:style>
  <w:style w:type="paragraph" w:styleId="EndnoteText">
    <w:name w:val="endnote text"/>
    <w:basedOn w:val="Normal"/>
    <w:link w:val="EndnoteTextChar"/>
    <w:uiPriority w:val="99"/>
    <w:semiHidden/>
    <w:unhideWhenUsed/>
    <w:rsid w:val="000E6196"/>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0E6196"/>
    <w:rPr>
      <w:rFonts w:ascii="Cambria" w:eastAsia="Cambria" w:hAnsi="Cambria" w:cs="Times New Roman"/>
      <w:sz w:val="20"/>
      <w:szCs w:val="20"/>
    </w:rPr>
  </w:style>
  <w:style w:type="character" w:styleId="EndnoteReference">
    <w:name w:val="endnote reference"/>
    <w:basedOn w:val="DefaultParagraphFont"/>
    <w:uiPriority w:val="99"/>
    <w:semiHidden/>
    <w:unhideWhenUsed/>
    <w:rsid w:val="000E6196"/>
    <w:rPr>
      <w:vertAlign w:val="superscript"/>
    </w:rPr>
  </w:style>
  <w:style w:type="character" w:styleId="CommentReference">
    <w:name w:val="annotation reference"/>
    <w:basedOn w:val="DefaultParagraphFont"/>
    <w:uiPriority w:val="99"/>
    <w:semiHidden/>
    <w:unhideWhenUsed/>
    <w:rsid w:val="00EC463D"/>
    <w:rPr>
      <w:sz w:val="16"/>
      <w:szCs w:val="16"/>
    </w:rPr>
  </w:style>
  <w:style w:type="paragraph" w:styleId="CommentText">
    <w:name w:val="annotation text"/>
    <w:basedOn w:val="Normal"/>
    <w:link w:val="CommentTextChar"/>
    <w:uiPriority w:val="99"/>
    <w:semiHidden/>
    <w:unhideWhenUsed/>
    <w:rsid w:val="00EC463D"/>
    <w:pPr>
      <w:spacing w:line="240" w:lineRule="auto"/>
    </w:pPr>
    <w:rPr>
      <w:sz w:val="20"/>
      <w:szCs w:val="20"/>
    </w:rPr>
  </w:style>
  <w:style w:type="character" w:customStyle="1" w:styleId="CommentTextChar">
    <w:name w:val="Comment Text Char"/>
    <w:basedOn w:val="DefaultParagraphFont"/>
    <w:link w:val="CommentText"/>
    <w:uiPriority w:val="99"/>
    <w:semiHidden/>
    <w:rsid w:val="00EC463D"/>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EC463D"/>
    <w:rPr>
      <w:b/>
      <w:bCs/>
    </w:rPr>
  </w:style>
  <w:style w:type="character" w:customStyle="1" w:styleId="CommentSubjectChar">
    <w:name w:val="Comment Subject Char"/>
    <w:basedOn w:val="CommentTextChar"/>
    <w:link w:val="CommentSubject"/>
    <w:uiPriority w:val="99"/>
    <w:semiHidden/>
    <w:rsid w:val="00EC463D"/>
    <w:rPr>
      <w:rFonts w:ascii="Cambria" w:eastAsia="Cambria" w:hAnsi="Cambria" w:cs="Times New Roman"/>
      <w:b/>
      <w:bCs/>
      <w:sz w:val="20"/>
      <w:szCs w:val="20"/>
    </w:rPr>
  </w:style>
  <w:style w:type="paragraph" w:styleId="Revision">
    <w:name w:val="Revision"/>
    <w:hidden/>
    <w:uiPriority w:val="99"/>
    <w:semiHidden/>
    <w:rsid w:val="003442FD"/>
    <w:pPr>
      <w:spacing w:after="0" w:line="240" w:lineRule="auto"/>
    </w:pPr>
    <w:rPr>
      <w:rFonts w:ascii="Cambria" w:eastAsia="Cambria" w:hAnsi="Cambria" w:cs="Times New Roman"/>
    </w:rPr>
  </w:style>
  <w:style w:type="paragraph" w:customStyle="1" w:styleId="Instructions">
    <w:name w:val="Instructions"/>
    <w:basedOn w:val="Normal"/>
    <w:next w:val="Normal"/>
    <w:uiPriority w:val="1"/>
    <w:qFormat/>
    <w:rsid w:val="00EE27C2"/>
    <w:rPr>
      <w:i/>
      <w:color w:val="007099"/>
    </w:rPr>
  </w:style>
  <w:style w:type="character" w:customStyle="1" w:styleId="Heading8Char">
    <w:name w:val="Heading 8 Char"/>
    <w:basedOn w:val="DefaultParagraphFont"/>
    <w:link w:val="Heading8"/>
    <w:uiPriority w:val="9"/>
    <w:semiHidden/>
    <w:rsid w:val="00733EBB"/>
    <w:rPr>
      <w:rFonts w:asciiTheme="majorHAnsi" w:eastAsiaTheme="majorEastAsia" w:hAnsiTheme="majorHAnsi" w:cstheme="majorBidi"/>
      <w:color w:val="404040" w:themeColor="text1" w:themeTint="BF"/>
      <w:sz w:val="20"/>
      <w:szCs w:val="20"/>
    </w:rPr>
  </w:style>
  <w:style w:type="paragraph" w:styleId="ListParagraph">
    <w:name w:val="List Paragraph"/>
    <w:basedOn w:val="Normal"/>
    <w:uiPriority w:val="34"/>
    <w:qFormat/>
    <w:rsid w:val="00BA5FC6"/>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ind w:left="720"/>
      <w:contextualSpacing/>
    </w:pPr>
    <w:rPr>
      <w:rFonts w:ascii="Times New Roman" w:eastAsia="Times New Roman" w:hAnsi="Times New Roman"/>
      <w:kern w:val="16"/>
      <w:sz w:val="24"/>
      <w:szCs w:val="24"/>
      <w:lang w:eastAsia="en-AU"/>
    </w:rPr>
  </w:style>
  <w:style w:type="paragraph" w:customStyle="1" w:styleId="Standard">
    <w:name w:val="Standard"/>
    <w:basedOn w:val="Normal"/>
    <w:link w:val="StandardChar"/>
    <w:rsid w:val="00286EF7"/>
    <w:pPr>
      <w:spacing w:before="0" w:after="220" w:line="252" w:lineRule="auto"/>
    </w:pPr>
    <w:rPr>
      <w:rFonts w:eastAsia="Times New Roman"/>
      <w:snapToGrid w:val="0"/>
      <w:kern w:val="16"/>
      <w:szCs w:val="24"/>
    </w:rPr>
  </w:style>
  <w:style w:type="paragraph" w:styleId="Quote">
    <w:name w:val="Quote"/>
    <w:basedOn w:val="Standard"/>
    <w:next w:val="Standard"/>
    <w:link w:val="QuoteChar"/>
    <w:qFormat/>
    <w:rsid w:val="00286EF7"/>
    <w:pPr>
      <w:spacing w:after="280"/>
      <w:ind w:left="482" w:right="397" w:hanging="85"/>
    </w:pPr>
  </w:style>
  <w:style w:type="character" w:customStyle="1" w:styleId="QuoteChar">
    <w:name w:val="Quote Char"/>
    <w:basedOn w:val="DefaultParagraphFont"/>
    <w:link w:val="Quote"/>
    <w:rsid w:val="00286EF7"/>
    <w:rPr>
      <w:rFonts w:ascii="Cambria" w:eastAsia="Times New Roman" w:hAnsi="Cambria" w:cs="Times New Roman"/>
      <w:snapToGrid w:val="0"/>
      <w:kern w:val="16"/>
      <w:szCs w:val="24"/>
    </w:rPr>
  </w:style>
  <w:style w:type="character" w:customStyle="1" w:styleId="StandardChar">
    <w:name w:val="Standard Char"/>
    <w:basedOn w:val="DefaultParagraphFont"/>
    <w:link w:val="Standard"/>
    <w:rsid w:val="00286EF7"/>
    <w:rPr>
      <w:rFonts w:ascii="Cambria" w:eastAsia="Times New Roman" w:hAnsi="Cambria" w:cs="Times New Roman"/>
      <w:snapToGrid w:val="0"/>
      <w:kern w:val="16"/>
      <w:szCs w:val="24"/>
    </w:rPr>
  </w:style>
  <w:style w:type="character" w:customStyle="1" w:styleId="st1">
    <w:name w:val="st1"/>
    <w:basedOn w:val="DefaultParagraphFont"/>
    <w:rsid w:val="00286EF7"/>
  </w:style>
  <w:style w:type="table" w:customStyle="1" w:styleId="TableTGAblue1">
    <w:name w:val="Table TGA blue1"/>
    <w:basedOn w:val="TableNormal"/>
    <w:uiPriority w:val="99"/>
    <w:qFormat/>
    <w:rsid w:val="00286EF7"/>
    <w:pPr>
      <w:spacing w:after="0" w:line="240" w:lineRule="auto"/>
    </w:pPr>
    <w:rPr>
      <w:rFonts w:ascii="Cambria" w:hAnsi="Cambria" w:cs="Times New Roman"/>
      <w:color w:val="000000"/>
      <w:szCs w:val="21"/>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wordWrap/>
      </w:pPr>
      <w:rPr>
        <w:rFonts w:ascii="Cambria" w:hAnsi="Cambria" w:hint="default"/>
        <w:b/>
        <w:color w:val="FFFFFF"/>
        <w:sz w:val="22"/>
        <w:szCs w:val="22"/>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88248">
      <w:bodyDiv w:val="1"/>
      <w:marLeft w:val="0"/>
      <w:marRight w:val="0"/>
      <w:marTop w:val="0"/>
      <w:marBottom w:val="0"/>
      <w:divBdr>
        <w:top w:val="none" w:sz="0" w:space="0" w:color="auto"/>
        <w:left w:val="none" w:sz="0" w:space="0" w:color="auto"/>
        <w:bottom w:val="none" w:sz="0" w:space="0" w:color="auto"/>
        <w:right w:val="none" w:sz="0" w:space="0" w:color="auto"/>
      </w:divBdr>
    </w:div>
    <w:div w:id="37046787">
      <w:bodyDiv w:val="1"/>
      <w:marLeft w:val="0"/>
      <w:marRight w:val="0"/>
      <w:marTop w:val="0"/>
      <w:marBottom w:val="0"/>
      <w:divBdr>
        <w:top w:val="none" w:sz="0" w:space="0" w:color="auto"/>
        <w:left w:val="none" w:sz="0" w:space="0" w:color="auto"/>
        <w:bottom w:val="none" w:sz="0" w:space="0" w:color="auto"/>
        <w:right w:val="none" w:sz="0" w:space="0" w:color="auto"/>
      </w:divBdr>
    </w:div>
    <w:div w:id="63918991">
      <w:bodyDiv w:val="1"/>
      <w:marLeft w:val="0"/>
      <w:marRight w:val="0"/>
      <w:marTop w:val="0"/>
      <w:marBottom w:val="0"/>
      <w:divBdr>
        <w:top w:val="none" w:sz="0" w:space="0" w:color="auto"/>
        <w:left w:val="none" w:sz="0" w:space="0" w:color="auto"/>
        <w:bottom w:val="none" w:sz="0" w:space="0" w:color="auto"/>
        <w:right w:val="none" w:sz="0" w:space="0" w:color="auto"/>
      </w:divBdr>
    </w:div>
    <w:div w:id="84617480">
      <w:bodyDiv w:val="1"/>
      <w:marLeft w:val="0"/>
      <w:marRight w:val="0"/>
      <w:marTop w:val="0"/>
      <w:marBottom w:val="0"/>
      <w:divBdr>
        <w:top w:val="none" w:sz="0" w:space="0" w:color="auto"/>
        <w:left w:val="none" w:sz="0" w:space="0" w:color="auto"/>
        <w:bottom w:val="none" w:sz="0" w:space="0" w:color="auto"/>
        <w:right w:val="none" w:sz="0" w:space="0" w:color="auto"/>
      </w:divBdr>
    </w:div>
    <w:div w:id="88626864">
      <w:bodyDiv w:val="1"/>
      <w:marLeft w:val="0"/>
      <w:marRight w:val="0"/>
      <w:marTop w:val="0"/>
      <w:marBottom w:val="0"/>
      <w:divBdr>
        <w:top w:val="none" w:sz="0" w:space="0" w:color="auto"/>
        <w:left w:val="none" w:sz="0" w:space="0" w:color="auto"/>
        <w:bottom w:val="none" w:sz="0" w:space="0" w:color="auto"/>
        <w:right w:val="none" w:sz="0" w:space="0" w:color="auto"/>
      </w:divBdr>
    </w:div>
    <w:div w:id="119688164">
      <w:bodyDiv w:val="1"/>
      <w:marLeft w:val="0"/>
      <w:marRight w:val="0"/>
      <w:marTop w:val="0"/>
      <w:marBottom w:val="0"/>
      <w:divBdr>
        <w:top w:val="none" w:sz="0" w:space="0" w:color="auto"/>
        <w:left w:val="none" w:sz="0" w:space="0" w:color="auto"/>
        <w:bottom w:val="none" w:sz="0" w:space="0" w:color="auto"/>
        <w:right w:val="none" w:sz="0" w:space="0" w:color="auto"/>
      </w:divBdr>
    </w:div>
    <w:div w:id="275842177">
      <w:bodyDiv w:val="1"/>
      <w:marLeft w:val="0"/>
      <w:marRight w:val="0"/>
      <w:marTop w:val="0"/>
      <w:marBottom w:val="0"/>
      <w:divBdr>
        <w:top w:val="none" w:sz="0" w:space="0" w:color="auto"/>
        <w:left w:val="none" w:sz="0" w:space="0" w:color="auto"/>
        <w:bottom w:val="none" w:sz="0" w:space="0" w:color="auto"/>
        <w:right w:val="none" w:sz="0" w:space="0" w:color="auto"/>
      </w:divBdr>
    </w:div>
    <w:div w:id="328562488">
      <w:bodyDiv w:val="1"/>
      <w:marLeft w:val="0"/>
      <w:marRight w:val="0"/>
      <w:marTop w:val="0"/>
      <w:marBottom w:val="0"/>
      <w:divBdr>
        <w:top w:val="none" w:sz="0" w:space="0" w:color="auto"/>
        <w:left w:val="none" w:sz="0" w:space="0" w:color="auto"/>
        <w:bottom w:val="none" w:sz="0" w:space="0" w:color="auto"/>
        <w:right w:val="none" w:sz="0" w:space="0" w:color="auto"/>
      </w:divBdr>
    </w:div>
    <w:div w:id="361052107">
      <w:bodyDiv w:val="1"/>
      <w:marLeft w:val="0"/>
      <w:marRight w:val="0"/>
      <w:marTop w:val="0"/>
      <w:marBottom w:val="0"/>
      <w:divBdr>
        <w:top w:val="none" w:sz="0" w:space="0" w:color="auto"/>
        <w:left w:val="none" w:sz="0" w:space="0" w:color="auto"/>
        <w:bottom w:val="none" w:sz="0" w:space="0" w:color="auto"/>
        <w:right w:val="none" w:sz="0" w:space="0" w:color="auto"/>
      </w:divBdr>
    </w:div>
    <w:div w:id="420953082">
      <w:bodyDiv w:val="1"/>
      <w:marLeft w:val="0"/>
      <w:marRight w:val="0"/>
      <w:marTop w:val="0"/>
      <w:marBottom w:val="0"/>
      <w:divBdr>
        <w:top w:val="none" w:sz="0" w:space="0" w:color="auto"/>
        <w:left w:val="none" w:sz="0" w:space="0" w:color="auto"/>
        <w:bottom w:val="none" w:sz="0" w:space="0" w:color="auto"/>
        <w:right w:val="none" w:sz="0" w:space="0" w:color="auto"/>
      </w:divBdr>
    </w:div>
    <w:div w:id="456335152">
      <w:bodyDiv w:val="1"/>
      <w:marLeft w:val="0"/>
      <w:marRight w:val="0"/>
      <w:marTop w:val="0"/>
      <w:marBottom w:val="0"/>
      <w:divBdr>
        <w:top w:val="none" w:sz="0" w:space="0" w:color="auto"/>
        <w:left w:val="none" w:sz="0" w:space="0" w:color="auto"/>
        <w:bottom w:val="none" w:sz="0" w:space="0" w:color="auto"/>
        <w:right w:val="none" w:sz="0" w:space="0" w:color="auto"/>
      </w:divBdr>
    </w:div>
    <w:div w:id="484401205">
      <w:bodyDiv w:val="1"/>
      <w:marLeft w:val="0"/>
      <w:marRight w:val="0"/>
      <w:marTop w:val="0"/>
      <w:marBottom w:val="0"/>
      <w:divBdr>
        <w:top w:val="none" w:sz="0" w:space="0" w:color="auto"/>
        <w:left w:val="none" w:sz="0" w:space="0" w:color="auto"/>
        <w:bottom w:val="none" w:sz="0" w:space="0" w:color="auto"/>
        <w:right w:val="none" w:sz="0" w:space="0" w:color="auto"/>
      </w:divBdr>
    </w:div>
    <w:div w:id="522790148">
      <w:bodyDiv w:val="1"/>
      <w:marLeft w:val="0"/>
      <w:marRight w:val="0"/>
      <w:marTop w:val="0"/>
      <w:marBottom w:val="0"/>
      <w:divBdr>
        <w:top w:val="none" w:sz="0" w:space="0" w:color="auto"/>
        <w:left w:val="none" w:sz="0" w:space="0" w:color="auto"/>
        <w:bottom w:val="none" w:sz="0" w:space="0" w:color="auto"/>
        <w:right w:val="none" w:sz="0" w:space="0" w:color="auto"/>
      </w:divBdr>
    </w:div>
    <w:div w:id="568425044">
      <w:bodyDiv w:val="1"/>
      <w:marLeft w:val="0"/>
      <w:marRight w:val="0"/>
      <w:marTop w:val="0"/>
      <w:marBottom w:val="0"/>
      <w:divBdr>
        <w:top w:val="none" w:sz="0" w:space="0" w:color="auto"/>
        <w:left w:val="none" w:sz="0" w:space="0" w:color="auto"/>
        <w:bottom w:val="none" w:sz="0" w:space="0" w:color="auto"/>
        <w:right w:val="none" w:sz="0" w:space="0" w:color="auto"/>
      </w:divBdr>
    </w:div>
    <w:div w:id="672340168">
      <w:bodyDiv w:val="1"/>
      <w:marLeft w:val="0"/>
      <w:marRight w:val="0"/>
      <w:marTop w:val="0"/>
      <w:marBottom w:val="0"/>
      <w:divBdr>
        <w:top w:val="none" w:sz="0" w:space="0" w:color="auto"/>
        <w:left w:val="none" w:sz="0" w:space="0" w:color="auto"/>
        <w:bottom w:val="none" w:sz="0" w:space="0" w:color="auto"/>
        <w:right w:val="none" w:sz="0" w:space="0" w:color="auto"/>
      </w:divBdr>
    </w:div>
    <w:div w:id="720203712">
      <w:bodyDiv w:val="1"/>
      <w:marLeft w:val="0"/>
      <w:marRight w:val="0"/>
      <w:marTop w:val="0"/>
      <w:marBottom w:val="0"/>
      <w:divBdr>
        <w:top w:val="none" w:sz="0" w:space="0" w:color="auto"/>
        <w:left w:val="none" w:sz="0" w:space="0" w:color="auto"/>
        <w:bottom w:val="none" w:sz="0" w:space="0" w:color="auto"/>
        <w:right w:val="none" w:sz="0" w:space="0" w:color="auto"/>
      </w:divBdr>
    </w:div>
    <w:div w:id="856039107">
      <w:bodyDiv w:val="1"/>
      <w:marLeft w:val="0"/>
      <w:marRight w:val="0"/>
      <w:marTop w:val="0"/>
      <w:marBottom w:val="0"/>
      <w:divBdr>
        <w:top w:val="none" w:sz="0" w:space="0" w:color="auto"/>
        <w:left w:val="none" w:sz="0" w:space="0" w:color="auto"/>
        <w:bottom w:val="none" w:sz="0" w:space="0" w:color="auto"/>
        <w:right w:val="none" w:sz="0" w:space="0" w:color="auto"/>
      </w:divBdr>
    </w:div>
    <w:div w:id="887035693">
      <w:bodyDiv w:val="1"/>
      <w:marLeft w:val="0"/>
      <w:marRight w:val="0"/>
      <w:marTop w:val="0"/>
      <w:marBottom w:val="0"/>
      <w:divBdr>
        <w:top w:val="none" w:sz="0" w:space="0" w:color="auto"/>
        <w:left w:val="none" w:sz="0" w:space="0" w:color="auto"/>
        <w:bottom w:val="none" w:sz="0" w:space="0" w:color="auto"/>
        <w:right w:val="none" w:sz="0" w:space="0" w:color="auto"/>
      </w:divBdr>
    </w:div>
    <w:div w:id="1056928546">
      <w:bodyDiv w:val="1"/>
      <w:marLeft w:val="0"/>
      <w:marRight w:val="0"/>
      <w:marTop w:val="0"/>
      <w:marBottom w:val="0"/>
      <w:divBdr>
        <w:top w:val="none" w:sz="0" w:space="0" w:color="auto"/>
        <w:left w:val="none" w:sz="0" w:space="0" w:color="auto"/>
        <w:bottom w:val="none" w:sz="0" w:space="0" w:color="auto"/>
        <w:right w:val="none" w:sz="0" w:space="0" w:color="auto"/>
      </w:divBdr>
    </w:div>
    <w:div w:id="1074203077">
      <w:bodyDiv w:val="1"/>
      <w:marLeft w:val="0"/>
      <w:marRight w:val="0"/>
      <w:marTop w:val="0"/>
      <w:marBottom w:val="0"/>
      <w:divBdr>
        <w:top w:val="none" w:sz="0" w:space="0" w:color="auto"/>
        <w:left w:val="none" w:sz="0" w:space="0" w:color="auto"/>
        <w:bottom w:val="none" w:sz="0" w:space="0" w:color="auto"/>
        <w:right w:val="none" w:sz="0" w:space="0" w:color="auto"/>
      </w:divBdr>
    </w:div>
    <w:div w:id="1305234935">
      <w:bodyDiv w:val="1"/>
      <w:marLeft w:val="0"/>
      <w:marRight w:val="0"/>
      <w:marTop w:val="0"/>
      <w:marBottom w:val="0"/>
      <w:divBdr>
        <w:top w:val="none" w:sz="0" w:space="0" w:color="auto"/>
        <w:left w:val="none" w:sz="0" w:space="0" w:color="auto"/>
        <w:bottom w:val="none" w:sz="0" w:space="0" w:color="auto"/>
        <w:right w:val="none" w:sz="0" w:space="0" w:color="auto"/>
      </w:divBdr>
    </w:div>
    <w:div w:id="1325160083">
      <w:bodyDiv w:val="1"/>
      <w:marLeft w:val="0"/>
      <w:marRight w:val="0"/>
      <w:marTop w:val="0"/>
      <w:marBottom w:val="0"/>
      <w:divBdr>
        <w:top w:val="none" w:sz="0" w:space="0" w:color="auto"/>
        <w:left w:val="none" w:sz="0" w:space="0" w:color="auto"/>
        <w:bottom w:val="none" w:sz="0" w:space="0" w:color="auto"/>
        <w:right w:val="none" w:sz="0" w:space="0" w:color="auto"/>
      </w:divBdr>
    </w:div>
    <w:div w:id="1480345385">
      <w:bodyDiv w:val="1"/>
      <w:marLeft w:val="0"/>
      <w:marRight w:val="0"/>
      <w:marTop w:val="0"/>
      <w:marBottom w:val="0"/>
      <w:divBdr>
        <w:top w:val="none" w:sz="0" w:space="0" w:color="auto"/>
        <w:left w:val="none" w:sz="0" w:space="0" w:color="auto"/>
        <w:bottom w:val="none" w:sz="0" w:space="0" w:color="auto"/>
        <w:right w:val="none" w:sz="0" w:space="0" w:color="auto"/>
      </w:divBdr>
    </w:div>
    <w:div w:id="1505170472">
      <w:bodyDiv w:val="1"/>
      <w:marLeft w:val="0"/>
      <w:marRight w:val="0"/>
      <w:marTop w:val="0"/>
      <w:marBottom w:val="0"/>
      <w:divBdr>
        <w:top w:val="none" w:sz="0" w:space="0" w:color="auto"/>
        <w:left w:val="none" w:sz="0" w:space="0" w:color="auto"/>
        <w:bottom w:val="none" w:sz="0" w:space="0" w:color="auto"/>
        <w:right w:val="none" w:sz="0" w:space="0" w:color="auto"/>
      </w:divBdr>
    </w:div>
    <w:div w:id="1681198354">
      <w:bodyDiv w:val="1"/>
      <w:marLeft w:val="0"/>
      <w:marRight w:val="0"/>
      <w:marTop w:val="0"/>
      <w:marBottom w:val="0"/>
      <w:divBdr>
        <w:top w:val="none" w:sz="0" w:space="0" w:color="auto"/>
        <w:left w:val="none" w:sz="0" w:space="0" w:color="auto"/>
        <w:bottom w:val="none" w:sz="0" w:space="0" w:color="auto"/>
        <w:right w:val="none" w:sz="0" w:space="0" w:color="auto"/>
      </w:divBdr>
    </w:div>
    <w:div w:id="1711808003">
      <w:bodyDiv w:val="1"/>
      <w:marLeft w:val="0"/>
      <w:marRight w:val="0"/>
      <w:marTop w:val="0"/>
      <w:marBottom w:val="0"/>
      <w:divBdr>
        <w:top w:val="none" w:sz="0" w:space="0" w:color="auto"/>
        <w:left w:val="none" w:sz="0" w:space="0" w:color="auto"/>
        <w:bottom w:val="none" w:sz="0" w:space="0" w:color="auto"/>
        <w:right w:val="none" w:sz="0" w:space="0" w:color="auto"/>
      </w:divBdr>
    </w:div>
    <w:div w:id="1749569303">
      <w:bodyDiv w:val="1"/>
      <w:marLeft w:val="0"/>
      <w:marRight w:val="0"/>
      <w:marTop w:val="0"/>
      <w:marBottom w:val="0"/>
      <w:divBdr>
        <w:top w:val="none" w:sz="0" w:space="0" w:color="auto"/>
        <w:left w:val="none" w:sz="0" w:space="0" w:color="auto"/>
        <w:bottom w:val="none" w:sz="0" w:space="0" w:color="auto"/>
        <w:right w:val="none" w:sz="0" w:space="0" w:color="auto"/>
      </w:divBdr>
    </w:div>
    <w:div w:id="1750925366">
      <w:bodyDiv w:val="1"/>
      <w:marLeft w:val="0"/>
      <w:marRight w:val="0"/>
      <w:marTop w:val="0"/>
      <w:marBottom w:val="0"/>
      <w:divBdr>
        <w:top w:val="none" w:sz="0" w:space="0" w:color="auto"/>
        <w:left w:val="none" w:sz="0" w:space="0" w:color="auto"/>
        <w:bottom w:val="none" w:sz="0" w:space="0" w:color="auto"/>
        <w:right w:val="none" w:sz="0" w:space="0" w:color="auto"/>
      </w:divBdr>
    </w:div>
    <w:div w:id="1880243741">
      <w:bodyDiv w:val="1"/>
      <w:marLeft w:val="0"/>
      <w:marRight w:val="0"/>
      <w:marTop w:val="0"/>
      <w:marBottom w:val="0"/>
      <w:divBdr>
        <w:top w:val="none" w:sz="0" w:space="0" w:color="auto"/>
        <w:left w:val="none" w:sz="0" w:space="0" w:color="auto"/>
        <w:bottom w:val="none" w:sz="0" w:space="0" w:color="auto"/>
        <w:right w:val="none" w:sz="0" w:space="0" w:color="auto"/>
      </w:divBdr>
    </w:div>
    <w:div w:id="1894851646">
      <w:bodyDiv w:val="1"/>
      <w:marLeft w:val="0"/>
      <w:marRight w:val="0"/>
      <w:marTop w:val="0"/>
      <w:marBottom w:val="0"/>
      <w:divBdr>
        <w:top w:val="none" w:sz="0" w:space="0" w:color="auto"/>
        <w:left w:val="none" w:sz="0" w:space="0" w:color="auto"/>
        <w:bottom w:val="none" w:sz="0" w:space="0" w:color="auto"/>
        <w:right w:val="none" w:sz="0" w:space="0" w:color="auto"/>
      </w:divBdr>
    </w:div>
    <w:div w:id="1898541583">
      <w:bodyDiv w:val="1"/>
      <w:marLeft w:val="0"/>
      <w:marRight w:val="0"/>
      <w:marTop w:val="0"/>
      <w:marBottom w:val="0"/>
      <w:divBdr>
        <w:top w:val="none" w:sz="0" w:space="0" w:color="auto"/>
        <w:left w:val="none" w:sz="0" w:space="0" w:color="auto"/>
        <w:bottom w:val="none" w:sz="0" w:space="0" w:color="auto"/>
        <w:right w:val="none" w:sz="0" w:space="0" w:color="auto"/>
      </w:divBdr>
    </w:div>
    <w:div w:id="1915584468">
      <w:bodyDiv w:val="1"/>
      <w:marLeft w:val="0"/>
      <w:marRight w:val="0"/>
      <w:marTop w:val="0"/>
      <w:marBottom w:val="0"/>
      <w:divBdr>
        <w:top w:val="none" w:sz="0" w:space="0" w:color="auto"/>
        <w:left w:val="none" w:sz="0" w:space="0" w:color="auto"/>
        <w:bottom w:val="none" w:sz="0" w:space="0" w:color="auto"/>
        <w:right w:val="none" w:sz="0" w:space="0" w:color="auto"/>
      </w:divBdr>
    </w:div>
    <w:div w:id="1952474898">
      <w:bodyDiv w:val="1"/>
      <w:marLeft w:val="0"/>
      <w:marRight w:val="0"/>
      <w:marTop w:val="0"/>
      <w:marBottom w:val="0"/>
      <w:divBdr>
        <w:top w:val="none" w:sz="0" w:space="0" w:color="auto"/>
        <w:left w:val="none" w:sz="0" w:space="0" w:color="auto"/>
        <w:bottom w:val="none" w:sz="0" w:space="0" w:color="auto"/>
        <w:right w:val="none" w:sz="0" w:space="0" w:color="auto"/>
      </w:divBdr>
    </w:div>
    <w:div w:id="1964774227">
      <w:bodyDiv w:val="1"/>
      <w:marLeft w:val="0"/>
      <w:marRight w:val="0"/>
      <w:marTop w:val="0"/>
      <w:marBottom w:val="0"/>
      <w:divBdr>
        <w:top w:val="none" w:sz="0" w:space="0" w:color="auto"/>
        <w:left w:val="none" w:sz="0" w:space="0" w:color="auto"/>
        <w:bottom w:val="none" w:sz="0" w:space="0" w:color="auto"/>
        <w:right w:val="none" w:sz="0" w:space="0" w:color="auto"/>
      </w:divBdr>
    </w:div>
    <w:div w:id="1986814464">
      <w:bodyDiv w:val="1"/>
      <w:marLeft w:val="0"/>
      <w:marRight w:val="0"/>
      <w:marTop w:val="0"/>
      <w:marBottom w:val="0"/>
      <w:divBdr>
        <w:top w:val="none" w:sz="0" w:space="0" w:color="auto"/>
        <w:left w:val="none" w:sz="0" w:space="0" w:color="auto"/>
        <w:bottom w:val="none" w:sz="0" w:space="0" w:color="auto"/>
        <w:right w:val="none" w:sz="0" w:space="0" w:color="auto"/>
      </w:divBdr>
    </w:div>
    <w:div w:id="2055041774">
      <w:bodyDiv w:val="1"/>
      <w:marLeft w:val="0"/>
      <w:marRight w:val="0"/>
      <w:marTop w:val="0"/>
      <w:marBottom w:val="0"/>
      <w:divBdr>
        <w:top w:val="none" w:sz="0" w:space="0" w:color="auto"/>
        <w:left w:val="none" w:sz="0" w:space="0" w:color="auto"/>
        <w:bottom w:val="none" w:sz="0" w:space="0" w:color="auto"/>
        <w:right w:val="none" w:sz="0" w:space="0" w:color="auto"/>
      </w:divBdr>
    </w:div>
    <w:div w:id="2118136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3.xm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s://www.tga.gov.au/product-information-pi" TargetMode="External"/><Relationship Id="rId25"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header" Target="head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6.xml"/><Relationship Id="rId5" Type="http://schemas.openxmlformats.org/officeDocument/2006/relationships/settings" Target="settings.xml"/><Relationship Id="rId15" Type="http://schemas.openxmlformats.org/officeDocument/2006/relationships/hyperlink" Target="http://www.tga.gov.au/book/australian-specific-annex-template" TargetMode="External"/><Relationship Id="rId23" Type="http://schemas.openxmlformats.org/officeDocument/2006/relationships/hyperlink" Target="https://www.tga.gov.au" TargetMode="External"/><Relationship Id="rId28" Type="http://schemas.openxmlformats.org/officeDocument/2006/relationships/footer" Target="footer4.xml"/><Relationship Id="rId10" Type="http://schemas.openxmlformats.org/officeDocument/2006/relationships/hyperlink" Target="mailto:tga.copyright@tga.gov.au" TargetMode="External"/><Relationship Id="rId19"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hyperlink" Target="https://www.tga.gov.au" TargetMode="External"/><Relationship Id="rId14" Type="http://schemas.openxmlformats.org/officeDocument/2006/relationships/hyperlink" Target="https://www.tga.gov.au/product-information-pi" TargetMode="External"/><Relationship Id="rId22" Type="http://schemas.openxmlformats.org/officeDocument/2006/relationships/hyperlink" Target="mailto:info@tga.gov.au" TargetMode="External"/><Relationship Id="rId27" Type="http://schemas.openxmlformats.org/officeDocument/2006/relationships/header" Target="header8.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rann\AppData\Local\Hewlett-Packard\HP%20TRIM\TEMP\HPTRIM.4212\R12%20926607%20%20AusPAR%20-%20template.DOTX" TargetMode="External"/></Relationships>
</file>

<file path=word/theme/theme1.xml><?xml version="1.0" encoding="utf-8"?>
<a:theme xmlns:a="http://schemas.openxmlformats.org/drawingml/2006/main" name="TGA">
  <a:themeElements>
    <a:clrScheme name="TGA_Colours">
      <a:dk1>
        <a:sysClr val="windowText" lastClr="000000"/>
      </a:dk1>
      <a:lt1>
        <a:sysClr val="window" lastClr="FFFFFF"/>
      </a:lt1>
      <a:dk2>
        <a:srgbClr val="002C47"/>
      </a:dk2>
      <a:lt2>
        <a:srgbClr val="50555C"/>
      </a:lt2>
      <a:accent1>
        <a:srgbClr val="002C47"/>
      </a:accent1>
      <a:accent2>
        <a:srgbClr val="B3C960"/>
      </a:accent2>
      <a:accent3>
        <a:srgbClr val="006DA7"/>
      </a:accent3>
      <a:accent4>
        <a:srgbClr val="006664"/>
      </a:accent4>
      <a:accent5>
        <a:srgbClr val="4D2779"/>
      </a:accent5>
      <a:accent6>
        <a:srgbClr val="25451C"/>
      </a:accent6>
      <a:hlink>
        <a:srgbClr val="50555C"/>
      </a:hlink>
      <a:folHlink>
        <a:srgbClr val="365171"/>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E2FE4B-06D9-4C92-97A8-41926763F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R12 926607  AusPAR - template</Template>
  <TotalTime>31</TotalTime>
  <Pages>35</Pages>
  <Words>11613</Words>
  <Characters>66311</Characters>
  <Application>Microsoft Office Word</Application>
  <DocSecurity>0</DocSecurity>
  <Lines>1473</Lines>
  <Paragraphs>756</Paragraphs>
  <ScaleCrop>false</ScaleCrop>
  <HeadingPairs>
    <vt:vector size="2" baseType="variant">
      <vt:variant>
        <vt:lpstr>Title</vt:lpstr>
      </vt:variant>
      <vt:variant>
        <vt:i4>1</vt:i4>
      </vt:variant>
    </vt:vector>
  </HeadingPairs>
  <TitlesOfParts>
    <vt:vector size="1" baseType="lpstr">
      <vt:lpstr>Australian public assessment for Golimumab (rmc)</vt:lpstr>
    </vt:vector>
  </TitlesOfParts>
  <Company/>
  <LinksUpToDate>false</LinksUpToDate>
  <CharactersWithSpaces>77168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public assessment for Golimumab (rmc)</dc:title>
  <dc:subject>prescription medicines</dc:subject>
  <dc:creator>Therapeutic Goods Administration</dc:creator>
  <cp:keywords>AusPAR</cp:keywords>
  <cp:lastModifiedBy>LACK, Janet</cp:lastModifiedBy>
  <cp:revision>4</cp:revision>
  <cp:lastPrinted>2015-09-22T23:39:00Z</cp:lastPrinted>
  <dcterms:created xsi:type="dcterms:W3CDTF">2017-07-13T03:41:00Z</dcterms:created>
  <dcterms:modified xsi:type="dcterms:W3CDTF">2017-07-13T06:00:00Z</dcterms:modified>
  <cp:category/>
</cp:coreProperties>
</file>