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11F4" w14:textId="77777777" w:rsidR="00122EBC" w:rsidRPr="00122EBC" w:rsidRDefault="00122EBC" w:rsidP="00122EBC">
      <w:pPr>
        <w:pStyle w:val="BodyText1"/>
        <w:spacing w:after="240"/>
        <w:rPr>
          <w:noProof/>
          <w:sz w:val="20"/>
        </w:rPr>
      </w:pPr>
      <w:r w:rsidRPr="00122EBC">
        <w:rPr>
          <w:noProof/>
          <w:sz w:val="20"/>
          <w:lang w:eastAsia="en-AU"/>
        </w:rPr>
        <mc:AlternateContent>
          <mc:Choice Requires="wps">
            <w:drawing>
              <wp:inline distT="0" distB="0" distL="0" distR="0" wp14:anchorId="7BD384AB" wp14:editId="7C959BD0">
                <wp:extent cx="252095" cy="2520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14A1E" w14:textId="77777777" w:rsidR="00FE36FE" w:rsidRDefault="00FE36FE" w:rsidP="00122EBC">
                            <w:pPr>
                              <w:spacing w:after="0"/>
                              <w:rPr>
                                <w:rFonts w:ascii="Wingdings 3" w:hAnsi="Wingdings 3"/>
                                <w:sz w:val="24"/>
                              </w:rPr>
                            </w:pPr>
                            <w:r>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edQIAAP4EAAAOAAAAZHJzL2Uyb0RvYy54bWysVNtu3CAQfa/Uf0C8b3yJN1lb641y6VaV&#10;0ouU9ANYwGtUDBTYtdOo/94Brzdp2kpVVT/gAYbDzJwzLC+GTqI9t05oVePsJMWIK6qZUNsaf75f&#10;zxYYOU8UI1IrXuMH7vDF6vWrZW8qnutWS8YtAhDlqt7UuPXeVEniaMs74k604Qo2G2074mFqtwmz&#10;pAf0TiZ5mp4lvbbMWE25c7B6M27iVcRvGk79x6Zx3CNZY4jNx9HGcRPGZLUk1dYS0wp6CIP8QxQd&#10;EQouPULdEE/QzopfoDpBrXa68SdUd4luGkF5zAGyydIX2dy1xPCYCxTHmWOZ3P+DpR/2nywSrMan&#10;GCnSAUX3fPDoSg/oNFSnN64CpzsDbn6AZWA5ZurMraZfHFL6uiVqyy+t1X3LCYPosnAyeXZ0xHEB&#10;ZNO/1wyuITuvI9DQ2C6UDoqBAB1YejgyE0KhsJjP87ScY0Rh62CHG0g1HTbW+bdcdygYNbZAfAQn&#10;+1vnR9fJJdzltBRsLaSME7vdXEuL9gREso5fjP+Fm1TBWelwbEQcVyBGuCPshWgj6Y9llhfpVV7O&#10;1meL81mxLuaz8jxdzNKsvCrP0qIsbtbfQ4BZUbWCMa5uheKTALPi7wg+tMIonShB1Ne4nOfzkaE/&#10;JpnG73dJdsJDP0rR1XhxdCJV4PWNYpA2qTwRcrSTn8OPhEANpn+sSlRBIH6UgB82A6AEaWw0ewA9&#10;WA18AenwiIDRavsNox4assbu645YjpF8p0BToXsnw07GZjKIonC0xh6j0bz2Y5fvjBXbFpBH1Sp9&#10;CbprRNTEUxQHtUKTxeAPD0Lo4ufz6PX0bK1+AAAA//8DAFBLAwQUAAYACAAAACEAY/VODNkAAAAD&#10;AQAADwAAAGRycy9kb3ducmV2LnhtbEyPQU/CQBCF7yb8h82QeDGwFROU2i1B0JscQMJ56I5tQ3e2&#10;2d3S8u9d9aCXeZm8yXvfZMvBNOJCzteWFdxPExDEhdU1lwoOH2+TJxA+IGtsLJOCK3lY5qObDFNt&#10;e97RZR9KEUPYp6igCqFNpfRFRQb91LbE0fu0zmCIqyuldtjHcNPIWZLMpcGaY0OFLa0rKs77ziiY&#10;b1zX73h9tzm8vuO2LWfHl+tRqdvxsHoGEWgIf8fwjR/RIY9MJ9ux9qJREB8JPzN6D4tHEKdflXkm&#10;/7PnXwAAAP//AwBQSwECLQAUAAYACAAAACEAtoM4kv4AAADhAQAAEwAAAAAAAAAAAAAAAAAAAAAA&#10;W0NvbnRlbnRfVHlwZXNdLnhtbFBLAQItABQABgAIAAAAIQA4/SH/1gAAAJQBAAALAAAAAAAAAAAA&#10;AAAAAC8BAABfcmVscy8ucmVsc1BLAQItABQABgAIAAAAIQCxv/qedQIAAP4EAAAOAAAAAAAAAAAA&#10;AAAAAC4CAABkcnMvZTJvRG9jLnhtbFBLAQItABQABgAIAAAAIQBj9U4M2QAAAAMBAAAPAAAAAAAA&#10;AAAAAAAAAM8EAABkcnMvZG93bnJldi54bWxQSwUGAAAAAAQABADzAAAA1QUAAAAA&#10;" stroked="f">
                <v:textbox inset="0,0,0,0">
                  <w:txbxContent>
                    <w:p w14:paraId="27914A1E" w14:textId="77777777" w:rsidR="00FE36FE" w:rsidRDefault="00FE36FE" w:rsidP="00122EBC">
                      <w:pPr>
                        <w:spacing w:after="0"/>
                        <w:rPr>
                          <w:rFonts w:ascii="Wingdings 3" w:hAnsi="Wingdings 3"/>
                          <w:sz w:val="24"/>
                        </w:rPr>
                      </w:pPr>
                      <w:r>
                        <w:rPr>
                          <w:rFonts w:ascii="SimSun" w:eastAsia="SimSun" w:hAnsi="SimSun" w:cs="Arial" w:hint="eastAsia"/>
                          <w:sz w:val="40"/>
                        </w:rPr>
                        <w:t>▼</w:t>
                      </w:r>
                    </w:p>
                  </w:txbxContent>
                </v:textbox>
                <w10:anchorlock/>
              </v:shape>
            </w:pict>
          </mc:Fallback>
        </mc:AlternateContent>
      </w:r>
      <w:r w:rsidRPr="00122EBC">
        <w:rPr>
          <w:noProof/>
          <w:sz w:val="20"/>
        </w:rPr>
        <w:t xml:space="preserve">This medicinal product is subject to additional monitoring in Australia. This will allow quick identification of new safety information. Healthcare professionals are asked to report any suspected adverse events at </w:t>
      </w:r>
      <w:hyperlink r:id="rId8" w:history="1">
        <w:r w:rsidRPr="00122EBC">
          <w:rPr>
            <w:rStyle w:val="Hyperlink"/>
            <w:noProof/>
            <w:sz w:val="20"/>
          </w:rPr>
          <w:t>www.tga.gov.au/reporting-problems</w:t>
        </w:r>
      </w:hyperlink>
      <w:r w:rsidRPr="00122EBC">
        <w:rPr>
          <w:noProof/>
          <w:sz w:val="20"/>
        </w:rPr>
        <w:t>.</w:t>
      </w:r>
    </w:p>
    <w:p w14:paraId="3592482D" w14:textId="36B70163" w:rsidR="00D92B0C" w:rsidRPr="00C85CED" w:rsidRDefault="00EA3F97" w:rsidP="00D92B0C">
      <w:pPr>
        <w:pStyle w:val="Title"/>
        <w:rPr>
          <w:lang w:val="en-AU"/>
        </w:rPr>
      </w:pPr>
      <w:r w:rsidRPr="00C85CED">
        <w:rPr>
          <w:noProof/>
          <w:lang w:val="en-AU" w:eastAsia="en-AU"/>
        </w:rPr>
        <mc:AlternateContent>
          <mc:Choice Requires="wps">
            <w:drawing>
              <wp:anchor distT="0" distB="0" distL="114300" distR="114300" simplePos="0" relativeHeight="251659264" behindDoc="0" locked="0" layoutInCell="1" allowOverlap="1" wp14:anchorId="0B244168" wp14:editId="08EDE5A9">
                <wp:simplePos x="0" y="0"/>
                <wp:positionH relativeFrom="column">
                  <wp:posOffset>-276225</wp:posOffset>
                </wp:positionH>
                <wp:positionV relativeFrom="paragraph">
                  <wp:posOffset>-57150</wp:posOffset>
                </wp:positionV>
                <wp:extent cx="6534150" cy="2857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5341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8096D" id="Straight Connector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75pt,-4.5pt" to="49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613QEAABEEAAAOAAAAZHJzL2Uyb0RvYy54bWysU01vEzEQvSPxHyzfyW4CKe0qmx5SlQuC&#10;iJbeXe84a8n2WLbJx79n7N1sKkCVQFwsf8x7M+/NeHV7tIbtIUSNruXzWc0ZOImddruWf3+8f3fN&#10;WUzCdcKgg5afIPLb9ds3q4NvYIE9mg4CIxIXm4NveZ+Sb6oqyh6siDP04OhRYbAi0THsqi6IA7Fb&#10;Uy3q+qo6YOh8QAkx0u3d8MjXhV8pkOmrUhESMy2n2lJZQ1mf81qtV6LZBeF7LccyxD9UYYV2lHSi&#10;uhNJsB9B/0ZltQwYUaWZRFuhUlpC0UBq5vUvah564aFoIXOin2yK/49WftlvA9Ndy284c8JSix5S&#10;EHrXJ7ZB58hADOwm+3TwsaHwjduG8RT9NmTRRxUsU0b7JxqBYgMJY8fi8mlyGY6JSbq8Wr7/MF9S&#10;MyS9La6XH5eZvRpoMp0PMX0CtCxvWm60yyaIRuw/xzSEnkPytXF5jWh0d6+NKYc8PrAxge0FNT4d&#10;52OKF1GUMCOrLGsQUnbpZGBg/QaKjKGCB0llJC+cQkpw6cxrHEVnmKIKJmBdyn4VOMZnKJRx/Rvw&#10;hCiZ0aUJbLXD8KfsFyvUEH92YNCdLXjG7lRaXKyhuSvNGf9IHuyX5wK//OT1TwAAAP//AwBQSwME&#10;FAAGAAgAAAAhAC7mTmzfAAAACQEAAA8AAABkcnMvZG93bnJldi54bWxMj0FPwzAMhe9I/IfISNy2&#10;dEDRVppOCIkD0jTGxgFuWWLaQuOUJN3Kv8c7wc32e3r+XrkcXScOGGLrScFsmoFAMt62VCt43T1O&#10;5iBi0mR15wkV/GCEZXV+VurC+iO94GGbasEhFAutoEmpL6SMpkGn49T3SKx9+OB04jXU0gZ95HDX&#10;yassu5VOt8QfGt3jQ4Pmazs4BW+zp++N6T83u2ezeg+rtF5jGpS6vBjv70AkHNOfGU74jA4VM+39&#10;QDaKTsHk5jpnKw8L7sSGxTznw/6k5CCrUv5vUP0CAAD//wMAUEsBAi0AFAAGAAgAAAAhALaDOJL+&#10;AAAA4QEAABMAAAAAAAAAAAAAAAAAAAAAAFtDb250ZW50X1R5cGVzXS54bWxQSwECLQAUAAYACAAA&#10;ACEAOP0h/9YAAACUAQAACwAAAAAAAAAAAAAAAAAvAQAAX3JlbHMvLnJlbHNQSwECLQAUAAYACAAA&#10;ACEAeIrutd0BAAARBAAADgAAAAAAAAAAAAAAAAAuAgAAZHJzL2Uyb0RvYy54bWxQSwECLQAUAAYA&#10;CAAAACEALuZObN8AAAAJAQAADwAAAAAAAAAAAAAAAAA3BAAAZHJzL2Rvd25yZXYueG1sUEsFBgAA&#10;AAAEAAQA8wAAAEMFAAAAAA==&#10;" strokecolor="black [3213]" strokeweight=".5pt">
                <v:stroke joinstyle="miter"/>
              </v:line>
            </w:pict>
          </mc:Fallback>
        </mc:AlternateContent>
      </w:r>
      <w:r w:rsidR="00D07DBE" w:rsidRPr="00C85CED">
        <w:rPr>
          <w:noProof/>
          <w:lang w:val="en-AU"/>
        </w:rPr>
        <w:t>TREMFYA</w:t>
      </w:r>
      <w:r w:rsidR="00D07DBE" w:rsidRPr="00C85CED">
        <w:rPr>
          <w:noProof/>
          <w:vertAlign w:val="superscript"/>
          <w:lang w:val="en-AU"/>
        </w:rPr>
        <w:t>®</w:t>
      </w:r>
    </w:p>
    <w:p w14:paraId="47E7C7AE" w14:textId="77777777" w:rsidR="00D92B0C" w:rsidRPr="00C85CED" w:rsidRDefault="00D07DBE" w:rsidP="00D92B0C">
      <w:pPr>
        <w:pStyle w:val="Subtitle"/>
        <w:rPr>
          <w:lang w:val="en-AU"/>
        </w:rPr>
      </w:pPr>
      <w:proofErr w:type="spellStart"/>
      <w:proofErr w:type="gramStart"/>
      <w:r w:rsidRPr="00C85CED">
        <w:rPr>
          <w:lang w:val="en-AU"/>
        </w:rPr>
        <w:t>guselkumab</w:t>
      </w:r>
      <w:proofErr w:type="spellEnd"/>
      <w:proofErr w:type="gramEnd"/>
    </w:p>
    <w:p w14:paraId="21E4362E" w14:textId="77777777" w:rsidR="00BA1291" w:rsidRPr="00C85CED" w:rsidRDefault="00EA3F97" w:rsidP="00D0128F">
      <w:pPr>
        <w:pStyle w:val="subtitle2"/>
        <w:spacing w:after="360"/>
        <w:rPr>
          <w:lang w:val="en-AU"/>
        </w:rPr>
      </w:pPr>
      <w:r w:rsidRPr="00C85CED">
        <w:rPr>
          <w:noProof/>
          <w:lang w:val="en-AU" w:eastAsia="en-AU"/>
        </w:rPr>
        <mc:AlternateContent>
          <mc:Choice Requires="wps">
            <w:drawing>
              <wp:anchor distT="0" distB="0" distL="114300" distR="114300" simplePos="0" relativeHeight="251661312" behindDoc="0" locked="0" layoutInCell="1" allowOverlap="1" wp14:anchorId="299044AF" wp14:editId="1EA7C192">
                <wp:simplePos x="0" y="0"/>
                <wp:positionH relativeFrom="column">
                  <wp:posOffset>-247650</wp:posOffset>
                </wp:positionH>
                <wp:positionV relativeFrom="paragraph">
                  <wp:posOffset>230505</wp:posOffset>
                </wp:positionV>
                <wp:extent cx="6534150" cy="2857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5341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E4EC2" id="Straight Connector 1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5pt,18.15pt" to="4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qU3AEAABMEAAAOAAAAZHJzL2Uyb0RvYy54bWysU02P0zAQvSPxHyzfadJCl1XUdA9dLRcE&#10;Fbtw9zrjxpLtsWzTpP+esdOmK0BIIC6WP+a9mfdmvLkbrWFHCFGja/lyUXMGTmKn3aHlX58e3txy&#10;FpNwnTDooOUniPxu+/rVZvANrLBH00FgROJiM/iW9yn5pqqi7MGKuEAPjh4VBisSHcOh6oIYiN2a&#10;alXXN9WAofMBJcRIt/fTI98WfqVAps9KRUjMtJxqS2UNZX3Oa7XdiOYQhO+1PJch/qEKK7SjpDPV&#10;vUiCfQ/6FyqrZcCIKi0k2gqV0hKKBlKzrH9S89gLD0ULmRP9bFP8f7Ty03EfmO6od2SPE5Z69JiC&#10;0Ic+sR06Rw5iYPRITg0+NgTYuX04n6Lfhyx7VMEyZbT/RkTFCJLGxuLzafYZxsQkXd6s375brimf&#10;pLfV7fr9OrNXE02m8yGmD4CW5U3LjXbZBtGI48eYptBLSL42Lq8Rje4etDHlkAcIdiawo6DWp3F5&#10;TvEiihJmZJVlTULKLp0MTKxfQJE1VPAkqQzllVNICS5deI2j6AxTVMEMrEvZfwSe4zMUysD+DXhG&#10;lMzo0gy22mH4XfarFWqKvzgw6c4WPGN3Ki0u1tDkleacf0ke7ZfnAr/+5e0PAAAA//8DAFBLAwQU&#10;AAYACAAAACEAQwmlPOEAAAAJAQAADwAAAGRycy9kb3ducmV2LnhtbEyPzU7DMBCE70i8g7VI3Fq7&#10;BFVNmk2FkDggVaU/HOjNtZckENvBdtrw9pgTHGdnNPtNuRpNx87kQ+sswmwqgJFVTre2Rng9PE0W&#10;wEKUVsvOWUL4pgCr6vqqlIV2F7uj8z7WLJXYUEiEJsa+4DyohowMU9eTTd6780bGJH3NtZeXVG46&#10;fifEnBvZ2vShkT09NqQ+94NBeJs9f21V/7E9vKj10a/jZkNxQLy9GR+WwCKN8S8Mv/gJHarEdHKD&#10;1YF1CJMsT1siQjbPgKVAnot0OCHciwXwquT/F1Q/AAAA//8DAFBLAQItABQABgAIAAAAIQC2gziS&#10;/gAAAOEBAAATAAAAAAAAAAAAAAAAAAAAAABbQ29udGVudF9UeXBlc10ueG1sUEsBAi0AFAAGAAgA&#10;AAAhADj9If/WAAAAlAEAAAsAAAAAAAAAAAAAAAAALwEAAF9yZWxzLy5yZWxzUEsBAi0AFAAGAAgA&#10;AAAhALzCSpTcAQAAEwQAAA4AAAAAAAAAAAAAAAAALgIAAGRycy9lMm9Eb2MueG1sUEsBAi0AFAAG&#10;AAgAAAAhAEMJpTzhAAAACQEAAA8AAAAAAAAAAAAAAAAANgQAAGRycy9kb3ducmV2LnhtbFBLBQYA&#10;AAAABAAEAPMAAABEBQAAAAA=&#10;" strokecolor="black [3213]" strokeweight=".5pt">
                <v:stroke joinstyle="miter"/>
              </v:line>
            </w:pict>
          </mc:Fallback>
        </mc:AlternateContent>
      </w:r>
      <w:r w:rsidR="00D07DBE" w:rsidRPr="00C85CED">
        <w:rPr>
          <w:lang w:val="en-AU"/>
        </w:rPr>
        <w:t xml:space="preserve">Australian </w:t>
      </w:r>
      <w:r w:rsidR="00BA1291" w:rsidRPr="00C85CED">
        <w:rPr>
          <w:lang w:val="en-AU"/>
        </w:rPr>
        <w:t>Product information</w:t>
      </w:r>
    </w:p>
    <w:p w14:paraId="4AFF3FA1" w14:textId="77777777" w:rsidR="00D92B0C" w:rsidRPr="00C85CED" w:rsidRDefault="00D92B0C" w:rsidP="00D33636">
      <w:pPr>
        <w:pStyle w:val="Heading1"/>
        <w:numPr>
          <w:ilvl w:val="0"/>
          <w:numId w:val="20"/>
        </w:numPr>
        <w:ind w:left="426"/>
        <w:rPr>
          <w:lang w:val="en-AU"/>
        </w:rPr>
      </w:pPr>
      <w:r w:rsidRPr="00C85CED">
        <w:rPr>
          <w:lang w:val="en-AU"/>
        </w:rPr>
        <w:t>NAME OF THE MEDICINE</w:t>
      </w:r>
    </w:p>
    <w:p w14:paraId="3D38D0D1" w14:textId="77777777" w:rsidR="00BA4536" w:rsidRPr="00C85CED" w:rsidRDefault="00C40B92" w:rsidP="001A7B9B">
      <w:pPr>
        <w:rPr>
          <w:lang w:val="en-AU"/>
        </w:rPr>
      </w:pPr>
      <w:proofErr w:type="spellStart"/>
      <w:proofErr w:type="gramStart"/>
      <w:r w:rsidRPr="00C85CED">
        <w:rPr>
          <w:lang w:val="en-AU"/>
        </w:rPr>
        <w:t>G</w:t>
      </w:r>
      <w:r w:rsidR="00D07DBE" w:rsidRPr="00C85CED">
        <w:rPr>
          <w:lang w:val="en-AU"/>
        </w:rPr>
        <w:t>uselkumab</w:t>
      </w:r>
      <w:proofErr w:type="spellEnd"/>
      <w:r w:rsidR="00BA4536" w:rsidRPr="00C85CED">
        <w:rPr>
          <w:lang w:val="en-AU"/>
        </w:rPr>
        <w:t>.</w:t>
      </w:r>
      <w:proofErr w:type="gramEnd"/>
    </w:p>
    <w:p w14:paraId="47AFA6C9" w14:textId="77777777" w:rsidR="00D92B0C" w:rsidRPr="00C85CED" w:rsidRDefault="00A67CBD" w:rsidP="001A7B9B">
      <w:pPr>
        <w:rPr>
          <w:lang w:val="en-AU"/>
        </w:rPr>
      </w:pPr>
      <w:proofErr w:type="gramStart"/>
      <w:r w:rsidRPr="00C85CED">
        <w:rPr>
          <w:lang w:val="en-AU"/>
        </w:rPr>
        <w:t>TREMFYA (</w:t>
      </w:r>
      <w:proofErr w:type="spellStart"/>
      <w:r w:rsidRPr="00C85CED">
        <w:rPr>
          <w:lang w:val="en-AU"/>
        </w:rPr>
        <w:t>guselkumab</w:t>
      </w:r>
      <w:proofErr w:type="spellEnd"/>
      <w:r w:rsidRPr="00C85CED">
        <w:rPr>
          <w:lang w:val="en-AU"/>
        </w:rPr>
        <w:t>) 100 mg solution for injection in pre-filled syringe.</w:t>
      </w:r>
      <w:proofErr w:type="gramEnd"/>
    </w:p>
    <w:p w14:paraId="389E4416" w14:textId="77777777" w:rsidR="00D92B0C" w:rsidRPr="00C85CED" w:rsidRDefault="008459BA" w:rsidP="00D33636">
      <w:pPr>
        <w:pStyle w:val="Heading1"/>
        <w:rPr>
          <w:lang w:val="en-AU"/>
        </w:rPr>
      </w:pPr>
      <w:r w:rsidRPr="00C85CED">
        <w:rPr>
          <w:lang w:val="en-AU"/>
        </w:rPr>
        <w:t>Qualitative and quantitative composition</w:t>
      </w:r>
    </w:p>
    <w:p w14:paraId="2AA6DC61" w14:textId="77777777" w:rsidR="00C40B92" w:rsidRPr="00C85CED" w:rsidRDefault="00C40B92" w:rsidP="00A67CBD">
      <w:pPr>
        <w:rPr>
          <w:lang w:val="en-AU"/>
        </w:rPr>
      </w:pPr>
      <w:r w:rsidRPr="00C85CED">
        <w:rPr>
          <w:lang w:val="en-AU"/>
        </w:rPr>
        <w:t xml:space="preserve">Each 100 mg pre-filled syringe contains 100 mg of </w:t>
      </w:r>
      <w:proofErr w:type="spellStart"/>
      <w:r w:rsidRPr="00C85CED">
        <w:rPr>
          <w:lang w:val="en-AU"/>
        </w:rPr>
        <w:t>guselkumab</w:t>
      </w:r>
      <w:proofErr w:type="spellEnd"/>
      <w:r w:rsidRPr="00C85CED">
        <w:rPr>
          <w:lang w:val="en-AU"/>
        </w:rPr>
        <w:t xml:space="preserve"> per 1 </w:t>
      </w:r>
      <w:proofErr w:type="spellStart"/>
      <w:r w:rsidRPr="00C85CED">
        <w:rPr>
          <w:lang w:val="en-AU"/>
        </w:rPr>
        <w:t>mL.</w:t>
      </w:r>
      <w:proofErr w:type="spellEnd"/>
    </w:p>
    <w:p w14:paraId="5E614DA7" w14:textId="77777777" w:rsidR="00C40B92" w:rsidRPr="00C85CED" w:rsidRDefault="00C40B92" w:rsidP="00A67CBD">
      <w:pPr>
        <w:rPr>
          <w:lang w:val="en-AU"/>
        </w:rPr>
      </w:pPr>
      <w:proofErr w:type="spellStart"/>
      <w:r w:rsidRPr="00C85CED">
        <w:rPr>
          <w:lang w:val="en-AU"/>
        </w:rPr>
        <w:t>Guselkumab</w:t>
      </w:r>
      <w:proofErr w:type="spellEnd"/>
      <w:r w:rsidRPr="00C85CED">
        <w:rPr>
          <w:lang w:val="en-AU"/>
        </w:rPr>
        <w:t xml:space="preserve"> is a fully human immunoglobulin G1 lambda (IgG1λ) monoclonal antibody (</w:t>
      </w:r>
      <w:proofErr w:type="spellStart"/>
      <w:r w:rsidRPr="00C85CED">
        <w:rPr>
          <w:lang w:val="en-AU"/>
        </w:rPr>
        <w:t>mAb</w:t>
      </w:r>
      <w:proofErr w:type="spellEnd"/>
      <w:r w:rsidRPr="00C85CED">
        <w:rPr>
          <w:lang w:val="en-AU"/>
        </w:rPr>
        <w:t xml:space="preserve">) that binds selectively to the extracellular human interleukin 23 (IL-23) </w:t>
      </w:r>
      <w:proofErr w:type="gramStart"/>
      <w:r w:rsidRPr="00C85CED">
        <w:rPr>
          <w:lang w:val="en-AU"/>
        </w:rPr>
        <w:t>protein</w:t>
      </w:r>
      <w:proofErr w:type="gramEnd"/>
      <w:r w:rsidRPr="00C85CED">
        <w:rPr>
          <w:lang w:val="en-AU"/>
        </w:rPr>
        <w:t xml:space="preserve"> with </w:t>
      </w:r>
      <w:r w:rsidR="00A67CBD" w:rsidRPr="00C85CED">
        <w:rPr>
          <w:lang w:val="en-AU"/>
        </w:rPr>
        <w:t xml:space="preserve">high specificity and affinity. </w:t>
      </w:r>
      <w:proofErr w:type="spellStart"/>
      <w:r w:rsidRPr="00C85CED">
        <w:rPr>
          <w:lang w:val="en-AU"/>
        </w:rPr>
        <w:t>Guselkumab</w:t>
      </w:r>
      <w:proofErr w:type="spellEnd"/>
      <w:r w:rsidRPr="00C85CED">
        <w:rPr>
          <w:lang w:val="en-AU"/>
        </w:rPr>
        <w:t xml:space="preserve"> is produced in a mammalian cell line using recombinant DNA technology.</w:t>
      </w:r>
    </w:p>
    <w:p w14:paraId="55ECE665" w14:textId="239AA166" w:rsidR="00D07DBE" w:rsidRPr="00C85CED" w:rsidRDefault="00D07DBE" w:rsidP="00A67CBD">
      <w:pPr>
        <w:rPr>
          <w:lang w:val="en-AU"/>
        </w:rPr>
      </w:pPr>
      <w:r w:rsidRPr="00C85CED">
        <w:rPr>
          <w:lang w:val="en-AU"/>
        </w:rPr>
        <w:t xml:space="preserve">For a full list of excipients, see </w:t>
      </w:r>
      <w:r w:rsidRPr="00F769A4">
        <w:rPr>
          <w:lang w:val="en-AU"/>
        </w:rPr>
        <w:t>section 6.1</w:t>
      </w:r>
      <w:r w:rsidR="00F769A4">
        <w:rPr>
          <w:lang w:val="en-AU"/>
        </w:rPr>
        <w:t xml:space="preserve"> List of Excipients.</w:t>
      </w:r>
    </w:p>
    <w:p w14:paraId="7C4F8BA7" w14:textId="77777777" w:rsidR="00D92B0C" w:rsidRPr="00C85CED" w:rsidRDefault="00967A14" w:rsidP="00967A14">
      <w:pPr>
        <w:pStyle w:val="Heading1"/>
        <w:rPr>
          <w:lang w:val="en-AU"/>
        </w:rPr>
      </w:pPr>
      <w:r w:rsidRPr="00C85CED">
        <w:rPr>
          <w:lang w:val="en-AU"/>
        </w:rPr>
        <w:t>Pharmaceutical form</w:t>
      </w:r>
    </w:p>
    <w:p w14:paraId="12AD7324" w14:textId="77777777" w:rsidR="00D92B0C" w:rsidRPr="00C85CED" w:rsidRDefault="00A67CBD" w:rsidP="00D92B0C">
      <w:pPr>
        <w:rPr>
          <w:lang w:val="en-AU"/>
        </w:rPr>
      </w:pPr>
      <w:proofErr w:type="gramStart"/>
      <w:r w:rsidRPr="00C85CED">
        <w:rPr>
          <w:lang w:val="en-AU"/>
        </w:rPr>
        <w:t>Solution for injection</w:t>
      </w:r>
      <w:r w:rsidR="001F5D91" w:rsidRPr="00C85CED">
        <w:rPr>
          <w:lang w:val="en-AU"/>
        </w:rPr>
        <w:t xml:space="preserve"> in a prefilled syringe.</w:t>
      </w:r>
      <w:proofErr w:type="gramEnd"/>
    </w:p>
    <w:p w14:paraId="2326EE18" w14:textId="77777777" w:rsidR="00A67CBD" w:rsidRPr="00C85CED" w:rsidRDefault="00A67CBD" w:rsidP="00D92B0C">
      <w:pPr>
        <w:rPr>
          <w:lang w:val="en-AU"/>
        </w:rPr>
      </w:pPr>
      <w:r w:rsidRPr="00C85CED">
        <w:rPr>
          <w:lang w:val="en-AU"/>
        </w:rPr>
        <w:t>TREMFYA is a clear, colourless to light yellow solution.</w:t>
      </w:r>
    </w:p>
    <w:p w14:paraId="2788C32C" w14:textId="77777777" w:rsidR="00D92B0C" w:rsidRPr="00C85CED" w:rsidRDefault="00D92B0C" w:rsidP="008A13A7">
      <w:pPr>
        <w:pStyle w:val="Heading1"/>
        <w:rPr>
          <w:lang w:val="en-AU"/>
        </w:rPr>
      </w:pPr>
      <w:r w:rsidRPr="00C85CED">
        <w:rPr>
          <w:lang w:val="en-AU"/>
        </w:rPr>
        <w:t>CLINICAL PARTICULARS</w:t>
      </w:r>
    </w:p>
    <w:p w14:paraId="44B42828" w14:textId="14A0C002" w:rsidR="00D92B0C" w:rsidRPr="00C85CED" w:rsidRDefault="00845045" w:rsidP="008A13A7">
      <w:pPr>
        <w:pStyle w:val="Heading2"/>
        <w:rPr>
          <w:lang w:val="en-AU"/>
        </w:rPr>
      </w:pPr>
      <w:r w:rsidRPr="00C85CED">
        <w:rPr>
          <w:lang w:val="en-AU"/>
        </w:rPr>
        <w:t xml:space="preserve">THERAPEUTIC </w:t>
      </w:r>
      <w:r w:rsidR="00D92B0C" w:rsidRPr="00C85CED">
        <w:rPr>
          <w:lang w:val="en-AU"/>
        </w:rPr>
        <w:t>INDICATIONS</w:t>
      </w:r>
    </w:p>
    <w:p w14:paraId="4E7550B6" w14:textId="0C19F260" w:rsidR="00D92B0C" w:rsidRPr="00C85CED" w:rsidRDefault="001F5D91" w:rsidP="00D92B0C">
      <w:pPr>
        <w:rPr>
          <w:lang w:val="en-AU"/>
        </w:rPr>
      </w:pPr>
      <w:bookmarkStart w:id="0" w:name="_Hlk503347502"/>
      <w:r w:rsidRPr="00C85CED">
        <w:rPr>
          <w:lang w:val="en-AU"/>
        </w:rPr>
        <w:t xml:space="preserve">TREMFYA is indicated for the treatment of </w:t>
      </w:r>
      <w:r w:rsidR="00ED60C8" w:rsidRPr="00C85CED">
        <w:rPr>
          <w:lang w:val="en-AU"/>
        </w:rPr>
        <w:t>adult patients (18 years or older)</w:t>
      </w:r>
      <w:r w:rsidR="002877B2">
        <w:rPr>
          <w:lang w:val="en-AU"/>
        </w:rPr>
        <w:t xml:space="preserve"> with </w:t>
      </w:r>
      <w:r w:rsidRPr="00C85CED">
        <w:rPr>
          <w:lang w:val="en-AU"/>
        </w:rPr>
        <w:t xml:space="preserve">moderate to severe plaque psoriasis who are candidates for </w:t>
      </w:r>
      <w:r w:rsidR="005E3E98" w:rsidRPr="005E3E98">
        <w:rPr>
          <w:lang w:val="en-AU"/>
        </w:rPr>
        <w:t>systemic therapy or phototherapy</w:t>
      </w:r>
      <w:r w:rsidRPr="00C85CED">
        <w:rPr>
          <w:lang w:val="en-AU"/>
        </w:rPr>
        <w:t>.</w:t>
      </w:r>
      <w:bookmarkEnd w:id="0"/>
    </w:p>
    <w:p w14:paraId="05A62937" w14:textId="594EB64C" w:rsidR="00D92B0C" w:rsidRPr="00C85CED" w:rsidRDefault="00D92B0C" w:rsidP="008A13A7">
      <w:pPr>
        <w:pStyle w:val="Heading2"/>
        <w:rPr>
          <w:lang w:val="en-AU"/>
        </w:rPr>
      </w:pPr>
      <w:r w:rsidRPr="00C85CED">
        <w:rPr>
          <w:lang w:val="en-AU"/>
        </w:rPr>
        <w:t xml:space="preserve">Dose and </w:t>
      </w:r>
      <w:r w:rsidR="0089101D" w:rsidRPr="00C85CED">
        <w:rPr>
          <w:lang w:val="en-AU"/>
        </w:rPr>
        <w:t xml:space="preserve">METHOD OF </w:t>
      </w:r>
      <w:r w:rsidRPr="00C85CED">
        <w:rPr>
          <w:lang w:val="en-AU"/>
        </w:rPr>
        <w:t>Administration</w:t>
      </w:r>
    </w:p>
    <w:p w14:paraId="5287E750" w14:textId="2EF2FC00" w:rsidR="00130C87" w:rsidRPr="00C85CED" w:rsidRDefault="0089101D" w:rsidP="00292F2F">
      <w:pPr>
        <w:pStyle w:val="Heading3"/>
        <w:rPr>
          <w:lang w:val="en-AU"/>
        </w:rPr>
      </w:pPr>
      <w:r w:rsidRPr="00C85CED">
        <w:rPr>
          <w:lang w:val="en-AU"/>
        </w:rPr>
        <w:t>Dosage</w:t>
      </w:r>
      <w:r w:rsidR="004A6FE3" w:rsidRPr="00C85CED">
        <w:rPr>
          <w:lang w:val="en-AU"/>
        </w:rPr>
        <w:t xml:space="preserve"> (dose and interval)</w:t>
      </w:r>
    </w:p>
    <w:p w14:paraId="42C1DB14" w14:textId="77777777" w:rsidR="00BA4536" w:rsidRPr="00C85CED" w:rsidRDefault="00BA4536" w:rsidP="00BA4536">
      <w:pPr>
        <w:rPr>
          <w:highlight w:val="yellow"/>
          <w:lang w:val="en-AU"/>
        </w:rPr>
      </w:pPr>
      <w:r w:rsidRPr="00C85CED">
        <w:rPr>
          <w:lang w:val="en-AU"/>
        </w:rPr>
        <w:t>The recommended dose of TREMFYA is 100 mg to be given as subcutaneous injection at week 0, week 4 and every 8 weeks thereafter.</w:t>
      </w:r>
    </w:p>
    <w:p w14:paraId="3535A028" w14:textId="4DB1AC71" w:rsidR="004A6FE3" w:rsidRPr="00C85CED" w:rsidRDefault="004A6FE3" w:rsidP="004A6FE3">
      <w:pPr>
        <w:pStyle w:val="Heading3"/>
        <w:rPr>
          <w:lang w:val="en-AU"/>
        </w:rPr>
      </w:pPr>
      <w:r w:rsidRPr="00C85CED">
        <w:rPr>
          <w:lang w:val="en-AU"/>
        </w:rPr>
        <w:t>Method of Administration</w:t>
      </w:r>
    </w:p>
    <w:p w14:paraId="654DF0E0" w14:textId="77777777" w:rsidR="004A6FE3" w:rsidRPr="00C85CED" w:rsidRDefault="004A6FE3" w:rsidP="004A6FE3">
      <w:pPr>
        <w:rPr>
          <w:lang w:val="en-AU"/>
        </w:rPr>
      </w:pPr>
      <w:r w:rsidRPr="00C85CED">
        <w:rPr>
          <w:lang w:val="en-AU"/>
        </w:rPr>
        <w:t xml:space="preserve">TREMFYA is administered by subcutaneous injection. If possible, areas of the skin that show psoriasis should be avoided as injection sites.  </w:t>
      </w:r>
    </w:p>
    <w:p w14:paraId="7A1EB31D" w14:textId="77777777" w:rsidR="004A6FE3" w:rsidRPr="00C85CED" w:rsidRDefault="004A6FE3" w:rsidP="004A6FE3">
      <w:pPr>
        <w:rPr>
          <w:lang w:val="en-AU"/>
        </w:rPr>
      </w:pPr>
      <w:r w:rsidRPr="00C85CED">
        <w:rPr>
          <w:lang w:val="en-AU"/>
        </w:rPr>
        <w:t>TREMFYA is intended for use under the guidance and supervision of a physician. TREMFYA may be administered by a health care professional, or a patient may self-inject after proper training in subcutaneous injection technique.</w:t>
      </w:r>
    </w:p>
    <w:p w14:paraId="06CA5567" w14:textId="77777777" w:rsidR="004A6FE3" w:rsidRPr="00C85CED" w:rsidRDefault="004A6FE3" w:rsidP="004A6FE3">
      <w:pPr>
        <w:rPr>
          <w:lang w:val="en-AU"/>
        </w:rPr>
      </w:pPr>
      <w:r w:rsidRPr="00C85CED">
        <w:rPr>
          <w:lang w:val="en-AU"/>
        </w:rPr>
        <w:lastRenderedPageBreak/>
        <w:t xml:space="preserve">After removing the pre-filled syringe from the refrigerator, keep the pre-filled syringe inside the carton and allow </w:t>
      </w:r>
      <w:proofErr w:type="gramStart"/>
      <w:r w:rsidRPr="00C85CED">
        <w:rPr>
          <w:lang w:val="en-AU"/>
        </w:rPr>
        <w:t>to reach</w:t>
      </w:r>
      <w:proofErr w:type="gramEnd"/>
      <w:r w:rsidRPr="00C85CED">
        <w:rPr>
          <w:lang w:val="en-AU"/>
        </w:rPr>
        <w:t xml:space="preserve"> room temperature by waiting for 30 minutes before injecting TREMFYA. The pre-filled syringe should not be shaken.</w:t>
      </w:r>
    </w:p>
    <w:p w14:paraId="1B3AF942" w14:textId="0B3AB4A2" w:rsidR="004A6FE3" w:rsidRPr="00C85CED" w:rsidRDefault="004A6FE3" w:rsidP="004A6FE3">
      <w:pPr>
        <w:rPr>
          <w:lang w:val="en-AU"/>
        </w:rPr>
      </w:pPr>
      <w:r w:rsidRPr="00C85CED">
        <w:rPr>
          <w:lang w:val="en-AU"/>
        </w:rPr>
        <w:t>Comprehensive instructions for the subcutaneous administration of TREMFYA are given in the Instructions for Use leaflet. Patients should be instructed to inject the full amount of TREMFYA according to the directions provided in this leaflet.</w:t>
      </w:r>
    </w:p>
    <w:p w14:paraId="40790C3A" w14:textId="35598286" w:rsidR="004A6FE3" w:rsidRPr="00C85CED" w:rsidRDefault="004A6FE3" w:rsidP="004A6FE3">
      <w:pPr>
        <w:rPr>
          <w:lang w:val="en-AU"/>
        </w:rPr>
      </w:pPr>
      <w:r w:rsidRPr="00C85CED">
        <w:rPr>
          <w:lang w:val="en-AU"/>
        </w:rPr>
        <w:t>TREMFYA is for single use in one patient only. Following administration of TREMFYA, discard any unused portion. The syringe should be disposed of using accepted medical practices for used syringes. The syringe and needle must never be re-used.</w:t>
      </w:r>
    </w:p>
    <w:p w14:paraId="7ED6F032" w14:textId="77777777" w:rsidR="004A6FE3" w:rsidRPr="00C85CED" w:rsidRDefault="004A6FE3" w:rsidP="004A6FE3">
      <w:pPr>
        <w:rPr>
          <w:highlight w:val="yellow"/>
          <w:lang w:val="en-AU"/>
        </w:rPr>
      </w:pPr>
      <w:r w:rsidRPr="00C85CED">
        <w:rPr>
          <w:lang w:val="en-AU"/>
        </w:rPr>
        <w:t>Substitution by any other biological medicinal product requires the consent of the prescribing physician.</w:t>
      </w:r>
    </w:p>
    <w:p w14:paraId="7D00C13D" w14:textId="77777777" w:rsidR="00292F2F" w:rsidRPr="00C85CED" w:rsidRDefault="00292F2F" w:rsidP="00292F2F">
      <w:pPr>
        <w:pStyle w:val="Heading3"/>
        <w:rPr>
          <w:lang w:val="en-AU"/>
        </w:rPr>
      </w:pPr>
      <w:r w:rsidRPr="00C85CED">
        <w:rPr>
          <w:lang w:val="en-AU"/>
        </w:rPr>
        <w:t>Special Populations</w:t>
      </w:r>
    </w:p>
    <w:p w14:paraId="21023946" w14:textId="77777777" w:rsidR="00292F2F" w:rsidRPr="00C85CED" w:rsidRDefault="00292F2F" w:rsidP="00292F2F">
      <w:pPr>
        <w:spacing w:before="120"/>
        <w:rPr>
          <w:i/>
          <w:u w:val="single"/>
          <w:lang w:val="en-AU"/>
        </w:rPr>
      </w:pPr>
      <w:r w:rsidRPr="00C85CED">
        <w:rPr>
          <w:i/>
          <w:u w:val="single"/>
          <w:lang w:val="en-AU"/>
        </w:rPr>
        <w:t>Renal or hepatic impairment</w:t>
      </w:r>
    </w:p>
    <w:p w14:paraId="6D5BEC7F" w14:textId="77777777" w:rsidR="00292F2F" w:rsidRPr="00C85CED" w:rsidRDefault="00292F2F" w:rsidP="00292F2F">
      <w:pPr>
        <w:rPr>
          <w:lang w:val="en-AU"/>
        </w:rPr>
      </w:pPr>
      <w:r w:rsidRPr="00C85CED">
        <w:rPr>
          <w:lang w:val="en-AU"/>
        </w:rPr>
        <w:t>Specific studies of TREMFYA have not been conducted in patients with renal or hepatic insufficiency.</w:t>
      </w:r>
    </w:p>
    <w:p w14:paraId="7A8CBB92" w14:textId="77777777" w:rsidR="00292F2F" w:rsidRPr="00C85CED" w:rsidRDefault="00292F2F" w:rsidP="00292F2F">
      <w:pPr>
        <w:spacing w:before="120"/>
        <w:rPr>
          <w:i/>
          <w:u w:val="single"/>
          <w:lang w:val="en-AU"/>
        </w:rPr>
      </w:pPr>
      <w:r w:rsidRPr="00C85CED">
        <w:rPr>
          <w:i/>
          <w:u w:val="single"/>
          <w:lang w:val="en-AU"/>
        </w:rPr>
        <w:t>Elderly (&gt;65 years of age)</w:t>
      </w:r>
    </w:p>
    <w:p w14:paraId="0404BE90" w14:textId="36914893" w:rsidR="00292F2F" w:rsidRPr="00C85CED" w:rsidRDefault="00292F2F" w:rsidP="00292F2F">
      <w:pPr>
        <w:rPr>
          <w:lang w:val="en-AU"/>
        </w:rPr>
      </w:pPr>
      <w:r w:rsidRPr="00C85CED">
        <w:rPr>
          <w:lang w:val="en-AU"/>
        </w:rPr>
        <w:t xml:space="preserve">No dose adjustment is required (see </w:t>
      </w:r>
      <w:r w:rsidR="008D1BAC">
        <w:rPr>
          <w:lang w:val="en-AU"/>
        </w:rPr>
        <w:t>s</w:t>
      </w:r>
      <w:r w:rsidR="00927E9B">
        <w:rPr>
          <w:lang w:val="en-AU"/>
        </w:rPr>
        <w:t xml:space="preserve">ections 5.1 </w:t>
      </w:r>
      <w:proofErr w:type="spellStart"/>
      <w:r w:rsidR="00927E9B" w:rsidRPr="00C85CED">
        <w:rPr>
          <w:lang w:val="en-AU"/>
        </w:rPr>
        <w:t>Pharmaco</w:t>
      </w:r>
      <w:r w:rsidR="00927E9B">
        <w:rPr>
          <w:lang w:val="en-AU"/>
        </w:rPr>
        <w:t>dynamic</w:t>
      </w:r>
      <w:proofErr w:type="spellEnd"/>
      <w:r w:rsidR="00927E9B">
        <w:rPr>
          <w:lang w:val="en-AU"/>
        </w:rPr>
        <w:t xml:space="preserve"> Properties – Clinical Trials and 5.2 Pharmacokinetic Properties - </w:t>
      </w:r>
      <w:r w:rsidR="00927E9B" w:rsidRPr="00C85CED">
        <w:rPr>
          <w:lang w:val="en-AU"/>
        </w:rPr>
        <w:t>Special Populations</w:t>
      </w:r>
      <w:r w:rsidRPr="00C85CED">
        <w:rPr>
          <w:lang w:val="en-AU"/>
        </w:rPr>
        <w:t>).</w:t>
      </w:r>
    </w:p>
    <w:p w14:paraId="450F4ACB" w14:textId="77777777" w:rsidR="00292F2F" w:rsidRPr="00C85CED" w:rsidRDefault="00292F2F" w:rsidP="00292F2F">
      <w:pPr>
        <w:spacing w:before="120"/>
        <w:rPr>
          <w:i/>
          <w:u w:val="single"/>
          <w:lang w:val="en-AU"/>
        </w:rPr>
      </w:pPr>
      <w:r w:rsidRPr="00C85CED">
        <w:rPr>
          <w:i/>
          <w:u w:val="single"/>
          <w:lang w:val="en-AU"/>
        </w:rPr>
        <w:t>Paediatrics (&lt; 18 years of age)</w:t>
      </w:r>
    </w:p>
    <w:p w14:paraId="76B5153A" w14:textId="77777777" w:rsidR="00BA4536" w:rsidRPr="00C85CED" w:rsidRDefault="00292F2F" w:rsidP="00292F2F">
      <w:pPr>
        <w:rPr>
          <w:lang w:val="en-AU"/>
        </w:rPr>
      </w:pPr>
      <w:r w:rsidRPr="00C85CED">
        <w:rPr>
          <w:lang w:val="en-AU"/>
        </w:rPr>
        <w:t>The safety and efficacy of TREMFYA in paediatric patients (&lt; 18 years of age) have not been evaluated.</w:t>
      </w:r>
    </w:p>
    <w:p w14:paraId="06B20D73" w14:textId="77777777" w:rsidR="00D92B0C" w:rsidRPr="00C85CED" w:rsidRDefault="00D92B0C" w:rsidP="008A13A7">
      <w:pPr>
        <w:pStyle w:val="Heading2"/>
        <w:rPr>
          <w:lang w:val="en-AU"/>
        </w:rPr>
      </w:pPr>
      <w:r w:rsidRPr="00C85CED">
        <w:rPr>
          <w:lang w:val="en-AU"/>
        </w:rPr>
        <w:t>Contraindications</w:t>
      </w:r>
    </w:p>
    <w:p w14:paraId="6E7FE2CB" w14:textId="7989A7BB" w:rsidR="002877B2" w:rsidRPr="002877B2" w:rsidRDefault="001F5D91" w:rsidP="002877B2">
      <w:pPr>
        <w:pStyle w:val="Normaltext"/>
        <w:spacing w:after="120"/>
        <w:rPr>
          <w:rFonts w:eastAsiaTheme="minorHAnsi" w:cstheme="minorBidi"/>
          <w:szCs w:val="22"/>
          <w:lang w:eastAsia="en-US"/>
        </w:rPr>
      </w:pPr>
      <w:proofErr w:type="gramStart"/>
      <w:r w:rsidRPr="002877B2">
        <w:rPr>
          <w:rFonts w:eastAsiaTheme="minorHAnsi" w:cstheme="minorBidi"/>
          <w:szCs w:val="22"/>
          <w:lang w:eastAsia="en-US"/>
        </w:rPr>
        <w:t xml:space="preserve">Serious hypersensitivity to </w:t>
      </w:r>
      <w:proofErr w:type="spellStart"/>
      <w:r w:rsidRPr="002877B2">
        <w:rPr>
          <w:rFonts w:eastAsiaTheme="minorHAnsi" w:cstheme="minorBidi"/>
          <w:szCs w:val="22"/>
          <w:lang w:eastAsia="en-US"/>
        </w:rPr>
        <w:t>guselkumab</w:t>
      </w:r>
      <w:proofErr w:type="spellEnd"/>
      <w:r w:rsidRPr="002877B2">
        <w:rPr>
          <w:rFonts w:eastAsiaTheme="minorHAnsi" w:cstheme="minorBidi"/>
          <w:szCs w:val="22"/>
          <w:lang w:eastAsia="en-US"/>
        </w:rPr>
        <w:t xml:space="preserve"> or any of the excipients.</w:t>
      </w:r>
      <w:proofErr w:type="gramEnd"/>
    </w:p>
    <w:p w14:paraId="50CCA0A7" w14:textId="42B246B5" w:rsidR="00D92B0C" w:rsidRPr="00C85CED" w:rsidRDefault="00B61BEC" w:rsidP="008A13A7">
      <w:pPr>
        <w:pStyle w:val="Heading2"/>
        <w:rPr>
          <w:lang w:val="en-AU"/>
        </w:rPr>
      </w:pPr>
      <w:r w:rsidRPr="00C85CED">
        <w:rPr>
          <w:lang w:val="en-AU"/>
        </w:rPr>
        <w:t xml:space="preserve">SPECIAL WARNINGS AND </w:t>
      </w:r>
      <w:r w:rsidR="00D92B0C" w:rsidRPr="00C85CED">
        <w:rPr>
          <w:lang w:val="en-AU"/>
        </w:rPr>
        <w:t>Precautions</w:t>
      </w:r>
      <w:r w:rsidRPr="00C85CED">
        <w:rPr>
          <w:lang w:val="en-AU"/>
        </w:rPr>
        <w:t xml:space="preserve"> FOR USE</w:t>
      </w:r>
    </w:p>
    <w:p w14:paraId="08319143" w14:textId="6821E7B4" w:rsidR="009F477A" w:rsidRDefault="009F477A" w:rsidP="00D33636">
      <w:pPr>
        <w:pStyle w:val="Heading3"/>
        <w:rPr>
          <w:lang w:val="en-AU"/>
        </w:rPr>
      </w:pPr>
      <w:r>
        <w:rPr>
          <w:lang w:val="en-AU"/>
        </w:rPr>
        <w:t>Traceability</w:t>
      </w:r>
    </w:p>
    <w:p w14:paraId="77C2DBAC" w14:textId="7C058218" w:rsidR="009F477A" w:rsidRPr="009F477A" w:rsidRDefault="009F477A" w:rsidP="009F477A">
      <w:pPr>
        <w:rPr>
          <w:lang w:val="en-AU"/>
        </w:rPr>
      </w:pPr>
      <w:r w:rsidRPr="009F477A">
        <w:rPr>
          <w:lang w:val="en-AU"/>
        </w:rPr>
        <w:t>In order to improve the traceability of biological medicinal products, the trade name and the batch number of the administered product should be clearly recorded</w:t>
      </w:r>
      <w:r w:rsidR="00C27254">
        <w:rPr>
          <w:lang w:val="en-AU"/>
        </w:rPr>
        <w:t>.</w:t>
      </w:r>
    </w:p>
    <w:p w14:paraId="553C07D9" w14:textId="11F1E6D7" w:rsidR="00D33636" w:rsidRPr="00C85CED" w:rsidRDefault="00D33636" w:rsidP="00D33636">
      <w:pPr>
        <w:pStyle w:val="Heading3"/>
        <w:rPr>
          <w:lang w:val="en-AU"/>
        </w:rPr>
      </w:pPr>
      <w:r w:rsidRPr="00C85CED">
        <w:rPr>
          <w:lang w:val="en-AU"/>
        </w:rPr>
        <w:t>Infections</w:t>
      </w:r>
    </w:p>
    <w:p w14:paraId="7B060039" w14:textId="77777777" w:rsidR="00D33636" w:rsidRPr="00C85CED" w:rsidRDefault="00D33636" w:rsidP="00D33636">
      <w:pPr>
        <w:rPr>
          <w:lang w:val="en-AU"/>
        </w:rPr>
      </w:pPr>
      <w:r w:rsidRPr="00C85CED">
        <w:rPr>
          <w:lang w:val="en-AU"/>
        </w:rPr>
        <w:t>TREMFYA may increase the risk of infection. In clinical trials, infections occurred in 23% of subjects in the TREMFYA group versus 21% of subjects in the placebo group through 16 weeks of treatment. The rate of serious infections for the TREMFYA group and the placebo group were ≤ 0.2%. Treatment with TREMFYA should not be initiated in patients with any clinically important active infection until the infection resolves or is adequately treated.</w:t>
      </w:r>
    </w:p>
    <w:p w14:paraId="3043763B" w14:textId="77777777" w:rsidR="00D33636" w:rsidRPr="00C85CED" w:rsidRDefault="00D33636" w:rsidP="00D33636">
      <w:pPr>
        <w:rPr>
          <w:lang w:val="en-AU"/>
        </w:rPr>
      </w:pPr>
      <w:r w:rsidRPr="00C85CED">
        <w:rPr>
          <w:lang w:val="en-AU"/>
        </w:rPr>
        <w:t>Instruct patients treated with TREMFYA to seek medical advice if signs or symptoms of clinically important chronic or acute infection occur. If a patient develops a clinically important or serious infection or is not responding to standard therapy, monitor the patient closely and discontinue TREMFYA until the infection resolves.</w:t>
      </w:r>
    </w:p>
    <w:p w14:paraId="271B8216" w14:textId="77777777" w:rsidR="00D33636" w:rsidRPr="00C85CED" w:rsidRDefault="00D33636" w:rsidP="00D33636">
      <w:pPr>
        <w:pStyle w:val="Heading3"/>
        <w:rPr>
          <w:lang w:val="en-AU"/>
        </w:rPr>
      </w:pPr>
      <w:r w:rsidRPr="00C85CED">
        <w:rPr>
          <w:lang w:val="en-AU"/>
        </w:rPr>
        <w:t>Pre-treatment evaluation for tuberculosis</w:t>
      </w:r>
    </w:p>
    <w:p w14:paraId="655A58DC" w14:textId="77777777" w:rsidR="00D33636" w:rsidRPr="00C85CED" w:rsidRDefault="00D33636" w:rsidP="00D33636">
      <w:pPr>
        <w:rPr>
          <w:lang w:val="en-AU"/>
        </w:rPr>
      </w:pPr>
      <w:r w:rsidRPr="00C85CED">
        <w:rPr>
          <w:lang w:val="en-AU"/>
        </w:rPr>
        <w:t xml:space="preserve">In clinical studies, subjects with latent tuberculosis (TB) who were concurrently treated with TREMFYA and appropriate TB prophylaxis did not develop TB. Evaluate patients for TB infection prior to initiating treatment with TREMFYA. Initiate treatment of latent TB prior to administering TREMFYA. Patients receiving TREMFYA should be monitored for signs and </w:t>
      </w:r>
      <w:r w:rsidRPr="00C85CED">
        <w:rPr>
          <w:lang w:val="en-AU"/>
        </w:rPr>
        <w:lastRenderedPageBreak/>
        <w:t>symptoms of active TB during and after treatment. Do not administer TREMFYA to patients with active TB infection. Consider anti-TB therapy prior to initiating TREMFYA in patients with a past history of latent or active TB in whom an adequate course of treatment cannot be confirmed.</w:t>
      </w:r>
    </w:p>
    <w:p w14:paraId="560FEC14" w14:textId="77777777" w:rsidR="00D33636" w:rsidRPr="00C85CED" w:rsidRDefault="00D33636" w:rsidP="00D33636">
      <w:pPr>
        <w:pStyle w:val="Heading3"/>
        <w:rPr>
          <w:lang w:val="en-AU"/>
        </w:rPr>
      </w:pPr>
      <w:r w:rsidRPr="00C85CED">
        <w:rPr>
          <w:lang w:val="en-AU"/>
        </w:rPr>
        <w:t>Immunisations</w:t>
      </w:r>
    </w:p>
    <w:p w14:paraId="174877B7" w14:textId="2E6016FB" w:rsidR="000A432A" w:rsidRPr="000A432A" w:rsidRDefault="000A432A" w:rsidP="000A432A">
      <w:pPr>
        <w:rPr>
          <w:lang w:val="en-AU"/>
        </w:rPr>
      </w:pPr>
      <w:r w:rsidRPr="000A432A">
        <w:rPr>
          <w:lang w:val="en-AU"/>
        </w:rPr>
        <w:t xml:space="preserve">Prior to initiating therapy with </w:t>
      </w:r>
      <w:r w:rsidR="0015452A" w:rsidRPr="000A432A">
        <w:rPr>
          <w:lang w:val="en-AU"/>
        </w:rPr>
        <w:t>TREMFYA</w:t>
      </w:r>
      <w:r w:rsidRPr="000A432A">
        <w:rPr>
          <w:lang w:val="en-AU"/>
        </w:rPr>
        <w:t xml:space="preserve">, complete all appropriate immunisations according to current immunisation guidelines. Live vaccines should not be used concurrently in patients treated with </w:t>
      </w:r>
      <w:r w:rsidR="0015452A" w:rsidRPr="000A432A">
        <w:rPr>
          <w:lang w:val="en-AU"/>
        </w:rPr>
        <w:t>TREMFYA</w:t>
      </w:r>
      <w:r w:rsidRPr="000A432A">
        <w:rPr>
          <w:lang w:val="en-AU"/>
        </w:rPr>
        <w:t>. No data are available on the response to live or inactive vaccines.</w:t>
      </w:r>
    </w:p>
    <w:p w14:paraId="2C1E2E11" w14:textId="42080B0A" w:rsidR="000A432A" w:rsidRDefault="000A432A" w:rsidP="000A432A">
      <w:pPr>
        <w:rPr>
          <w:lang w:val="en-AU"/>
        </w:rPr>
      </w:pPr>
      <w:r w:rsidRPr="000A432A">
        <w:rPr>
          <w:lang w:val="en-AU"/>
        </w:rPr>
        <w:t xml:space="preserve">Before live viral or live bacterial vaccination, treatment with </w:t>
      </w:r>
      <w:r w:rsidR="0015452A" w:rsidRPr="000A432A">
        <w:rPr>
          <w:lang w:val="en-AU"/>
        </w:rPr>
        <w:t xml:space="preserve">TREMFYA </w:t>
      </w:r>
      <w:r w:rsidRPr="000A432A">
        <w:rPr>
          <w:lang w:val="en-AU"/>
        </w:rPr>
        <w:t>should be withheld for at least 12 weeks after the last dose and can be resumed at least 2 weeks after vaccination. Prescribers should consult the Prescribing Information of the specific vaccine for additional information and guidance on concomitant use of immunosuppressive agents post-vaccination.</w:t>
      </w:r>
    </w:p>
    <w:p w14:paraId="31A55FE7" w14:textId="77777777" w:rsidR="00D92B0C" w:rsidRPr="00C85CED" w:rsidRDefault="00D92B0C" w:rsidP="00FA4AE6">
      <w:pPr>
        <w:pStyle w:val="Heading3"/>
        <w:rPr>
          <w:lang w:val="en-AU"/>
        </w:rPr>
      </w:pPr>
      <w:r w:rsidRPr="00C85CED">
        <w:rPr>
          <w:lang w:val="en-AU"/>
        </w:rPr>
        <w:t xml:space="preserve">Use in the </w:t>
      </w:r>
      <w:r w:rsidR="00F86AD4" w:rsidRPr="00C85CED">
        <w:rPr>
          <w:lang w:val="en-AU"/>
        </w:rPr>
        <w:t>e</w:t>
      </w:r>
      <w:r w:rsidRPr="00C85CED">
        <w:rPr>
          <w:lang w:val="en-AU"/>
        </w:rPr>
        <w:t>lderly</w:t>
      </w:r>
    </w:p>
    <w:p w14:paraId="305D0147" w14:textId="0802FFF2" w:rsidR="00320CD9" w:rsidRPr="00C85CED" w:rsidRDefault="00320CD9" w:rsidP="00320CD9">
      <w:pPr>
        <w:rPr>
          <w:lang w:val="en-AU"/>
        </w:rPr>
      </w:pPr>
      <w:r w:rsidRPr="00C85CED">
        <w:rPr>
          <w:lang w:val="en-AU"/>
        </w:rPr>
        <w:t>Of the 1748 plaque psoriasis subjects exposed to TREMFYA in Phase 2 and Phase 3 clinical trials, a total of 93 subjects were 65 years or older, and 4 subjects were 75 years or older. No overall differences in safety or effectiveness were observed between older and younger patients who received TREMFYA in clinical studies. However, the number of patients aged 65 years and older was not sufficient to determine whether they respond differently from younger patients (see PHARMACOLOGY – SPECIAL POPULATIONS).</w:t>
      </w:r>
      <w:r w:rsidR="002877B2">
        <w:rPr>
          <w:lang w:val="en-AU"/>
        </w:rPr>
        <w:t xml:space="preserve"> </w:t>
      </w:r>
    </w:p>
    <w:p w14:paraId="7B06CAE5" w14:textId="77777777" w:rsidR="00F86AD4" w:rsidRPr="00C85CED" w:rsidRDefault="00F86AD4" w:rsidP="00FA4AE6">
      <w:pPr>
        <w:pStyle w:val="Heading3"/>
        <w:rPr>
          <w:lang w:val="en-AU"/>
        </w:rPr>
      </w:pPr>
      <w:r w:rsidRPr="00C85CED">
        <w:rPr>
          <w:lang w:val="en-AU"/>
        </w:rPr>
        <w:t>Paediatric use</w:t>
      </w:r>
    </w:p>
    <w:p w14:paraId="4EA2A5AE" w14:textId="443ACE62" w:rsidR="002A286B" w:rsidRDefault="002A286B" w:rsidP="002A286B">
      <w:pPr>
        <w:rPr>
          <w:lang w:val="en-AU"/>
        </w:rPr>
      </w:pPr>
      <w:r w:rsidRPr="00C85CED">
        <w:rPr>
          <w:lang w:val="en-AU"/>
        </w:rPr>
        <w:t>The safety and efficacy of TREMFYA in paediatric patients (&lt; 18 years of age) have not been evaluated.</w:t>
      </w:r>
    </w:p>
    <w:p w14:paraId="1F0C516E" w14:textId="27F2B93B" w:rsidR="00BB04B9" w:rsidRDefault="0024086F" w:rsidP="002A286B">
      <w:pPr>
        <w:rPr>
          <w:rFonts w:eastAsiaTheme="majorEastAsia" w:cstheme="majorBidi"/>
          <w:b/>
          <w:szCs w:val="24"/>
          <w:lang w:val="en-AU"/>
        </w:rPr>
      </w:pPr>
      <w:r w:rsidRPr="0024086F">
        <w:rPr>
          <w:rFonts w:eastAsiaTheme="majorEastAsia" w:cstheme="majorBidi"/>
          <w:b/>
          <w:szCs w:val="24"/>
          <w:lang w:val="en-AU"/>
        </w:rPr>
        <w:t>Effects on laboratory tests</w:t>
      </w:r>
    </w:p>
    <w:p w14:paraId="25B8C96D" w14:textId="56116423" w:rsidR="0024086F" w:rsidRPr="00F769A4" w:rsidRDefault="0024086F" w:rsidP="002A286B">
      <w:pPr>
        <w:rPr>
          <w:rFonts w:eastAsiaTheme="majorEastAsia" w:cstheme="majorBidi"/>
          <w:b/>
          <w:szCs w:val="24"/>
          <w:lang w:val="en-AU"/>
        </w:rPr>
      </w:pPr>
      <w:r w:rsidRPr="00F769A4">
        <w:t>No data available</w:t>
      </w:r>
    </w:p>
    <w:p w14:paraId="50BAF307" w14:textId="703D5D29" w:rsidR="00D92B0C" w:rsidRPr="00C85CED" w:rsidRDefault="00D92B0C" w:rsidP="008A13A7">
      <w:pPr>
        <w:pStyle w:val="Heading2"/>
        <w:rPr>
          <w:lang w:val="en-AU"/>
        </w:rPr>
      </w:pPr>
      <w:r w:rsidRPr="00C85CED">
        <w:rPr>
          <w:lang w:val="en-AU"/>
        </w:rPr>
        <w:t>Interactions with other Medicines</w:t>
      </w:r>
      <w:r w:rsidR="00D94276" w:rsidRPr="00C85CED">
        <w:rPr>
          <w:lang w:val="en-AU"/>
        </w:rPr>
        <w:t xml:space="preserve"> AND OTHER FORMS OF INTERACTIONS</w:t>
      </w:r>
    </w:p>
    <w:p w14:paraId="237C72A1" w14:textId="29CE520D" w:rsidR="002A286B" w:rsidRPr="00C85CED" w:rsidRDefault="002A286B" w:rsidP="002A286B">
      <w:pPr>
        <w:pStyle w:val="Normaltext"/>
        <w:spacing w:after="120"/>
      </w:pPr>
      <w:r w:rsidRPr="00C85CED">
        <w:t>In a Phase 1 study in subjects with moderate to severe plaque psoriasis, changes in systemic exposures (</w:t>
      </w:r>
      <w:proofErr w:type="spellStart"/>
      <w:r w:rsidRPr="00C85CED">
        <w:t>C</w:t>
      </w:r>
      <w:r w:rsidRPr="00C85CED">
        <w:rPr>
          <w:vertAlign w:val="subscript"/>
        </w:rPr>
        <w:t>max</w:t>
      </w:r>
      <w:proofErr w:type="spellEnd"/>
      <w:r w:rsidRPr="00C85CED">
        <w:t xml:space="preserve"> and </w:t>
      </w:r>
      <w:proofErr w:type="spellStart"/>
      <w:r w:rsidRPr="00C85CED">
        <w:t>AUC</w:t>
      </w:r>
      <w:r w:rsidRPr="00C85CED">
        <w:rPr>
          <w:vertAlign w:val="subscript"/>
        </w:rPr>
        <w:t>inf</w:t>
      </w:r>
      <w:proofErr w:type="spellEnd"/>
      <w:r w:rsidRPr="00C85CED">
        <w:t xml:space="preserve">) of midazolam, S-warfarin, omeprazole, dextromethorphan, and caffeine after a single dose of </w:t>
      </w:r>
      <w:proofErr w:type="spellStart"/>
      <w:r w:rsidRPr="00C85CED">
        <w:t>guselkumab</w:t>
      </w:r>
      <w:proofErr w:type="spellEnd"/>
      <w:r w:rsidRPr="00C85CED">
        <w:t xml:space="preserve"> were not clinically relevant (see Pharmacokinetic Properties), indicating that drug interactions between </w:t>
      </w:r>
      <w:proofErr w:type="spellStart"/>
      <w:r w:rsidRPr="00C85CED">
        <w:t>guselkumab</w:t>
      </w:r>
      <w:proofErr w:type="spellEnd"/>
      <w:r w:rsidRPr="00C85CED">
        <w:t xml:space="preserve"> and substrates of various CYP enzymes (CYP3A4, CYP2C9, CYP2C19, CYP2D6, and CYP1A2) are unlikely. There is no need for dose adjustment when co-administering </w:t>
      </w:r>
      <w:proofErr w:type="spellStart"/>
      <w:r w:rsidRPr="00C85CED">
        <w:t>guselkumab</w:t>
      </w:r>
      <w:proofErr w:type="spellEnd"/>
      <w:r w:rsidRPr="00C85CED">
        <w:t xml:space="preserve"> and CYP450 substrates</w:t>
      </w:r>
    </w:p>
    <w:p w14:paraId="784661A0" w14:textId="7E9A0D22" w:rsidR="002A286B" w:rsidRPr="008D1BAC" w:rsidRDefault="002A286B" w:rsidP="002A286B">
      <w:pPr>
        <w:pStyle w:val="Normaltext"/>
        <w:spacing w:after="120"/>
      </w:pPr>
      <w:r w:rsidRPr="00C85CED">
        <w:t>Live vaccines should not be given while a patient is undergoing therapy with TREMFYA (</w:t>
      </w:r>
      <w:r w:rsidRPr="008D1BAC">
        <w:t xml:space="preserve">see </w:t>
      </w:r>
      <w:r w:rsidR="008D1BAC">
        <w:t>section 4.4 Special Warnings and Precautions for Use</w:t>
      </w:r>
      <w:r w:rsidRPr="008D1BAC">
        <w:t xml:space="preserve"> - Immunisations).</w:t>
      </w:r>
    </w:p>
    <w:p w14:paraId="3F1C40D8" w14:textId="77777777" w:rsidR="008A13A7" w:rsidRPr="00C85CED" w:rsidRDefault="008A13A7" w:rsidP="008A13A7">
      <w:pPr>
        <w:pStyle w:val="Heading2"/>
        <w:rPr>
          <w:lang w:val="en-AU"/>
        </w:rPr>
      </w:pPr>
      <w:r w:rsidRPr="00C85CED">
        <w:rPr>
          <w:lang w:val="en-AU"/>
        </w:rPr>
        <w:t>Fertility, pregnancy and lactation</w:t>
      </w:r>
    </w:p>
    <w:p w14:paraId="39F072EA" w14:textId="6762157D" w:rsidR="008A13A7" w:rsidRPr="00C85CED" w:rsidRDefault="008A13A7" w:rsidP="00FA4AE6">
      <w:pPr>
        <w:pStyle w:val="Heading3"/>
        <w:rPr>
          <w:lang w:val="en-AU"/>
        </w:rPr>
      </w:pPr>
      <w:r w:rsidRPr="00C85CED">
        <w:rPr>
          <w:lang w:val="en-AU"/>
        </w:rPr>
        <w:t>Effects on Fertility</w:t>
      </w:r>
    </w:p>
    <w:p w14:paraId="00EC1255" w14:textId="77777777" w:rsidR="005C4522" w:rsidRPr="00C85CED" w:rsidRDefault="005C4522" w:rsidP="005C4522">
      <w:pPr>
        <w:rPr>
          <w:lang w:val="en-AU"/>
        </w:rPr>
      </w:pPr>
      <w:r w:rsidRPr="00C85CED">
        <w:rPr>
          <w:lang w:val="en-AU"/>
        </w:rPr>
        <w:t xml:space="preserve">The effect of TREMFYA on human fertility has not been evaluated. </w:t>
      </w:r>
    </w:p>
    <w:p w14:paraId="2BDE3840" w14:textId="04334BF6" w:rsidR="005C4522" w:rsidRPr="00C85CED" w:rsidRDefault="005C4522" w:rsidP="005C4522">
      <w:pPr>
        <w:rPr>
          <w:lang w:val="en-AU"/>
        </w:rPr>
      </w:pPr>
      <w:r w:rsidRPr="00C85CED">
        <w:rPr>
          <w:lang w:val="en-AU"/>
        </w:rPr>
        <w:t xml:space="preserve">No effects on fertility parameters were identified in female and male fertility studies conducted in guinea pigs.  Results from the studies indicated no effects on male or female reproductive parameters. Safety margins for </w:t>
      </w:r>
      <w:proofErr w:type="spellStart"/>
      <w:r w:rsidRPr="00C85CED">
        <w:rPr>
          <w:lang w:val="en-AU"/>
        </w:rPr>
        <w:t>C</w:t>
      </w:r>
      <w:r w:rsidRPr="00C85CED">
        <w:rPr>
          <w:vertAlign w:val="subscript"/>
          <w:lang w:val="en-AU"/>
        </w:rPr>
        <w:t>max</w:t>
      </w:r>
      <w:proofErr w:type="spellEnd"/>
      <w:r w:rsidRPr="00C85CED">
        <w:rPr>
          <w:lang w:val="en-AU"/>
        </w:rPr>
        <w:t xml:space="preserve"> and </w:t>
      </w:r>
      <w:proofErr w:type="spellStart"/>
      <w:r w:rsidRPr="00C85CED">
        <w:rPr>
          <w:lang w:val="en-AU"/>
        </w:rPr>
        <w:t>AUC</w:t>
      </w:r>
      <w:r w:rsidRPr="00C85CED">
        <w:rPr>
          <w:vertAlign w:val="subscript"/>
          <w:lang w:val="en-AU"/>
        </w:rPr>
        <w:t>last</w:t>
      </w:r>
      <w:proofErr w:type="spellEnd"/>
      <w:r w:rsidRPr="00C85CED">
        <w:rPr>
          <w:lang w:val="en-AU"/>
        </w:rPr>
        <w:t xml:space="preserve"> at the 100 mg/kg twice-weekly NOAEL dose were at least </w:t>
      </w:r>
      <w:r w:rsidR="005046B7">
        <w:rPr>
          <w:lang w:val="en-AU"/>
        </w:rPr>
        <w:t>60</w:t>
      </w:r>
      <w:r w:rsidRPr="00C85CED">
        <w:rPr>
          <w:lang w:val="en-AU"/>
        </w:rPr>
        <w:t xml:space="preserve">-fold and </w:t>
      </w:r>
      <w:r w:rsidR="005046B7">
        <w:rPr>
          <w:lang w:val="en-AU"/>
        </w:rPr>
        <w:t>80</w:t>
      </w:r>
      <w:r w:rsidRPr="00C85CED">
        <w:rPr>
          <w:lang w:val="en-AU"/>
        </w:rPr>
        <w:t>-fold higher, respectively than those following a single administration of a 100 mg SC dose to psoriasis subjects.</w:t>
      </w:r>
    </w:p>
    <w:p w14:paraId="587549AE" w14:textId="77777777" w:rsidR="008A13A7" w:rsidRPr="00C85CED" w:rsidRDefault="008A13A7" w:rsidP="00FA4AE6">
      <w:pPr>
        <w:pStyle w:val="Heading3"/>
        <w:rPr>
          <w:b w:val="0"/>
          <w:lang w:val="en-AU"/>
        </w:rPr>
      </w:pPr>
      <w:r w:rsidRPr="00C85CED">
        <w:rPr>
          <w:lang w:val="en-AU"/>
        </w:rPr>
        <w:t>Use in Pregnancy</w:t>
      </w:r>
      <w:r w:rsidR="002A286B" w:rsidRPr="00C85CED">
        <w:rPr>
          <w:lang w:val="en-AU"/>
        </w:rPr>
        <w:t xml:space="preserve"> </w:t>
      </w:r>
      <w:r w:rsidR="002A286B" w:rsidRPr="00C85CED">
        <w:rPr>
          <w:b w:val="0"/>
          <w:lang w:val="en-AU"/>
        </w:rPr>
        <w:t>– Category B1</w:t>
      </w:r>
    </w:p>
    <w:p w14:paraId="26988DC6" w14:textId="77777777" w:rsidR="002A286B" w:rsidRPr="00C85CED" w:rsidRDefault="002A286B" w:rsidP="002A286B">
      <w:pPr>
        <w:pStyle w:val="Normaltext"/>
        <w:spacing w:after="120"/>
      </w:pPr>
      <w:r w:rsidRPr="00C85CED">
        <w:t xml:space="preserve">The use of TREMFYA in pregnant women has not been studied and the effect of TREMFYA on human pregnancy is unknown. </w:t>
      </w:r>
    </w:p>
    <w:p w14:paraId="4583BE8B" w14:textId="3737E588" w:rsidR="002A286B" w:rsidRPr="00C85CED" w:rsidRDefault="002A286B" w:rsidP="002A286B">
      <w:pPr>
        <w:pStyle w:val="Normaltext"/>
        <w:spacing w:after="120"/>
      </w:pPr>
      <w:r w:rsidRPr="00C85CED">
        <w:lastRenderedPageBreak/>
        <w:t xml:space="preserve">No maternal, embryo or </w:t>
      </w:r>
      <w:proofErr w:type="spellStart"/>
      <w:r w:rsidRPr="00C85CED">
        <w:t>fetal</w:t>
      </w:r>
      <w:proofErr w:type="spellEnd"/>
      <w:r w:rsidRPr="00C85CED">
        <w:t xml:space="preserve"> toxicity was observed in </w:t>
      </w:r>
      <w:proofErr w:type="spellStart"/>
      <w:r w:rsidRPr="00C85CED">
        <w:t>cynomolgus</w:t>
      </w:r>
      <w:proofErr w:type="spellEnd"/>
      <w:r w:rsidRPr="00C85CED">
        <w:t xml:space="preserve"> monkeys after administration of weekly 50 mg/kg doses of </w:t>
      </w:r>
      <w:proofErr w:type="spellStart"/>
      <w:r w:rsidRPr="00C85CED">
        <w:t>guselkumab</w:t>
      </w:r>
      <w:proofErr w:type="spellEnd"/>
      <w:r w:rsidRPr="00C85CED">
        <w:t xml:space="preserve">. Safety margins for </w:t>
      </w:r>
      <w:proofErr w:type="spellStart"/>
      <w:r w:rsidRPr="00C85CED">
        <w:t>C</w:t>
      </w:r>
      <w:r w:rsidRPr="00C85CED">
        <w:rPr>
          <w:vertAlign w:val="subscript"/>
        </w:rPr>
        <w:t>max</w:t>
      </w:r>
      <w:proofErr w:type="spellEnd"/>
      <w:r w:rsidRPr="00C85CED">
        <w:t xml:space="preserve"> and </w:t>
      </w:r>
      <w:proofErr w:type="spellStart"/>
      <w:r w:rsidRPr="00C85CED">
        <w:t>AUC</w:t>
      </w:r>
      <w:r w:rsidRPr="00C85CED">
        <w:rPr>
          <w:vertAlign w:val="subscript"/>
        </w:rPr>
        <w:t>last</w:t>
      </w:r>
      <w:proofErr w:type="spellEnd"/>
      <w:r w:rsidRPr="00C85CED">
        <w:t xml:space="preserve"> at the 50 mg/kg weekly NOAEL dose were at least </w:t>
      </w:r>
      <w:r w:rsidR="005046B7">
        <w:t>90</w:t>
      </w:r>
      <w:r w:rsidRPr="00C85CED">
        <w:t xml:space="preserve">-fold and </w:t>
      </w:r>
      <w:r w:rsidR="005046B7">
        <w:t>130</w:t>
      </w:r>
      <w:r w:rsidRPr="00C85CED">
        <w:t xml:space="preserve">-fold higher, respectively than those following administration of a 100 mg SC dose to psoriasis subjects. As with other IgG antibodies, </w:t>
      </w:r>
      <w:proofErr w:type="spellStart"/>
      <w:r w:rsidRPr="00C85CED">
        <w:t>guselkumab</w:t>
      </w:r>
      <w:proofErr w:type="spellEnd"/>
      <w:r w:rsidRPr="00C85CED">
        <w:t xml:space="preserve"> crosses the placenta and was detectable in newborn </w:t>
      </w:r>
      <w:proofErr w:type="spellStart"/>
      <w:r w:rsidRPr="00C85CED">
        <w:t>cynomolgus</w:t>
      </w:r>
      <w:proofErr w:type="spellEnd"/>
      <w:r w:rsidRPr="00C85CED">
        <w:t xml:space="preserve"> monkey serum samples indicating </w:t>
      </w:r>
      <w:proofErr w:type="spellStart"/>
      <w:r w:rsidRPr="00C85CED">
        <w:t>transplacental</w:t>
      </w:r>
      <w:proofErr w:type="spellEnd"/>
      <w:r w:rsidRPr="00C85CED">
        <w:t xml:space="preserve"> transfer of drug.</w:t>
      </w:r>
    </w:p>
    <w:p w14:paraId="6A31BDA0" w14:textId="77777777" w:rsidR="002A286B" w:rsidRPr="00C85CED" w:rsidRDefault="002A286B" w:rsidP="002A286B">
      <w:pPr>
        <w:pStyle w:val="Normaltext"/>
        <w:spacing w:after="120"/>
      </w:pPr>
      <w:r w:rsidRPr="00C85CED">
        <w:t>TREMFYA should only be used during pregnancy under the advice of a physician if the potential benefit outweighs the potential risk.</w:t>
      </w:r>
    </w:p>
    <w:p w14:paraId="114488E1" w14:textId="77777777" w:rsidR="008A13A7" w:rsidRPr="00C85CED" w:rsidRDefault="008A13A7" w:rsidP="00FA4AE6">
      <w:pPr>
        <w:pStyle w:val="Heading3"/>
        <w:rPr>
          <w:lang w:val="en-AU"/>
        </w:rPr>
      </w:pPr>
      <w:r w:rsidRPr="00C85CED">
        <w:rPr>
          <w:lang w:val="en-AU"/>
        </w:rPr>
        <w:t>Use in Lactation</w:t>
      </w:r>
    </w:p>
    <w:p w14:paraId="0D43ECD8" w14:textId="77777777" w:rsidR="002A286B" w:rsidRPr="00C85CED" w:rsidRDefault="002A286B" w:rsidP="002A286B">
      <w:pPr>
        <w:rPr>
          <w:lang w:val="en-AU"/>
        </w:rPr>
      </w:pPr>
      <w:r w:rsidRPr="00C85CED">
        <w:rPr>
          <w:lang w:val="en-AU"/>
        </w:rPr>
        <w:t xml:space="preserve">There are no data on the presence of </w:t>
      </w:r>
      <w:proofErr w:type="spellStart"/>
      <w:r w:rsidRPr="00C85CED">
        <w:rPr>
          <w:lang w:val="en-AU"/>
        </w:rPr>
        <w:t>guselkumab</w:t>
      </w:r>
      <w:proofErr w:type="spellEnd"/>
      <w:r w:rsidRPr="00C85CED">
        <w:rPr>
          <w:lang w:val="en-AU"/>
        </w:rPr>
        <w:t xml:space="preserve"> in human milk, the effects on a breastfed infant, or the effects on milk production. </w:t>
      </w:r>
      <w:proofErr w:type="spellStart"/>
      <w:r w:rsidRPr="00C85CED">
        <w:rPr>
          <w:lang w:val="en-AU"/>
        </w:rPr>
        <w:t>Guselkumab</w:t>
      </w:r>
      <w:proofErr w:type="spellEnd"/>
      <w:r w:rsidRPr="00C85CED">
        <w:rPr>
          <w:lang w:val="en-AU"/>
        </w:rPr>
        <w:t xml:space="preserve"> was not detected in the milk of lactating </w:t>
      </w:r>
      <w:proofErr w:type="spellStart"/>
      <w:r w:rsidRPr="00C85CED">
        <w:rPr>
          <w:lang w:val="en-AU"/>
        </w:rPr>
        <w:t>cynomolgus</w:t>
      </w:r>
      <w:proofErr w:type="spellEnd"/>
      <w:r w:rsidRPr="00C85CED">
        <w:rPr>
          <w:lang w:val="en-AU"/>
        </w:rPr>
        <w:t xml:space="preserve"> monkeys. The developmental and health benefits of breastfeeding should be considered along with the mother's clinical need for TREMFYA.</w:t>
      </w:r>
    </w:p>
    <w:p w14:paraId="01E1CA6D" w14:textId="77777777" w:rsidR="002A286B" w:rsidRPr="00C85CED" w:rsidRDefault="002A286B" w:rsidP="002A286B">
      <w:pPr>
        <w:pStyle w:val="Heading2"/>
        <w:rPr>
          <w:lang w:val="en-AU"/>
        </w:rPr>
      </w:pPr>
      <w:r w:rsidRPr="00C85CED">
        <w:rPr>
          <w:lang w:val="en-AU"/>
        </w:rPr>
        <w:t>Effect on ability to drive and use machines</w:t>
      </w:r>
    </w:p>
    <w:p w14:paraId="4E1F74AA" w14:textId="0FB56027" w:rsidR="00FC5470" w:rsidRPr="00C85CED" w:rsidRDefault="004A6FE3" w:rsidP="00FC5470">
      <w:pPr>
        <w:rPr>
          <w:lang w:val="en-AU"/>
        </w:rPr>
      </w:pPr>
      <w:proofErr w:type="spellStart"/>
      <w:r w:rsidRPr="00C85CED">
        <w:rPr>
          <w:lang w:val="en-AU"/>
        </w:rPr>
        <w:t>Tremfya</w:t>
      </w:r>
      <w:proofErr w:type="spellEnd"/>
      <w:r w:rsidRPr="00C85CED">
        <w:rPr>
          <w:lang w:val="en-AU"/>
        </w:rPr>
        <w:t xml:space="preserve"> has no or negligible influence on the ability to drive and use machines.</w:t>
      </w:r>
    </w:p>
    <w:p w14:paraId="27CB7906" w14:textId="77777777" w:rsidR="00D92B0C" w:rsidRPr="00C85CED" w:rsidRDefault="00D92B0C" w:rsidP="002A286B">
      <w:pPr>
        <w:pStyle w:val="Heading2"/>
        <w:rPr>
          <w:lang w:val="en-AU"/>
        </w:rPr>
      </w:pPr>
      <w:r w:rsidRPr="00C85CED">
        <w:rPr>
          <w:lang w:val="en-AU"/>
        </w:rPr>
        <w:t>Adverse Effects</w:t>
      </w:r>
      <w:r w:rsidR="002A286B" w:rsidRPr="00C85CED">
        <w:rPr>
          <w:lang w:val="en-AU"/>
        </w:rPr>
        <w:t xml:space="preserve"> (UNDESIRABLE EFFECTS)</w:t>
      </w:r>
    </w:p>
    <w:p w14:paraId="43EEAECD" w14:textId="77777777" w:rsidR="00C43356" w:rsidRPr="00C85CED" w:rsidRDefault="00C43356" w:rsidP="00C43356">
      <w:pPr>
        <w:rPr>
          <w:lang w:val="en-AU"/>
        </w:rPr>
      </w:pPr>
      <w:r w:rsidRPr="00C85CED">
        <w:rPr>
          <w:lang w:val="en-AU"/>
        </w:rPr>
        <w:t>Throughout this section, adverse reactions are presented. Adverse reactions are adverse events that were considered to be reasonably causally associated with the use of TREMFYA based on the comprehensive assessment of the available adverse event information. A causal relationship with TREMFYA cannot be reliably established in individual cases. Further, because clinical trials are conducted under widely varying conditions, adverse reaction rates observed in the clinical trials of a drug cannot be directly compared to rates in the clinical trials of another drug and may not reflect the rates observed in clinical practice.</w:t>
      </w:r>
    </w:p>
    <w:p w14:paraId="36B4BD39" w14:textId="77777777" w:rsidR="00C43356" w:rsidRPr="00C85CED" w:rsidRDefault="00C43356" w:rsidP="00C43356">
      <w:pPr>
        <w:pStyle w:val="Heading3"/>
        <w:rPr>
          <w:lang w:val="en-AU"/>
        </w:rPr>
      </w:pPr>
      <w:r w:rsidRPr="00C85CED">
        <w:rPr>
          <w:lang w:val="en-AU"/>
        </w:rPr>
        <w:t>Clinical Trials Experience</w:t>
      </w:r>
    </w:p>
    <w:p w14:paraId="4ECC09E0" w14:textId="77777777" w:rsidR="00C43356" w:rsidRPr="00C85CED" w:rsidRDefault="00C43356" w:rsidP="00C43356">
      <w:pPr>
        <w:rPr>
          <w:lang w:val="en-AU"/>
        </w:rPr>
      </w:pPr>
      <w:r w:rsidRPr="00C85CED">
        <w:rPr>
          <w:lang w:val="en-AU"/>
        </w:rPr>
        <w:t>The safety profile of TREMFYA in subjects with moderate to severe plaque psoriasis is based on data from the Phase 2 (PSO2001) and Phase 3 (VOYAGE 1, VOYAGE 2, NAVIGATE) studies. Of the 1748 TREMFYA-treated subjects, 1393 subjects were exposed for at least 6 months (24 weeks) and 728 subjects were exposed for at least 1 year (i.e., treated through Week 48). Most subjects (n=1583) received a dosage regimen of 100 mg TREMFYA as subcutaneous injection every 8 weeks.</w:t>
      </w:r>
    </w:p>
    <w:p w14:paraId="17AA8670" w14:textId="5D230358" w:rsidR="00365603" w:rsidRDefault="00C43356" w:rsidP="0057739A">
      <w:pPr>
        <w:rPr>
          <w:lang w:val="en-AU"/>
        </w:rPr>
      </w:pPr>
      <w:r w:rsidRPr="00C85CED">
        <w:rPr>
          <w:lang w:val="en-AU"/>
        </w:rPr>
        <w:t>The adverse reaction profile of TREMFYA in 823 patients with moderate to severe plaque psoriasis is based on pooled data from two 16-week placebo</w:t>
      </w:r>
      <w:r w:rsidRPr="00C85CED">
        <w:rPr>
          <w:lang w:val="en-AU"/>
        </w:rPr>
        <w:noBreakHyphen/>
        <w:t xml:space="preserve">controlled phase III studies. </w:t>
      </w:r>
      <w:r w:rsidR="0007366C" w:rsidRPr="003B3268">
        <w:rPr>
          <w:lang w:val="en-AU"/>
        </w:rPr>
        <w:t>Table</w:t>
      </w:r>
      <w:r w:rsidR="0007366C" w:rsidRPr="003B3268">
        <w:rPr>
          <w:spacing w:val="-5"/>
          <w:lang w:val="en-AU"/>
        </w:rPr>
        <w:t xml:space="preserve"> </w:t>
      </w:r>
      <w:r w:rsidR="0007366C" w:rsidRPr="003B3268">
        <w:rPr>
          <w:lang w:val="en-AU"/>
        </w:rPr>
        <w:t>1</w:t>
      </w:r>
      <w:r w:rsidR="0007366C" w:rsidRPr="003B3268">
        <w:rPr>
          <w:spacing w:val="-4"/>
          <w:lang w:val="en-AU"/>
        </w:rPr>
        <w:t xml:space="preserve"> </w:t>
      </w:r>
      <w:r w:rsidR="0007366C" w:rsidRPr="003B3268">
        <w:rPr>
          <w:lang w:val="en-AU"/>
        </w:rPr>
        <w:t>provides</w:t>
      </w:r>
      <w:r w:rsidR="0007366C" w:rsidRPr="003B3268">
        <w:rPr>
          <w:spacing w:val="-4"/>
          <w:lang w:val="en-AU"/>
        </w:rPr>
        <w:t xml:space="preserve"> </w:t>
      </w:r>
      <w:r w:rsidR="0007366C" w:rsidRPr="003B3268">
        <w:rPr>
          <w:lang w:val="en-AU"/>
        </w:rPr>
        <w:t>a</w:t>
      </w:r>
      <w:r w:rsidR="0007366C" w:rsidRPr="003B3268">
        <w:rPr>
          <w:spacing w:val="-5"/>
          <w:lang w:val="en-AU"/>
        </w:rPr>
        <w:t xml:space="preserve"> </w:t>
      </w:r>
      <w:r w:rsidR="0007366C" w:rsidRPr="003B3268">
        <w:rPr>
          <w:spacing w:val="-1"/>
          <w:lang w:val="en-AU"/>
        </w:rPr>
        <w:t>summary</w:t>
      </w:r>
      <w:r w:rsidR="0007366C" w:rsidRPr="003B3268">
        <w:rPr>
          <w:spacing w:val="-3"/>
          <w:lang w:val="en-AU"/>
        </w:rPr>
        <w:t xml:space="preserve"> </w:t>
      </w:r>
      <w:r w:rsidR="0007366C" w:rsidRPr="003B3268">
        <w:rPr>
          <w:lang w:val="en-AU"/>
        </w:rPr>
        <w:t>of</w:t>
      </w:r>
      <w:r w:rsidR="0007366C" w:rsidRPr="003B3268">
        <w:rPr>
          <w:spacing w:val="-4"/>
          <w:lang w:val="en-AU"/>
        </w:rPr>
        <w:t xml:space="preserve"> </w:t>
      </w:r>
      <w:r w:rsidR="0007366C" w:rsidRPr="003B3268">
        <w:rPr>
          <w:lang w:val="en-AU"/>
        </w:rPr>
        <w:t>adverse</w:t>
      </w:r>
      <w:r w:rsidR="0007366C" w:rsidRPr="003B3268">
        <w:rPr>
          <w:spacing w:val="-5"/>
          <w:lang w:val="en-AU"/>
        </w:rPr>
        <w:t xml:space="preserve"> </w:t>
      </w:r>
      <w:r w:rsidR="0007366C" w:rsidRPr="003B3268">
        <w:rPr>
          <w:lang w:val="en-AU"/>
        </w:rPr>
        <w:t>reactions</w:t>
      </w:r>
      <w:r w:rsidR="0007366C" w:rsidRPr="003B3268">
        <w:rPr>
          <w:spacing w:val="-3"/>
          <w:lang w:val="en-AU"/>
        </w:rPr>
        <w:t xml:space="preserve"> </w:t>
      </w:r>
      <w:r w:rsidR="0007366C" w:rsidRPr="003B3268">
        <w:rPr>
          <w:lang w:val="en-AU"/>
        </w:rPr>
        <w:t>that</w:t>
      </w:r>
      <w:r w:rsidR="0007366C" w:rsidRPr="003B3268">
        <w:rPr>
          <w:spacing w:val="-4"/>
          <w:lang w:val="en-AU"/>
        </w:rPr>
        <w:t xml:space="preserve"> </w:t>
      </w:r>
      <w:r w:rsidR="0007366C" w:rsidRPr="003B3268">
        <w:rPr>
          <w:lang w:val="en-AU"/>
        </w:rPr>
        <w:t>occurred</w:t>
      </w:r>
      <w:r w:rsidR="0007366C" w:rsidRPr="003B3268">
        <w:rPr>
          <w:spacing w:val="-3"/>
          <w:lang w:val="en-AU"/>
        </w:rPr>
        <w:t xml:space="preserve"> </w:t>
      </w:r>
      <w:r w:rsidR="0007366C" w:rsidRPr="003B3268">
        <w:rPr>
          <w:lang w:val="en-AU"/>
        </w:rPr>
        <w:t>at</w:t>
      </w:r>
      <w:r w:rsidR="0007366C" w:rsidRPr="003B3268">
        <w:rPr>
          <w:spacing w:val="-4"/>
          <w:lang w:val="en-AU"/>
        </w:rPr>
        <w:t xml:space="preserve"> </w:t>
      </w:r>
      <w:r w:rsidR="0007366C" w:rsidRPr="003B3268">
        <w:rPr>
          <w:lang w:val="en-AU"/>
        </w:rPr>
        <w:t>a</w:t>
      </w:r>
      <w:r w:rsidR="0007366C" w:rsidRPr="003B3268">
        <w:rPr>
          <w:spacing w:val="-5"/>
          <w:lang w:val="en-AU"/>
        </w:rPr>
        <w:t xml:space="preserve"> </w:t>
      </w:r>
      <w:r w:rsidR="0007366C" w:rsidRPr="003B3268">
        <w:rPr>
          <w:lang w:val="en-AU"/>
        </w:rPr>
        <w:t>rate</w:t>
      </w:r>
      <w:r w:rsidR="0007366C" w:rsidRPr="003B3268">
        <w:rPr>
          <w:spacing w:val="-3"/>
          <w:lang w:val="en-AU"/>
        </w:rPr>
        <w:t xml:space="preserve"> </w:t>
      </w:r>
      <w:r w:rsidR="0007366C" w:rsidRPr="003B3268">
        <w:rPr>
          <w:lang w:val="en-AU"/>
        </w:rPr>
        <w:t>of</w:t>
      </w:r>
      <w:r w:rsidR="0007366C" w:rsidRPr="003B3268">
        <w:rPr>
          <w:spacing w:val="-6"/>
          <w:lang w:val="en-AU"/>
        </w:rPr>
        <w:t xml:space="preserve"> </w:t>
      </w:r>
      <w:r w:rsidR="0007366C" w:rsidRPr="003B3268">
        <w:rPr>
          <w:lang w:val="en-AU"/>
        </w:rPr>
        <w:t>at</w:t>
      </w:r>
      <w:r w:rsidR="0007366C" w:rsidRPr="003B3268">
        <w:rPr>
          <w:spacing w:val="-4"/>
          <w:lang w:val="en-AU"/>
        </w:rPr>
        <w:t xml:space="preserve"> </w:t>
      </w:r>
      <w:r w:rsidR="0007366C" w:rsidRPr="003B3268">
        <w:rPr>
          <w:lang w:val="en-AU"/>
        </w:rPr>
        <w:t>least</w:t>
      </w:r>
      <w:r w:rsidR="0007366C" w:rsidRPr="003B3268">
        <w:rPr>
          <w:spacing w:val="-5"/>
          <w:lang w:val="en-AU"/>
        </w:rPr>
        <w:t xml:space="preserve"> </w:t>
      </w:r>
      <w:r w:rsidR="0007366C" w:rsidRPr="003B3268">
        <w:rPr>
          <w:lang w:val="en-AU"/>
        </w:rPr>
        <w:t>1%</w:t>
      </w:r>
      <w:r w:rsidR="0007366C" w:rsidRPr="003B3268">
        <w:rPr>
          <w:spacing w:val="-4"/>
          <w:lang w:val="en-AU"/>
        </w:rPr>
        <w:t xml:space="preserve"> </w:t>
      </w:r>
      <w:r w:rsidR="0007366C" w:rsidRPr="003B3268">
        <w:rPr>
          <w:lang w:val="en-AU"/>
        </w:rPr>
        <w:t>and</w:t>
      </w:r>
      <w:r w:rsidR="0007366C" w:rsidRPr="003B3268">
        <w:rPr>
          <w:spacing w:val="-4"/>
          <w:lang w:val="en-AU"/>
        </w:rPr>
        <w:t xml:space="preserve"> </w:t>
      </w:r>
      <w:r w:rsidR="0007366C" w:rsidRPr="003B3268">
        <w:rPr>
          <w:lang w:val="en-AU"/>
        </w:rPr>
        <w:t>at</w:t>
      </w:r>
      <w:r w:rsidR="0007366C" w:rsidRPr="003B3268">
        <w:rPr>
          <w:spacing w:val="-5"/>
          <w:lang w:val="en-AU"/>
        </w:rPr>
        <w:t xml:space="preserve"> </w:t>
      </w:r>
      <w:r w:rsidR="0007366C" w:rsidRPr="003B3268">
        <w:rPr>
          <w:lang w:val="en-AU"/>
        </w:rPr>
        <w:t>a</w:t>
      </w:r>
      <w:r w:rsidR="0007366C" w:rsidRPr="003B3268">
        <w:rPr>
          <w:spacing w:val="22"/>
          <w:w w:val="99"/>
          <w:lang w:val="en-AU"/>
        </w:rPr>
        <w:t xml:space="preserve"> </w:t>
      </w:r>
      <w:r w:rsidR="0007366C" w:rsidRPr="003B3268">
        <w:rPr>
          <w:lang w:val="en-AU"/>
        </w:rPr>
        <w:t>higher</w:t>
      </w:r>
      <w:r w:rsidR="0007366C" w:rsidRPr="003B3268">
        <w:rPr>
          <w:spacing w:val="-4"/>
          <w:lang w:val="en-AU"/>
        </w:rPr>
        <w:t xml:space="preserve"> </w:t>
      </w:r>
      <w:r w:rsidR="0007366C" w:rsidRPr="003B3268">
        <w:rPr>
          <w:lang w:val="en-AU"/>
        </w:rPr>
        <w:t>rate</w:t>
      </w:r>
      <w:r w:rsidR="0007366C" w:rsidRPr="003B3268">
        <w:rPr>
          <w:spacing w:val="-4"/>
          <w:lang w:val="en-AU"/>
        </w:rPr>
        <w:t xml:space="preserve"> </w:t>
      </w:r>
      <w:r w:rsidR="0007366C" w:rsidRPr="003B3268">
        <w:rPr>
          <w:lang w:val="en-AU"/>
        </w:rPr>
        <w:t>in</w:t>
      </w:r>
      <w:r w:rsidR="0007366C" w:rsidRPr="003B3268">
        <w:rPr>
          <w:spacing w:val="-5"/>
          <w:lang w:val="en-AU"/>
        </w:rPr>
        <w:t xml:space="preserve"> </w:t>
      </w:r>
      <w:r w:rsidR="0007366C" w:rsidRPr="003B3268">
        <w:rPr>
          <w:lang w:val="en-AU"/>
        </w:rPr>
        <w:t>the</w:t>
      </w:r>
      <w:r w:rsidR="0007366C" w:rsidRPr="003B3268">
        <w:rPr>
          <w:spacing w:val="-4"/>
          <w:lang w:val="en-AU"/>
        </w:rPr>
        <w:t xml:space="preserve"> </w:t>
      </w:r>
      <w:r w:rsidR="0007366C" w:rsidRPr="003B3268">
        <w:rPr>
          <w:lang w:val="en-AU"/>
        </w:rPr>
        <w:t>TREMFYA</w:t>
      </w:r>
      <w:r w:rsidR="0007366C" w:rsidRPr="003B3268">
        <w:rPr>
          <w:spacing w:val="-5"/>
          <w:lang w:val="en-AU"/>
        </w:rPr>
        <w:t xml:space="preserve"> </w:t>
      </w:r>
      <w:r w:rsidR="0007366C" w:rsidRPr="003B3268">
        <w:rPr>
          <w:lang w:val="en-AU"/>
        </w:rPr>
        <w:t>group</w:t>
      </w:r>
      <w:r w:rsidR="0007366C" w:rsidRPr="003B3268">
        <w:rPr>
          <w:spacing w:val="-5"/>
          <w:lang w:val="en-AU"/>
        </w:rPr>
        <w:t xml:space="preserve"> </w:t>
      </w:r>
      <w:r w:rsidR="0007366C" w:rsidRPr="003B3268">
        <w:rPr>
          <w:lang w:val="en-AU"/>
        </w:rPr>
        <w:t>than</w:t>
      </w:r>
      <w:r w:rsidR="0007366C" w:rsidRPr="003B3268">
        <w:rPr>
          <w:spacing w:val="-4"/>
          <w:lang w:val="en-AU"/>
        </w:rPr>
        <w:t xml:space="preserve"> </w:t>
      </w:r>
      <w:r w:rsidR="0007366C" w:rsidRPr="003B3268">
        <w:rPr>
          <w:lang w:val="en-AU"/>
        </w:rPr>
        <w:t>in</w:t>
      </w:r>
      <w:r w:rsidR="0007366C" w:rsidRPr="003B3268">
        <w:rPr>
          <w:spacing w:val="-6"/>
          <w:lang w:val="en-AU"/>
        </w:rPr>
        <w:t xml:space="preserve"> </w:t>
      </w:r>
      <w:r w:rsidR="0007366C" w:rsidRPr="003B3268">
        <w:rPr>
          <w:lang w:val="en-AU"/>
        </w:rPr>
        <w:t>the</w:t>
      </w:r>
      <w:r w:rsidR="0007366C" w:rsidRPr="003B3268">
        <w:rPr>
          <w:spacing w:val="-4"/>
          <w:lang w:val="en-AU"/>
        </w:rPr>
        <w:t xml:space="preserve"> </w:t>
      </w:r>
      <w:r w:rsidR="0007366C" w:rsidRPr="003B3268">
        <w:rPr>
          <w:lang w:val="en-AU"/>
        </w:rPr>
        <w:t>placebo</w:t>
      </w:r>
      <w:r w:rsidR="0007366C" w:rsidRPr="003B3268">
        <w:rPr>
          <w:spacing w:val="-5"/>
          <w:lang w:val="en-AU"/>
        </w:rPr>
        <w:t xml:space="preserve"> </w:t>
      </w:r>
      <w:r w:rsidR="0007366C" w:rsidRPr="003B3268">
        <w:rPr>
          <w:spacing w:val="-1"/>
          <w:lang w:val="en-AU"/>
        </w:rPr>
        <w:t>group</w:t>
      </w:r>
      <w:r w:rsidR="0007366C" w:rsidRPr="003B3268">
        <w:rPr>
          <w:spacing w:val="-5"/>
          <w:lang w:val="en-AU"/>
        </w:rPr>
        <w:t xml:space="preserve"> </w:t>
      </w:r>
      <w:r w:rsidR="0007366C" w:rsidRPr="003B3268">
        <w:rPr>
          <w:lang w:val="en-AU"/>
        </w:rPr>
        <w:t>during</w:t>
      </w:r>
      <w:r w:rsidR="0007366C" w:rsidRPr="003B3268">
        <w:rPr>
          <w:spacing w:val="-4"/>
          <w:lang w:val="en-AU"/>
        </w:rPr>
        <w:t xml:space="preserve"> </w:t>
      </w:r>
      <w:r w:rsidR="0007366C" w:rsidRPr="003B3268">
        <w:rPr>
          <w:spacing w:val="-1"/>
          <w:lang w:val="en-AU"/>
        </w:rPr>
        <w:t>the</w:t>
      </w:r>
      <w:r w:rsidR="0007366C" w:rsidRPr="003B3268">
        <w:rPr>
          <w:spacing w:val="-5"/>
          <w:lang w:val="en-AU"/>
        </w:rPr>
        <w:t xml:space="preserve"> </w:t>
      </w:r>
      <w:r w:rsidR="0007366C" w:rsidRPr="003B3268">
        <w:rPr>
          <w:lang w:val="en-AU"/>
        </w:rPr>
        <w:t>16-week,</w:t>
      </w:r>
      <w:r w:rsidR="0007366C" w:rsidRPr="003B3268">
        <w:rPr>
          <w:spacing w:val="-5"/>
          <w:lang w:val="en-AU"/>
        </w:rPr>
        <w:t xml:space="preserve"> </w:t>
      </w:r>
      <w:r w:rsidR="0007366C" w:rsidRPr="003B3268">
        <w:rPr>
          <w:spacing w:val="-1"/>
          <w:lang w:val="en-AU"/>
        </w:rPr>
        <w:t>placebo-</w:t>
      </w:r>
      <w:r w:rsidR="0007366C" w:rsidRPr="003B3268">
        <w:rPr>
          <w:spacing w:val="29"/>
          <w:lang w:val="en-AU"/>
        </w:rPr>
        <w:t xml:space="preserve"> </w:t>
      </w:r>
      <w:r w:rsidR="0007366C" w:rsidRPr="003B3268">
        <w:rPr>
          <w:lang w:val="en-AU"/>
        </w:rPr>
        <w:t>controlled</w:t>
      </w:r>
      <w:r w:rsidR="0007366C" w:rsidRPr="003B3268">
        <w:rPr>
          <w:spacing w:val="-5"/>
          <w:lang w:val="en-AU"/>
        </w:rPr>
        <w:t xml:space="preserve"> </w:t>
      </w:r>
      <w:r w:rsidR="0007366C" w:rsidRPr="003B3268">
        <w:rPr>
          <w:lang w:val="en-AU"/>
        </w:rPr>
        <w:t>period</w:t>
      </w:r>
      <w:r w:rsidR="0007366C" w:rsidRPr="003B3268">
        <w:rPr>
          <w:spacing w:val="-5"/>
          <w:lang w:val="en-AU"/>
        </w:rPr>
        <w:t xml:space="preserve"> </w:t>
      </w:r>
      <w:r w:rsidR="0007366C" w:rsidRPr="003B3268">
        <w:rPr>
          <w:lang w:val="en-AU"/>
        </w:rPr>
        <w:t>of</w:t>
      </w:r>
      <w:r w:rsidR="0007366C" w:rsidRPr="003B3268">
        <w:rPr>
          <w:spacing w:val="-4"/>
          <w:lang w:val="en-AU"/>
        </w:rPr>
        <w:t xml:space="preserve"> </w:t>
      </w:r>
      <w:r w:rsidR="0007366C" w:rsidRPr="003B3268">
        <w:rPr>
          <w:lang w:val="en-AU"/>
        </w:rPr>
        <w:t>the</w:t>
      </w:r>
      <w:r w:rsidR="0007366C" w:rsidRPr="003B3268">
        <w:rPr>
          <w:spacing w:val="-5"/>
          <w:lang w:val="en-AU"/>
        </w:rPr>
        <w:t xml:space="preserve"> </w:t>
      </w:r>
      <w:r w:rsidR="0007366C" w:rsidRPr="003B3268">
        <w:rPr>
          <w:lang w:val="en-AU"/>
        </w:rPr>
        <w:t>pooled</w:t>
      </w:r>
      <w:r w:rsidR="0007366C" w:rsidRPr="003B3268">
        <w:rPr>
          <w:spacing w:val="-4"/>
          <w:lang w:val="en-AU"/>
        </w:rPr>
        <w:t xml:space="preserve"> </w:t>
      </w:r>
      <w:r w:rsidR="0007366C" w:rsidRPr="003B3268">
        <w:rPr>
          <w:spacing w:val="-1"/>
          <w:lang w:val="en-AU"/>
        </w:rPr>
        <w:t>clinical</w:t>
      </w:r>
      <w:r w:rsidR="0007366C" w:rsidRPr="003B3268">
        <w:rPr>
          <w:spacing w:val="-5"/>
          <w:lang w:val="en-AU"/>
        </w:rPr>
        <w:t xml:space="preserve"> </w:t>
      </w:r>
      <w:r w:rsidR="0007366C" w:rsidRPr="003B3268">
        <w:rPr>
          <w:lang w:val="en-AU"/>
        </w:rPr>
        <w:t>trials,</w:t>
      </w:r>
      <w:r w:rsidR="0007366C" w:rsidRPr="003B3268">
        <w:rPr>
          <w:spacing w:val="-4"/>
          <w:lang w:val="en-AU"/>
        </w:rPr>
        <w:t xml:space="preserve"> </w:t>
      </w:r>
      <w:r w:rsidR="0007366C" w:rsidRPr="003B3268">
        <w:rPr>
          <w:spacing w:val="-1"/>
          <w:lang w:val="en-AU"/>
        </w:rPr>
        <w:t>VOYAGE</w:t>
      </w:r>
      <w:r w:rsidR="0007366C" w:rsidRPr="003B3268">
        <w:rPr>
          <w:spacing w:val="-4"/>
          <w:lang w:val="en-AU"/>
        </w:rPr>
        <w:t xml:space="preserve"> </w:t>
      </w:r>
      <w:r w:rsidR="0007366C" w:rsidRPr="003B3268">
        <w:rPr>
          <w:lang w:val="en-AU"/>
        </w:rPr>
        <w:t>1</w:t>
      </w:r>
      <w:r w:rsidR="0007366C" w:rsidRPr="003B3268">
        <w:rPr>
          <w:spacing w:val="-4"/>
          <w:lang w:val="en-AU"/>
        </w:rPr>
        <w:t xml:space="preserve"> </w:t>
      </w:r>
      <w:r w:rsidR="0007366C" w:rsidRPr="003B3268">
        <w:rPr>
          <w:lang w:val="en-AU"/>
        </w:rPr>
        <w:t>and</w:t>
      </w:r>
      <w:r w:rsidR="0007366C" w:rsidRPr="003B3268">
        <w:rPr>
          <w:spacing w:val="-5"/>
          <w:lang w:val="en-AU"/>
        </w:rPr>
        <w:t xml:space="preserve"> </w:t>
      </w:r>
      <w:r w:rsidR="0007366C" w:rsidRPr="003B3268">
        <w:rPr>
          <w:spacing w:val="-1"/>
          <w:lang w:val="en-AU"/>
        </w:rPr>
        <w:t>VOYAGE</w:t>
      </w:r>
      <w:r w:rsidR="0007366C" w:rsidRPr="003B3268">
        <w:rPr>
          <w:spacing w:val="-3"/>
          <w:lang w:val="en-AU"/>
        </w:rPr>
        <w:t xml:space="preserve"> </w:t>
      </w:r>
      <w:r w:rsidR="0007366C" w:rsidRPr="003B3268">
        <w:rPr>
          <w:spacing w:val="-1"/>
          <w:lang w:val="en-AU"/>
        </w:rPr>
        <w:t>2.</w:t>
      </w:r>
    </w:p>
    <w:p w14:paraId="3207CDED" w14:textId="77777777" w:rsidR="00E9104E" w:rsidRDefault="00E9104E">
      <w:pPr>
        <w:spacing w:after="160" w:line="259" w:lineRule="auto"/>
        <w:jc w:val="left"/>
        <w:rPr>
          <w:b/>
          <w:lang w:val="en-AU"/>
        </w:rPr>
      </w:pPr>
      <w:r>
        <w:rPr>
          <w:b/>
          <w:lang w:val="en-AU"/>
        </w:rPr>
        <w:br w:type="page"/>
      </w:r>
    </w:p>
    <w:p w14:paraId="05C7A6CC" w14:textId="3F90D352" w:rsidR="00E017B2" w:rsidRPr="00C85CED" w:rsidRDefault="00E017B2" w:rsidP="00E017B2">
      <w:pPr>
        <w:ind w:left="1560" w:hanging="1560"/>
        <w:rPr>
          <w:lang w:val="en-AU"/>
        </w:rPr>
      </w:pPr>
      <w:r w:rsidRPr="00C85CED">
        <w:rPr>
          <w:b/>
          <w:lang w:val="en-AU"/>
        </w:rPr>
        <w:lastRenderedPageBreak/>
        <w:t>Table 1:</w:t>
      </w:r>
      <w:r w:rsidRPr="00C85CED">
        <w:rPr>
          <w:b/>
          <w:lang w:val="en-AU"/>
        </w:rPr>
        <w:tab/>
        <w:t>Adverse reactions reported by ≥1% of patients through Week 16 in VOYAGE 1 and VOYAGE</w:t>
      </w:r>
      <w:r w:rsidRPr="003B3268">
        <w:rPr>
          <w:rFonts w:eastAsia="Times New Roman" w:cs="Arial"/>
          <w:b/>
          <w:bCs/>
          <w:spacing w:val="-2"/>
          <w:sz w:val="20"/>
          <w:szCs w:val="20"/>
          <w:lang w:val="en-AU"/>
        </w:rPr>
        <w:t xml:space="preserve"> </w:t>
      </w:r>
      <w:r w:rsidRPr="003B3268">
        <w:rPr>
          <w:rFonts w:eastAsia="Times New Roman" w:cs="Arial"/>
          <w:b/>
          <w:bCs/>
          <w:sz w:val="20"/>
          <w:szCs w:val="20"/>
          <w:lang w:val="en-AU"/>
        </w:rPr>
        <w:t>2</w:t>
      </w:r>
    </w:p>
    <w:tbl>
      <w:tblPr>
        <w:tblW w:w="9350" w:type="dxa"/>
        <w:tblLayout w:type="fixed"/>
        <w:tblCellMar>
          <w:left w:w="0" w:type="dxa"/>
          <w:right w:w="0" w:type="dxa"/>
        </w:tblCellMar>
        <w:tblLook w:val="01E0" w:firstRow="1" w:lastRow="1" w:firstColumn="1" w:lastColumn="1" w:noHBand="0" w:noVBand="0"/>
      </w:tblPr>
      <w:tblGrid>
        <w:gridCol w:w="2581"/>
        <w:gridCol w:w="1732"/>
        <w:gridCol w:w="2485"/>
        <w:gridCol w:w="2552"/>
      </w:tblGrid>
      <w:tr w:rsidR="00E017B2" w:rsidRPr="003B3268" w14:paraId="5577F6A3"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tcPr>
          <w:p w14:paraId="4BF55A3F" w14:textId="77777777" w:rsidR="00E017B2" w:rsidRPr="003B3268" w:rsidRDefault="00E017B2" w:rsidP="00A478F9">
            <w:pPr>
              <w:spacing w:after="0"/>
              <w:rPr>
                <w:rFonts w:cs="Arial"/>
                <w:sz w:val="20"/>
                <w:szCs w:val="20"/>
                <w:lang w:val="en-AU"/>
              </w:rPr>
            </w:pPr>
          </w:p>
        </w:tc>
        <w:tc>
          <w:tcPr>
            <w:tcW w:w="1732" w:type="dxa"/>
            <w:tcBorders>
              <w:top w:val="single" w:sz="5" w:space="0" w:color="000000"/>
              <w:left w:val="single" w:sz="5" w:space="0" w:color="000000"/>
              <w:bottom w:val="single" w:sz="5" w:space="0" w:color="000000"/>
              <w:right w:val="single" w:sz="5" w:space="0" w:color="000000"/>
            </w:tcBorders>
            <w:vAlign w:val="center"/>
          </w:tcPr>
          <w:p w14:paraId="1E93FB87" w14:textId="448A1265" w:rsidR="00E017B2" w:rsidRPr="00C85CED" w:rsidRDefault="00E017B2" w:rsidP="00A478F9">
            <w:pPr>
              <w:pStyle w:val="TableParagraph"/>
              <w:ind w:right="58"/>
              <w:jc w:val="center"/>
              <w:rPr>
                <w:rFonts w:ascii="Arial" w:eastAsia="Times New Roman" w:hAnsi="Arial" w:cs="Arial"/>
                <w:sz w:val="20"/>
                <w:szCs w:val="20"/>
              </w:rPr>
            </w:pPr>
            <w:r w:rsidRPr="00C85CED">
              <w:rPr>
                <w:rFonts w:ascii="Arial" w:hAnsi="Arial" w:cs="Arial"/>
                <w:spacing w:val="-1"/>
                <w:sz w:val="20"/>
                <w:szCs w:val="20"/>
              </w:rPr>
              <w:t>Placebo</w:t>
            </w:r>
            <w:r w:rsidR="0007366C" w:rsidRPr="00C85CED">
              <w:rPr>
                <w:rFonts w:ascii="Arial" w:hAnsi="Arial" w:cs="Arial"/>
                <w:spacing w:val="20"/>
                <w:sz w:val="20"/>
                <w:szCs w:val="20"/>
              </w:rPr>
              <w:t xml:space="preserve"> </w:t>
            </w:r>
            <w:r w:rsidRPr="00C85CED">
              <w:rPr>
                <w:rFonts w:ascii="Arial" w:hAnsi="Arial" w:cs="Arial"/>
                <w:sz w:val="20"/>
                <w:szCs w:val="20"/>
              </w:rPr>
              <w:t>N =</w:t>
            </w:r>
            <w:r w:rsidRPr="00C85CED">
              <w:rPr>
                <w:rFonts w:ascii="Arial" w:hAnsi="Arial" w:cs="Arial"/>
                <w:spacing w:val="-2"/>
                <w:sz w:val="20"/>
                <w:szCs w:val="20"/>
              </w:rPr>
              <w:t xml:space="preserve"> </w:t>
            </w:r>
            <w:r w:rsidRPr="00C85CED">
              <w:rPr>
                <w:rFonts w:ascii="Arial" w:hAnsi="Arial" w:cs="Arial"/>
                <w:spacing w:val="-1"/>
                <w:sz w:val="20"/>
                <w:szCs w:val="20"/>
              </w:rPr>
              <w:t>422</w:t>
            </w:r>
            <w:r w:rsidRPr="00C85CED">
              <w:rPr>
                <w:rFonts w:ascii="Arial" w:hAnsi="Arial" w:cs="Arial"/>
                <w:spacing w:val="22"/>
                <w:sz w:val="20"/>
                <w:szCs w:val="20"/>
              </w:rPr>
              <w:t xml:space="preserve"> </w:t>
            </w:r>
            <w:r w:rsidRPr="00C85CED">
              <w:rPr>
                <w:rFonts w:ascii="Arial" w:hAnsi="Arial" w:cs="Arial"/>
                <w:sz w:val="20"/>
                <w:szCs w:val="20"/>
              </w:rPr>
              <w:t>n</w:t>
            </w:r>
            <w:r w:rsidRPr="00C85CED">
              <w:rPr>
                <w:rFonts w:ascii="Arial" w:hAnsi="Arial" w:cs="Arial"/>
                <w:spacing w:val="-1"/>
                <w:sz w:val="20"/>
                <w:szCs w:val="20"/>
              </w:rPr>
              <w:t xml:space="preserve"> </w:t>
            </w:r>
            <w:r w:rsidRPr="00C85CED">
              <w:rPr>
                <w:rFonts w:ascii="Arial" w:hAnsi="Arial" w:cs="Arial"/>
                <w:sz w:val="20"/>
                <w:szCs w:val="20"/>
              </w:rPr>
              <w:t>(%)</w:t>
            </w:r>
          </w:p>
        </w:tc>
        <w:tc>
          <w:tcPr>
            <w:tcW w:w="2485" w:type="dxa"/>
            <w:tcBorders>
              <w:top w:val="single" w:sz="5" w:space="0" w:color="000000"/>
              <w:left w:val="single" w:sz="5" w:space="0" w:color="000000"/>
              <w:bottom w:val="single" w:sz="5" w:space="0" w:color="000000"/>
              <w:right w:val="single" w:sz="5" w:space="0" w:color="000000"/>
            </w:tcBorders>
            <w:vAlign w:val="center"/>
          </w:tcPr>
          <w:p w14:paraId="2E253F50" w14:textId="705D97A8" w:rsidR="00E017B2" w:rsidRPr="00C85CED" w:rsidRDefault="00E017B2" w:rsidP="00A478F9">
            <w:pPr>
              <w:pStyle w:val="TableParagraph"/>
              <w:ind w:right="89"/>
              <w:jc w:val="center"/>
              <w:rPr>
                <w:rFonts w:ascii="Arial" w:eastAsia="Times New Roman" w:hAnsi="Arial" w:cs="Arial"/>
                <w:sz w:val="20"/>
                <w:szCs w:val="20"/>
              </w:rPr>
            </w:pPr>
            <w:proofErr w:type="spellStart"/>
            <w:r w:rsidRPr="00C85CED">
              <w:rPr>
                <w:rFonts w:ascii="Arial" w:eastAsia="Times New Roman" w:hAnsi="Arial" w:cs="Arial"/>
                <w:spacing w:val="-1"/>
                <w:sz w:val="20"/>
                <w:szCs w:val="20"/>
              </w:rPr>
              <w:t>TREMFYA</w:t>
            </w:r>
            <w:r w:rsidR="0007366C" w:rsidRPr="00C85CED">
              <w:rPr>
                <w:rFonts w:ascii="Arial" w:eastAsia="Times New Roman" w:hAnsi="Arial" w:cs="Arial"/>
                <w:spacing w:val="-1"/>
                <w:sz w:val="20"/>
                <w:szCs w:val="20"/>
                <w:vertAlign w:val="superscript"/>
              </w:rPr>
              <w:t>a</w:t>
            </w:r>
            <w:proofErr w:type="spellEnd"/>
            <w:r w:rsidRPr="00C85CED">
              <w:rPr>
                <w:rFonts w:ascii="Arial" w:eastAsia="Times New Roman" w:hAnsi="Arial" w:cs="Arial"/>
                <w:spacing w:val="22"/>
                <w:w w:val="99"/>
                <w:position w:val="7"/>
                <w:sz w:val="20"/>
                <w:szCs w:val="20"/>
              </w:rPr>
              <w:t xml:space="preserve"> </w:t>
            </w:r>
            <w:r w:rsidRPr="00C85CED">
              <w:rPr>
                <w:rFonts w:ascii="Arial" w:eastAsia="Times New Roman" w:hAnsi="Arial" w:cs="Arial"/>
                <w:sz w:val="20"/>
                <w:szCs w:val="20"/>
              </w:rPr>
              <w:t>N =</w:t>
            </w:r>
            <w:r w:rsidRPr="00C85CED">
              <w:rPr>
                <w:rFonts w:ascii="Arial" w:eastAsia="Times New Roman" w:hAnsi="Arial" w:cs="Arial"/>
                <w:spacing w:val="-2"/>
                <w:sz w:val="20"/>
                <w:szCs w:val="20"/>
              </w:rPr>
              <w:t xml:space="preserve"> </w:t>
            </w:r>
            <w:r w:rsidRPr="00C85CED">
              <w:rPr>
                <w:rFonts w:ascii="Arial" w:eastAsia="Times New Roman" w:hAnsi="Arial" w:cs="Arial"/>
                <w:spacing w:val="-1"/>
                <w:sz w:val="20"/>
                <w:szCs w:val="20"/>
              </w:rPr>
              <w:t>823</w:t>
            </w:r>
          </w:p>
          <w:p w14:paraId="65FAAEA9" w14:textId="77777777" w:rsidR="00E017B2" w:rsidRPr="00C85CED" w:rsidRDefault="00E017B2" w:rsidP="00A478F9">
            <w:pPr>
              <w:pStyle w:val="TableParagraph"/>
              <w:ind w:right="89"/>
              <w:jc w:val="center"/>
              <w:rPr>
                <w:rFonts w:ascii="Arial" w:eastAsia="Times New Roman" w:hAnsi="Arial" w:cs="Arial"/>
                <w:sz w:val="20"/>
                <w:szCs w:val="20"/>
              </w:rPr>
            </w:pPr>
            <w:proofErr w:type="gramStart"/>
            <w:r w:rsidRPr="00C85CED">
              <w:rPr>
                <w:rFonts w:ascii="Arial" w:hAnsi="Arial" w:cs="Arial"/>
                <w:sz w:val="20"/>
                <w:szCs w:val="20"/>
              </w:rPr>
              <w:t>n</w:t>
            </w:r>
            <w:proofErr w:type="gramEnd"/>
            <w:r w:rsidRPr="00C85CED">
              <w:rPr>
                <w:rFonts w:ascii="Arial" w:hAnsi="Arial" w:cs="Arial"/>
                <w:spacing w:val="-1"/>
                <w:sz w:val="20"/>
                <w:szCs w:val="20"/>
              </w:rPr>
              <w:t xml:space="preserve"> </w:t>
            </w:r>
            <w:r w:rsidRPr="00C85CED">
              <w:rPr>
                <w:rFonts w:ascii="Arial" w:hAnsi="Arial" w:cs="Arial"/>
                <w:sz w:val="20"/>
                <w:szCs w:val="20"/>
              </w:rPr>
              <w:t>(%)</w:t>
            </w:r>
          </w:p>
        </w:tc>
        <w:tc>
          <w:tcPr>
            <w:tcW w:w="2552" w:type="dxa"/>
            <w:tcBorders>
              <w:top w:val="single" w:sz="5" w:space="0" w:color="000000"/>
              <w:left w:val="single" w:sz="5" w:space="0" w:color="000000"/>
              <w:bottom w:val="single" w:sz="5" w:space="0" w:color="000000"/>
              <w:right w:val="single" w:sz="5" w:space="0" w:color="000000"/>
            </w:tcBorders>
            <w:vAlign w:val="center"/>
          </w:tcPr>
          <w:p w14:paraId="5D0B77FD" w14:textId="299FFA91" w:rsidR="00E017B2" w:rsidRPr="00C85CED" w:rsidRDefault="00E017B2" w:rsidP="00A478F9">
            <w:pPr>
              <w:pStyle w:val="TableParagraph"/>
              <w:ind w:right="124"/>
              <w:jc w:val="center"/>
              <w:rPr>
                <w:rFonts w:ascii="Arial" w:eastAsia="Times New Roman" w:hAnsi="Arial" w:cs="Arial"/>
                <w:sz w:val="20"/>
                <w:szCs w:val="20"/>
              </w:rPr>
            </w:pPr>
            <w:proofErr w:type="spellStart"/>
            <w:r w:rsidRPr="00C85CED">
              <w:rPr>
                <w:rFonts w:ascii="Arial" w:hAnsi="Arial" w:cs="Arial"/>
                <w:spacing w:val="-1"/>
                <w:sz w:val="20"/>
                <w:szCs w:val="20"/>
              </w:rPr>
              <w:t>Adalimumab</w:t>
            </w:r>
            <w:r w:rsidR="0007366C" w:rsidRPr="00C85CED">
              <w:rPr>
                <w:rFonts w:ascii="Arial" w:hAnsi="Arial" w:cs="Arial"/>
                <w:spacing w:val="-1"/>
                <w:sz w:val="20"/>
                <w:szCs w:val="20"/>
                <w:vertAlign w:val="superscript"/>
              </w:rPr>
              <w:t>b</w:t>
            </w:r>
            <w:proofErr w:type="spellEnd"/>
            <w:r w:rsidRPr="00C85CED">
              <w:rPr>
                <w:rFonts w:ascii="Arial" w:hAnsi="Arial" w:cs="Arial"/>
                <w:spacing w:val="22"/>
                <w:w w:val="99"/>
                <w:position w:val="7"/>
                <w:sz w:val="20"/>
                <w:szCs w:val="20"/>
              </w:rPr>
              <w:t xml:space="preserve"> </w:t>
            </w:r>
            <w:r w:rsidRPr="00C85CED">
              <w:rPr>
                <w:rFonts w:ascii="Arial" w:hAnsi="Arial" w:cs="Arial"/>
                <w:sz w:val="20"/>
                <w:szCs w:val="20"/>
              </w:rPr>
              <w:t>N =</w:t>
            </w:r>
            <w:r w:rsidRPr="00C85CED">
              <w:rPr>
                <w:rFonts w:ascii="Arial" w:hAnsi="Arial" w:cs="Arial"/>
                <w:spacing w:val="-2"/>
                <w:sz w:val="20"/>
                <w:szCs w:val="20"/>
              </w:rPr>
              <w:t xml:space="preserve"> </w:t>
            </w:r>
            <w:r w:rsidRPr="00C85CED">
              <w:rPr>
                <w:rFonts w:ascii="Arial" w:hAnsi="Arial" w:cs="Arial"/>
                <w:spacing w:val="-1"/>
                <w:sz w:val="20"/>
                <w:szCs w:val="20"/>
              </w:rPr>
              <w:t>581</w:t>
            </w:r>
          </w:p>
          <w:p w14:paraId="1C0702A6" w14:textId="77777777" w:rsidR="00E017B2" w:rsidRPr="00C85CED" w:rsidRDefault="00E017B2" w:rsidP="00A478F9">
            <w:pPr>
              <w:pStyle w:val="TableParagraph"/>
              <w:ind w:right="124"/>
              <w:jc w:val="center"/>
              <w:rPr>
                <w:rFonts w:ascii="Arial" w:eastAsia="Times New Roman" w:hAnsi="Arial" w:cs="Arial"/>
                <w:sz w:val="20"/>
                <w:szCs w:val="20"/>
              </w:rPr>
            </w:pPr>
            <w:proofErr w:type="gramStart"/>
            <w:r w:rsidRPr="00C85CED">
              <w:rPr>
                <w:rFonts w:ascii="Arial" w:hAnsi="Arial" w:cs="Arial"/>
                <w:sz w:val="20"/>
                <w:szCs w:val="20"/>
              </w:rPr>
              <w:t>n</w:t>
            </w:r>
            <w:proofErr w:type="gramEnd"/>
            <w:r w:rsidRPr="00C85CED">
              <w:rPr>
                <w:rFonts w:ascii="Arial" w:hAnsi="Arial" w:cs="Arial"/>
                <w:spacing w:val="-1"/>
                <w:sz w:val="20"/>
                <w:szCs w:val="20"/>
              </w:rPr>
              <w:t xml:space="preserve"> </w:t>
            </w:r>
            <w:r w:rsidRPr="00C85CED">
              <w:rPr>
                <w:rFonts w:ascii="Arial" w:hAnsi="Arial" w:cs="Arial"/>
                <w:sz w:val="20"/>
                <w:szCs w:val="20"/>
              </w:rPr>
              <w:t>(%)</w:t>
            </w:r>
          </w:p>
        </w:tc>
      </w:tr>
      <w:tr w:rsidR="00E017B2" w:rsidRPr="003B3268" w14:paraId="44E0A28F"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38F3D3F0" w14:textId="77777777" w:rsidR="00E017B2" w:rsidRPr="00C85CED" w:rsidRDefault="00E017B2" w:rsidP="00A478F9">
            <w:pPr>
              <w:pStyle w:val="TableParagraph"/>
              <w:rPr>
                <w:rFonts w:ascii="Arial" w:eastAsia="Times New Roman" w:hAnsi="Arial" w:cs="Arial"/>
                <w:sz w:val="20"/>
                <w:szCs w:val="20"/>
              </w:rPr>
            </w:pPr>
            <w:r w:rsidRPr="00C85CED">
              <w:rPr>
                <w:rFonts w:ascii="Arial" w:hAnsi="Arial" w:cs="Arial"/>
                <w:b/>
                <w:spacing w:val="-1"/>
                <w:sz w:val="20"/>
                <w:szCs w:val="20"/>
              </w:rPr>
              <w:t>Gastrointestinal</w:t>
            </w:r>
            <w:r w:rsidRPr="00C85CED">
              <w:rPr>
                <w:rFonts w:ascii="Arial" w:hAnsi="Arial" w:cs="Arial"/>
                <w:b/>
                <w:sz w:val="20"/>
                <w:szCs w:val="20"/>
              </w:rPr>
              <w:t xml:space="preserve"> </w:t>
            </w:r>
            <w:r w:rsidRPr="00C85CED">
              <w:rPr>
                <w:rFonts w:ascii="Arial" w:hAnsi="Arial" w:cs="Arial"/>
                <w:b/>
                <w:spacing w:val="-1"/>
                <w:sz w:val="20"/>
                <w:szCs w:val="20"/>
              </w:rPr>
              <w:t>disorders</w:t>
            </w:r>
          </w:p>
        </w:tc>
        <w:tc>
          <w:tcPr>
            <w:tcW w:w="1732" w:type="dxa"/>
            <w:tcBorders>
              <w:top w:val="single" w:sz="5" w:space="0" w:color="000000"/>
              <w:left w:val="single" w:sz="5" w:space="0" w:color="000000"/>
              <w:bottom w:val="single" w:sz="5" w:space="0" w:color="000000"/>
              <w:right w:val="single" w:sz="5" w:space="0" w:color="000000"/>
            </w:tcBorders>
            <w:vAlign w:val="center"/>
          </w:tcPr>
          <w:p w14:paraId="7D167FE4" w14:textId="77777777" w:rsidR="00E017B2" w:rsidRPr="003B3268" w:rsidRDefault="00E017B2" w:rsidP="00A478F9">
            <w:pPr>
              <w:spacing w:after="0"/>
              <w:jc w:val="center"/>
              <w:rPr>
                <w:rFonts w:cs="Arial"/>
                <w:sz w:val="20"/>
                <w:szCs w:val="20"/>
                <w:lang w:val="en-AU"/>
              </w:rPr>
            </w:pPr>
          </w:p>
        </w:tc>
        <w:tc>
          <w:tcPr>
            <w:tcW w:w="2485" w:type="dxa"/>
            <w:tcBorders>
              <w:top w:val="single" w:sz="5" w:space="0" w:color="000000"/>
              <w:left w:val="single" w:sz="5" w:space="0" w:color="000000"/>
              <w:bottom w:val="single" w:sz="5" w:space="0" w:color="000000"/>
              <w:right w:val="single" w:sz="5" w:space="0" w:color="000000"/>
            </w:tcBorders>
            <w:vAlign w:val="center"/>
          </w:tcPr>
          <w:p w14:paraId="633548A2" w14:textId="77777777" w:rsidR="00E017B2" w:rsidRPr="003B3268" w:rsidRDefault="00E017B2" w:rsidP="00A478F9">
            <w:pPr>
              <w:spacing w:after="0"/>
              <w:jc w:val="center"/>
              <w:rPr>
                <w:rFonts w:cs="Arial"/>
                <w:sz w:val="20"/>
                <w:szCs w:val="20"/>
                <w:lang w:val="en-AU"/>
              </w:rPr>
            </w:pPr>
          </w:p>
        </w:tc>
        <w:tc>
          <w:tcPr>
            <w:tcW w:w="2552" w:type="dxa"/>
            <w:tcBorders>
              <w:top w:val="single" w:sz="5" w:space="0" w:color="000000"/>
              <w:left w:val="single" w:sz="5" w:space="0" w:color="000000"/>
              <w:bottom w:val="single" w:sz="5" w:space="0" w:color="000000"/>
              <w:right w:val="single" w:sz="5" w:space="0" w:color="000000"/>
            </w:tcBorders>
            <w:vAlign w:val="center"/>
          </w:tcPr>
          <w:p w14:paraId="0E3063F8" w14:textId="77777777" w:rsidR="00E017B2" w:rsidRPr="003B3268" w:rsidRDefault="00E017B2" w:rsidP="00A478F9">
            <w:pPr>
              <w:spacing w:after="0"/>
              <w:jc w:val="center"/>
              <w:rPr>
                <w:rFonts w:cs="Arial"/>
                <w:sz w:val="20"/>
                <w:szCs w:val="20"/>
                <w:lang w:val="en-AU"/>
              </w:rPr>
            </w:pPr>
          </w:p>
        </w:tc>
      </w:tr>
      <w:tr w:rsidR="00E017B2" w:rsidRPr="003B3268" w14:paraId="45847027"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1C95DD0D" w14:textId="04DF428F" w:rsidR="00E017B2" w:rsidRPr="00C85CED" w:rsidRDefault="00E017B2" w:rsidP="00A478F9">
            <w:pPr>
              <w:pStyle w:val="TableParagraph"/>
              <w:rPr>
                <w:rFonts w:ascii="Arial" w:eastAsia="Times New Roman" w:hAnsi="Arial" w:cs="Arial"/>
                <w:sz w:val="20"/>
                <w:szCs w:val="20"/>
              </w:rPr>
            </w:pPr>
            <w:r w:rsidRPr="00C85CED">
              <w:rPr>
                <w:rFonts w:ascii="Arial" w:hAnsi="Arial" w:cs="Arial"/>
                <w:spacing w:val="-1"/>
                <w:sz w:val="20"/>
                <w:szCs w:val="20"/>
              </w:rPr>
              <w:t>Diarrh</w:t>
            </w:r>
            <w:r w:rsidR="0007366C" w:rsidRPr="00C85CED">
              <w:rPr>
                <w:rFonts w:ascii="Arial" w:hAnsi="Arial" w:cs="Arial"/>
                <w:spacing w:val="-1"/>
                <w:sz w:val="20"/>
                <w:szCs w:val="20"/>
              </w:rPr>
              <w:t>o</w:t>
            </w:r>
            <w:r w:rsidRPr="00C85CED">
              <w:rPr>
                <w:rFonts w:ascii="Arial" w:hAnsi="Arial" w:cs="Arial"/>
                <w:spacing w:val="-1"/>
                <w:sz w:val="20"/>
                <w:szCs w:val="20"/>
              </w:rPr>
              <w:t>ea</w:t>
            </w:r>
          </w:p>
        </w:tc>
        <w:tc>
          <w:tcPr>
            <w:tcW w:w="1732" w:type="dxa"/>
            <w:tcBorders>
              <w:top w:val="single" w:sz="5" w:space="0" w:color="000000"/>
              <w:left w:val="single" w:sz="5" w:space="0" w:color="000000"/>
              <w:bottom w:val="single" w:sz="5" w:space="0" w:color="000000"/>
              <w:right w:val="single" w:sz="5" w:space="0" w:color="000000"/>
            </w:tcBorders>
            <w:vAlign w:val="center"/>
          </w:tcPr>
          <w:p w14:paraId="3C4DF8F1"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4</w:t>
            </w:r>
            <w:r w:rsidRPr="00C85CED">
              <w:rPr>
                <w:rFonts w:ascii="Arial" w:hAnsi="Arial" w:cs="Arial"/>
                <w:spacing w:val="-1"/>
                <w:sz w:val="20"/>
                <w:szCs w:val="20"/>
              </w:rPr>
              <w:t xml:space="preserve"> (0.9%)</w:t>
            </w:r>
          </w:p>
        </w:tc>
        <w:tc>
          <w:tcPr>
            <w:tcW w:w="2485" w:type="dxa"/>
            <w:tcBorders>
              <w:top w:val="single" w:sz="5" w:space="0" w:color="000000"/>
              <w:left w:val="single" w:sz="5" w:space="0" w:color="000000"/>
              <w:bottom w:val="single" w:sz="5" w:space="0" w:color="000000"/>
              <w:right w:val="single" w:sz="5" w:space="0" w:color="000000"/>
            </w:tcBorders>
            <w:vAlign w:val="center"/>
          </w:tcPr>
          <w:p w14:paraId="1653F864"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 xml:space="preserve">13 </w:t>
            </w:r>
            <w:r w:rsidRPr="00C85CED">
              <w:rPr>
                <w:rFonts w:ascii="Arial" w:hAnsi="Arial" w:cs="Arial"/>
                <w:spacing w:val="-1"/>
                <w:sz w:val="20"/>
                <w:szCs w:val="20"/>
              </w:rPr>
              <w:t>(1.6%)</w:t>
            </w:r>
          </w:p>
        </w:tc>
        <w:tc>
          <w:tcPr>
            <w:tcW w:w="2552" w:type="dxa"/>
            <w:tcBorders>
              <w:top w:val="single" w:sz="5" w:space="0" w:color="000000"/>
              <w:left w:val="single" w:sz="5" w:space="0" w:color="000000"/>
              <w:bottom w:val="single" w:sz="5" w:space="0" w:color="000000"/>
              <w:right w:val="single" w:sz="5" w:space="0" w:color="000000"/>
            </w:tcBorders>
            <w:vAlign w:val="center"/>
          </w:tcPr>
          <w:p w14:paraId="2E6CC8B4"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7</w:t>
            </w:r>
            <w:r w:rsidRPr="00C85CED">
              <w:rPr>
                <w:rFonts w:ascii="Arial" w:hAnsi="Arial" w:cs="Arial"/>
                <w:spacing w:val="-1"/>
                <w:sz w:val="20"/>
                <w:szCs w:val="20"/>
              </w:rPr>
              <w:t xml:space="preserve"> (1.2%)</w:t>
            </w:r>
          </w:p>
        </w:tc>
      </w:tr>
      <w:tr w:rsidR="00E017B2" w:rsidRPr="003B3268" w14:paraId="60E20468"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5CBF7A4D" w14:textId="77777777" w:rsidR="00E017B2" w:rsidRPr="00C85CED" w:rsidRDefault="00E017B2" w:rsidP="00A478F9">
            <w:pPr>
              <w:pStyle w:val="TableParagraph"/>
              <w:rPr>
                <w:rFonts w:ascii="Arial" w:eastAsia="Times New Roman" w:hAnsi="Arial" w:cs="Arial"/>
                <w:sz w:val="20"/>
                <w:szCs w:val="20"/>
              </w:rPr>
            </w:pPr>
            <w:r w:rsidRPr="00C85CED">
              <w:rPr>
                <w:rFonts w:ascii="Arial" w:hAnsi="Arial" w:cs="Arial"/>
                <w:b/>
                <w:sz w:val="20"/>
                <w:szCs w:val="20"/>
              </w:rPr>
              <w:t>General</w:t>
            </w:r>
            <w:r w:rsidRPr="00C85CED">
              <w:rPr>
                <w:rFonts w:ascii="Arial" w:hAnsi="Arial" w:cs="Arial"/>
                <w:b/>
                <w:spacing w:val="-2"/>
                <w:sz w:val="20"/>
                <w:szCs w:val="20"/>
              </w:rPr>
              <w:t xml:space="preserve"> </w:t>
            </w:r>
            <w:r w:rsidRPr="00C85CED">
              <w:rPr>
                <w:rFonts w:ascii="Arial" w:hAnsi="Arial" w:cs="Arial"/>
                <w:b/>
                <w:spacing w:val="-1"/>
                <w:sz w:val="20"/>
                <w:szCs w:val="20"/>
              </w:rPr>
              <w:t>disorders and</w:t>
            </w:r>
            <w:r w:rsidRPr="00C85CED">
              <w:rPr>
                <w:rFonts w:ascii="Arial" w:hAnsi="Arial" w:cs="Arial"/>
                <w:b/>
                <w:spacing w:val="23"/>
                <w:sz w:val="20"/>
                <w:szCs w:val="20"/>
              </w:rPr>
              <w:t xml:space="preserve"> </w:t>
            </w:r>
            <w:r w:rsidRPr="00C85CED">
              <w:rPr>
                <w:rFonts w:ascii="Arial" w:hAnsi="Arial" w:cs="Arial"/>
                <w:b/>
                <w:spacing w:val="-1"/>
                <w:sz w:val="20"/>
                <w:szCs w:val="20"/>
              </w:rPr>
              <w:t>administration</w:t>
            </w:r>
            <w:r w:rsidRPr="00C85CED">
              <w:rPr>
                <w:rFonts w:ascii="Arial" w:hAnsi="Arial" w:cs="Arial"/>
                <w:b/>
                <w:sz w:val="20"/>
                <w:szCs w:val="20"/>
              </w:rPr>
              <w:t xml:space="preserve"> </w:t>
            </w:r>
            <w:r w:rsidRPr="00C85CED">
              <w:rPr>
                <w:rFonts w:ascii="Arial" w:hAnsi="Arial" w:cs="Arial"/>
                <w:b/>
                <w:spacing w:val="-1"/>
                <w:sz w:val="20"/>
                <w:szCs w:val="20"/>
              </w:rPr>
              <w:t>site</w:t>
            </w:r>
            <w:r w:rsidRPr="00C85CED">
              <w:rPr>
                <w:rFonts w:ascii="Arial" w:hAnsi="Arial" w:cs="Arial"/>
                <w:b/>
                <w:spacing w:val="26"/>
                <w:sz w:val="20"/>
                <w:szCs w:val="20"/>
              </w:rPr>
              <w:t xml:space="preserve"> </w:t>
            </w:r>
            <w:r w:rsidRPr="00C85CED">
              <w:rPr>
                <w:rFonts w:ascii="Arial" w:hAnsi="Arial" w:cs="Arial"/>
                <w:b/>
                <w:spacing w:val="-1"/>
                <w:sz w:val="20"/>
                <w:szCs w:val="20"/>
              </w:rPr>
              <w:t>conditions</w:t>
            </w:r>
          </w:p>
        </w:tc>
        <w:tc>
          <w:tcPr>
            <w:tcW w:w="1732" w:type="dxa"/>
            <w:tcBorders>
              <w:top w:val="single" w:sz="5" w:space="0" w:color="000000"/>
              <w:left w:val="single" w:sz="5" w:space="0" w:color="000000"/>
              <w:bottom w:val="single" w:sz="5" w:space="0" w:color="000000"/>
              <w:right w:val="single" w:sz="5" w:space="0" w:color="000000"/>
            </w:tcBorders>
            <w:vAlign w:val="center"/>
          </w:tcPr>
          <w:p w14:paraId="38C3D50F" w14:textId="77777777" w:rsidR="00E017B2" w:rsidRPr="003B3268" w:rsidRDefault="00E017B2" w:rsidP="00A478F9">
            <w:pPr>
              <w:spacing w:after="0"/>
              <w:jc w:val="center"/>
              <w:rPr>
                <w:rFonts w:cs="Arial"/>
                <w:sz w:val="20"/>
                <w:szCs w:val="20"/>
                <w:lang w:val="en-AU"/>
              </w:rPr>
            </w:pPr>
          </w:p>
        </w:tc>
        <w:tc>
          <w:tcPr>
            <w:tcW w:w="2485" w:type="dxa"/>
            <w:tcBorders>
              <w:top w:val="single" w:sz="5" w:space="0" w:color="000000"/>
              <w:left w:val="single" w:sz="5" w:space="0" w:color="000000"/>
              <w:bottom w:val="single" w:sz="5" w:space="0" w:color="000000"/>
              <w:right w:val="single" w:sz="5" w:space="0" w:color="000000"/>
            </w:tcBorders>
            <w:vAlign w:val="center"/>
          </w:tcPr>
          <w:p w14:paraId="4BD1684E" w14:textId="77777777" w:rsidR="00E017B2" w:rsidRPr="003B3268" w:rsidRDefault="00E017B2" w:rsidP="00A478F9">
            <w:pPr>
              <w:spacing w:after="0"/>
              <w:jc w:val="center"/>
              <w:rPr>
                <w:rFonts w:cs="Arial"/>
                <w:sz w:val="20"/>
                <w:szCs w:val="20"/>
                <w:lang w:val="en-AU"/>
              </w:rPr>
            </w:pPr>
          </w:p>
        </w:tc>
        <w:tc>
          <w:tcPr>
            <w:tcW w:w="2552" w:type="dxa"/>
            <w:tcBorders>
              <w:top w:val="single" w:sz="5" w:space="0" w:color="000000"/>
              <w:left w:val="single" w:sz="5" w:space="0" w:color="000000"/>
              <w:bottom w:val="single" w:sz="5" w:space="0" w:color="000000"/>
              <w:right w:val="single" w:sz="5" w:space="0" w:color="000000"/>
            </w:tcBorders>
            <w:vAlign w:val="center"/>
          </w:tcPr>
          <w:p w14:paraId="3B9B5998" w14:textId="77777777" w:rsidR="00E017B2" w:rsidRPr="003B3268" w:rsidRDefault="00E017B2" w:rsidP="00A478F9">
            <w:pPr>
              <w:spacing w:after="0"/>
              <w:jc w:val="center"/>
              <w:rPr>
                <w:rFonts w:cs="Arial"/>
                <w:sz w:val="20"/>
                <w:szCs w:val="20"/>
                <w:lang w:val="en-AU"/>
              </w:rPr>
            </w:pPr>
          </w:p>
        </w:tc>
      </w:tr>
      <w:tr w:rsidR="00E017B2" w:rsidRPr="003B3268" w14:paraId="74599AE1"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24413E62" w14:textId="7A54F9C0" w:rsidR="00E017B2" w:rsidRPr="00C85CED" w:rsidRDefault="00E017B2" w:rsidP="00A478F9">
            <w:pPr>
              <w:pStyle w:val="TableParagraph"/>
              <w:rPr>
                <w:rFonts w:ascii="Arial" w:eastAsia="Times New Roman" w:hAnsi="Arial" w:cs="Arial"/>
                <w:sz w:val="20"/>
                <w:szCs w:val="20"/>
              </w:rPr>
            </w:pPr>
            <w:r w:rsidRPr="00C85CED">
              <w:rPr>
                <w:rFonts w:ascii="Arial" w:hAnsi="Arial" w:cs="Arial"/>
                <w:spacing w:val="-1"/>
                <w:sz w:val="20"/>
                <w:szCs w:val="20"/>
              </w:rPr>
              <w:t>Injection site</w:t>
            </w:r>
            <w:r w:rsidRPr="00C85CED">
              <w:rPr>
                <w:rFonts w:ascii="Arial" w:hAnsi="Arial" w:cs="Arial"/>
                <w:sz w:val="20"/>
                <w:szCs w:val="20"/>
              </w:rPr>
              <w:t xml:space="preserve"> </w:t>
            </w:r>
            <w:proofErr w:type="spellStart"/>
            <w:r w:rsidRPr="00C85CED">
              <w:rPr>
                <w:rFonts w:ascii="Arial" w:hAnsi="Arial" w:cs="Arial"/>
                <w:spacing w:val="-1"/>
                <w:sz w:val="20"/>
                <w:szCs w:val="20"/>
              </w:rPr>
              <w:t>reactions</w:t>
            </w:r>
            <w:r w:rsidR="0007366C" w:rsidRPr="00C85CED">
              <w:rPr>
                <w:rFonts w:ascii="Arial" w:hAnsi="Arial" w:cs="Arial"/>
                <w:spacing w:val="-1"/>
                <w:sz w:val="20"/>
                <w:szCs w:val="20"/>
                <w:vertAlign w:val="superscript"/>
              </w:rPr>
              <w:t>c</w:t>
            </w:r>
            <w:proofErr w:type="spellEnd"/>
          </w:p>
        </w:tc>
        <w:tc>
          <w:tcPr>
            <w:tcW w:w="1732" w:type="dxa"/>
            <w:tcBorders>
              <w:top w:val="single" w:sz="5" w:space="0" w:color="000000"/>
              <w:left w:val="single" w:sz="5" w:space="0" w:color="000000"/>
              <w:bottom w:val="single" w:sz="5" w:space="0" w:color="000000"/>
              <w:right w:val="single" w:sz="5" w:space="0" w:color="000000"/>
            </w:tcBorders>
            <w:vAlign w:val="center"/>
          </w:tcPr>
          <w:p w14:paraId="7603028D"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12</w:t>
            </w:r>
            <w:r w:rsidRPr="00C85CED">
              <w:rPr>
                <w:rFonts w:ascii="Arial" w:hAnsi="Arial" w:cs="Arial"/>
                <w:spacing w:val="-1"/>
                <w:sz w:val="20"/>
                <w:szCs w:val="20"/>
              </w:rPr>
              <w:t xml:space="preserve"> (2.8%)</w:t>
            </w:r>
          </w:p>
        </w:tc>
        <w:tc>
          <w:tcPr>
            <w:tcW w:w="2485" w:type="dxa"/>
            <w:tcBorders>
              <w:top w:val="single" w:sz="5" w:space="0" w:color="000000"/>
              <w:left w:val="single" w:sz="5" w:space="0" w:color="000000"/>
              <w:bottom w:val="single" w:sz="5" w:space="0" w:color="000000"/>
              <w:right w:val="single" w:sz="5" w:space="0" w:color="000000"/>
            </w:tcBorders>
            <w:vAlign w:val="center"/>
          </w:tcPr>
          <w:p w14:paraId="6C85C9F7"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37</w:t>
            </w:r>
            <w:r w:rsidRPr="00C85CED">
              <w:rPr>
                <w:rFonts w:ascii="Arial" w:hAnsi="Arial" w:cs="Arial"/>
                <w:spacing w:val="-1"/>
                <w:sz w:val="20"/>
                <w:szCs w:val="20"/>
              </w:rPr>
              <w:t xml:space="preserve"> (4.5%)</w:t>
            </w:r>
          </w:p>
        </w:tc>
        <w:tc>
          <w:tcPr>
            <w:tcW w:w="2552" w:type="dxa"/>
            <w:tcBorders>
              <w:top w:val="single" w:sz="5" w:space="0" w:color="000000"/>
              <w:left w:val="single" w:sz="5" w:space="0" w:color="000000"/>
              <w:bottom w:val="single" w:sz="5" w:space="0" w:color="000000"/>
              <w:right w:val="single" w:sz="5" w:space="0" w:color="000000"/>
            </w:tcBorders>
            <w:vAlign w:val="center"/>
          </w:tcPr>
          <w:p w14:paraId="63A1F48D"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42</w:t>
            </w:r>
            <w:r w:rsidRPr="00C85CED">
              <w:rPr>
                <w:rFonts w:ascii="Arial" w:hAnsi="Arial" w:cs="Arial"/>
                <w:spacing w:val="-1"/>
                <w:sz w:val="20"/>
                <w:szCs w:val="20"/>
              </w:rPr>
              <w:t xml:space="preserve"> (7.2%)</w:t>
            </w:r>
          </w:p>
        </w:tc>
      </w:tr>
      <w:tr w:rsidR="00E017B2" w:rsidRPr="003B3268" w14:paraId="75BF9328"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5B296123" w14:textId="77777777" w:rsidR="00E017B2" w:rsidRPr="00C85CED" w:rsidRDefault="00E017B2" w:rsidP="00A478F9">
            <w:pPr>
              <w:pStyle w:val="TableParagraph"/>
              <w:rPr>
                <w:rFonts w:ascii="Arial" w:eastAsia="Times New Roman" w:hAnsi="Arial" w:cs="Arial"/>
                <w:sz w:val="20"/>
                <w:szCs w:val="20"/>
              </w:rPr>
            </w:pPr>
            <w:r w:rsidRPr="00C85CED">
              <w:rPr>
                <w:rFonts w:ascii="Arial" w:hAnsi="Arial" w:cs="Arial"/>
                <w:b/>
                <w:spacing w:val="-1"/>
                <w:sz w:val="20"/>
                <w:szCs w:val="20"/>
              </w:rPr>
              <w:t xml:space="preserve">Infections </w:t>
            </w:r>
            <w:r w:rsidRPr="00C85CED">
              <w:rPr>
                <w:rFonts w:ascii="Arial" w:hAnsi="Arial" w:cs="Arial"/>
                <w:b/>
                <w:sz w:val="20"/>
                <w:szCs w:val="20"/>
              </w:rPr>
              <w:t>and</w:t>
            </w:r>
            <w:r w:rsidRPr="00C85CED">
              <w:rPr>
                <w:rFonts w:ascii="Arial" w:hAnsi="Arial" w:cs="Arial"/>
                <w:b/>
                <w:spacing w:val="-1"/>
                <w:sz w:val="20"/>
                <w:szCs w:val="20"/>
              </w:rPr>
              <w:t xml:space="preserve"> Infestations</w:t>
            </w:r>
          </w:p>
        </w:tc>
        <w:tc>
          <w:tcPr>
            <w:tcW w:w="1732" w:type="dxa"/>
            <w:tcBorders>
              <w:top w:val="single" w:sz="5" w:space="0" w:color="000000"/>
              <w:left w:val="single" w:sz="5" w:space="0" w:color="000000"/>
              <w:bottom w:val="single" w:sz="5" w:space="0" w:color="000000"/>
              <w:right w:val="single" w:sz="5" w:space="0" w:color="000000"/>
            </w:tcBorders>
            <w:vAlign w:val="center"/>
          </w:tcPr>
          <w:p w14:paraId="5D805301" w14:textId="77777777" w:rsidR="00E017B2" w:rsidRPr="003B3268" w:rsidRDefault="00E017B2" w:rsidP="00A478F9">
            <w:pPr>
              <w:spacing w:after="0"/>
              <w:jc w:val="center"/>
              <w:rPr>
                <w:rFonts w:cs="Arial"/>
                <w:sz w:val="20"/>
                <w:szCs w:val="20"/>
                <w:lang w:val="en-AU"/>
              </w:rPr>
            </w:pPr>
          </w:p>
        </w:tc>
        <w:tc>
          <w:tcPr>
            <w:tcW w:w="2485" w:type="dxa"/>
            <w:tcBorders>
              <w:top w:val="single" w:sz="5" w:space="0" w:color="000000"/>
              <w:left w:val="single" w:sz="5" w:space="0" w:color="000000"/>
              <w:bottom w:val="single" w:sz="5" w:space="0" w:color="000000"/>
              <w:right w:val="single" w:sz="5" w:space="0" w:color="000000"/>
            </w:tcBorders>
            <w:vAlign w:val="center"/>
          </w:tcPr>
          <w:p w14:paraId="1EFD3EA8" w14:textId="77777777" w:rsidR="00E017B2" w:rsidRPr="003B3268" w:rsidRDefault="00E017B2" w:rsidP="00A478F9">
            <w:pPr>
              <w:spacing w:after="0"/>
              <w:jc w:val="center"/>
              <w:rPr>
                <w:rFonts w:cs="Arial"/>
                <w:sz w:val="20"/>
                <w:szCs w:val="20"/>
                <w:lang w:val="en-AU"/>
              </w:rPr>
            </w:pPr>
          </w:p>
        </w:tc>
        <w:tc>
          <w:tcPr>
            <w:tcW w:w="2552" w:type="dxa"/>
            <w:tcBorders>
              <w:top w:val="single" w:sz="5" w:space="0" w:color="000000"/>
              <w:left w:val="single" w:sz="5" w:space="0" w:color="000000"/>
              <w:bottom w:val="single" w:sz="5" w:space="0" w:color="000000"/>
              <w:right w:val="single" w:sz="5" w:space="0" w:color="000000"/>
            </w:tcBorders>
            <w:vAlign w:val="center"/>
          </w:tcPr>
          <w:p w14:paraId="74597F15" w14:textId="77777777" w:rsidR="00E017B2" w:rsidRPr="003B3268" w:rsidRDefault="00E017B2" w:rsidP="00A478F9">
            <w:pPr>
              <w:spacing w:after="0"/>
              <w:jc w:val="center"/>
              <w:rPr>
                <w:rFonts w:cs="Arial"/>
                <w:sz w:val="20"/>
                <w:szCs w:val="20"/>
                <w:lang w:val="en-AU"/>
              </w:rPr>
            </w:pPr>
          </w:p>
        </w:tc>
      </w:tr>
      <w:tr w:rsidR="00E017B2" w:rsidRPr="003B3268" w14:paraId="4C2F416E"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7FE9AF3A" w14:textId="5233F74F" w:rsidR="00E017B2" w:rsidRPr="00C85CED" w:rsidRDefault="00E017B2" w:rsidP="00A478F9">
            <w:pPr>
              <w:pStyle w:val="TableParagraph"/>
              <w:rPr>
                <w:rFonts w:ascii="Arial" w:eastAsia="Times New Roman" w:hAnsi="Arial" w:cs="Arial"/>
                <w:sz w:val="20"/>
                <w:szCs w:val="20"/>
              </w:rPr>
            </w:pPr>
            <w:r w:rsidRPr="00C85CED">
              <w:rPr>
                <w:rFonts w:ascii="Arial" w:hAnsi="Arial" w:cs="Arial"/>
                <w:spacing w:val="-1"/>
                <w:sz w:val="20"/>
                <w:szCs w:val="20"/>
              </w:rPr>
              <w:t>Upper</w:t>
            </w:r>
            <w:r w:rsidRPr="00C85CED">
              <w:rPr>
                <w:rFonts w:ascii="Arial" w:hAnsi="Arial" w:cs="Arial"/>
                <w:sz w:val="20"/>
                <w:szCs w:val="20"/>
              </w:rPr>
              <w:t xml:space="preserve"> </w:t>
            </w:r>
            <w:r w:rsidRPr="00C85CED">
              <w:rPr>
                <w:rFonts w:ascii="Arial" w:hAnsi="Arial" w:cs="Arial"/>
                <w:spacing w:val="-1"/>
                <w:sz w:val="20"/>
                <w:szCs w:val="20"/>
              </w:rPr>
              <w:t>respiratory</w:t>
            </w:r>
            <w:r w:rsidRPr="00C85CED">
              <w:rPr>
                <w:rFonts w:ascii="Arial" w:hAnsi="Arial" w:cs="Arial"/>
                <w:spacing w:val="30"/>
                <w:sz w:val="20"/>
                <w:szCs w:val="20"/>
              </w:rPr>
              <w:t xml:space="preserve"> </w:t>
            </w:r>
            <w:proofErr w:type="spellStart"/>
            <w:r w:rsidRPr="00C85CED">
              <w:rPr>
                <w:rFonts w:ascii="Arial" w:hAnsi="Arial" w:cs="Arial"/>
                <w:spacing w:val="-1"/>
                <w:sz w:val="20"/>
                <w:szCs w:val="20"/>
              </w:rPr>
              <w:t>infections</w:t>
            </w:r>
            <w:r w:rsidR="0007366C" w:rsidRPr="00C85CED">
              <w:rPr>
                <w:rFonts w:ascii="Arial" w:hAnsi="Arial" w:cs="Arial"/>
                <w:spacing w:val="-1"/>
                <w:sz w:val="20"/>
                <w:szCs w:val="20"/>
                <w:vertAlign w:val="superscript"/>
              </w:rPr>
              <w:t>d</w:t>
            </w:r>
            <w:proofErr w:type="spellEnd"/>
          </w:p>
        </w:tc>
        <w:tc>
          <w:tcPr>
            <w:tcW w:w="1732" w:type="dxa"/>
            <w:tcBorders>
              <w:top w:val="single" w:sz="5" w:space="0" w:color="000000"/>
              <w:left w:val="single" w:sz="5" w:space="0" w:color="000000"/>
              <w:bottom w:val="single" w:sz="5" w:space="0" w:color="000000"/>
              <w:right w:val="single" w:sz="5" w:space="0" w:color="000000"/>
            </w:tcBorders>
            <w:vAlign w:val="center"/>
          </w:tcPr>
          <w:p w14:paraId="42F44E63"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54</w:t>
            </w:r>
            <w:r w:rsidRPr="00C85CED">
              <w:rPr>
                <w:rFonts w:ascii="Arial" w:hAnsi="Arial" w:cs="Arial"/>
                <w:spacing w:val="-1"/>
                <w:sz w:val="20"/>
                <w:szCs w:val="20"/>
              </w:rPr>
              <w:t xml:space="preserve"> (12.8%)</w:t>
            </w:r>
          </w:p>
        </w:tc>
        <w:tc>
          <w:tcPr>
            <w:tcW w:w="2485" w:type="dxa"/>
            <w:tcBorders>
              <w:top w:val="single" w:sz="5" w:space="0" w:color="000000"/>
              <w:left w:val="single" w:sz="5" w:space="0" w:color="000000"/>
              <w:bottom w:val="single" w:sz="5" w:space="0" w:color="000000"/>
              <w:right w:val="single" w:sz="5" w:space="0" w:color="000000"/>
            </w:tcBorders>
            <w:vAlign w:val="center"/>
          </w:tcPr>
          <w:p w14:paraId="317011CB"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pacing w:val="-1"/>
                <w:sz w:val="20"/>
                <w:szCs w:val="20"/>
              </w:rPr>
              <w:t>118 (14.3%)</w:t>
            </w:r>
          </w:p>
        </w:tc>
        <w:tc>
          <w:tcPr>
            <w:tcW w:w="2552" w:type="dxa"/>
            <w:tcBorders>
              <w:top w:val="single" w:sz="5" w:space="0" w:color="000000"/>
              <w:left w:val="single" w:sz="5" w:space="0" w:color="000000"/>
              <w:bottom w:val="single" w:sz="5" w:space="0" w:color="000000"/>
              <w:right w:val="single" w:sz="5" w:space="0" w:color="000000"/>
            </w:tcBorders>
            <w:vAlign w:val="center"/>
          </w:tcPr>
          <w:p w14:paraId="33676CD1"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80</w:t>
            </w:r>
            <w:r w:rsidRPr="00C85CED">
              <w:rPr>
                <w:rFonts w:ascii="Arial" w:hAnsi="Arial" w:cs="Arial"/>
                <w:spacing w:val="-1"/>
                <w:sz w:val="20"/>
                <w:szCs w:val="20"/>
              </w:rPr>
              <w:t xml:space="preserve"> (13.8%)</w:t>
            </w:r>
          </w:p>
        </w:tc>
      </w:tr>
      <w:tr w:rsidR="00E017B2" w:rsidRPr="003B3268" w14:paraId="327246F1"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52626911" w14:textId="0C7DE04E" w:rsidR="00E017B2" w:rsidRPr="00C85CED" w:rsidRDefault="00E017B2" w:rsidP="00A478F9">
            <w:pPr>
              <w:pStyle w:val="TableParagraph"/>
              <w:rPr>
                <w:rFonts w:ascii="Arial" w:eastAsia="Times New Roman" w:hAnsi="Arial" w:cs="Arial"/>
                <w:sz w:val="20"/>
                <w:szCs w:val="20"/>
              </w:rPr>
            </w:pPr>
            <w:proofErr w:type="spellStart"/>
            <w:r w:rsidRPr="00C85CED">
              <w:rPr>
                <w:rFonts w:ascii="Arial" w:hAnsi="Arial" w:cs="Arial"/>
                <w:spacing w:val="-1"/>
                <w:sz w:val="20"/>
                <w:szCs w:val="20"/>
              </w:rPr>
              <w:t>Gastroenteritis</w:t>
            </w:r>
            <w:r w:rsidR="0007366C" w:rsidRPr="00C85CED">
              <w:rPr>
                <w:rFonts w:ascii="Arial" w:hAnsi="Arial" w:cs="Arial"/>
                <w:spacing w:val="-1"/>
                <w:sz w:val="20"/>
                <w:szCs w:val="20"/>
                <w:vertAlign w:val="superscript"/>
              </w:rPr>
              <w:t>e</w:t>
            </w:r>
            <w:proofErr w:type="spellEnd"/>
          </w:p>
        </w:tc>
        <w:tc>
          <w:tcPr>
            <w:tcW w:w="1732" w:type="dxa"/>
            <w:tcBorders>
              <w:top w:val="single" w:sz="5" w:space="0" w:color="000000"/>
              <w:left w:val="single" w:sz="5" w:space="0" w:color="000000"/>
              <w:bottom w:val="single" w:sz="5" w:space="0" w:color="000000"/>
              <w:right w:val="single" w:sz="5" w:space="0" w:color="000000"/>
            </w:tcBorders>
            <w:vAlign w:val="center"/>
          </w:tcPr>
          <w:p w14:paraId="246588EB"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4</w:t>
            </w:r>
            <w:r w:rsidRPr="00C85CED">
              <w:rPr>
                <w:rFonts w:ascii="Arial" w:hAnsi="Arial" w:cs="Arial"/>
                <w:spacing w:val="-1"/>
                <w:sz w:val="20"/>
                <w:szCs w:val="20"/>
              </w:rPr>
              <w:t xml:space="preserve"> (0.9%)</w:t>
            </w:r>
          </w:p>
        </w:tc>
        <w:tc>
          <w:tcPr>
            <w:tcW w:w="2485" w:type="dxa"/>
            <w:tcBorders>
              <w:top w:val="single" w:sz="5" w:space="0" w:color="000000"/>
              <w:left w:val="single" w:sz="5" w:space="0" w:color="000000"/>
              <w:bottom w:val="single" w:sz="5" w:space="0" w:color="000000"/>
              <w:right w:val="single" w:sz="5" w:space="0" w:color="000000"/>
            </w:tcBorders>
            <w:vAlign w:val="center"/>
          </w:tcPr>
          <w:p w14:paraId="66426DBE"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11</w:t>
            </w:r>
            <w:r w:rsidRPr="00C85CED">
              <w:rPr>
                <w:rFonts w:ascii="Arial" w:hAnsi="Arial" w:cs="Arial"/>
                <w:spacing w:val="-1"/>
                <w:sz w:val="20"/>
                <w:szCs w:val="20"/>
              </w:rPr>
              <w:t xml:space="preserve"> (1.3%)</w:t>
            </w:r>
          </w:p>
        </w:tc>
        <w:tc>
          <w:tcPr>
            <w:tcW w:w="2552" w:type="dxa"/>
            <w:tcBorders>
              <w:top w:val="single" w:sz="5" w:space="0" w:color="000000"/>
              <w:left w:val="single" w:sz="5" w:space="0" w:color="000000"/>
              <w:bottom w:val="single" w:sz="5" w:space="0" w:color="000000"/>
              <w:right w:val="single" w:sz="5" w:space="0" w:color="000000"/>
            </w:tcBorders>
            <w:vAlign w:val="center"/>
          </w:tcPr>
          <w:p w14:paraId="1D791214"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8</w:t>
            </w:r>
            <w:r w:rsidRPr="00C85CED">
              <w:rPr>
                <w:rFonts w:ascii="Arial" w:hAnsi="Arial" w:cs="Arial"/>
                <w:spacing w:val="-1"/>
                <w:sz w:val="20"/>
                <w:szCs w:val="20"/>
              </w:rPr>
              <w:t xml:space="preserve"> (1.4%)</w:t>
            </w:r>
          </w:p>
        </w:tc>
      </w:tr>
      <w:tr w:rsidR="00E017B2" w:rsidRPr="003B3268" w14:paraId="285CC78D"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3B11DAA2" w14:textId="36AF7BAD" w:rsidR="00E017B2" w:rsidRPr="00C85CED" w:rsidRDefault="00E017B2" w:rsidP="00A478F9">
            <w:pPr>
              <w:pStyle w:val="TableParagraph"/>
              <w:rPr>
                <w:rFonts w:ascii="Arial" w:eastAsia="Times New Roman" w:hAnsi="Arial" w:cs="Arial"/>
                <w:sz w:val="20"/>
                <w:szCs w:val="20"/>
              </w:rPr>
            </w:pPr>
            <w:r w:rsidRPr="00C85CED">
              <w:rPr>
                <w:rFonts w:ascii="Arial" w:hAnsi="Arial" w:cs="Arial"/>
                <w:spacing w:val="-1"/>
                <w:sz w:val="20"/>
                <w:szCs w:val="20"/>
              </w:rPr>
              <w:t>Herpes</w:t>
            </w:r>
            <w:r w:rsidRPr="00C85CED">
              <w:rPr>
                <w:rFonts w:ascii="Arial" w:hAnsi="Arial" w:cs="Arial"/>
                <w:sz w:val="20"/>
                <w:szCs w:val="20"/>
              </w:rPr>
              <w:t xml:space="preserve"> </w:t>
            </w:r>
            <w:r w:rsidRPr="00C85CED">
              <w:rPr>
                <w:rFonts w:ascii="Arial" w:hAnsi="Arial" w:cs="Arial"/>
                <w:spacing w:val="-1"/>
                <w:sz w:val="20"/>
                <w:szCs w:val="20"/>
              </w:rPr>
              <w:t>simplex</w:t>
            </w:r>
            <w:r w:rsidRPr="00C85CED">
              <w:rPr>
                <w:rFonts w:ascii="Arial" w:hAnsi="Arial" w:cs="Arial"/>
                <w:spacing w:val="29"/>
                <w:sz w:val="20"/>
                <w:szCs w:val="20"/>
              </w:rPr>
              <w:t xml:space="preserve"> </w:t>
            </w:r>
            <w:proofErr w:type="spellStart"/>
            <w:r w:rsidRPr="00C85CED">
              <w:rPr>
                <w:rFonts w:ascii="Arial" w:hAnsi="Arial" w:cs="Arial"/>
                <w:spacing w:val="-1"/>
                <w:sz w:val="20"/>
                <w:szCs w:val="20"/>
              </w:rPr>
              <w:t>infections</w:t>
            </w:r>
            <w:r w:rsidR="0007366C" w:rsidRPr="00C85CED">
              <w:rPr>
                <w:rFonts w:ascii="Arial" w:hAnsi="Arial" w:cs="Arial"/>
                <w:spacing w:val="-1"/>
                <w:sz w:val="20"/>
                <w:szCs w:val="20"/>
                <w:vertAlign w:val="superscript"/>
              </w:rPr>
              <w:t>f</w:t>
            </w:r>
            <w:proofErr w:type="spellEnd"/>
          </w:p>
        </w:tc>
        <w:tc>
          <w:tcPr>
            <w:tcW w:w="1732" w:type="dxa"/>
            <w:tcBorders>
              <w:top w:val="single" w:sz="5" w:space="0" w:color="000000"/>
              <w:left w:val="single" w:sz="5" w:space="0" w:color="000000"/>
              <w:bottom w:val="single" w:sz="5" w:space="0" w:color="000000"/>
              <w:right w:val="single" w:sz="5" w:space="0" w:color="000000"/>
            </w:tcBorders>
            <w:vAlign w:val="center"/>
          </w:tcPr>
          <w:p w14:paraId="36FD4654"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2</w:t>
            </w:r>
            <w:r w:rsidRPr="00C85CED">
              <w:rPr>
                <w:rFonts w:ascii="Arial" w:hAnsi="Arial" w:cs="Arial"/>
                <w:spacing w:val="-1"/>
                <w:sz w:val="20"/>
                <w:szCs w:val="20"/>
              </w:rPr>
              <w:t xml:space="preserve"> (0.5%)</w:t>
            </w:r>
          </w:p>
        </w:tc>
        <w:tc>
          <w:tcPr>
            <w:tcW w:w="2485" w:type="dxa"/>
            <w:tcBorders>
              <w:top w:val="single" w:sz="5" w:space="0" w:color="000000"/>
              <w:left w:val="single" w:sz="5" w:space="0" w:color="000000"/>
              <w:bottom w:val="single" w:sz="5" w:space="0" w:color="000000"/>
              <w:right w:val="single" w:sz="5" w:space="0" w:color="000000"/>
            </w:tcBorders>
            <w:vAlign w:val="center"/>
          </w:tcPr>
          <w:p w14:paraId="2D7FD750"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9</w:t>
            </w:r>
            <w:r w:rsidRPr="00C85CED">
              <w:rPr>
                <w:rFonts w:ascii="Arial" w:hAnsi="Arial" w:cs="Arial"/>
                <w:spacing w:val="-1"/>
                <w:sz w:val="20"/>
                <w:szCs w:val="20"/>
              </w:rPr>
              <w:t xml:space="preserve"> (1.1%)</w:t>
            </w:r>
          </w:p>
        </w:tc>
        <w:tc>
          <w:tcPr>
            <w:tcW w:w="2552" w:type="dxa"/>
            <w:tcBorders>
              <w:top w:val="single" w:sz="5" w:space="0" w:color="000000"/>
              <w:left w:val="single" w:sz="5" w:space="0" w:color="000000"/>
              <w:bottom w:val="single" w:sz="5" w:space="0" w:color="000000"/>
              <w:right w:val="single" w:sz="5" w:space="0" w:color="000000"/>
            </w:tcBorders>
            <w:vAlign w:val="center"/>
          </w:tcPr>
          <w:p w14:paraId="1C73E6E4"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8</w:t>
            </w:r>
            <w:r w:rsidRPr="00C85CED">
              <w:rPr>
                <w:rFonts w:ascii="Arial" w:hAnsi="Arial" w:cs="Arial"/>
                <w:spacing w:val="-1"/>
                <w:sz w:val="20"/>
                <w:szCs w:val="20"/>
              </w:rPr>
              <w:t xml:space="preserve"> (1.4%)</w:t>
            </w:r>
          </w:p>
        </w:tc>
      </w:tr>
      <w:tr w:rsidR="00E017B2" w:rsidRPr="003B3268" w14:paraId="49B0A3BF"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725F3851" w14:textId="67C02CF7" w:rsidR="00E017B2" w:rsidRPr="00C85CED" w:rsidRDefault="00E017B2" w:rsidP="00A478F9">
            <w:pPr>
              <w:pStyle w:val="TableParagraph"/>
              <w:rPr>
                <w:rFonts w:ascii="Arial" w:eastAsia="Times New Roman" w:hAnsi="Arial" w:cs="Arial"/>
                <w:sz w:val="20"/>
                <w:szCs w:val="20"/>
              </w:rPr>
            </w:pPr>
            <w:r w:rsidRPr="00C85CED">
              <w:rPr>
                <w:rFonts w:ascii="Arial" w:hAnsi="Arial" w:cs="Arial"/>
                <w:spacing w:val="-1"/>
                <w:sz w:val="20"/>
                <w:szCs w:val="20"/>
              </w:rPr>
              <w:t xml:space="preserve">Tinea </w:t>
            </w:r>
            <w:proofErr w:type="spellStart"/>
            <w:r w:rsidRPr="00C85CED">
              <w:rPr>
                <w:rFonts w:ascii="Arial" w:hAnsi="Arial" w:cs="Arial"/>
                <w:spacing w:val="-1"/>
                <w:sz w:val="20"/>
                <w:szCs w:val="20"/>
              </w:rPr>
              <w:t>infections</w:t>
            </w:r>
            <w:r w:rsidR="0007366C" w:rsidRPr="00C85CED">
              <w:rPr>
                <w:rFonts w:ascii="Arial" w:hAnsi="Arial" w:cs="Arial"/>
                <w:spacing w:val="-1"/>
                <w:sz w:val="20"/>
                <w:szCs w:val="20"/>
                <w:vertAlign w:val="superscript"/>
              </w:rPr>
              <w:t>g</w:t>
            </w:r>
            <w:proofErr w:type="spellEnd"/>
          </w:p>
        </w:tc>
        <w:tc>
          <w:tcPr>
            <w:tcW w:w="1732" w:type="dxa"/>
            <w:tcBorders>
              <w:top w:val="single" w:sz="5" w:space="0" w:color="000000"/>
              <w:left w:val="single" w:sz="5" w:space="0" w:color="000000"/>
              <w:bottom w:val="single" w:sz="5" w:space="0" w:color="000000"/>
              <w:right w:val="single" w:sz="5" w:space="0" w:color="000000"/>
            </w:tcBorders>
            <w:vAlign w:val="center"/>
          </w:tcPr>
          <w:p w14:paraId="4A005F4E"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0</w:t>
            </w:r>
          </w:p>
        </w:tc>
        <w:tc>
          <w:tcPr>
            <w:tcW w:w="2485" w:type="dxa"/>
            <w:tcBorders>
              <w:top w:val="single" w:sz="5" w:space="0" w:color="000000"/>
              <w:left w:val="single" w:sz="5" w:space="0" w:color="000000"/>
              <w:bottom w:val="single" w:sz="5" w:space="0" w:color="000000"/>
              <w:right w:val="single" w:sz="5" w:space="0" w:color="000000"/>
            </w:tcBorders>
            <w:vAlign w:val="center"/>
          </w:tcPr>
          <w:p w14:paraId="0B551220"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9</w:t>
            </w:r>
            <w:r w:rsidRPr="00C85CED">
              <w:rPr>
                <w:rFonts w:ascii="Arial" w:hAnsi="Arial" w:cs="Arial"/>
                <w:spacing w:val="-1"/>
                <w:sz w:val="20"/>
                <w:szCs w:val="20"/>
              </w:rPr>
              <w:t xml:space="preserve"> (1.1%)</w:t>
            </w:r>
          </w:p>
        </w:tc>
        <w:tc>
          <w:tcPr>
            <w:tcW w:w="2552" w:type="dxa"/>
            <w:tcBorders>
              <w:top w:val="single" w:sz="5" w:space="0" w:color="000000"/>
              <w:left w:val="single" w:sz="5" w:space="0" w:color="000000"/>
              <w:bottom w:val="single" w:sz="5" w:space="0" w:color="000000"/>
              <w:right w:val="single" w:sz="5" w:space="0" w:color="000000"/>
            </w:tcBorders>
            <w:vAlign w:val="center"/>
          </w:tcPr>
          <w:p w14:paraId="59A5007C"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3</w:t>
            </w:r>
            <w:r w:rsidRPr="00C85CED">
              <w:rPr>
                <w:rFonts w:ascii="Arial" w:hAnsi="Arial" w:cs="Arial"/>
                <w:spacing w:val="-1"/>
                <w:sz w:val="20"/>
                <w:szCs w:val="20"/>
              </w:rPr>
              <w:t xml:space="preserve"> (0.5%)</w:t>
            </w:r>
          </w:p>
        </w:tc>
      </w:tr>
      <w:tr w:rsidR="00E017B2" w:rsidRPr="003B3268" w14:paraId="2C8B808E"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52E552DC" w14:textId="77777777" w:rsidR="00E017B2" w:rsidRPr="00C85CED" w:rsidRDefault="00E017B2" w:rsidP="00A478F9">
            <w:pPr>
              <w:pStyle w:val="TableParagraph"/>
              <w:rPr>
                <w:rFonts w:ascii="Arial" w:eastAsia="Times New Roman" w:hAnsi="Arial" w:cs="Arial"/>
                <w:sz w:val="20"/>
                <w:szCs w:val="20"/>
              </w:rPr>
            </w:pPr>
            <w:r w:rsidRPr="00C85CED">
              <w:rPr>
                <w:rFonts w:ascii="Arial" w:hAnsi="Arial" w:cs="Arial"/>
                <w:b/>
                <w:spacing w:val="-1"/>
                <w:sz w:val="20"/>
                <w:szCs w:val="20"/>
              </w:rPr>
              <w:t>Musculoskeletal</w:t>
            </w:r>
            <w:r w:rsidRPr="00C85CED">
              <w:rPr>
                <w:rFonts w:ascii="Arial" w:hAnsi="Arial" w:cs="Arial"/>
                <w:b/>
                <w:sz w:val="20"/>
                <w:szCs w:val="20"/>
              </w:rPr>
              <w:t xml:space="preserve"> </w:t>
            </w:r>
            <w:r w:rsidRPr="00C85CED">
              <w:rPr>
                <w:rFonts w:ascii="Arial" w:hAnsi="Arial" w:cs="Arial"/>
                <w:b/>
                <w:spacing w:val="-1"/>
                <w:sz w:val="20"/>
                <w:szCs w:val="20"/>
              </w:rPr>
              <w:t>and</w:t>
            </w:r>
            <w:r w:rsidRPr="00C85CED">
              <w:rPr>
                <w:rFonts w:ascii="Arial" w:hAnsi="Arial" w:cs="Arial"/>
                <w:b/>
                <w:spacing w:val="24"/>
                <w:sz w:val="20"/>
                <w:szCs w:val="20"/>
              </w:rPr>
              <w:t xml:space="preserve"> </w:t>
            </w:r>
            <w:r w:rsidRPr="00C85CED">
              <w:rPr>
                <w:rFonts w:ascii="Arial" w:hAnsi="Arial" w:cs="Arial"/>
                <w:b/>
                <w:spacing w:val="-1"/>
                <w:sz w:val="20"/>
                <w:szCs w:val="20"/>
              </w:rPr>
              <w:t>connective tissue</w:t>
            </w:r>
            <w:r w:rsidRPr="00C85CED">
              <w:rPr>
                <w:rFonts w:ascii="Arial" w:hAnsi="Arial" w:cs="Arial"/>
                <w:b/>
                <w:sz w:val="20"/>
                <w:szCs w:val="20"/>
              </w:rPr>
              <w:t xml:space="preserve"> </w:t>
            </w:r>
            <w:r w:rsidRPr="00C85CED">
              <w:rPr>
                <w:rFonts w:ascii="Arial" w:hAnsi="Arial" w:cs="Arial"/>
                <w:b/>
                <w:spacing w:val="-1"/>
                <w:sz w:val="20"/>
                <w:szCs w:val="20"/>
              </w:rPr>
              <w:t>disorders</w:t>
            </w:r>
          </w:p>
        </w:tc>
        <w:tc>
          <w:tcPr>
            <w:tcW w:w="1732" w:type="dxa"/>
            <w:tcBorders>
              <w:top w:val="single" w:sz="5" w:space="0" w:color="000000"/>
              <w:left w:val="single" w:sz="5" w:space="0" w:color="000000"/>
              <w:bottom w:val="single" w:sz="5" w:space="0" w:color="000000"/>
              <w:right w:val="single" w:sz="5" w:space="0" w:color="000000"/>
            </w:tcBorders>
            <w:vAlign w:val="center"/>
          </w:tcPr>
          <w:p w14:paraId="42A8B1CA" w14:textId="77777777" w:rsidR="00E017B2" w:rsidRPr="003B3268" w:rsidRDefault="00E017B2" w:rsidP="00A478F9">
            <w:pPr>
              <w:spacing w:after="0"/>
              <w:jc w:val="center"/>
              <w:rPr>
                <w:rFonts w:cs="Arial"/>
                <w:sz w:val="20"/>
                <w:szCs w:val="20"/>
                <w:lang w:val="en-AU"/>
              </w:rPr>
            </w:pPr>
          </w:p>
        </w:tc>
        <w:tc>
          <w:tcPr>
            <w:tcW w:w="2485" w:type="dxa"/>
            <w:tcBorders>
              <w:top w:val="single" w:sz="5" w:space="0" w:color="000000"/>
              <w:left w:val="single" w:sz="5" w:space="0" w:color="000000"/>
              <w:bottom w:val="single" w:sz="5" w:space="0" w:color="000000"/>
              <w:right w:val="single" w:sz="5" w:space="0" w:color="000000"/>
            </w:tcBorders>
            <w:vAlign w:val="center"/>
          </w:tcPr>
          <w:p w14:paraId="5CB9737D" w14:textId="77777777" w:rsidR="00E017B2" w:rsidRPr="003B3268" w:rsidRDefault="00E017B2" w:rsidP="00A478F9">
            <w:pPr>
              <w:spacing w:after="0"/>
              <w:jc w:val="center"/>
              <w:rPr>
                <w:rFonts w:cs="Arial"/>
                <w:sz w:val="20"/>
                <w:szCs w:val="20"/>
                <w:lang w:val="en-AU"/>
              </w:rPr>
            </w:pPr>
          </w:p>
        </w:tc>
        <w:tc>
          <w:tcPr>
            <w:tcW w:w="2552" w:type="dxa"/>
            <w:tcBorders>
              <w:top w:val="single" w:sz="5" w:space="0" w:color="000000"/>
              <w:left w:val="single" w:sz="5" w:space="0" w:color="000000"/>
              <w:bottom w:val="single" w:sz="5" w:space="0" w:color="000000"/>
              <w:right w:val="single" w:sz="5" w:space="0" w:color="000000"/>
            </w:tcBorders>
            <w:vAlign w:val="center"/>
          </w:tcPr>
          <w:p w14:paraId="51906BD5" w14:textId="77777777" w:rsidR="00E017B2" w:rsidRPr="003B3268" w:rsidRDefault="00E017B2" w:rsidP="00A478F9">
            <w:pPr>
              <w:spacing w:after="0"/>
              <w:jc w:val="center"/>
              <w:rPr>
                <w:rFonts w:cs="Arial"/>
                <w:sz w:val="20"/>
                <w:szCs w:val="20"/>
                <w:lang w:val="en-AU"/>
              </w:rPr>
            </w:pPr>
          </w:p>
        </w:tc>
      </w:tr>
      <w:tr w:rsidR="00E017B2" w:rsidRPr="003B3268" w14:paraId="74915594"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213E4462" w14:textId="77777777" w:rsidR="00E017B2" w:rsidRPr="00C85CED" w:rsidRDefault="00E017B2" w:rsidP="00A478F9">
            <w:pPr>
              <w:pStyle w:val="TableParagraph"/>
              <w:rPr>
                <w:rFonts w:ascii="Arial" w:eastAsia="Times New Roman" w:hAnsi="Arial" w:cs="Arial"/>
                <w:sz w:val="20"/>
                <w:szCs w:val="20"/>
              </w:rPr>
            </w:pPr>
            <w:r w:rsidRPr="00C85CED">
              <w:rPr>
                <w:rFonts w:ascii="Arial" w:hAnsi="Arial" w:cs="Arial"/>
                <w:spacing w:val="-1"/>
                <w:sz w:val="20"/>
                <w:szCs w:val="20"/>
              </w:rPr>
              <w:t>Arthralgia</w:t>
            </w:r>
          </w:p>
        </w:tc>
        <w:tc>
          <w:tcPr>
            <w:tcW w:w="1732" w:type="dxa"/>
            <w:tcBorders>
              <w:top w:val="single" w:sz="5" w:space="0" w:color="000000"/>
              <w:left w:val="single" w:sz="5" w:space="0" w:color="000000"/>
              <w:bottom w:val="single" w:sz="5" w:space="0" w:color="000000"/>
              <w:right w:val="single" w:sz="5" w:space="0" w:color="000000"/>
            </w:tcBorders>
            <w:vAlign w:val="center"/>
          </w:tcPr>
          <w:p w14:paraId="6CD23306"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9</w:t>
            </w:r>
            <w:r w:rsidRPr="00C85CED">
              <w:rPr>
                <w:rFonts w:ascii="Arial" w:hAnsi="Arial" w:cs="Arial"/>
                <w:spacing w:val="-1"/>
                <w:sz w:val="20"/>
                <w:szCs w:val="20"/>
              </w:rPr>
              <w:t xml:space="preserve"> (2.1%)</w:t>
            </w:r>
          </w:p>
        </w:tc>
        <w:tc>
          <w:tcPr>
            <w:tcW w:w="2485" w:type="dxa"/>
            <w:tcBorders>
              <w:top w:val="single" w:sz="5" w:space="0" w:color="000000"/>
              <w:left w:val="single" w:sz="5" w:space="0" w:color="000000"/>
              <w:bottom w:val="single" w:sz="5" w:space="0" w:color="000000"/>
              <w:right w:val="single" w:sz="5" w:space="0" w:color="000000"/>
            </w:tcBorders>
            <w:vAlign w:val="center"/>
          </w:tcPr>
          <w:p w14:paraId="56FC5BB3"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22</w:t>
            </w:r>
            <w:r w:rsidRPr="00C85CED">
              <w:rPr>
                <w:rFonts w:ascii="Arial" w:hAnsi="Arial" w:cs="Arial"/>
                <w:spacing w:val="-1"/>
                <w:sz w:val="20"/>
                <w:szCs w:val="20"/>
              </w:rPr>
              <w:t xml:space="preserve"> (2.7%)</w:t>
            </w:r>
          </w:p>
        </w:tc>
        <w:tc>
          <w:tcPr>
            <w:tcW w:w="2552" w:type="dxa"/>
            <w:tcBorders>
              <w:top w:val="single" w:sz="5" w:space="0" w:color="000000"/>
              <w:left w:val="single" w:sz="5" w:space="0" w:color="000000"/>
              <w:bottom w:val="single" w:sz="5" w:space="0" w:color="000000"/>
              <w:right w:val="single" w:sz="5" w:space="0" w:color="000000"/>
            </w:tcBorders>
            <w:vAlign w:val="center"/>
          </w:tcPr>
          <w:p w14:paraId="2A56B8DF"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11</w:t>
            </w:r>
            <w:r w:rsidRPr="00C85CED">
              <w:rPr>
                <w:rFonts w:ascii="Arial" w:hAnsi="Arial" w:cs="Arial"/>
                <w:spacing w:val="-1"/>
                <w:sz w:val="20"/>
                <w:szCs w:val="20"/>
              </w:rPr>
              <w:t xml:space="preserve"> (1.9%)</w:t>
            </w:r>
          </w:p>
        </w:tc>
      </w:tr>
      <w:tr w:rsidR="00E017B2" w:rsidRPr="003B3268" w14:paraId="5DD13E26"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6242688D" w14:textId="77777777" w:rsidR="00E017B2" w:rsidRPr="00C85CED" w:rsidRDefault="00E017B2" w:rsidP="00A478F9">
            <w:pPr>
              <w:pStyle w:val="TableParagraph"/>
              <w:rPr>
                <w:rFonts w:ascii="Arial" w:eastAsia="Times New Roman" w:hAnsi="Arial" w:cs="Arial"/>
                <w:sz w:val="20"/>
                <w:szCs w:val="20"/>
              </w:rPr>
            </w:pPr>
            <w:r w:rsidRPr="00C85CED">
              <w:rPr>
                <w:rFonts w:ascii="Arial" w:hAnsi="Arial" w:cs="Arial"/>
                <w:b/>
                <w:sz w:val="20"/>
                <w:szCs w:val="20"/>
              </w:rPr>
              <w:t>Nervous</w:t>
            </w:r>
            <w:r w:rsidRPr="00C85CED">
              <w:rPr>
                <w:rFonts w:ascii="Arial" w:hAnsi="Arial" w:cs="Arial"/>
                <w:b/>
                <w:spacing w:val="-1"/>
                <w:sz w:val="20"/>
                <w:szCs w:val="20"/>
              </w:rPr>
              <w:t xml:space="preserve"> system</w:t>
            </w:r>
            <w:r w:rsidRPr="00C85CED">
              <w:rPr>
                <w:rFonts w:ascii="Arial" w:hAnsi="Arial" w:cs="Arial"/>
                <w:b/>
                <w:sz w:val="20"/>
                <w:szCs w:val="20"/>
              </w:rPr>
              <w:t xml:space="preserve"> </w:t>
            </w:r>
            <w:r w:rsidRPr="00C85CED">
              <w:rPr>
                <w:rFonts w:ascii="Arial" w:hAnsi="Arial" w:cs="Arial"/>
                <w:b/>
                <w:spacing w:val="-1"/>
                <w:sz w:val="20"/>
                <w:szCs w:val="20"/>
              </w:rPr>
              <w:t>disorders</w:t>
            </w:r>
          </w:p>
        </w:tc>
        <w:tc>
          <w:tcPr>
            <w:tcW w:w="1732" w:type="dxa"/>
            <w:tcBorders>
              <w:top w:val="single" w:sz="5" w:space="0" w:color="000000"/>
              <w:left w:val="single" w:sz="5" w:space="0" w:color="000000"/>
              <w:bottom w:val="single" w:sz="5" w:space="0" w:color="000000"/>
              <w:right w:val="single" w:sz="5" w:space="0" w:color="000000"/>
            </w:tcBorders>
            <w:vAlign w:val="center"/>
          </w:tcPr>
          <w:p w14:paraId="28B1CED4" w14:textId="77777777" w:rsidR="00E017B2" w:rsidRPr="003B3268" w:rsidRDefault="00E017B2" w:rsidP="00A478F9">
            <w:pPr>
              <w:spacing w:after="0"/>
              <w:jc w:val="center"/>
              <w:rPr>
                <w:rFonts w:cs="Arial"/>
                <w:sz w:val="20"/>
                <w:szCs w:val="20"/>
                <w:lang w:val="en-AU"/>
              </w:rPr>
            </w:pPr>
          </w:p>
        </w:tc>
        <w:tc>
          <w:tcPr>
            <w:tcW w:w="2485" w:type="dxa"/>
            <w:tcBorders>
              <w:top w:val="single" w:sz="5" w:space="0" w:color="000000"/>
              <w:left w:val="single" w:sz="5" w:space="0" w:color="000000"/>
              <w:bottom w:val="single" w:sz="5" w:space="0" w:color="000000"/>
              <w:right w:val="single" w:sz="5" w:space="0" w:color="000000"/>
            </w:tcBorders>
            <w:vAlign w:val="center"/>
          </w:tcPr>
          <w:p w14:paraId="48585A2E" w14:textId="77777777" w:rsidR="00E017B2" w:rsidRPr="003B3268" w:rsidRDefault="00E017B2" w:rsidP="00A478F9">
            <w:pPr>
              <w:spacing w:after="0"/>
              <w:jc w:val="center"/>
              <w:rPr>
                <w:rFonts w:cs="Arial"/>
                <w:sz w:val="20"/>
                <w:szCs w:val="20"/>
                <w:lang w:val="en-AU"/>
              </w:rPr>
            </w:pPr>
          </w:p>
        </w:tc>
        <w:tc>
          <w:tcPr>
            <w:tcW w:w="2552" w:type="dxa"/>
            <w:tcBorders>
              <w:top w:val="single" w:sz="5" w:space="0" w:color="000000"/>
              <w:left w:val="single" w:sz="5" w:space="0" w:color="000000"/>
              <w:bottom w:val="single" w:sz="5" w:space="0" w:color="000000"/>
              <w:right w:val="single" w:sz="5" w:space="0" w:color="000000"/>
            </w:tcBorders>
            <w:vAlign w:val="center"/>
          </w:tcPr>
          <w:p w14:paraId="00887546" w14:textId="77777777" w:rsidR="00E017B2" w:rsidRPr="003B3268" w:rsidRDefault="00E017B2" w:rsidP="00A478F9">
            <w:pPr>
              <w:spacing w:after="0"/>
              <w:jc w:val="center"/>
              <w:rPr>
                <w:rFonts w:cs="Arial"/>
                <w:sz w:val="20"/>
                <w:szCs w:val="20"/>
                <w:lang w:val="en-AU"/>
              </w:rPr>
            </w:pPr>
          </w:p>
        </w:tc>
      </w:tr>
      <w:tr w:rsidR="00E017B2" w:rsidRPr="003B3268" w14:paraId="3DDF16CD" w14:textId="77777777" w:rsidTr="00A478F9">
        <w:trPr>
          <w:trHeight w:val="20"/>
        </w:trPr>
        <w:tc>
          <w:tcPr>
            <w:tcW w:w="2581" w:type="dxa"/>
            <w:tcBorders>
              <w:top w:val="single" w:sz="5" w:space="0" w:color="000000"/>
              <w:left w:val="single" w:sz="5" w:space="0" w:color="000000"/>
              <w:bottom w:val="single" w:sz="5" w:space="0" w:color="000000"/>
              <w:right w:val="single" w:sz="5" w:space="0" w:color="000000"/>
            </w:tcBorders>
            <w:vAlign w:val="center"/>
          </w:tcPr>
          <w:p w14:paraId="599413B1" w14:textId="757C2608" w:rsidR="00E017B2" w:rsidRPr="00C85CED" w:rsidRDefault="00E017B2" w:rsidP="00A478F9">
            <w:pPr>
              <w:pStyle w:val="TableParagraph"/>
              <w:rPr>
                <w:rFonts w:ascii="Arial" w:eastAsia="Times New Roman" w:hAnsi="Arial" w:cs="Arial"/>
                <w:sz w:val="20"/>
                <w:szCs w:val="20"/>
              </w:rPr>
            </w:pPr>
            <w:proofErr w:type="spellStart"/>
            <w:r w:rsidRPr="00C85CED">
              <w:rPr>
                <w:rFonts w:ascii="Arial" w:hAnsi="Arial" w:cs="Arial"/>
                <w:spacing w:val="-1"/>
                <w:sz w:val="20"/>
                <w:szCs w:val="20"/>
              </w:rPr>
              <w:t>Headache</w:t>
            </w:r>
            <w:r w:rsidR="0007366C" w:rsidRPr="00C85CED">
              <w:rPr>
                <w:rFonts w:ascii="Arial" w:hAnsi="Arial" w:cs="Arial"/>
                <w:spacing w:val="-1"/>
                <w:sz w:val="20"/>
                <w:szCs w:val="20"/>
                <w:vertAlign w:val="superscript"/>
              </w:rPr>
              <w:t>h</w:t>
            </w:r>
            <w:proofErr w:type="spellEnd"/>
          </w:p>
        </w:tc>
        <w:tc>
          <w:tcPr>
            <w:tcW w:w="1732" w:type="dxa"/>
            <w:tcBorders>
              <w:top w:val="single" w:sz="5" w:space="0" w:color="000000"/>
              <w:left w:val="single" w:sz="5" w:space="0" w:color="000000"/>
              <w:bottom w:val="single" w:sz="5" w:space="0" w:color="000000"/>
              <w:right w:val="single" w:sz="5" w:space="0" w:color="000000"/>
            </w:tcBorders>
            <w:vAlign w:val="center"/>
          </w:tcPr>
          <w:p w14:paraId="20C45EA2"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14</w:t>
            </w:r>
            <w:r w:rsidRPr="00C85CED">
              <w:rPr>
                <w:rFonts w:ascii="Arial" w:hAnsi="Arial" w:cs="Arial"/>
                <w:spacing w:val="-1"/>
                <w:sz w:val="20"/>
                <w:szCs w:val="20"/>
              </w:rPr>
              <w:t xml:space="preserve"> (3.3%)</w:t>
            </w:r>
          </w:p>
        </w:tc>
        <w:tc>
          <w:tcPr>
            <w:tcW w:w="2485" w:type="dxa"/>
            <w:tcBorders>
              <w:top w:val="single" w:sz="5" w:space="0" w:color="000000"/>
              <w:left w:val="single" w:sz="5" w:space="0" w:color="000000"/>
              <w:bottom w:val="single" w:sz="5" w:space="0" w:color="000000"/>
              <w:right w:val="single" w:sz="5" w:space="0" w:color="000000"/>
            </w:tcBorders>
            <w:vAlign w:val="center"/>
          </w:tcPr>
          <w:p w14:paraId="286F293F"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38</w:t>
            </w:r>
            <w:r w:rsidRPr="00C85CED">
              <w:rPr>
                <w:rFonts w:ascii="Arial" w:hAnsi="Arial" w:cs="Arial"/>
                <w:spacing w:val="-1"/>
                <w:sz w:val="20"/>
                <w:szCs w:val="20"/>
              </w:rPr>
              <w:t xml:space="preserve"> (4.6%)</w:t>
            </w:r>
          </w:p>
        </w:tc>
        <w:tc>
          <w:tcPr>
            <w:tcW w:w="2552" w:type="dxa"/>
            <w:tcBorders>
              <w:top w:val="single" w:sz="5" w:space="0" w:color="000000"/>
              <w:left w:val="single" w:sz="5" w:space="0" w:color="000000"/>
              <w:bottom w:val="single" w:sz="5" w:space="0" w:color="000000"/>
              <w:right w:val="single" w:sz="5" w:space="0" w:color="000000"/>
            </w:tcBorders>
            <w:vAlign w:val="center"/>
          </w:tcPr>
          <w:p w14:paraId="4B8E18CC" w14:textId="77777777" w:rsidR="00E017B2" w:rsidRPr="00C85CED" w:rsidRDefault="00E017B2" w:rsidP="00A478F9">
            <w:pPr>
              <w:pStyle w:val="TableParagraph"/>
              <w:jc w:val="center"/>
              <w:rPr>
                <w:rFonts w:ascii="Arial" w:eastAsia="Times New Roman" w:hAnsi="Arial" w:cs="Arial"/>
                <w:sz w:val="20"/>
                <w:szCs w:val="20"/>
              </w:rPr>
            </w:pPr>
            <w:r w:rsidRPr="00C85CED">
              <w:rPr>
                <w:rFonts w:ascii="Arial" w:hAnsi="Arial" w:cs="Arial"/>
                <w:sz w:val="20"/>
                <w:szCs w:val="20"/>
              </w:rPr>
              <w:t>18</w:t>
            </w:r>
            <w:r w:rsidRPr="00C85CED">
              <w:rPr>
                <w:rFonts w:ascii="Arial" w:hAnsi="Arial" w:cs="Arial"/>
                <w:spacing w:val="-1"/>
                <w:sz w:val="20"/>
                <w:szCs w:val="20"/>
              </w:rPr>
              <w:t xml:space="preserve"> (3.1%)</w:t>
            </w:r>
          </w:p>
        </w:tc>
      </w:tr>
    </w:tbl>
    <w:p w14:paraId="6823A63E" w14:textId="6FA93031" w:rsidR="00E017B2" w:rsidRPr="003B3268" w:rsidRDefault="0007366C" w:rsidP="00DC736D">
      <w:pPr>
        <w:spacing w:after="0"/>
        <w:ind w:left="709" w:hanging="567"/>
        <w:rPr>
          <w:rFonts w:eastAsia="Times New Roman" w:cs="Arial"/>
          <w:sz w:val="18"/>
          <w:szCs w:val="18"/>
          <w:lang w:val="en-AU"/>
        </w:rPr>
      </w:pPr>
      <w:proofErr w:type="gramStart"/>
      <w:r w:rsidRPr="003B3268">
        <w:rPr>
          <w:rFonts w:eastAsia="Times New Roman" w:cs="Arial"/>
          <w:color w:val="231F20"/>
          <w:sz w:val="18"/>
          <w:szCs w:val="18"/>
          <w:vertAlign w:val="superscript"/>
          <w:lang w:val="en-AU"/>
        </w:rPr>
        <w:t>a</w:t>
      </w:r>
      <w:proofErr w:type="gramEnd"/>
      <w:r w:rsidRPr="003B3268">
        <w:rPr>
          <w:rFonts w:eastAsia="Times New Roman" w:cs="Arial"/>
          <w:color w:val="231F20"/>
          <w:sz w:val="18"/>
          <w:szCs w:val="18"/>
          <w:vertAlign w:val="superscript"/>
          <w:lang w:val="en-AU"/>
        </w:rPr>
        <w:tab/>
      </w:r>
      <w:r w:rsidR="00E017B2" w:rsidRPr="003B3268">
        <w:rPr>
          <w:rFonts w:eastAsia="Times New Roman" w:cs="Arial"/>
          <w:color w:val="231F20"/>
          <w:sz w:val="18"/>
          <w:szCs w:val="18"/>
          <w:lang w:val="en-AU"/>
        </w:rPr>
        <w:t>Subjects</w:t>
      </w:r>
      <w:r w:rsidR="00E017B2" w:rsidRPr="003B3268">
        <w:rPr>
          <w:rFonts w:eastAsia="Times New Roman" w:cs="Arial"/>
          <w:color w:val="231F20"/>
          <w:spacing w:val="-1"/>
          <w:sz w:val="18"/>
          <w:szCs w:val="18"/>
          <w:lang w:val="en-AU"/>
        </w:rPr>
        <w:t xml:space="preserve"> received</w:t>
      </w:r>
      <w:r w:rsidR="00E017B2" w:rsidRPr="003B3268">
        <w:rPr>
          <w:rFonts w:eastAsia="Times New Roman" w:cs="Arial"/>
          <w:color w:val="231F20"/>
          <w:spacing w:val="-3"/>
          <w:sz w:val="18"/>
          <w:szCs w:val="18"/>
          <w:lang w:val="en-AU"/>
        </w:rPr>
        <w:t xml:space="preserve"> </w:t>
      </w:r>
      <w:r w:rsidR="00E017B2" w:rsidRPr="003B3268">
        <w:rPr>
          <w:rFonts w:eastAsia="Times New Roman" w:cs="Arial"/>
          <w:color w:val="231F20"/>
          <w:sz w:val="18"/>
          <w:szCs w:val="18"/>
          <w:lang w:val="en-AU"/>
        </w:rPr>
        <w:t>100</w:t>
      </w:r>
      <w:r w:rsidR="00E017B2" w:rsidRPr="003B3268">
        <w:rPr>
          <w:rFonts w:eastAsia="Times New Roman" w:cs="Arial"/>
          <w:color w:val="231F20"/>
          <w:spacing w:val="-2"/>
          <w:sz w:val="18"/>
          <w:szCs w:val="18"/>
          <w:lang w:val="en-AU"/>
        </w:rPr>
        <w:t xml:space="preserve"> </w:t>
      </w:r>
      <w:r w:rsidR="00E017B2" w:rsidRPr="003B3268">
        <w:rPr>
          <w:rFonts w:eastAsia="Times New Roman" w:cs="Arial"/>
          <w:color w:val="231F20"/>
          <w:sz w:val="18"/>
          <w:szCs w:val="18"/>
          <w:lang w:val="en-AU"/>
        </w:rPr>
        <w:t>mg</w:t>
      </w:r>
      <w:r w:rsidR="00E017B2" w:rsidRPr="003B3268">
        <w:rPr>
          <w:rFonts w:eastAsia="Times New Roman" w:cs="Arial"/>
          <w:color w:val="231F20"/>
          <w:spacing w:val="-2"/>
          <w:sz w:val="18"/>
          <w:szCs w:val="18"/>
          <w:lang w:val="en-AU"/>
        </w:rPr>
        <w:t xml:space="preserve"> </w:t>
      </w:r>
      <w:r w:rsidR="00E017B2" w:rsidRPr="003B3268">
        <w:rPr>
          <w:rFonts w:eastAsia="Times New Roman" w:cs="Arial"/>
          <w:color w:val="231F20"/>
          <w:sz w:val="18"/>
          <w:szCs w:val="18"/>
          <w:lang w:val="en-AU"/>
        </w:rPr>
        <w:t>of</w:t>
      </w:r>
      <w:r w:rsidR="00E017B2" w:rsidRPr="003B3268">
        <w:rPr>
          <w:rFonts w:eastAsia="Times New Roman" w:cs="Arial"/>
          <w:color w:val="231F20"/>
          <w:spacing w:val="-4"/>
          <w:sz w:val="18"/>
          <w:szCs w:val="18"/>
          <w:lang w:val="en-AU"/>
        </w:rPr>
        <w:t xml:space="preserve"> </w:t>
      </w:r>
      <w:r w:rsidR="00E017B2" w:rsidRPr="003B3268">
        <w:rPr>
          <w:rFonts w:eastAsia="Times New Roman" w:cs="Arial"/>
          <w:color w:val="231F20"/>
          <w:sz w:val="18"/>
          <w:szCs w:val="18"/>
          <w:lang w:val="en-AU"/>
        </w:rPr>
        <w:t>TREMFYA</w:t>
      </w:r>
      <w:r w:rsidR="00E017B2" w:rsidRPr="003B3268">
        <w:rPr>
          <w:rFonts w:eastAsia="Times New Roman" w:cs="Arial"/>
          <w:color w:val="231F20"/>
          <w:spacing w:val="-2"/>
          <w:sz w:val="18"/>
          <w:szCs w:val="18"/>
          <w:lang w:val="en-AU"/>
        </w:rPr>
        <w:t xml:space="preserve"> </w:t>
      </w:r>
      <w:r w:rsidR="00E017B2" w:rsidRPr="003B3268">
        <w:rPr>
          <w:rFonts w:eastAsia="Times New Roman" w:cs="Arial"/>
          <w:color w:val="231F20"/>
          <w:sz w:val="18"/>
          <w:szCs w:val="18"/>
          <w:lang w:val="en-AU"/>
        </w:rPr>
        <w:t>at</w:t>
      </w:r>
      <w:r w:rsidR="00E017B2" w:rsidRPr="003B3268">
        <w:rPr>
          <w:rFonts w:eastAsia="Times New Roman" w:cs="Arial"/>
          <w:color w:val="231F20"/>
          <w:spacing w:val="-3"/>
          <w:sz w:val="18"/>
          <w:szCs w:val="18"/>
          <w:lang w:val="en-AU"/>
        </w:rPr>
        <w:t xml:space="preserve"> </w:t>
      </w:r>
      <w:r w:rsidR="00E017B2" w:rsidRPr="003B3268">
        <w:rPr>
          <w:rFonts w:eastAsia="Times New Roman" w:cs="Arial"/>
          <w:color w:val="231F20"/>
          <w:sz w:val="18"/>
          <w:szCs w:val="18"/>
          <w:lang w:val="en-AU"/>
        </w:rPr>
        <w:t>Week</w:t>
      </w:r>
      <w:r w:rsidR="00E017B2" w:rsidRPr="003B3268">
        <w:rPr>
          <w:rFonts w:eastAsia="Times New Roman" w:cs="Arial"/>
          <w:color w:val="231F20"/>
          <w:spacing w:val="-4"/>
          <w:sz w:val="18"/>
          <w:szCs w:val="18"/>
          <w:lang w:val="en-AU"/>
        </w:rPr>
        <w:t xml:space="preserve"> </w:t>
      </w:r>
      <w:r w:rsidR="00E017B2" w:rsidRPr="003B3268">
        <w:rPr>
          <w:rFonts w:eastAsia="Times New Roman" w:cs="Arial"/>
          <w:color w:val="231F20"/>
          <w:sz w:val="18"/>
          <w:szCs w:val="18"/>
          <w:lang w:val="en-AU"/>
        </w:rPr>
        <w:t>0,</w:t>
      </w:r>
      <w:r w:rsidR="00E017B2" w:rsidRPr="003B3268">
        <w:rPr>
          <w:rFonts w:eastAsia="Times New Roman" w:cs="Arial"/>
          <w:color w:val="231F20"/>
          <w:spacing w:val="-3"/>
          <w:sz w:val="18"/>
          <w:szCs w:val="18"/>
          <w:lang w:val="en-AU"/>
        </w:rPr>
        <w:t xml:space="preserve"> </w:t>
      </w:r>
      <w:r w:rsidR="00E017B2" w:rsidRPr="003B3268">
        <w:rPr>
          <w:rFonts w:eastAsia="Times New Roman" w:cs="Arial"/>
          <w:color w:val="231F20"/>
          <w:sz w:val="18"/>
          <w:szCs w:val="18"/>
          <w:lang w:val="en-AU"/>
        </w:rPr>
        <w:t>Week</w:t>
      </w:r>
      <w:r w:rsidR="00E017B2" w:rsidRPr="003B3268">
        <w:rPr>
          <w:rFonts w:eastAsia="Times New Roman" w:cs="Arial"/>
          <w:color w:val="231F20"/>
          <w:spacing w:val="-3"/>
          <w:sz w:val="18"/>
          <w:szCs w:val="18"/>
          <w:lang w:val="en-AU"/>
        </w:rPr>
        <w:t xml:space="preserve"> </w:t>
      </w:r>
      <w:r w:rsidR="00E017B2" w:rsidRPr="003B3268">
        <w:rPr>
          <w:rFonts w:eastAsia="Times New Roman" w:cs="Arial"/>
          <w:color w:val="231F20"/>
          <w:spacing w:val="-1"/>
          <w:sz w:val="18"/>
          <w:szCs w:val="18"/>
          <w:lang w:val="en-AU"/>
        </w:rPr>
        <w:t xml:space="preserve">4, </w:t>
      </w:r>
      <w:r w:rsidR="00E017B2" w:rsidRPr="003B3268">
        <w:rPr>
          <w:rFonts w:eastAsia="Times New Roman" w:cs="Arial"/>
          <w:color w:val="231F20"/>
          <w:sz w:val="18"/>
          <w:szCs w:val="18"/>
          <w:lang w:val="en-AU"/>
        </w:rPr>
        <w:t>and</w:t>
      </w:r>
      <w:r w:rsidR="00E017B2" w:rsidRPr="003B3268">
        <w:rPr>
          <w:rFonts w:eastAsia="Times New Roman" w:cs="Arial"/>
          <w:color w:val="231F20"/>
          <w:spacing w:val="-4"/>
          <w:sz w:val="18"/>
          <w:szCs w:val="18"/>
          <w:lang w:val="en-AU"/>
        </w:rPr>
        <w:t xml:space="preserve"> </w:t>
      </w:r>
      <w:r w:rsidR="00E017B2" w:rsidRPr="003B3268">
        <w:rPr>
          <w:rFonts w:eastAsia="Times New Roman" w:cs="Arial"/>
          <w:color w:val="231F20"/>
          <w:spacing w:val="-1"/>
          <w:sz w:val="18"/>
          <w:szCs w:val="18"/>
          <w:lang w:val="en-AU"/>
        </w:rPr>
        <w:t xml:space="preserve">every </w:t>
      </w:r>
      <w:r w:rsidR="00E017B2" w:rsidRPr="003B3268">
        <w:rPr>
          <w:rFonts w:eastAsia="Times New Roman" w:cs="Arial"/>
          <w:color w:val="231F20"/>
          <w:sz w:val="18"/>
          <w:szCs w:val="18"/>
          <w:lang w:val="en-AU"/>
        </w:rPr>
        <w:t>8</w:t>
      </w:r>
      <w:r w:rsidR="00E017B2" w:rsidRPr="003B3268">
        <w:rPr>
          <w:rFonts w:eastAsia="Times New Roman" w:cs="Arial"/>
          <w:color w:val="231F20"/>
          <w:spacing w:val="-3"/>
          <w:sz w:val="18"/>
          <w:szCs w:val="18"/>
          <w:lang w:val="en-AU"/>
        </w:rPr>
        <w:t xml:space="preserve"> </w:t>
      </w:r>
      <w:r w:rsidR="00E017B2" w:rsidRPr="003B3268">
        <w:rPr>
          <w:rFonts w:eastAsia="Times New Roman" w:cs="Arial"/>
          <w:color w:val="231F20"/>
          <w:sz w:val="18"/>
          <w:szCs w:val="18"/>
          <w:lang w:val="en-AU"/>
        </w:rPr>
        <w:t>weeks</w:t>
      </w:r>
      <w:r w:rsidR="00E017B2" w:rsidRPr="003B3268">
        <w:rPr>
          <w:rFonts w:eastAsia="Times New Roman" w:cs="Arial"/>
          <w:color w:val="231F20"/>
          <w:spacing w:val="-3"/>
          <w:sz w:val="18"/>
          <w:szCs w:val="18"/>
          <w:lang w:val="en-AU"/>
        </w:rPr>
        <w:t xml:space="preserve"> </w:t>
      </w:r>
      <w:r w:rsidR="00E017B2" w:rsidRPr="003B3268">
        <w:rPr>
          <w:rFonts w:eastAsia="Times New Roman" w:cs="Arial"/>
          <w:color w:val="231F20"/>
          <w:spacing w:val="-1"/>
          <w:sz w:val="18"/>
          <w:szCs w:val="18"/>
          <w:lang w:val="en-AU"/>
        </w:rPr>
        <w:t>thereafter;</w:t>
      </w:r>
    </w:p>
    <w:p w14:paraId="3AAD841F" w14:textId="64AE565C" w:rsidR="00E017B2" w:rsidRPr="003B3268" w:rsidRDefault="0007366C" w:rsidP="00DC736D">
      <w:pPr>
        <w:spacing w:after="0"/>
        <w:ind w:left="709" w:hanging="567"/>
        <w:rPr>
          <w:rFonts w:eastAsia="Times New Roman" w:cs="Arial"/>
          <w:sz w:val="18"/>
          <w:szCs w:val="18"/>
          <w:lang w:val="en-AU"/>
        </w:rPr>
      </w:pPr>
      <w:r w:rsidRPr="003B3268">
        <w:rPr>
          <w:rFonts w:cs="Arial"/>
          <w:color w:val="231F20"/>
          <w:spacing w:val="-2"/>
          <w:position w:val="6"/>
          <w:sz w:val="18"/>
          <w:szCs w:val="18"/>
          <w:vertAlign w:val="superscript"/>
          <w:lang w:val="en-AU"/>
        </w:rPr>
        <w:t>b</w:t>
      </w:r>
      <w:r w:rsidRPr="003B3268">
        <w:rPr>
          <w:rFonts w:cs="Arial"/>
          <w:color w:val="231F20"/>
          <w:spacing w:val="-2"/>
          <w:position w:val="6"/>
          <w:sz w:val="18"/>
          <w:szCs w:val="18"/>
          <w:lang w:val="en-AU"/>
        </w:rPr>
        <w:tab/>
      </w:r>
      <w:r w:rsidR="00E017B2" w:rsidRPr="003B3268">
        <w:rPr>
          <w:rFonts w:cs="Arial"/>
          <w:color w:val="231F20"/>
          <w:spacing w:val="-1"/>
          <w:sz w:val="18"/>
          <w:szCs w:val="18"/>
          <w:lang w:val="en-AU"/>
        </w:rPr>
        <w:t>Subjects</w:t>
      </w:r>
      <w:r w:rsidR="00E017B2" w:rsidRPr="003B3268">
        <w:rPr>
          <w:rFonts w:cs="Arial"/>
          <w:color w:val="231F20"/>
          <w:spacing w:val="-3"/>
          <w:sz w:val="18"/>
          <w:szCs w:val="18"/>
          <w:lang w:val="en-AU"/>
        </w:rPr>
        <w:t xml:space="preserve"> </w:t>
      </w:r>
      <w:r w:rsidR="00E017B2" w:rsidRPr="003B3268">
        <w:rPr>
          <w:rFonts w:cs="Arial"/>
          <w:color w:val="231F20"/>
          <w:spacing w:val="-1"/>
          <w:sz w:val="18"/>
          <w:szCs w:val="18"/>
          <w:lang w:val="en-AU"/>
        </w:rPr>
        <w:t>received</w:t>
      </w:r>
      <w:r w:rsidR="00E017B2" w:rsidRPr="003B3268">
        <w:rPr>
          <w:rFonts w:cs="Arial"/>
          <w:color w:val="231F20"/>
          <w:spacing w:val="-2"/>
          <w:sz w:val="18"/>
          <w:szCs w:val="18"/>
          <w:lang w:val="en-AU"/>
        </w:rPr>
        <w:t xml:space="preserve"> </w:t>
      </w:r>
      <w:r w:rsidR="00E017B2" w:rsidRPr="003B3268">
        <w:rPr>
          <w:rFonts w:cs="Arial"/>
          <w:color w:val="231F20"/>
          <w:spacing w:val="-1"/>
          <w:sz w:val="18"/>
          <w:szCs w:val="18"/>
          <w:lang w:val="en-AU"/>
        </w:rPr>
        <w:t>adalimumab</w:t>
      </w:r>
      <w:r w:rsidR="00E017B2" w:rsidRPr="003B3268">
        <w:rPr>
          <w:rFonts w:cs="Arial"/>
          <w:color w:val="231F20"/>
          <w:spacing w:val="-4"/>
          <w:sz w:val="18"/>
          <w:szCs w:val="18"/>
          <w:lang w:val="en-AU"/>
        </w:rPr>
        <w:t xml:space="preserve"> </w:t>
      </w:r>
      <w:r w:rsidR="00E017B2" w:rsidRPr="003B3268">
        <w:rPr>
          <w:rFonts w:cs="Arial"/>
          <w:color w:val="231F20"/>
          <w:sz w:val="18"/>
          <w:szCs w:val="18"/>
          <w:lang w:val="en-AU"/>
        </w:rPr>
        <w:t>at</w:t>
      </w:r>
      <w:r w:rsidR="00E017B2" w:rsidRPr="003B3268">
        <w:rPr>
          <w:rFonts w:cs="Arial"/>
          <w:color w:val="231F20"/>
          <w:spacing w:val="-3"/>
          <w:sz w:val="18"/>
          <w:szCs w:val="18"/>
          <w:lang w:val="en-AU"/>
        </w:rPr>
        <w:t xml:space="preserve"> </w:t>
      </w:r>
      <w:r w:rsidR="00E017B2" w:rsidRPr="003B3268">
        <w:rPr>
          <w:rFonts w:cs="Arial"/>
          <w:sz w:val="18"/>
          <w:szCs w:val="18"/>
          <w:lang w:val="en-AU"/>
        </w:rPr>
        <w:t>80</w:t>
      </w:r>
      <w:r w:rsidR="00E017B2" w:rsidRPr="003B3268">
        <w:rPr>
          <w:rFonts w:cs="Arial"/>
          <w:spacing w:val="-3"/>
          <w:sz w:val="18"/>
          <w:szCs w:val="18"/>
          <w:lang w:val="en-AU"/>
        </w:rPr>
        <w:t xml:space="preserve"> </w:t>
      </w:r>
      <w:r w:rsidR="00E017B2" w:rsidRPr="003B3268">
        <w:rPr>
          <w:rFonts w:cs="Arial"/>
          <w:spacing w:val="-1"/>
          <w:sz w:val="18"/>
          <w:szCs w:val="18"/>
          <w:lang w:val="en-AU"/>
        </w:rPr>
        <w:t>mg</w:t>
      </w:r>
      <w:r w:rsidR="00E017B2" w:rsidRPr="003B3268">
        <w:rPr>
          <w:rFonts w:cs="Arial"/>
          <w:spacing w:val="-3"/>
          <w:sz w:val="18"/>
          <w:szCs w:val="18"/>
          <w:lang w:val="en-AU"/>
        </w:rPr>
        <w:t xml:space="preserve"> </w:t>
      </w:r>
      <w:r w:rsidR="00E017B2" w:rsidRPr="003B3268">
        <w:rPr>
          <w:rFonts w:cs="Arial"/>
          <w:spacing w:val="-1"/>
          <w:sz w:val="18"/>
          <w:szCs w:val="18"/>
          <w:lang w:val="en-AU"/>
        </w:rPr>
        <w:t>Week</w:t>
      </w:r>
      <w:r w:rsidR="00E017B2" w:rsidRPr="003B3268">
        <w:rPr>
          <w:rFonts w:cs="Arial"/>
          <w:spacing w:val="-3"/>
          <w:sz w:val="18"/>
          <w:szCs w:val="18"/>
          <w:lang w:val="en-AU"/>
        </w:rPr>
        <w:t xml:space="preserve"> </w:t>
      </w:r>
      <w:r w:rsidR="00E017B2" w:rsidRPr="003B3268">
        <w:rPr>
          <w:rFonts w:cs="Arial"/>
          <w:sz w:val="18"/>
          <w:szCs w:val="18"/>
          <w:lang w:val="en-AU"/>
        </w:rPr>
        <w:t>0,</w:t>
      </w:r>
      <w:r w:rsidR="00E017B2" w:rsidRPr="003B3268">
        <w:rPr>
          <w:rFonts w:cs="Arial"/>
          <w:spacing w:val="-3"/>
          <w:sz w:val="18"/>
          <w:szCs w:val="18"/>
          <w:lang w:val="en-AU"/>
        </w:rPr>
        <w:t xml:space="preserve"> </w:t>
      </w:r>
      <w:r w:rsidR="00E017B2" w:rsidRPr="003B3268">
        <w:rPr>
          <w:rFonts w:cs="Arial"/>
          <w:sz w:val="18"/>
          <w:szCs w:val="18"/>
          <w:lang w:val="en-AU"/>
        </w:rPr>
        <w:t>40</w:t>
      </w:r>
      <w:r w:rsidR="00E017B2" w:rsidRPr="003B3268">
        <w:rPr>
          <w:rFonts w:cs="Arial"/>
          <w:spacing w:val="-3"/>
          <w:sz w:val="18"/>
          <w:szCs w:val="18"/>
          <w:lang w:val="en-AU"/>
        </w:rPr>
        <w:t xml:space="preserve"> </w:t>
      </w:r>
      <w:r w:rsidR="00E017B2" w:rsidRPr="003B3268">
        <w:rPr>
          <w:rFonts w:cs="Arial"/>
          <w:spacing w:val="-1"/>
          <w:sz w:val="18"/>
          <w:szCs w:val="18"/>
          <w:lang w:val="en-AU"/>
        </w:rPr>
        <w:t>mg</w:t>
      </w:r>
      <w:r w:rsidR="00E017B2" w:rsidRPr="003B3268">
        <w:rPr>
          <w:rFonts w:cs="Arial"/>
          <w:spacing w:val="-3"/>
          <w:sz w:val="18"/>
          <w:szCs w:val="18"/>
          <w:lang w:val="en-AU"/>
        </w:rPr>
        <w:t xml:space="preserve"> </w:t>
      </w:r>
      <w:r w:rsidR="00E017B2" w:rsidRPr="003B3268">
        <w:rPr>
          <w:rFonts w:cs="Arial"/>
          <w:sz w:val="18"/>
          <w:szCs w:val="18"/>
          <w:lang w:val="en-AU"/>
        </w:rPr>
        <w:t>week</w:t>
      </w:r>
      <w:r w:rsidR="00E017B2" w:rsidRPr="003B3268">
        <w:rPr>
          <w:rFonts w:cs="Arial"/>
          <w:spacing w:val="-2"/>
          <w:sz w:val="18"/>
          <w:szCs w:val="18"/>
          <w:lang w:val="en-AU"/>
        </w:rPr>
        <w:t xml:space="preserve"> </w:t>
      </w:r>
      <w:r w:rsidR="00E017B2" w:rsidRPr="003B3268">
        <w:rPr>
          <w:rFonts w:cs="Arial"/>
          <w:sz w:val="18"/>
          <w:szCs w:val="18"/>
          <w:lang w:val="en-AU"/>
        </w:rPr>
        <w:t>1</w:t>
      </w:r>
      <w:r w:rsidR="00E017B2" w:rsidRPr="003B3268">
        <w:rPr>
          <w:rFonts w:cs="Arial"/>
          <w:spacing w:val="-3"/>
          <w:sz w:val="18"/>
          <w:szCs w:val="18"/>
          <w:lang w:val="en-AU"/>
        </w:rPr>
        <w:t xml:space="preserve"> </w:t>
      </w:r>
      <w:r w:rsidR="00E017B2" w:rsidRPr="003B3268">
        <w:rPr>
          <w:rFonts w:cs="Arial"/>
          <w:sz w:val="18"/>
          <w:szCs w:val="18"/>
          <w:lang w:val="en-AU"/>
        </w:rPr>
        <w:t>then</w:t>
      </w:r>
      <w:r w:rsidR="00E017B2" w:rsidRPr="003B3268">
        <w:rPr>
          <w:rFonts w:cs="Arial"/>
          <w:spacing w:val="-4"/>
          <w:sz w:val="18"/>
          <w:szCs w:val="18"/>
          <w:lang w:val="en-AU"/>
        </w:rPr>
        <w:t xml:space="preserve"> </w:t>
      </w:r>
      <w:r w:rsidR="00E017B2" w:rsidRPr="003B3268">
        <w:rPr>
          <w:rFonts w:cs="Arial"/>
          <w:sz w:val="18"/>
          <w:szCs w:val="18"/>
          <w:lang w:val="en-AU"/>
        </w:rPr>
        <w:t>40</w:t>
      </w:r>
      <w:r w:rsidR="00E017B2" w:rsidRPr="003B3268">
        <w:rPr>
          <w:rFonts w:cs="Arial"/>
          <w:spacing w:val="-2"/>
          <w:sz w:val="18"/>
          <w:szCs w:val="18"/>
          <w:lang w:val="en-AU"/>
        </w:rPr>
        <w:t xml:space="preserve"> </w:t>
      </w:r>
      <w:r w:rsidR="00E017B2" w:rsidRPr="003B3268">
        <w:rPr>
          <w:rFonts w:cs="Arial"/>
          <w:spacing w:val="-1"/>
          <w:sz w:val="18"/>
          <w:szCs w:val="18"/>
          <w:lang w:val="en-AU"/>
        </w:rPr>
        <w:t>mg</w:t>
      </w:r>
      <w:r w:rsidR="00E017B2" w:rsidRPr="003B3268">
        <w:rPr>
          <w:rFonts w:cs="Arial"/>
          <w:spacing w:val="-3"/>
          <w:sz w:val="18"/>
          <w:szCs w:val="18"/>
          <w:lang w:val="en-AU"/>
        </w:rPr>
        <w:t xml:space="preserve"> </w:t>
      </w:r>
      <w:r w:rsidR="00E017B2" w:rsidRPr="003B3268">
        <w:rPr>
          <w:rFonts w:cs="Arial"/>
          <w:sz w:val="18"/>
          <w:szCs w:val="18"/>
          <w:lang w:val="en-AU"/>
        </w:rPr>
        <w:t>q2w</w:t>
      </w:r>
      <w:r w:rsidR="00E017B2" w:rsidRPr="003B3268">
        <w:rPr>
          <w:rFonts w:cs="Arial"/>
          <w:spacing w:val="-4"/>
          <w:sz w:val="18"/>
          <w:szCs w:val="18"/>
          <w:lang w:val="en-AU"/>
        </w:rPr>
        <w:t xml:space="preserve"> </w:t>
      </w:r>
      <w:r w:rsidR="00E017B2" w:rsidRPr="003B3268">
        <w:rPr>
          <w:rFonts w:cs="Arial"/>
          <w:spacing w:val="-1"/>
          <w:sz w:val="18"/>
          <w:szCs w:val="18"/>
          <w:lang w:val="en-AU"/>
        </w:rPr>
        <w:t>thereafter</w:t>
      </w:r>
    </w:p>
    <w:p w14:paraId="2DB26CCF" w14:textId="015E4943" w:rsidR="00E017B2" w:rsidRPr="003B3268" w:rsidRDefault="0007366C" w:rsidP="00DC736D">
      <w:pPr>
        <w:spacing w:after="0"/>
        <w:ind w:left="709" w:right="270" w:hanging="567"/>
        <w:rPr>
          <w:rFonts w:eastAsia="Times New Roman" w:cs="Arial"/>
          <w:sz w:val="18"/>
          <w:szCs w:val="18"/>
          <w:lang w:val="en-AU"/>
        </w:rPr>
      </w:pPr>
      <w:proofErr w:type="gramStart"/>
      <w:r w:rsidRPr="003B3268">
        <w:rPr>
          <w:rFonts w:cs="Arial"/>
          <w:color w:val="231F20"/>
          <w:spacing w:val="-5"/>
          <w:position w:val="6"/>
          <w:sz w:val="18"/>
          <w:szCs w:val="18"/>
          <w:vertAlign w:val="superscript"/>
          <w:lang w:val="en-AU"/>
        </w:rPr>
        <w:t>c</w:t>
      </w:r>
      <w:proofErr w:type="gramEnd"/>
      <w:r w:rsidRPr="003B3268">
        <w:rPr>
          <w:rFonts w:cs="Arial"/>
          <w:color w:val="231F20"/>
          <w:spacing w:val="-5"/>
          <w:position w:val="6"/>
          <w:sz w:val="18"/>
          <w:szCs w:val="18"/>
          <w:lang w:val="en-AU"/>
        </w:rPr>
        <w:tab/>
      </w:r>
      <w:r w:rsidR="00E017B2" w:rsidRPr="003B3268">
        <w:rPr>
          <w:rFonts w:cs="Arial"/>
          <w:color w:val="231F20"/>
          <w:sz w:val="18"/>
          <w:szCs w:val="18"/>
          <w:lang w:val="en-AU"/>
        </w:rPr>
        <w:t>Injection</w:t>
      </w:r>
      <w:r w:rsidR="00E017B2" w:rsidRPr="003B3268">
        <w:rPr>
          <w:rFonts w:cs="Arial"/>
          <w:color w:val="231F20"/>
          <w:spacing w:val="-5"/>
          <w:sz w:val="18"/>
          <w:szCs w:val="18"/>
          <w:lang w:val="en-AU"/>
        </w:rPr>
        <w:t xml:space="preserve"> </w:t>
      </w:r>
      <w:r w:rsidR="00E017B2" w:rsidRPr="003B3268">
        <w:rPr>
          <w:rFonts w:cs="Arial"/>
          <w:color w:val="231F20"/>
          <w:sz w:val="18"/>
          <w:szCs w:val="18"/>
          <w:lang w:val="en-AU"/>
        </w:rPr>
        <w:t>site</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reactions</w:t>
      </w:r>
      <w:r w:rsidR="00E017B2" w:rsidRPr="003B3268">
        <w:rPr>
          <w:rFonts w:cs="Arial"/>
          <w:color w:val="231F20"/>
          <w:spacing w:val="-5"/>
          <w:sz w:val="18"/>
          <w:szCs w:val="18"/>
          <w:lang w:val="en-AU"/>
        </w:rPr>
        <w:t xml:space="preserve"> </w:t>
      </w:r>
      <w:r w:rsidR="00E017B2" w:rsidRPr="003B3268">
        <w:rPr>
          <w:rFonts w:cs="Arial"/>
          <w:color w:val="231F20"/>
          <w:sz w:val="18"/>
          <w:szCs w:val="18"/>
          <w:lang w:val="en-AU"/>
        </w:rPr>
        <w:t>include</w:t>
      </w:r>
      <w:r w:rsidR="00E017B2" w:rsidRPr="003B3268">
        <w:rPr>
          <w:rFonts w:cs="Arial"/>
          <w:color w:val="231F20"/>
          <w:spacing w:val="-7"/>
          <w:sz w:val="18"/>
          <w:szCs w:val="18"/>
          <w:lang w:val="en-AU"/>
        </w:rPr>
        <w:t xml:space="preserve"> </w:t>
      </w:r>
      <w:r w:rsidR="00E017B2" w:rsidRPr="003B3268">
        <w:rPr>
          <w:rFonts w:cs="Arial"/>
          <w:color w:val="231F20"/>
          <w:sz w:val="18"/>
          <w:szCs w:val="18"/>
          <w:lang w:val="en-AU"/>
        </w:rPr>
        <w:t>injection</w:t>
      </w:r>
      <w:r w:rsidR="00E017B2" w:rsidRPr="003B3268">
        <w:rPr>
          <w:rFonts w:cs="Arial"/>
          <w:color w:val="231F20"/>
          <w:spacing w:val="-5"/>
          <w:sz w:val="18"/>
          <w:szCs w:val="18"/>
          <w:lang w:val="en-AU"/>
        </w:rPr>
        <w:t xml:space="preserve"> </w:t>
      </w:r>
      <w:r w:rsidR="00E017B2" w:rsidRPr="003B3268">
        <w:rPr>
          <w:rFonts w:cs="Arial"/>
          <w:color w:val="231F20"/>
          <w:sz w:val="18"/>
          <w:szCs w:val="18"/>
          <w:lang w:val="en-AU"/>
        </w:rPr>
        <w:t>site</w:t>
      </w:r>
      <w:r w:rsidR="00E017B2" w:rsidRPr="003B3268">
        <w:rPr>
          <w:rFonts w:cs="Arial"/>
          <w:color w:val="231F20"/>
          <w:spacing w:val="-5"/>
          <w:sz w:val="18"/>
          <w:szCs w:val="18"/>
          <w:lang w:val="en-AU"/>
        </w:rPr>
        <w:t xml:space="preserve"> </w:t>
      </w:r>
      <w:r w:rsidR="00C85CED" w:rsidRPr="00C85CED">
        <w:rPr>
          <w:rFonts w:cs="Arial"/>
          <w:color w:val="231F20"/>
          <w:spacing w:val="-1"/>
          <w:sz w:val="18"/>
          <w:szCs w:val="18"/>
          <w:lang w:val="en-AU"/>
        </w:rPr>
        <w:t>erythema</w:t>
      </w:r>
      <w:r w:rsidR="00E017B2" w:rsidRPr="003B3268">
        <w:rPr>
          <w:rFonts w:cs="Arial"/>
          <w:color w:val="231F20"/>
          <w:spacing w:val="-1"/>
          <w:sz w:val="18"/>
          <w:szCs w:val="18"/>
          <w:lang w:val="en-AU"/>
        </w:rPr>
        <w:t>,</w:t>
      </w:r>
      <w:r w:rsidR="00E017B2" w:rsidRPr="003B3268">
        <w:rPr>
          <w:rFonts w:cs="Arial"/>
          <w:color w:val="231F20"/>
          <w:spacing w:val="-6"/>
          <w:sz w:val="18"/>
          <w:szCs w:val="18"/>
          <w:lang w:val="en-AU"/>
        </w:rPr>
        <w:t xml:space="preserve"> </w:t>
      </w:r>
      <w:r w:rsidR="00E017B2" w:rsidRPr="003B3268">
        <w:rPr>
          <w:rFonts w:cs="Arial"/>
          <w:color w:val="231F20"/>
          <w:spacing w:val="-1"/>
          <w:sz w:val="18"/>
          <w:szCs w:val="18"/>
          <w:lang w:val="en-AU"/>
        </w:rPr>
        <w:t>bruising,</w:t>
      </w:r>
      <w:r w:rsidR="00E017B2" w:rsidRPr="003B3268">
        <w:rPr>
          <w:rFonts w:cs="Arial"/>
          <w:color w:val="231F20"/>
          <w:spacing w:val="-6"/>
          <w:sz w:val="18"/>
          <w:szCs w:val="18"/>
          <w:lang w:val="en-AU"/>
        </w:rPr>
        <w:t xml:space="preserve"> </w:t>
      </w:r>
      <w:r w:rsidR="00E017B2" w:rsidRPr="003B3268">
        <w:rPr>
          <w:rFonts w:cs="Arial"/>
          <w:color w:val="231F20"/>
          <w:sz w:val="18"/>
          <w:szCs w:val="18"/>
          <w:lang w:val="en-AU"/>
        </w:rPr>
        <w:t>h</w:t>
      </w:r>
      <w:r w:rsidRPr="003B3268">
        <w:rPr>
          <w:rFonts w:cs="Arial"/>
          <w:color w:val="231F20"/>
          <w:sz w:val="18"/>
          <w:szCs w:val="18"/>
          <w:lang w:val="en-AU"/>
        </w:rPr>
        <w:t>a</w:t>
      </w:r>
      <w:r w:rsidR="00E017B2" w:rsidRPr="003B3268">
        <w:rPr>
          <w:rFonts w:cs="Arial"/>
          <w:color w:val="231F20"/>
          <w:sz w:val="18"/>
          <w:szCs w:val="18"/>
          <w:lang w:val="en-AU"/>
        </w:rPr>
        <w:t>ematoma,</w:t>
      </w:r>
      <w:r w:rsidR="00E017B2" w:rsidRPr="003B3268">
        <w:rPr>
          <w:rFonts w:cs="Arial"/>
          <w:color w:val="231F20"/>
          <w:spacing w:val="-7"/>
          <w:sz w:val="18"/>
          <w:szCs w:val="18"/>
          <w:lang w:val="en-AU"/>
        </w:rPr>
        <w:t xml:space="preserve"> </w:t>
      </w:r>
      <w:r w:rsidR="00E017B2" w:rsidRPr="003B3268">
        <w:rPr>
          <w:rFonts w:cs="Arial"/>
          <w:color w:val="231F20"/>
          <w:spacing w:val="-1"/>
          <w:sz w:val="18"/>
          <w:szCs w:val="18"/>
          <w:lang w:val="en-AU"/>
        </w:rPr>
        <w:t>h</w:t>
      </w:r>
      <w:r w:rsidRPr="003B3268">
        <w:rPr>
          <w:rFonts w:cs="Arial"/>
          <w:color w:val="231F20"/>
          <w:spacing w:val="-1"/>
          <w:sz w:val="18"/>
          <w:szCs w:val="18"/>
          <w:lang w:val="en-AU"/>
        </w:rPr>
        <w:t>a</w:t>
      </w:r>
      <w:r w:rsidR="00E017B2" w:rsidRPr="003B3268">
        <w:rPr>
          <w:rFonts w:cs="Arial"/>
          <w:color w:val="231F20"/>
          <w:spacing w:val="-1"/>
          <w:sz w:val="18"/>
          <w:szCs w:val="18"/>
          <w:lang w:val="en-AU"/>
        </w:rPr>
        <w:t>emorrhage,</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swelling,</w:t>
      </w:r>
      <w:r w:rsidR="00E017B2" w:rsidRPr="003B3268">
        <w:rPr>
          <w:rFonts w:cs="Arial"/>
          <w:color w:val="231F20"/>
          <w:spacing w:val="-6"/>
          <w:sz w:val="18"/>
          <w:szCs w:val="18"/>
          <w:lang w:val="en-AU"/>
        </w:rPr>
        <w:t xml:space="preserve"> </w:t>
      </w:r>
      <w:r w:rsidRPr="003B3268">
        <w:rPr>
          <w:rFonts w:cs="Arial"/>
          <w:color w:val="231F20"/>
          <w:spacing w:val="-6"/>
          <w:sz w:val="18"/>
          <w:szCs w:val="18"/>
          <w:lang w:val="en-AU"/>
        </w:rPr>
        <w:t>o</w:t>
      </w:r>
      <w:r w:rsidR="00E017B2" w:rsidRPr="003B3268">
        <w:rPr>
          <w:rFonts w:cs="Arial"/>
          <w:color w:val="231F20"/>
          <w:spacing w:val="-1"/>
          <w:sz w:val="18"/>
          <w:szCs w:val="18"/>
          <w:lang w:val="en-AU"/>
        </w:rPr>
        <w:t>edema,</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pruritus,</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pain,</w:t>
      </w:r>
      <w:r w:rsidR="00E017B2" w:rsidRPr="003B3268">
        <w:rPr>
          <w:rFonts w:cs="Arial"/>
          <w:color w:val="231F20"/>
          <w:spacing w:val="91"/>
          <w:sz w:val="18"/>
          <w:szCs w:val="18"/>
          <w:lang w:val="en-AU"/>
        </w:rPr>
        <w:t xml:space="preserve"> </w:t>
      </w:r>
      <w:r w:rsidR="00E017B2" w:rsidRPr="003B3268">
        <w:rPr>
          <w:rFonts w:cs="Arial"/>
          <w:color w:val="231F20"/>
          <w:sz w:val="18"/>
          <w:szCs w:val="18"/>
          <w:lang w:val="en-AU"/>
        </w:rPr>
        <w:t>discolo</w:t>
      </w:r>
      <w:r w:rsidRPr="003B3268">
        <w:rPr>
          <w:rFonts w:cs="Arial"/>
          <w:color w:val="231F20"/>
          <w:sz w:val="18"/>
          <w:szCs w:val="18"/>
          <w:lang w:val="en-AU"/>
        </w:rPr>
        <w:t>u</w:t>
      </w:r>
      <w:r w:rsidR="00E017B2" w:rsidRPr="003B3268">
        <w:rPr>
          <w:rFonts w:cs="Arial"/>
          <w:color w:val="231F20"/>
          <w:sz w:val="18"/>
          <w:szCs w:val="18"/>
          <w:lang w:val="en-AU"/>
        </w:rPr>
        <w:t>ration,</w:t>
      </w:r>
      <w:r w:rsidR="00E017B2" w:rsidRPr="003B3268">
        <w:rPr>
          <w:rFonts w:cs="Arial"/>
          <w:color w:val="231F20"/>
          <w:spacing w:val="-9"/>
          <w:sz w:val="18"/>
          <w:szCs w:val="18"/>
          <w:lang w:val="en-AU"/>
        </w:rPr>
        <w:t xml:space="preserve"> </w:t>
      </w:r>
      <w:r w:rsidR="00E017B2" w:rsidRPr="003B3268">
        <w:rPr>
          <w:rFonts w:cs="Arial"/>
          <w:color w:val="231F20"/>
          <w:spacing w:val="-1"/>
          <w:sz w:val="18"/>
          <w:szCs w:val="18"/>
          <w:lang w:val="en-AU"/>
        </w:rPr>
        <w:t>induration,</w:t>
      </w:r>
      <w:r w:rsidR="00E017B2" w:rsidRPr="003B3268">
        <w:rPr>
          <w:rFonts w:cs="Arial"/>
          <w:color w:val="231F20"/>
          <w:spacing w:val="-8"/>
          <w:sz w:val="18"/>
          <w:szCs w:val="18"/>
          <w:lang w:val="en-AU"/>
        </w:rPr>
        <w:t xml:space="preserve"> </w:t>
      </w:r>
      <w:r w:rsidR="00E017B2" w:rsidRPr="003B3268">
        <w:rPr>
          <w:rFonts w:cs="Arial"/>
          <w:color w:val="231F20"/>
          <w:spacing w:val="-1"/>
          <w:sz w:val="18"/>
          <w:szCs w:val="18"/>
          <w:lang w:val="en-AU"/>
        </w:rPr>
        <w:t>inflammation,</w:t>
      </w:r>
      <w:r w:rsidR="00E017B2" w:rsidRPr="003B3268">
        <w:rPr>
          <w:rFonts w:cs="Arial"/>
          <w:color w:val="231F20"/>
          <w:spacing w:val="-10"/>
          <w:sz w:val="18"/>
          <w:szCs w:val="18"/>
          <w:lang w:val="en-AU"/>
        </w:rPr>
        <w:t xml:space="preserve"> </w:t>
      </w:r>
      <w:r w:rsidR="00E017B2" w:rsidRPr="003B3268">
        <w:rPr>
          <w:rFonts w:cs="Arial"/>
          <w:color w:val="231F20"/>
          <w:sz w:val="18"/>
          <w:szCs w:val="18"/>
          <w:lang w:val="en-AU"/>
        </w:rPr>
        <w:t>and</w:t>
      </w:r>
      <w:r w:rsidR="00E017B2" w:rsidRPr="003B3268">
        <w:rPr>
          <w:rFonts w:cs="Arial"/>
          <w:color w:val="231F20"/>
          <w:spacing w:val="-8"/>
          <w:sz w:val="18"/>
          <w:szCs w:val="18"/>
          <w:lang w:val="en-AU"/>
        </w:rPr>
        <w:t xml:space="preserve"> </w:t>
      </w:r>
      <w:proofErr w:type="spellStart"/>
      <w:r w:rsidR="00E017B2" w:rsidRPr="003B3268">
        <w:rPr>
          <w:rFonts w:cs="Arial"/>
          <w:color w:val="231F20"/>
          <w:spacing w:val="-1"/>
          <w:sz w:val="18"/>
          <w:szCs w:val="18"/>
          <w:lang w:val="en-AU"/>
        </w:rPr>
        <w:t>urticaria</w:t>
      </w:r>
      <w:proofErr w:type="spellEnd"/>
      <w:r w:rsidR="00E017B2" w:rsidRPr="003B3268">
        <w:rPr>
          <w:rFonts w:cs="Arial"/>
          <w:color w:val="231F20"/>
          <w:spacing w:val="-1"/>
          <w:sz w:val="18"/>
          <w:szCs w:val="18"/>
          <w:lang w:val="en-AU"/>
        </w:rPr>
        <w:t>.</w:t>
      </w:r>
    </w:p>
    <w:p w14:paraId="310508FB" w14:textId="326C0E08" w:rsidR="00E017B2" w:rsidRPr="003B3268" w:rsidRDefault="0007366C" w:rsidP="00DC736D">
      <w:pPr>
        <w:spacing w:after="0"/>
        <w:ind w:left="709" w:hanging="567"/>
        <w:rPr>
          <w:rFonts w:eastAsia="Times New Roman" w:cs="Arial"/>
          <w:sz w:val="18"/>
          <w:szCs w:val="18"/>
          <w:lang w:val="en-AU"/>
        </w:rPr>
      </w:pPr>
      <w:proofErr w:type="gramStart"/>
      <w:r w:rsidRPr="003B3268">
        <w:rPr>
          <w:rFonts w:cs="Arial"/>
          <w:color w:val="231F20"/>
          <w:position w:val="6"/>
          <w:sz w:val="18"/>
          <w:szCs w:val="18"/>
          <w:vertAlign w:val="superscript"/>
          <w:lang w:val="en-AU"/>
        </w:rPr>
        <w:t>d</w:t>
      </w:r>
      <w:proofErr w:type="gramEnd"/>
      <w:r w:rsidRPr="003B3268">
        <w:rPr>
          <w:rFonts w:cs="Arial"/>
          <w:color w:val="231F20"/>
          <w:position w:val="6"/>
          <w:sz w:val="18"/>
          <w:szCs w:val="18"/>
          <w:lang w:val="en-AU"/>
        </w:rPr>
        <w:tab/>
      </w:r>
      <w:r w:rsidR="00E017B2" w:rsidRPr="003B3268">
        <w:rPr>
          <w:rFonts w:cs="Arial"/>
          <w:color w:val="231F20"/>
          <w:sz w:val="18"/>
          <w:szCs w:val="18"/>
          <w:lang w:val="en-AU"/>
        </w:rPr>
        <w:t>Upper</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respiratory</w:t>
      </w:r>
      <w:r w:rsidR="00E017B2" w:rsidRPr="003B3268">
        <w:rPr>
          <w:rFonts w:cs="Arial"/>
          <w:color w:val="231F20"/>
          <w:spacing w:val="-3"/>
          <w:sz w:val="18"/>
          <w:szCs w:val="18"/>
          <w:lang w:val="en-AU"/>
        </w:rPr>
        <w:t xml:space="preserve"> </w:t>
      </w:r>
      <w:r w:rsidR="00E017B2" w:rsidRPr="003B3268">
        <w:rPr>
          <w:rFonts w:cs="Arial"/>
          <w:color w:val="231F20"/>
          <w:sz w:val="18"/>
          <w:szCs w:val="18"/>
          <w:lang w:val="en-AU"/>
        </w:rPr>
        <w:t>infections</w:t>
      </w:r>
      <w:r w:rsidR="00E017B2" w:rsidRPr="003B3268">
        <w:rPr>
          <w:rFonts w:cs="Arial"/>
          <w:color w:val="231F20"/>
          <w:spacing w:val="-7"/>
          <w:sz w:val="18"/>
          <w:szCs w:val="18"/>
          <w:lang w:val="en-AU"/>
        </w:rPr>
        <w:t xml:space="preserve"> </w:t>
      </w:r>
      <w:r w:rsidR="00E017B2" w:rsidRPr="003B3268">
        <w:rPr>
          <w:rFonts w:cs="Arial"/>
          <w:color w:val="231F20"/>
          <w:spacing w:val="-1"/>
          <w:sz w:val="18"/>
          <w:szCs w:val="18"/>
          <w:lang w:val="en-AU"/>
        </w:rPr>
        <w:t>include</w:t>
      </w:r>
      <w:r w:rsidR="00E017B2" w:rsidRPr="003B3268">
        <w:rPr>
          <w:rFonts w:cs="Arial"/>
          <w:color w:val="231F20"/>
          <w:spacing w:val="-4"/>
          <w:sz w:val="18"/>
          <w:szCs w:val="18"/>
          <w:lang w:val="en-AU"/>
        </w:rPr>
        <w:t xml:space="preserve"> </w:t>
      </w:r>
      <w:proofErr w:type="spellStart"/>
      <w:r w:rsidR="00E017B2" w:rsidRPr="003B3268">
        <w:rPr>
          <w:rFonts w:cs="Arial"/>
          <w:color w:val="231F20"/>
          <w:spacing w:val="-1"/>
          <w:sz w:val="18"/>
          <w:szCs w:val="18"/>
          <w:lang w:val="en-AU"/>
        </w:rPr>
        <w:t>nasopharyngitis</w:t>
      </w:r>
      <w:proofErr w:type="spellEnd"/>
      <w:r w:rsidR="00E017B2" w:rsidRPr="003B3268">
        <w:rPr>
          <w:rFonts w:cs="Arial"/>
          <w:color w:val="231F20"/>
          <w:spacing w:val="-1"/>
          <w:sz w:val="18"/>
          <w:szCs w:val="18"/>
          <w:lang w:val="en-AU"/>
        </w:rPr>
        <w:t>,</w:t>
      </w:r>
      <w:r w:rsidR="00E017B2" w:rsidRPr="003B3268">
        <w:rPr>
          <w:rFonts w:cs="Arial"/>
          <w:color w:val="231F20"/>
          <w:spacing w:val="-5"/>
          <w:sz w:val="18"/>
          <w:szCs w:val="18"/>
          <w:lang w:val="en-AU"/>
        </w:rPr>
        <w:t xml:space="preserve"> </w:t>
      </w:r>
      <w:r w:rsidR="00E017B2" w:rsidRPr="003B3268">
        <w:rPr>
          <w:rFonts w:cs="Arial"/>
          <w:color w:val="231F20"/>
          <w:sz w:val="18"/>
          <w:szCs w:val="18"/>
          <w:lang w:val="en-AU"/>
        </w:rPr>
        <w:t>upper</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respiratory</w:t>
      </w:r>
      <w:r w:rsidR="00E017B2" w:rsidRPr="003B3268">
        <w:rPr>
          <w:rFonts w:cs="Arial"/>
          <w:color w:val="231F20"/>
          <w:spacing w:val="-4"/>
          <w:sz w:val="18"/>
          <w:szCs w:val="18"/>
          <w:lang w:val="en-AU"/>
        </w:rPr>
        <w:t xml:space="preserve"> </w:t>
      </w:r>
      <w:r w:rsidR="00E017B2" w:rsidRPr="003B3268">
        <w:rPr>
          <w:rFonts w:cs="Arial"/>
          <w:color w:val="231F20"/>
          <w:sz w:val="18"/>
          <w:szCs w:val="18"/>
          <w:lang w:val="en-AU"/>
        </w:rPr>
        <w:t>tract</w:t>
      </w:r>
      <w:r w:rsidR="00E017B2" w:rsidRPr="003B3268">
        <w:rPr>
          <w:rFonts w:cs="Arial"/>
          <w:color w:val="231F20"/>
          <w:spacing w:val="-6"/>
          <w:sz w:val="18"/>
          <w:szCs w:val="18"/>
          <w:lang w:val="en-AU"/>
        </w:rPr>
        <w:t xml:space="preserve"> </w:t>
      </w:r>
      <w:r w:rsidR="00E017B2" w:rsidRPr="003B3268">
        <w:rPr>
          <w:rFonts w:cs="Arial"/>
          <w:color w:val="231F20"/>
          <w:spacing w:val="-1"/>
          <w:sz w:val="18"/>
          <w:szCs w:val="18"/>
          <w:lang w:val="en-AU"/>
        </w:rPr>
        <w:t>infection</w:t>
      </w:r>
      <w:r w:rsidR="00E017B2" w:rsidRPr="003B3268">
        <w:rPr>
          <w:rFonts w:cs="Arial"/>
          <w:color w:val="231F20"/>
          <w:spacing w:val="-4"/>
          <w:sz w:val="18"/>
          <w:szCs w:val="18"/>
          <w:lang w:val="en-AU"/>
        </w:rPr>
        <w:t xml:space="preserve"> </w:t>
      </w:r>
      <w:r w:rsidR="00E017B2" w:rsidRPr="003B3268">
        <w:rPr>
          <w:rFonts w:cs="Arial"/>
          <w:color w:val="231F20"/>
          <w:spacing w:val="-1"/>
          <w:sz w:val="18"/>
          <w:szCs w:val="18"/>
          <w:lang w:val="en-AU"/>
        </w:rPr>
        <w:t>(URTI),</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pharyngitis,</w:t>
      </w:r>
      <w:r w:rsidR="00E017B2" w:rsidRPr="003B3268">
        <w:rPr>
          <w:rFonts w:cs="Arial"/>
          <w:color w:val="231F20"/>
          <w:spacing w:val="-4"/>
          <w:sz w:val="18"/>
          <w:szCs w:val="18"/>
          <w:lang w:val="en-AU"/>
        </w:rPr>
        <w:t xml:space="preserve"> </w:t>
      </w:r>
      <w:r w:rsidR="00E017B2" w:rsidRPr="003B3268">
        <w:rPr>
          <w:rFonts w:cs="Arial"/>
          <w:color w:val="231F20"/>
          <w:sz w:val="18"/>
          <w:szCs w:val="18"/>
          <w:lang w:val="en-AU"/>
        </w:rPr>
        <w:t>and</w:t>
      </w:r>
      <w:r w:rsidR="00E017B2" w:rsidRPr="003B3268">
        <w:rPr>
          <w:rFonts w:cs="Arial"/>
          <w:color w:val="231F20"/>
          <w:spacing w:val="-5"/>
          <w:sz w:val="18"/>
          <w:szCs w:val="18"/>
          <w:lang w:val="en-AU"/>
        </w:rPr>
        <w:t xml:space="preserve"> </w:t>
      </w:r>
      <w:r w:rsidR="00E017B2" w:rsidRPr="003B3268">
        <w:rPr>
          <w:rFonts w:cs="Arial"/>
          <w:color w:val="231F20"/>
          <w:sz w:val="18"/>
          <w:szCs w:val="18"/>
          <w:lang w:val="en-AU"/>
        </w:rPr>
        <w:t>viral</w:t>
      </w:r>
      <w:r w:rsidR="00E017B2" w:rsidRPr="003B3268">
        <w:rPr>
          <w:rFonts w:cs="Arial"/>
          <w:color w:val="231F20"/>
          <w:spacing w:val="-6"/>
          <w:sz w:val="18"/>
          <w:szCs w:val="18"/>
          <w:lang w:val="en-AU"/>
        </w:rPr>
        <w:t xml:space="preserve"> </w:t>
      </w:r>
      <w:r w:rsidR="00E017B2" w:rsidRPr="003B3268">
        <w:rPr>
          <w:rFonts w:cs="Arial"/>
          <w:color w:val="231F20"/>
          <w:spacing w:val="-1"/>
          <w:sz w:val="18"/>
          <w:szCs w:val="18"/>
          <w:lang w:val="en-AU"/>
        </w:rPr>
        <w:t>URTI.</w:t>
      </w:r>
    </w:p>
    <w:p w14:paraId="29365F79" w14:textId="6B770EEC" w:rsidR="00E017B2" w:rsidRPr="003B3268" w:rsidRDefault="0007366C" w:rsidP="00DC736D">
      <w:pPr>
        <w:spacing w:after="0"/>
        <w:ind w:left="709" w:hanging="567"/>
        <w:rPr>
          <w:rFonts w:eastAsia="Times New Roman" w:cs="Arial"/>
          <w:sz w:val="18"/>
          <w:szCs w:val="18"/>
          <w:lang w:val="en-AU"/>
        </w:rPr>
      </w:pPr>
      <w:proofErr w:type="gramStart"/>
      <w:r w:rsidRPr="003B3268">
        <w:rPr>
          <w:rFonts w:cs="Arial"/>
          <w:color w:val="231F20"/>
          <w:spacing w:val="-6"/>
          <w:position w:val="6"/>
          <w:sz w:val="18"/>
          <w:szCs w:val="18"/>
          <w:vertAlign w:val="superscript"/>
          <w:lang w:val="en-AU"/>
        </w:rPr>
        <w:t>e</w:t>
      </w:r>
      <w:proofErr w:type="gramEnd"/>
      <w:r w:rsidRPr="003B3268">
        <w:rPr>
          <w:rFonts w:cs="Arial"/>
          <w:color w:val="231F20"/>
          <w:spacing w:val="-6"/>
          <w:position w:val="6"/>
          <w:sz w:val="18"/>
          <w:szCs w:val="18"/>
          <w:lang w:val="en-AU"/>
        </w:rPr>
        <w:tab/>
      </w:r>
      <w:r w:rsidR="00E017B2" w:rsidRPr="003B3268">
        <w:rPr>
          <w:rFonts w:cs="Arial"/>
          <w:color w:val="231F20"/>
          <w:spacing w:val="-1"/>
          <w:sz w:val="18"/>
          <w:szCs w:val="18"/>
          <w:lang w:val="en-AU"/>
        </w:rPr>
        <w:t>Gastroenteritis</w:t>
      </w:r>
      <w:r w:rsidR="00E017B2" w:rsidRPr="003B3268">
        <w:rPr>
          <w:rFonts w:cs="Arial"/>
          <w:color w:val="231F20"/>
          <w:spacing w:val="-8"/>
          <w:sz w:val="18"/>
          <w:szCs w:val="18"/>
          <w:lang w:val="en-AU"/>
        </w:rPr>
        <w:t xml:space="preserve"> </w:t>
      </w:r>
      <w:r w:rsidR="00E017B2" w:rsidRPr="003B3268">
        <w:rPr>
          <w:rFonts w:cs="Arial"/>
          <w:color w:val="231F20"/>
          <w:spacing w:val="-1"/>
          <w:sz w:val="18"/>
          <w:szCs w:val="18"/>
          <w:lang w:val="en-AU"/>
        </w:rPr>
        <w:t>includes</w:t>
      </w:r>
      <w:r w:rsidR="00E017B2" w:rsidRPr="003B3268">
        <w:rPr>
          <w:rFonts w:cs="Arial"/>
          <w:color w:val="231F20"/>
          <w:spacing w:val="-8"/>
          <w:sz w:val="18"/>
          <w:szCs w:val="18"/>
          <w:lang w:val="en-AU"/>
        </w:rPr>
        <w:t xml:space="preserve"> </w:t>
      </w:r>
      <w:r w:rsidR="00E017B2" w:rsidRPr="003B3268">
        <w:rPr>
          <w:rFonts w:cs="Arial"/>
          <w:color w:val="231F20"/>
          <w:spacing w:val="-1"/>
          <w:sz w:val="18"/>
          <w:szCs w:val="18"/>
          <w:lang w:val="en-AU"/>
        </w:rPr>
        <w:t>gastroenteritis</w:t>
      </w:r>
      <w:r w:rsidR="00E017B2" w:rsidRPr="003B3268">
        <w:rPr>
          <w:rFonts w:cs="Arial"/>
          <w:color w:val="231F20"/>
          <w:spacing w:val="-7"/>
          <w:sz w:val="18"/>
          <w:szCs w:val="18"/>
          <w:lang w:val="en-AU"/>
        </w:rPr>
        <w:t xml:space="preserve"> </w:t>
      </w:r>
      <w:r w:rsidR="00E017B2" w:rsidRPr="003B3268">
        <w:rPr>
          <w:rFonts w:cs="Arial"/>
          <w:color w:val="231F20"/>
          <w:sz w:val="18"/>
          <w:szCs w:val="18"/>
          <w:lang w:val="en-AU"/>
        </w:rPr>
        <w:t>and</w:t>
      </w:r>
      <w:r w:rsidR="00E017B2" w:rsidRPr="003B3268">
        <w:rPr>
          <w:rFonts w:cs="Arial"/>
          <w:color w:val="231F20"/>
          <w:spacing w:val="-8"/>
          <w:sz w:val="18"/>
          <w:szCs w:val="18"/>
          <w:lang w:val="en-AU"/>
        </w:rPr>
        <w:t xml:space="preserve"> </w:t>
      </w:r>
      <w:r w:rsidR="00E017B2" w:rsidRPr="003B3268">
        <w:rPr>
          <w:rFonts w:cs="Arial"/>
          <w:color w:val="231F20"/>
          <w:spacing w:val="-1"/>
          <w:sz w:val="18"/>
          <w:szCs w:val="18"/>
          <w:lang w:val="en-AU"/>
        </w:rPr>
        <w:t>viral</w:t>
      </w:r>
      <w:r w:rsidR="00E017B2" w:rsidRPr="003B3268">
        <w:rPr>
          <w:rFonts w:cs="Arial"/>
          <w:color w:val="231F20"/>
          <w:spacing w:val="-9"/>
          <w:sz w:val="18"/>
          <w:szCs w:val="18"/>
          <w:lang w:val="en-AU"/>
        </w:rPr>
        <w:t xml:space="preserve"> </w:t>
      </w:r>
      <w:r w:rsidR="00E017B2" w:rsidRPr="003B3268">
        <w:rPr>
          <w:rFonts w:cs="Arial"/>
          <w:color w:val="231F20"/>
          <w:sz w:val="18"/>
          <w:szCs w:val="18"/>
          <w:lang w:val="en-AU"/>
        </w:rPr>
        <w:t>gastroenteritis</w:t>
      </w:r>
    </w:p>
    <w:p w14:paraId="25F97A14" w14:textId="3FD39430" w:rsidR="00E017B2" w:rsidRPr="003B3268" w:rsidRDefault="0007366C" w:rsidP="00DC736D">
      <w:pPr>
        <w:spacing w:after="0"/>
        <w:ind w:left="709" w:hanging="567"/>
        <w:rPr>
          <w:rFonts w:eastAsia="Times New Roman" w:cs="Arial"/>
          <w:sz w:val="18"/>
          <w:szCs w:val="18"/>
          <w:lang w:val="en-AU"/>
        </w:rPr>
      </w:pPr>
      <w:proofErr w:type="gramStart"/>
      <w:r w:rsidRPr="003B3268">
        <w:rPr>
          <w:rFonts w:cs="Arial"/>
          <w:color w:val="231F20"/>
          <w:spacing w:val="-4"/>
          <w:position w:val="6"/>
          <w:sz w:val="18"/>
          <w:szCs w:val="18"/>
          <w:vertAlign w:val="superscript"/>
          <w:lang w:val="en-AU"/>
        </w:rPr>
        <w:t>f</w:t>
      </w:r>
      <w:proofErr w:type="gramEnd"/>
      <w:r w:rsidRPr="003B3268">
        <w:rPr>
          <w:rFonts w:cs="Arial"/>
          <w:color w:val="231F20"/>
          <w:spacing w:val="-4"/>
          <w:position w:val="6"/>
          <w:sz w:val="18"/>
          <w:szCs w:val="18"/>
          <w:lang w:val="en-AU"/>
        </w:rPr>
        <w:tab/>
      </w:r>
      <w:r w:rsidR="00E017B2" w:rsidRPr="003B3268">
        <w:rPr>
          <w:rFonts w:cs="Arial"/>
          <w:color w:val="231F20"/>
          <w:sz w:val="18"/>
          <w:szCs w:val="18"/>
          <w:lang w:val="en-AU"/>
        </w:rPr>
        <w:t>Herpes</w:t>
      </w:r>
      <w:r w:rsidR="00E017B2" w:rsidRPr="003B3268">
        <w:rPr>
          <w:rFonts w:cs="Arial"/>
          <w:color w:val="231F20"/>
          <w:spacing w:val="-2"/>
          <w:sz w:val="18"/>
          <w:szCs w:val="18"/>
          <w:lang w:val="en-AU"/>
        </w:rPr>
        <w:t xml:space="preserve"> </w:t>
      </w:r>
      <w:r w:rsidR="00E017B2" w:rsidRPr="003B3268">
        <w:rPr>
          <w:rFonts w:cs="Arial"/>
          <w:color w:val="231F20"/>
          <w:spacing w:val="-1"/>
          <w:sz w:val="18"/>
          <w:szCs w:val="18"/>
          <w:lang w:val="en-AU"/>
        </w:rPr>
        <w:t>simplex</w:t>
      </w:r>
      <w:r w:rsidR="00E017B2" w:rsidRPr="003B3268">
        <w:rPr>
          <w:rFonts w:cs="Arial"/>
          <w:color w:val="231F20"/>
          <w:spacing w:val="-3"/>
          <w:sz w:val="18"/>
          <w:szCs w:val="18"/>
          <w:lang w:val="en-AU"/>
        </w:rPr>
        <w:t xml:space="preserve"> </w:t>
      </w:r>
      <w:r w:rsidR="00E017B2" w:rsidRPr="003B3268">
        <w:rPr>
          <w:rFonts w:cs="Arial"/>
          <w:color w:val="231F20"/>
          <w:spacing w:val="-1"/>
          <w:sz w:val="18"/>
          <w:szCs w:val="18"/>
          <w:lang w:val="en-AU"/>
        </w:rPr>
        <w:t>infections</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include</w:t>
      </w:r>
      <w:r w:rsidR="00E017B2" w:rsidRPr="003B3268">
        <w:rPr>
          <w:rFonts w:cs="Arial"/>
          <w:color w:val="231F20"/>
          <w:spacing w:val="-4"/>
          <w:sz w:val="18"/>
          <w:szCs w:val="18"/>
          <w:lang w:val="en-AU"/>
        </w:rPr>
        <w:t xml:space="preserve"> </w:t>
      </w:r>
      <w:r w:rsidR="00E017B2" w:rsidRPr="003B3268">
        <w:rPr>
          <w:rFonts w:cs="Arial"/>
          <w:color w:val="231F20"/>
          <w:spacing w:val="-1"/>
          <w:sz w:val="18"/>
          <w:szCs w:val="18"/>
          <w:lang w:val="en-AU"/>
        </w:rPr>
        <w:t>oral</w:t>
      </w:r>
      <w:r w:rsidR="00E017B2" w:rsidRPr="003B3268">
        <w:rPr>
          <w:rFonts w:cs="Arial"/>
          <w:color w:val="231F20"/>
          <w:spacing w:val="-2"/>
          <w:sz w:val="18"/>
          <w:szCs w:val="18"/>
          <w:lang w:val="en-AU"/>
        </w:rPr>
        <w:t xml:space="preserve"> </w:t>
      </w:r>
      <w:r w:rsidR="00E017B2" w:rsidRPr="003B3268">
        <w:rPr>
          <w:rFonts w:cs="Arial"/>
          <w:color w:val="231F20"/>
          <w:spacing w:val="-1"/>
          <w:sz w:val="18"/>
          <w:szCs w:val="18"/>
          <w:lang w:val="en-AU"/>
        </w:rPr>
        <w:t>herpes,</w:t>
      </w:r>
      <w:r w:rsidR="00E017B2" w:rsidRPr="003B3268">
        <w:rPr>
          <w:rFonts w:cs="Arial"/>
          <w:color w:val="231F20"/>
          <w:spacing w:val="-3"/>
          <w:sz w:val="18"/>
          <w:szCs w:val="18"/>
          <w:lang w:val="en-AU"/>
        </w:rPr>
        <w:t xml:space="preserve"> </w:t>
      </w:r>
      <w:r w:rsidR="00E017B2" w:rsidRPr="003B3268">
        <w:rPr>
          <w:rFonts w:cs="Arial"/>
          <w:color w:val="231F20"/>
          <w:spacing w:val="-1"/>
          <w:sz w:val="18"/>
          <w:szCs w:val="18"/>
          <w:lang w:val="en-AU"/>
        </w:rPr>
        <w:t>herpes</w:t>
      </w:r>
      <w:r w:rsidR="00E017B2" w:rsidRPr="003B3268">
        <w:rPr>
          <w:rFonts w:cs="Arial"/>
          <w:color w:val="231F20"/>
          <w:spacing w:val="-4"/>
          <w:sz w:val="18"/>
          <w:szCs w:val="18"/>
          <w:lang w:val="en-AU"/>
        </w:rPr>
        <w:t xml:space="preserve"> </w:t>
      </w:r>
      <w:r w:rsidR="00E017B2" w:rsidRPr="003B3268">
        <w:rPr>
          <w:rFonts w:cs="Arial"/>
          <w:color w:val="231F20"/>
          <w:spacing w:val="-1"/>
          <w:sz w:val="18"/>
          <w:szCs w:val="18"/>
          <w:lang w:val="en-AU"/>
        </w:rPr>
        <w:t>simplex,</w:t>
      </w:r>
      <w:r w:rsidR="00E017B2" w:rsidRPr="003B3268">
        <w:rPr>
          <w:rFonts w:cs="Arial"/>
          <w:color w:val="231F20"/>
          <w:spacing w:val="-4"/>
          <w:sz w:val="18"/>
          <w:szCs w:val="18"/>
          <w:lang w:val="en-AU"/>
        </w:rPr>
        <w:t xml:space="preserve"> </w:t>
      </w:r>
      <w:r w:rsidR="00E017B2" w:rsidRPr="003B3268">
        <w:rPr>
          <w:rFonts w:cs="Arial"/>
          <w:color w:val="231F20"/>
          <w:spacing w:val="-1"/>
          <w:sz w:val="18"/>
          <w:szCs w:val="18"/>
          <w:lang w:val="en-AU"/>
        </w:rPr>
        <w:t>genital</w:t>
      </w:r>
      <w:r w:rsidR="00E017B2" w:rsidRPr="003B3268">
        <w:rPr>
          <w:rFonts w:cs="Arial"/>
          <w:color w:val="231F20"/>
          <w:spacing w:val="-3"/>
          <w:sz w:val="18"/>
          <w:szCs w:val="18"/>
          <w:lang w:val="en-AU"/>
        </w:rPr>
        <w:t xml:space="preserve"> </w:t>
      </w:r>
      <w:r w:rsidR="00E017B2" w:rsidRPr="003B3268">
        <w:rPr>
          <w:rFonts w:cs="Arial"/>
          <w:color w:val="231F20"/>
          <w:spacing w:val="-1"/>
          <w:sz w:val="18"/>
          <w:szCs w:val="18"/>
          <w:lang w:val="en-AU"/>
        </w:rPr>
        <w:t>herpes,</w:t>
      </w:r>
      <w:r w:rsidR="00E017B2" w:rsidRPr="003B3268">
        <w:rPr>
          <w:rFonts w:cs="Arial"/>
          <w:color w:val="231F20"/>
          <w:spacing w:val="-3"/>
          <w:sz w:val="18"/>
          <w:szCs w:val="18"/>
          <w:lang w:val="en-AU"/>
        </w:rPr>
        <w:t xml:space="preserve"> </w:t>
      </w:r>
      <w:r w:rsidR="00E017B2" w:rsidRPr="003B3268">
        <w:rPr>
          <w:rFonts w:cs="Arial"/>
          <w:color w:val="231F20"/>
          <w:spacing w:val="-1"/>
          <w:sz w:val="18"/>
          <w:szCs w:val="18"/>
          <w:lang w:val="en-AU"/>
        </w:rPr>
        <w:t>genital</w:t>
      </w:r>
      <w:r w:rsidR="00E017B2" w:rsidRPr="003B3268">
        <w:rPr>
          <w:rFonts w:cs="Arial"/>
          <w:color w:val="231F20"/>
          <w:spacing w:val="-4"/>
          <w:sz w:val="18"/>
          <w:szCs w:val="18"/>
          <w:lang w:val="en-AU"/>
        </w:rPr>
        <w:t xml:space="preserve"> </w:t>
      </w:r>
      <w:r w:rsidR="00E017B2" w:rsidRPr="003B3268">
        <w:rPr>
          <w:rFonts w:cs="Arial"/>
          <w:color w:val="231F20"/>
          <w:spacing w:val="-1"/>
          <w:sz w:val="18"/>
          <w:szCs w:val="18"/>
          <w:lang w:val="en-AU"/>
        </w:rPr>
        <w:t>herpes</w:t>
      </w:r>
      <w:r w:rsidR="00E017B2" w:rsidRPr="003B3268">
        <w:rPr>
          <w:rFonts w:cs="Arial"/>
          <w:color w:val="231F20"/>
          <w:spacing w:val="-3"/>
          <w:sz w:val="18"/>
          <w:szCs w:val="18"/>
          <w:lang w:val="en-AU"/>
        </w:rPr>
        <w:t xml:space="preserve"> </w:t>
      </w:r>
      <w:r w:rsidR="00E017B2" w:rsidRPr="003B3268">
        <w:rPr>
          <w:rFonts w:cs="Arial"/>
          <w:color w:val="231F20"/>
          <w:spacing w:val="-1"/>
          <w:sz w:val="18"/>
          <w:szCs w:val="18"/>
          <w:lang w:val="en-AU"/>
        </w:rPr>
        <w:t>simplex,</w:t>
      </w:r>
      <w:r w:rsidR="00E017B2" w:rsidRPr="003B3268">
        <w:rPr>
          <w:rFonts w:cs="Arial"/>
          <w:color w:val="231F20"/>
          <w:spacing w:val="-4"/>
          <w:sz w:val="18"/>
          <w:szCs w:val="18"/>
          <w:lang w:val="en-AU"/>
        </w:rPr>
        <w:t xml:space="preserve"> </w:t>
      </w:r>
      <w:r w:rsidR="00E017B2" w:rsidRPr="003B3268">
        <w:rPr>
          <w:rFonts w:cs="Arial"/>
          <w:color w:val="231F20"/>
          <w:sz w:val="18"/>
          <w:szCs w:val="18"/>
          <w:lang w:val="en-AU"/>
        </w:rPr>
        <w:t>and</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nasal</w:t>
      </w:r>
      <w:r w:rsidR="00E017B2" w:rsidRPr="003B3268">
        <w:rPr>
          <w:rFonts w:cs="Arial"/>
          <w:color w:val="231F20"/>
          <w:spacing w:val="-3"/>
          <w:sz w:val="18"/>
          <w:szCs w:val="18"/>
          <w:lang w:val="en-AU"/>
        </w:rPr>
        <w:t xml:space="preserve"> </w:t>
      </w:r>
      <w:r w:rsidR="00E017B2" w:rsidRPr="003B3268">
        <w:rPr>
          <w:rFonts w:cs="Arial"/>
          <w:color w:val="231F20"/>
          <w:spacing w:val="-1"/>
          <w:sz w:val="18"/>
          <w:szCs w:val="18"/>
          <w:lang w:val="en-AU"/>
        </w:rPr>
        <w:t>herpes</w:t>
      </w:r>
      <w:r w:rsidR="00E017B2" w:rsidRPr="003B3268">
        <w:rPr>
          <w:rFonts w:cs="Arial"/>
          <w:color w:val="231F20"/>
          <w:spacing w:val="-3"/>
          <w:sz w:val="18"/>
          <w:szCs w:val="18"/>
          <w:lang w:val="en-AU"/>
        </w:rPr>
        <w:t xml:space="preserve"> </w:t>
      </w:r>
      <w:r w:rsidR="00E017B2" w:rsidRPr="003B3268">
        <w:rPr>
          <w:rFonts w:cs="Arial"/>
          <w:color w:val="231F20"/>
          <w:spacing w:val="-1"/>
          <w:sz w:val="18"/>
          <w:szCs w:val="18"/>
          <w:lang w:val="en-AU"/>
        </w:rPr>
        <w:t>simplex.</w:t>
      </w:r>
    </w:p>
    <w:p w14:paraId="6ECD11ED" w14:textId="6BC446B1" w:rsidR="00E017B2" w:rsidRPr="003B3268" w:rsidRDefault="0007366C" w:rsidP="00DC736D">
      <w:pPr>
        <w:spacing w:after="0"/>
        <w:ind w:left="709" w:hanging="567"/>
        <w:rPr>
          <w:rFonts w:eastAsia="Times New Roman" w:cs="Arial"/>
          <w:sz w:val="18"/>
          <w:szCs w:val="18"/>
          <w:lang w:val="en-AU"/>
        </w:rPr>
      </w:pPr>
      <w:proofErr w:type="gramStart"/>
      <w:r w:rsidRPr="003B3268">
        <w:rPr>
          <w:rFonts w:cs="Arial"/>
          <w:color w:val="231F20"/>
          <w:spacing w:val="-5"/>
          <w:position w:val="6"/>
          <w:sz w:val="18"/>
          <w:szCs w:val="18"/>
          <w:vertAlign w:val="superscript"/>
          <w:lang w:val="en-AU"/>
        </w:rPr>
        <w:t>g</w:t>
      </w:r>
      <w:proofErr w:type="gramEnd"/>
      <w:r w:rsidRPr="003B3268">
        <w:rPr>
          <w:rFonts w:cs="Arial"/>
          <w:color w:val="231F20"/>
          <w:spacing w:val="-5"/>
          <w:position w:val="6"/>
          <w:sz w:val="18"/>
          <w:szCs w:val="18"/>
          <w:lang w:val="en-AU"/>
        </w:rPr>
        <w:tab/>
      </w:r>
      <w:r w:rsidR="00E017B2" w:rsidRPr="003B3268">
        <w:rPr>
          <w:rFonts w:cs="Arial"/>
          <w:color w:val="231F20"/>
          <w:sz w:val="18"/>
          <w:szCs w:val="18"/>
          <w:lang w:val="en-AU"/>
        </w:rPr>
        <w:t>Tinea</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infections</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include</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tinea</w:t>
      </w:r>
      <w:r w:rsidR="00E017B2" w:rsidRPr="003B3268">
        <w:rPr>
          <w:rFonts w:cs="Arial"/>
          <w:color w:val="231F20"/>
          <w:spacing w:val="-5"/>
          <w:sz w:val="18"/>
          <w:szCs w:val="18"/>
          <w:lang w:val="en-AU"/>
        </w:rPr>
        <w:t xml:space="preserve"> </w:t>
      </w:r>
      <w:proofErr w:type="spellStart"/>
      <w:r w:rsidR="00E017B2" w:rsidRPr="003B3268">
        <w:rPr>
          <w:rFonts w:cs="Arial"/>
          <w:color w:val="231F20"/>
          <w:spacing w:val="-1"/>
          <w:sz w:val="18"/>
          <w:szCs w:val="18"/>
          <w:lang w:val="en-AU"/>
        </w:rPr>
        <w:t>pedis</w:t>
      </w:r>
      <w:proofErr w:type="spellEnd"/>
      <w:r w:rsidR="00E017B2" w:rsidRPr="003B3268">
        <w:rPr>
          <w:rFonts w:cs="Arial"/>
          <w:color w:val="231F20"/>
          <w:spacing w:val="-1"/>
          <w:sz w:val="18"/>
          <w:szCs w:val="18"/>
          <w:lang w:val="en-AU"/>
        </w:rPr>
        <w:t>,</w:t>
      </w:r>
      <w:r w:rsidR="00E017B2" w:rsidRPr="003B3268">
        <w:rPr>
          <w:rFonts w:cs="Arial"/>
          <w:color w:val="231F20"/>
          <w:spacing w:val="-4"/>
          <w:sz w:val="18"/>
          <w:szCs w:val="18"/>
          <w:lang w:val="en-AU"/>
        </w:rPr>
        <w:t xml:space="preserve"> </w:t>
      </w:r>
      <w:r w:rsidR="00E017B2" w:rsidRPr="003B3268">
        <w:rPr>
          <w:rFonts w:cs="Arial"/>
          <w:color w:val="231F20"/>
          <w:spacing w:val="-1"/>
          <w:sz w:val="18"/>
          <w:szCs w:val="18"/>
          <w:lang w:val="en-AU"/>
        </w:rPr>
        <w:t>tinea</w:t>
      </w:r>
      <w:r w:rsidR="00E017B2" w:rsidRPr="003B3268">
        <w:rPr>
          <w:rFonts w:cs="Arial"/>
          <w:color w:val="231F20"/>
          <w:spacing w:val="-6"/>
          <w:sz w:val="18"/>
          <w:szCs w:val="18"/>
          <w:lang w:val="en-AU"/>
        </w:rPr>
        <w:t xml:space="preserve"> </w:t>
      </w:r>
      <w:proofErr w:type="spellStart"/>
      <w:r w:rsidR="00E017B2" w:rsidRPr="003B3268">
        <w:rPr>
          <w:rFonts w:cs="Arial"/>
          <w:color w:val="231F20"/>
          <w:spacing w:val="-1"/>
          <w:sz w:val="18"/>
          <w:szCs w:val="18"/>
          <w:lang w:val="en-AU"/>
        </w:rPr>
        <w:t>cruris</w:t>
      </w:r>
      <w:proofErr w:type="spellEnd"/>
      <w:r w:rsidR="00E017B2" w:rsidRPr="003B3268">
        <w:rPr>
          <w:rFonts w:cs="Arial"/>
          <w:color w:val="231F20"/>
          <w:spacing w:val="-1"/>
          <w:sz w:val="18"/>
          <w:szCs w:val="18"/>
          <w:lang w:val="en-AU"/>
        </w:rPr>
        <w:t>,</w:t>
      </w:r>
      <w:r w:rsidR="00E017B2" w:rsidRPr="003B3268">
        <w:rPr>
          <w:rFonts w:cs="Arial"/>
          <w:color w:val="231F20"/>
          <w:spacing w:val="-5"/>
          <w:sz w:val="18"/>
          <w:szCs w:val="18"/>
          <w:lang w:val="en-AU"/>
        </w:rPr>
        <w:t xml:space="preserve"> </w:t>
      </w:r>
      <w:r w:rsidR="00E017B2" w:rsidRPr="003B3268">
        <w:rPr>
          <w:rFonts w:cs="Arial"/>
          <w:color w:val="231F20"/>
          <w:sz w:val="18"/>
          <w:szCs w:val="18"/>
          <w:lang w:val="en-AU"/>
        </w:rPr>
        <w:t>tinea</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infection,</w:t>
      </w:r>
      <w:r w:rsidR="00E017B2" w:rsidRPr="003B3268">
        <w:rPr>
          <w:rFonts w:cs="Arial"/>
          <w:color w:val="231F20"/>
          <w:spacing w:val="-5"/>
          <w:sz w:val="18"/>
          <w:szCs w:val="18"/>
          <w:lang w:val="en-AU"/>
        </w:rPr>
        <w:t xml:space="preserve"> </w:t>
      </w:r>
      <w:r w:rsidR="00E017B2" w:rsidRPr="003B3268">
        <w:rPr>
          <w:rFonts w:cs="Arial"/>
          <w:color w:val="231F20"/>
          <w:sz w:val="18"/>
          <w:szCs w:val="18"/>
          <w:lang w:val="en-AU"/>
        </w:rPr>
        <w:t>and</w:t>
      </w:r>
      <w:r w:rsidR="00E017B2" w:rsidRPr="003B3268">
        <w:rPr>
          <w:rFonts w:cs="Arial"/>
          <w:color w:val="231F20"/>
          <w:spacing w:val="-5"/>
          <w:sz w:val="18"/>
          <w:szCs w:val="18"/>
          <w:lang w:val="en-AU"/>
        </w:rPr>
        <w:t xml:space="preserve"> </w:t>
      </w:r>
      <w:r w:rsidR="00E017B2" w:rsidRPr="003B3268">
        <w:rPr>
          <w:rFonts w:cs="Arial"/>
          <w:color w:val="231F20"/>
          <w:sz w:val="18"/>
          <w:szCs w:val="18"/>
          <w:lang w:val="en-AU"/>
        </w:rPr>
        <w:t>tinea</w:t>
      </w:r>
      <w:r w:rsidR="00E017B2" w:rsidRPr="003B3268">
        <w:rPr>
          <w:rFonts w:cs="Arial"/>
          <w:color w:val="231F20"/>
          <w:spacing w:val="-5"/>
          <w:sz w:val="18"/>
          <w:szCs w:val="18"/>
          <w:lang w:val="en-AU"/>
        </w:rPr>
        <w:t xml:space="preserve"> </w:t>
      </w:r>
      <w:proofErr w:type="spellStart"/>
      <w:r w:rsidR="00E017B2" w:rsidRPr="003B3268">
        <w:rPr>
          <w:rFonts w:cs="Arial"/>
          <w:color w:val="231F20"/>
          <w:spacing w:val="-1"/>
          <w:sz w:val="18"/>
          <w:szCs w:val="18"/>
          <w:lang w:val="en-AU"/>
        </w:rPr>
        <w:t>manuum</w:t>
      </w:r>
      <w:proofErr w:type="spellEnd"/>
      <w:r w:rsidR="00E017B2" w:rsidRPr="003B3268">
        <w:rPr>
          <w:rFonts w:cs="Arial"/>
          <w:color w:val="231F20"/>
          <w:spacing w:val="-5"/>
          <w:sz w:val="18"/>
          <w:szCs w:val="18"/>
          <w:lang w:val="en-AU"/>
        </w:rPr>
        <w:t xml:space="preserve"> </w:t>
      </w:r>
      <w:r w:rsidR="00E017B2" w:rsidRPr="003B3268">
        <w:rPr>
          <w:rFonts w:cs="Arial"/>
          <w:color w:val="231F20"/>
          <w:sz w:val="18"/>
          <w:szCs w:val="18"/>
          <w:lang w:val="en-AU"/>
        </w:rPr>
        <w:t>infections.</w:t>
      </w:r>
    </w:p>
    <w:p w14:paraId="49741022" w14:textId="310989DB" w:rsidR="00E017B2" w:rsidRPr="00C85CED" w:rsidRDefault="0007366C" w:rsidP="00DC736D">
      <w:pPr>
        <w:spacing w:after="0"/>
        <w:ind w:left="709" w:hanging="567"/>
        <w:rPr>
          <w:rFonts w:cs="Arial"/>
          <w:sz w:val="18"/>
          <w:szCs w:val="18"/>
          <w:lang w:val="en-AU"/>
        </w:rPr>
      </w:pPr>
      <w:proofErr w:type="gramStart"/>
      <w:r w:rsidRPr="003B3268">
        <w:rPr>
          <w:rFonts w:cs="Arial"/>
          <w:color w:val="231F20"/>
          <w:spacing w:val="-4"/>
          <w:position w:val="6"/>
          <w:sz w:val="18"/>
          <w:szCs w:val="18"/>
          <w:vertAlign w:val="superscript"/>
          <w:lang w:val="en-AU"/>
        </w:rPr>
        <w:t>h</w:t>
      </w:r>
      <w:proofErr w:type="gramEnd"/>
      <w:r w:rsidRPr="003B3268">
        <w:rPr>
          <w:rFonts w:cs="Arial"/>
          <w:color w:val="231F20"/>
          <w:spacing w:val="-4"/>
          <w:position w:val="6"/>
          <w:sz w:val="18"/>
          <w:szCs w:val="18"/>
          <w:lang w:val="en-AU"/>
        </w:rPr>
        <w:tab/>
      </w:r>
      <w:r w:rsidR="00E017B2" w:rsidRPr="003B3268">
        <w:rPr>
          <w:rFonts w:cs="Arial"/>
          <w:color w:val="231F20"/>
          <w:spacing w:val="-1"/>
          <w:sz w:val="18"/>
          <w:szCs w:val="18"/>
          <w:lang w:val="en-AU"/>
        </w:rPr>
        <w:t>Headache</w:t>
      </w:r>
      <w:r w:rsidR="00E017B2" w:rsidRPr="003B3268">
        <w:rPr>
          <w:rFonts w:cs="Arial"/>
          <w:color w:val="231F20"/>
          <w:spacing w:val="-7"/>
          <w:sz w:val="18"/>
          <w:szCs w:val="18"/>
          <w:lang w:val="en-AU"/>
        </w:rPr>
        <w:t xml:space="preserve"> </w:t>
      </w:r>
      <w:r w:rsidR="00E017B2" w:rsidRPr="003B3268">
        <w:rPr>
          <w:rFonts w:cs="Arial"/>
          <w:color w:val="231F20"/>
          <w:spacing w:val="-1"/>
          <w:sz w:val="18"/>
          <w:szCs w:val="18"/>
          <w:lang w:val="en-AU"/>
        </w:rPr>
        <w:t>includes</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headache</w:t>
      </w:r>
      <w:r w:rsidR="00E017B2" w:rsidRPr="003B3268">
        <w:rPr>
          <w:rFonts w:cs="Arial"/>
          <w:color w:val="231F20"/>
          <w:spacing w:val="-7"/>
          <w:sz w:val="18"/>
          <w:szCs w:val="18"/>
          <w:lang w:val="en-AU"/>
        </w:rPr>
        <w:t xml:space="preserve"> </w:t>
      </w:r>
      <w:r w:rsidR="00E017B2" w:rsidRPr="003B3268">
        <w:rPr>
          <w:rFonts w:cs="Arial"/>
          <w:color w:val="231F20"/>
          <w:spacing w:val="-1"/>
          <w:sz w:val="18"/>
          <w:szCs w:val="18"/>
          <w:lang w:val="en-AU"/>
        </w:rPr>
        <w:t>and</w:t>
      </w:r>
      <w:r w:rsidR="00E017B2" w:rsidRPr="003B3268">
        <w:rPr>
          <w:rFonts w:cs="Arial"/>
          <w:color w:val="231F20"/>
          <w:spacing w:val="-5"/>
          <w:sz w:val="18"/>
          <w:szCs w:val="18"/>
          <w:lang w:val="en-AU"/>
        </w:rPr>
        <w:t xml:space="preserve"> </w:t>
      </w:r>
      <w:r w:rsidR="00E017B2" w:rsidRPr="003B3268">
        <w:rPr>
          <w:rFonts w:cs="Arial"/>
          <w:color w:val="231F20"/>
          <w:spacing w:val="-1"/>
          <w:sz w:val="18"/>
          <w:szCs w:val="18"/>
          <w:lang w:val="en-AU"/>
        </w:rPr>
        <w:t>tension</w:t>
      </w:r>
      <w:r w:rsidR="00E017B2" w:rsidRPr="003B3268">
        <w:rPr>
          <w:rFonts w:cs="Arial"/>
          <w:color w:val="231F20"/>
          <w:spacing w:val="-7"/>
          <w:sz w:val="18"/>
          <w:szCs w:val="18"/>
          <w:lang w:val="en-AU"/>
        </w:rPr>
        <w:t xml:space="preserve"> </w:t>
      </w:r>
      <w:r w:rsidR="00E017B2" w:rsidRPr="003B3268">
        <w:rPr>
          <w:rFonts w:cs="Arial"/>
          <w:color w:val="231F20"/>
          <w:spacing w:val="-1"/>
          <w:sz w:val="18"/>
          <w:szCs w:val="18"/>
          <w:lang w:val="en-AU"/>
        </w:rPr>
        <w:t>headache.</w:t>
      </w:r>
    </w:p>
    <w:p w14:paraId="2EFAD28C" w14:textId="77777777" w:rsidR="00155EA6" w:rsidRPr="00155EA6" w:rsidRDefault="00155EA6" w:rsidP="00BA50A7">
      <w:pPr>
        <w:pStyle w:val="Heading3"/>
      </w:pPr>
      <w:r w:rsidRPr="00155EA6">
        <w:t>Less Common Clinical Trial Adverse Drug Reactions (&lt;1%)</w:t>
      </w:r>
    </w:p>
    <w:p w14:paraId="37086B8C" w14:textId="1EDA1D35" w:rsidR="00155EA6" w:rsidRPr="00BA50A7" w:rsidRDefault="00155EA6" w:rsidP="00155EA6">
      <w:pPr>
        <w:pStyle w:val="Normaltext"/>
        <w:spacing w:before="120"/>
      </w:pPr>
      <w:r w:rsidRPr="00BA50A7">
        <w:t>Adverse reactions that occurred at rates &lt; 1% in the TREMFYA group and at a higher rate than in the placebo group through Week 16 in VOYAGE 1 and VOYAGE 2 were:</w:t>
      </w:r>
    </w:p>
    <w:p w14:paraId="3F171998" w14:textId="77777777" w:rsidR="00155EA6" w:rsidRPr="00155EA6" w:rsidRDefault="00155EA6" w:rsidP="00155EA6">
      <w:pPr>
        <w:pStyle w:val="Normaltext"/>
        <w:spacing w:before="120"/>
        <w:rPr>
          <w:u w:val="single"/>
        </w:rPr>
      </w:pPr>
      <w:r w:rsidRPr="00BA50A7">
        <w:rPr>
          <w:rFonts w:eastAsiaTheme="minorHAnsi" w:cstheme="minorBidi"/>
          <w:i/>
          <w:szCs w:val="22"/>
          <w:u w:val="single"/>
          <w:lang w:eastAsia="en-US"/>
        </w:rPr>
        <w:t xml:space="preserve">Infections and Infestations: </w:t>
      </w:r>
      <w:r w:rsidRPr="00BA50A7">
        <w:t>candida infections</w:t>
      </w:r>
    </w:p>
    <w:p w14:paraId="743DB41B" w14:textId="77777777" w:rsidR="00155EA6" w:rsidRPr="00BA50A7" w:rsidRDefault="00155EA6" w:rsidP="00155EA6">
      <w:pPr>
        <w:pStyle w:val="Normaltext"/>
        <w:spacing w:before="120"/>
      </w:pPr>
      <w:r w:rsidRPr="00BA50A7">
        <w:rPr>
          <w:rFonts w:eastAsiaTheme="minorHAnsi" w:cstheme="minorBidi"/>
          <w:i/>
          <w:szCs w:val="22"/>
          <w:u w:val="single"/>
          <w:lang w:eastAsia="en-US"/>
        </w:rPr>
        <w:t>Nervous system disorders:</w:t>
      </w:r>
      <w:r w:rsidRPr="00BA50A7">
        <w:t xml:space="preserve"> migraine </w:t>
      </w:r>
    </w:p>
    <w:p w14:paraId="75CDE0E7" w14:textId="7016E692" w:rsidR="00C43356" w:rsidRPr="00C85CED" w:rsidRDefault="00155EA6" w:rsidP="00155EA6">
      <w:pPr>
        <w:pStyle w:val="Normaltext"/>
        <w:spacing w:before="120" w:after="120"/>
      </w:pPr>
      <w:r w:rsidRPr="00BA50A7">
        <w:rPr>
          <w:rFonts w:eastAsiaTheme="minorHAnsi" w:cstheme="minorBidi"/>
          <w:i/>
          <w:szCs w:val="22"/>
          <w:u w:val="single"/>
          <w:lang w:eastAsia="en-US"/>
        </w:rPr>
        <w:t>Skin and subcutaneous tissue disorders:</w:t>
      </w:r>
      <w:r w:rsidRPr="00BA50A7">
        <w:t xml:space="preserve"> </w:t>
      </w:r>
      <w:proofErr w:type="spellStart"/>
      <w:r w:rsidRPr="00BA50A7">
        <w:t>urticaria</w:t>
      </w:r>
      <w:proofErr w:type="spellEnd"/>
      <w:r w:rsidR="00C43356" w:rsidRPr="00C85CED">
        <w:t>.</w:t>
      </w:r>
    </w:p>
    <w:p w14:paraId="3B739E2B" w14:textId="68C695B8" w:rsidR="00733965" w:rsidRPr="00796519" w:rsidRDefault="00733965" w:rsidP="00796519">
      <w:pPr>
        <w:pStyle w:val="Heading3"/>
      </w:pPr>
      <w:r w:rsidRPr="00796519">
        <w:t>Reporting of suspected adverse reactions</w:t>
      </w:r>
    </w:p>
    <w:p w14:paraId="3E4F655C" w14:textId="6A14CFC5" w:rsidR="00396AF8" w:rsidRPr="00C85CED" w:rsidRDefault="00396AF8" w:rsidP="00396AF8">
      <w:pPr>
        <w:rPr>
          <w:rFonts w:cs="Arial"/>
          <w:lang w:val="en-AU"/>
        </w:rPr>
      </w:pPr>
      <w:r w:rsidRPr="003B3268">
        <w:rPr>
          <w:rFonts w:cs="Arial"/>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9" w:history="1">
        <w:r w:rsidRPr="003B3268">
          <w:rPr>
            <w:rStyle w:val="Hyperlink"/>
            <w:rFonts w:cs="Arial"/>
            <w:color w:val="551A8B"/>
            <w:lang w:val="en-AU"/>
          </w:rPr>
          <w:t>https://www.tga.gov.au/reporting-problems</w:t>
        </w:r>
      </w:hyperlink>
      <w:r w:rsidRPr="003B3268">
        <w:rPr>
          <w:rFonts w:cs="Arial"/>
          <w:lang w:val="en-AU"/>
        </w:rPr>
        <w:t>.</w:t>
      </w:r>
    </w:p>
    <w:p w14:paraId="03575E11" w14:textId="5671A7F4" w:rsidR="00D92B0C" w:rsidRPr="00C85CED" w:rsidRDefault="00D92B0C" w:rsidP="008A13A7">
      <w:pPr>
        <w:pStyle w:val="Heading2"/>
        <w:rPr>
          <w:lang w:val="en-AU"/>
        </w:rPr>
      </w:pPr>
      <w:r w:rsidRPr="00C85CED">
        <w:rPr>
          <w:lang w:val="en-AU"/>
        </w:rPr>
        <w:t>Overdose</w:t>
      </w:r>
    </w:p>
    <w:p w14:paraId="49C0523F" w14:textId="39985192" w:rsidR="001868BF" w:rsidRPr="00C85CED" w:rsidRDefault="001868BF" w:rsidP="003D6E5E">
      <w:pPr>
        <w:rPr>
          <w:lang w:val="en-AU"/>
        </w:rPr>
      </w:pPr>
      <w:r w:rsidRPr="00C85CED">
        <w:rPr>
          <w:lang w:val="en-AU"/>
        </w:rPr>
        <w:t xml:space="preserve">Single intravenous doses of TREMFYA up to 987 mg (10 mg/kg) have been administered in healthy volunteers and single subcutaneous doses of TREMFYA up to 300 mg have been administered in subjects with plaque psoriasis in clinical trials without dose-limiting toxicity. In </w:t>
      </w:r>
      <w:r w:rsidRPr="00C85CED">
        <w:rPr>
          <w:lang w:val="en-AU"/>
        </w:rPr>
        <w:lastRenderedPageBreak/>
        <w:t>the event of overdose, monitor the patient for any signs or symptoms of adverse reactions and administer appropriate symptomatic treatment immediately.</w:t>
      </w:r>
    </w:p>
    <w:p w14:paraId="72200AD5" w14:textId="77777777" w:rsidR="001868BF" w:rsidRPr="00C85CED" w:rsidRDefault="001868BF" w:rsidP="003D6E5E">
      <w:pPr>
        <w:rPr>
          <w:lang w:val="en-AU"/>
        </w:rPr>
      </w:pPr>
      <w:r w:rsidRPr="00C85CED">
        <w:rPr>
          <w:lang w:val="en-AU"/>
        </w:rPr>
        <w:t>For information on the management of overdose, contact the Poison Information Centre on 131126 (Australia).</w:t>
      </w:r>
    </w:p>
    <w:p w14:paraId="0AB9D7A0" w14:textId="76F6DA78" w:rsidR="00D92B0C" w:rsidRPr="00C85CED" w:rsidRDefault="00927E9B" w:rsidP="008A13A7">
      <w:pPr>
        <w:pStyle w:val="Heading1"/>
        <w:rPr>
          <w:lang w:val="en-AU"/>
        </w:rPr>
      </w:pPr>
      <w:r w:rsidRPr="00C85CED">
        <w:rPr>
          <w:lang w:val="en-AU"/>
        </w:rPr>
        <w:t>Pharmacolog</w:t>
      </w:r>
      <w:r>
        <w:rPr>
          <w:lang w:val="en-AU"/>
        </w:rPr>
        <w:t>ICAL PROPERTIES</w:t>
      </w:r>
    </w:p>
    <w:p w14:paraId="74FCC8C2" w14:textId="77281704" w:rsidR="00D92B0C" w:rsidRPr="00C85CED" w:rsidRDefault="00D92B0C" w:rsidP="008A13A7">
      <w:pPr>
        <w:pStyle w:val="Heading2"/>
        <w:rPr>
          <w:lang w:val="en-AU"/>
        </w:rPr>
      </w:pPr>
      <w:r w:rsidRPr="00C85CED">
        <w:rPr>
          <w:lang w:val="en-AU"/>
        </w:rPr>
        <w:t>Pharmacodynamic</w:t>
      </w:r>
      <w:r w:rsidR="00927E9B">
        <w:rPr>
          <w:lang w:val="en-AU"/>
        </w:rPr>
        <w:t xml:space="preserve"> PROPERTIES</w:t>
      </w:r>
    </w:p>
    <w:p w14:paraId="0AF9A0AA" w14:textId="38FDBDB9" w:rsidR="004B74D3" w:rsidRPr="00C85CED" w:rsidRDefault="004B74D3" w:rsidP="004B74D3">
      <w:pPr>
        <w:rPr>
          <w:lang w:val="en-AU"/>
        </w:rPr>
      </w:pPr>
      <w:proofErr w:type="spellStart"/>
      <w:r w:rsidRPr="00C85CED">
        <w:rPr>
          <w:lang w:val="en-AU"/>
        </w:rPr>
        <w:t>Pharmacotherapeutic</w:t>
      </w:r>
      <w:proofErr w:type="spellEnd"/>
      <w:r w:rsidRPr="00C85CED">
        <w:rPr>
          <w:lang w:val="en-AU"/>
        </w:rPr>
        <w:t xml:space="preserve"> group: </w:t>
      </w:r>
      <w:proofErr w:type="spellStart"/>
      <w:r w:rsidRPr="00C85CED">
        <w:rPr>
          <w:lang w:val="en-AU"/>
        </w:rPr>
        <w:t>Immunosuppressants</w:t>
      </w:r>
      <w:proofErr w:type="spellEnd"/>
      <w:r w:rsidRPr="00C85CED">
        <w:rPr>
          <w:lang w:val="en-AU"/>
        </w:rPr>
        <w:t xml:space="preserve">, interleukin inhibitors, ATC code: </w:t>
      </w:r>
      <w:r w:rsidR="00C26EBA" w:rsidRPr="00C26EBA">
        <w:rPr>
          <w:lang w:val="en-AU"/>
        </w:rPr>
        <w:t>L04AC16</w:t>
      </w:r>
      <w:r w:rsidRPr="00C85CED">
        <w:rPr>
          <w:lang w:val="en-AU"/>
        </w:rPr>
        <w:t>.</w:t>
      </w:r>
    </w:p>
    <w:p w14:paraId="6E16AD91" w14:textId="77777777" w:rsidR="004B74D3" w:rsidRPr="00C85CED" w:rsidRDefault="004B74D3" w:rsidP="00365A67">
      <w:pPr>
        <w:pStyle w:val="Heading3"/>
        <w:rPr>
          <w:lang w:val="en-AU"/>
        </w:rPr>
      </w:pPr>
      <w:r w:rsidRPr="00C85CED">
        <w:rPr>
          <w:lang w:val="en-AU"/>
        </w:rPr>
        <w:t>Mechanism of Action</w:t>
      </w:r>
    </w:p>
    <w:p w14:paraId="26E320CF" w14:textId="79643167" w:rsidR="007256DE" w:rsidRPr="00C85CED" w:rsidRDefault="007256DE" w:rsidP="007256DE">
      <w:pPr>
        <w:rPr>
          <w:lang w:val="en-AU"/>
        </w:rPr>
      </w:pPr>
      <w:proofErr w:type="spellStart"/>
      <w:r w:rsidRPr="00C85CED">
        <w:rPr>
          <w:lang w:val="en-AU"/>
        </w:rPr>
        <w:t>Guselkumab</w:t>
      </w:r>
      <w:proofErr w:type="spellEnd"/>
      <w:r w:rsidRPr="00C85CED">
        <w:rPr>
          <w:lang w:val="en-AU"/>
        </w:rPr>
        <w:t xml:space="preserve"> is a human IgG1λ monoclonal antibody (</w:t>
      </w:r>
      <w:proofErr w:type="spellStart"/>
      <w:r w:rsidRPr="00C85CED">
        <w:rPr>
          <w:lang w:val="en-AU"/>
        </w:rPr>
        <w:t>mAb</w:t>
      </w:r>
      <w:proofErr w:type="spellEnd"/>
      <w:r w:rsidRPr="00C85CED">
        <w:rPr>
          <w:lang w:val="en-AU"/>
        </w:rPr>
        <w:t>) that binds selectively to the interleukin 23 (IL</w:t>
      </w:r>
      <w:r w:rsidRPr="00C85CED">
        <w:rPr>
          <w:lang w:val="en-AU"/>
        </w:rPr>
        <w:noBreakHyphen/>
        <w:t xml:space="preserve">23) </w:t>
      </w:r>
      <w:proofErr w:type="gramStart"/>
      <w:r w:rsidRPr="00C85CED">
        <w:rPr>
          <w:lang w:val="en-AU"/>
        </w:rPr>
        <w:t>protein</w:t>
      </w:r>
      <w:proofErr w:type="gramEnd"/>
      <w:r w:rsidRPr="00C85CED">
        <w:rPr>
          <w:lang w:val="en-AU"/>
        </w:rPr>
        <w:t xml:space="preserve"> with </w:t>
      </w:r>
      <w:proofErr w:type="spellStart"/>
      <w:r w:rsidRPr="00C85CED">
        <w:rPr>
          <w:lang w:val="en-AU"/>
        </w:rPr>
        <w:t>picomolar</w:t>
      </w:r>
      <w:proofErr w:type="spellEnd"/>
      <w:r w:rsidRPr="00C85CED">
        <w:rPr>
          <w:lang w:val="en-AU"/>
        </w:rPr>
        <w:t xml:space="preserve"> affinity. IL</w:t>
      </w:r>
      <w:r w:rsidRPr="00C85CED">
        <w:rPr>
          <w:lang w:val="en-AU"/>
        </w:rPr>
        <w:noBreakHyphen/>
        <w:t>23, a regulatory cytokine, affects the differentiation, expansion, and survival of T cell subsets, (e.g., Th17 cells and Tc17 cells) and innate immune cell subsets, which represent sources of effector cytokines, including IL</w:t>
      </w:r>
      <w:r w:rsidRPr="00C85CED">
        <w:rPr>
          <w:lang w:val="en-AU"/>
        </w:rPr>
        <w:noBreakHyphen/>
        <w:t>17A, IL</w:t>
      </w:r>
      <w:r w:rsidRPr="00C85CED">
        <w:rPr>
          <w:lang w:val="en-AU"/>
        </w:rPr>
        <w:noBreakHyphen/>
        <w:t>17F and IL</w:t>
      </w:r>
      <w:r w:rsidRPr="00C85CED">
        <w:rPr>
          <w:lang w:val="en-AU"/>
        </w:rPr>
        <w:noBreakHyphen/>
        <w:t>22 that drive inflammatory disease. In humans, selective blockade of IL</w:t>
      </w:r>
      <w:r w:rsidRPr="00C85CED">
        <w:rPr>
          <w:lang w:val="en-AU"/>
        </w:rPr>
        <w:noBreakHyphen/>
        <w:t>23 was shown to normalise production of these cytokines.</w:t>
      </w:r>
    </w:p>
    <w:p w14:paraId="0E8ED38C" w14:textId="0237599B" w:rsidR="007256DE" w:rsidRPr="00C85CED" w:rsidRDefault="007256DE" w:rsidP="007256DE">
      <w:pPr>
        <w:rPr>
          <w:lang w:val="en-AU"/>
        </w:rPr>
      </w:pPr>
      <w:r w:rsidRPr="00C85CED">
        <w:rPr>
          <w:lang w:val="en-AU"/>
        </w:rPr>
        <w:t>Levels of IL</w:t>
      </w:r>
      <w:r w:rsidRPr="00C85CED">
        <w:rPr>
          <w:lang w:val="en-AU"/>
        </w:rPr>
        <w:noBreakHyphen/>
        <w:t xml:space="preserve">23 are elevated in the skin of patients with plaque psoriasis. In in vitro models, </w:t>
      </w:r>
      <w:proofErr w:type="spellStart"/>
      <w:r w:rsidRPr="00C85CED">
        <w:rPr>
          <w:lang w:val="en-AU"/>
        </w:rPr>
        <w:t>guselkumab</w:t>
      </w:r>
      <w:proofErr w:type="spellEnd"/>
      <w:r w:rsidRPr="00C85CED">
        <w:rPr>
          <w:lang w:val="en-AU"/>
        </w:rPr>
        <w:t xml:space="preserve"> was shown to inhibit the bioactivity of IL</w:t>
      </w:r>
      <w:r w:rsidRPr="00C85CED">
        <w:rPr>
          <w:lang w:val="en-AU"/>
        </w:rPr>
        <w:noBreakHyphen/>
        <w:t>23 by blocking its interaction with cell surface IL</w:t>
      </w:r>
      <w:r w:rsidRPr="00C85CED">
        <w:rPr>
          <w:lang w:val="en-AU"/>
        </w:rPr>
        <w:noBreakHyphen/>
        <w:t>23 receptor, disrupting IL</w:t>
      </w:r>
      <w:r w:rsidRPr="00C85CED">
        <w:rPr>
          <w:lang w:val="en-AU"/>
        </w:rPr>
        <w:noBreakHyphen/>
        <w:t>23</w:t>
      </w:r>
      <w:r w:rsidRPr="00C85CED">
        <w:rPr>
          <w:lang w:val="en-AU"/>
        </w:rPr>
        <w:noBreakHyphen/>
        <w:t>mediated signa</w:t>
      </w:r>
      <w:r w:rsidR="00C168D8">
        <w:rPr>
          <w:lang w:val="en-AU"/>
        </w:rPr>
        <w:t>l</w:t>
      </w:r>
      <w:r w:rsidRPr="00C85CED">
        <w:rPr>
          <w:lang w:val="en-AU"/>
        </w:rPr>
        <w:t xml:space="preserve">ling, activation and cytokine cascades. </w:t>
      </w:r>
      <w:proofErr w:type="spellStart"/>
      <w:r w:rsidRPr="00C85CED">
        <w:rPr>
          <w:lang w:val="en-AU"/>
        </w:rPr>
        <w:t>Guselkumab</w:t>
      </w:r>
      <w:proofErr w:type="spellEnd"/>
      <w:r w:rsidRPr="00C85CED">
        <w:rPr>
          <w:lang w:val="en-AU"/>
        </w:rPr>
        <w:t xml:space="preserve"> is considered to exert its clinical effects in plaque psoriasis through blockade of the IL</w:t>
      </w:r>
      <w:r w:rsidRPr="00C85CED">
        <w:rPr>
          <w:lang w:val="en-AU"/>
        </w:rPr>
        <w:noBreakHyphen/>
        <w:t>23 cytokine pathway.</w:t>
      </w:r>
    </w:p>
    <w:p w14:paraId="42AEAEE8" w14:textId="6E52BA36" w:rsidR="004B74D3" w:rsidRPr="00C85CED" w:rsidRDefault="00365A67" w:rsidP="00365A67">
      <w:pPr>
        <w:pStyle w:val="Heading3"/>
        <w:rPr>
          <w:lang w:val="en-AU"/>
        </w:rPr>
      </w:pPr>
      <w:proofErr w:type="spellStart"/>
      <w:r w:rsidRPr="00C85CED">
        <w:rPr>
          <w:lang w:val="en-AU"/>
        </w:rPr>
        <w:t>Pharmacodynamic</w:t>
      </w:r>
      <w:proofErr w:type="spellEnd"/>
      <w:r w:rsidRPr="00C85CED">
        <w:rPr>
          <w:lang w:val="en-AU"/>
        </w:rPr>
        <w:t xml:space="preserve"> effects</w:t>
      </w:r>
    </w:p>
    <w:p w14:paraId="2E85D0EC" w14:textId="77777777" w:rsidR="004B74D3" w:rsidRPr="00C85CED" w:rsidRDefault="004B74D3" w:rsidP="004B74D3">
      <w:pPr>
        <w:rPr>
          <w:lang w:val="en-AU"/>
        </w:rPr>
      </w:pPr>
      <w:r w:rsidRPr="00C85CED">
        <w:rPr>
          <w:lang w:val="en-AU"/>
        </w:rPr>
        <w:t xml:space="preserve">In a Phase 1 study, treatment with </w:t>
      </w:r>
      <w:proofErr w:type="spellStart"/>
      <w:r w:rsidRPr="00C85CED">
        <w:rPr>
          <w:lang w:val="en-AU"/>
        </w:rPr>
        <w:t>guselkumab</w:t>
      </w:r>
      <w:proofErr w:type="spellEnd"/>
      <w:r w:rsidRPr="00C85CED">
        <w:rPr>
          <w:lang w:val="en-AU"/>
        </w:rPr>
        <w:t xml:space="preserve"> resulted in reduced expression of IL-23/Th17 pathway genes and psoriasis-associated gene expression profiles, as shown by analyses of mRNA obtained from </w:t>
      </w:r>
      <w:proofErr w:type="spellStart"/>
      <w:r w:rsidRPr="00C85CED">
        <w:rPr>
          <w:lang w:val="en-AU"/>
        </w:rPr>
        <w:t>lesional</w:t>
      </w:r>
      <w:proofErr w:type="spellEnd"/>
      <w:r w:rsidRPr="00C85CED">
        <w:rPr>
          <w:lang w:val="en-AU"/>
        </w:rPr>
        <w:t xml:space="preserve"> skin biopsies of psoriatic subjects at Week 12 compared to baseline. In the same Phase 1 study, treatment with </w:t>
      </w:r>
      <w:proofErr w:type="spellStart"/>
      <w:r w:rsidRPr="00C85CED">
        <w:rPr>
          <w:lang w:val="en-AU"/>
        </w:rPr>
        <w:t>guselkumab</w:t>
      </w:r>
      <w:proofErr w:type="spellEnd"/>
      <w:r w:rsidRPr="00C85CED">
        <w:rPr>
          <w:lang w:val="en-AU"/>
        </w:rPr>
        <w:t xml:space="preserve"> resulted in improvement of histological measures of psoriasis at Week 12, including reductions in epidermal thickness and T-cell density. In addition, reduced serum IL-17A, IL-17F and IL-22 levels compared to placebo were observed in </w:t>
      </w:r>
      <w:proofErr w:type="spellStart"/>
      <w:r w:rsidRPr="00C85CED">
        <w:rPr>
          <w:lang w:val="en-AU"/>
        </w:rPr>
        <w:t>guselkumab</w:t>
      </w:r>
      <w:proofErr w:type="spellEnd"/>
      <w:r w:rsidRPr="00C85CED">
        <w:rPr>
          <w:lang w:val="en-AU"/>
        </w:rPr>
        <w:t xml:space="preserve"> treated subjects in Phase 2 and Phase 3 studies. These results are consistent with the clinical benefit observed with </w:t>
      </w:r>
      <w:proofErr w:type="spellStart"/>
      <w:r w:rsidRPr="00C85CED">
        <w:rPr>
          <w:lang w:val="en-AU"/>
        </w:rPr>
        <w:t>guselkumab</w:t>
      </w:r>
      <w:proofErr w:type="spellEnd"/>
      <w:r w:rsidRPr="00C85CED">
        <w:rPr>
          <w:lang w:val="en-AU"/>
        </w:rPr>
        <w:t xml:space="preserve"> treatment in plaque psoriasis.</w:t>
      </w:r>
    </w:p>
    <w:p w14:paraId="212155BD" w14:textId="66B2A7CC" w:rsidR="004B74D3" w:rsidRPr="00C85CED" w:rsidRDefault="00365A67" w:rsidP="00365A67">
      <w:pPr>
        <w:pStyle w:val="Heading3"/>
        <w:rPr>
          <w:lang w:val="en-AU"/>
        </w:rPr>
      </w:pPr>
      <w:r w:rsidRPr="00C85CED">
        <w:rPr>
          <w:lang w:val="en-AU"/>
        </w:rPr>
        <w:t>Immunogenicity</w:t>
      </w:r>
    </w:p>
    <w:p w14:paraId="1B28AB9D" w14:textId="77777777" w:rsidR="004B74D3" w:rsidRPr="00C85CED" w:rsidRDefault="004B74D3" w:rsidP="004B74D3">
      <w:pPr>
        <w:rPr>
          <w:lang w:val="en-AU"/>
        </w:rPr>
      </w:pPr>
      <w:r w:rsidRPr="00C85CED">
        <w:rPr>
          <w:lang w:val="en-AU"/>
        </w:rPr>
        <w:t>As with all therapeutic proteins, there is the potential for immunogenicity. The immunogenicity of TREMFYA was evaluated using a sensitive and drug-tolerant immunoassay. In pooled Phase 2 and Phase 3 analyses, fewer than 6% of subjects treated with TREMFYA developed antidrug antibodies in up to 52 weeks of treatment. Of the subjects who developed antidrug antibodies, approximately 7% had antibodies that were classified as neutralising which equates to 0.4% of all subjects treated with TREMFYA. Antidrug antibodies were not associated with lower efficacy or development of injection-site reactions.</w:t>
      </w:r>
    </w:p>
    <w:p w14:paraId="07689D0C" w14:textId="09E1F59B" w:rsidR="004B74D3" w:rsidRPr="00C85CED" w:rsidRDefault="004B74D3" w:rsidP="004B74D3">
      <w:pPr>
        <w:rPr>
          <w:lang w:val="en-AU"/>
        </w:rPr>
      </w:pPr>
      <w:r w:rsidRPr="00C85CED">
        <w:rPr>
          <w:lang w:val="en-AU"/>
        </w:rPr>
        <w:t>The detection of antibody formation is highly dependent on the sensitivity and specificity of the assay. Additionally, the observed incidence of antibody (including neutralising antibody) positivity in an assay may be influenced by several factors including assay methodology, sample handling, timing of sample collection, concomitant medications, and underlying disease. For these reasons, comparison of incidence of antibodies to TREMFYA with the incidences of antibodies to other products may be misleading.</w:t>
      </w:r>
    </w:p>
    <w:p w14:paraId="3C97E771" w14:textId="6B53A657" w:rsidR="00D94276" w:rsidRPr="00C85CED" w:rsidRDefault="00D94276" w:rsidP="00D94276">
      <w:pPr>
        <w:pStyle w:val="Heading3"/>
        <w:rPr>
          <w:lang w:val="en-AU"/>
        </w:rPr>
      </w:pPr>
      <w:r w:rsidRPr="00C85CED">
        <w:rPr>
          <w:lang w:val="en-AU"/>
        </w:rPr>
        <w:lastRenderedPageBreak/>
        <w:t>Clinical Trials</w:t>
      </w:r>
    </w:p>
    <w:p w14:paraId="789EA9C6" w14:textId="652E717F" w:rsidR="00F35727" w:rsidRPr="00C85CED" w:rsidRDefault="00594ED0" w:rsidP="00594ED0">
      <w:pPr>
        <w:rPr>
          <w:lang w:val="en-AU"/>
        </w:rPr>
      </w:pPr>
      <w:r w:rsidRPr="00594ED0">
        <w:rPr>
          <w:lang w:val="en-AU"/>
        </w:rPr>
        <w:t xml:space="preserve">Three </w:t>
      </w:r>
      <w:r w:rsidR="00195969" w:rsidRPr="00594ED0">
        <w:rPr>
          <w:lang w:val="en-AU"/>
        </w:rPr>
        <w:t>multicentre</w:t>
      </w:r>
      <w:r w:rsidRPr="00594ED0">
        <w:rPr>
          <w:lang w:val="en-AU"/>
        </w:rPr>
        <w:t>, randomi</w:t>
      </w:r>
      <w:r w:rsidR="00195969">
        <w:rPr>
          <w:lang w:val="en-AU"/>
        </w:rPr>
        <w:t>s</w:t>
      </w:r>
      <w:r w:rsidRPr="00594ED0">
        <w:rPr>
          <w:lang w:val="en-AU"/>
        </w:rPr>
        <w:t>ed, double-blind trials (VOYAGE 1, VOYAGE 2, and NAVIGATE) enrolled subjects 18 years of age and older</w:t>
      </w:r>
      <w:r>
        <w:rPr>
          <w:lang w:val="en-AU"/>
        </w:rPr>
        <w:t xml:space="preserve"> </w:t>
      </w:r>
      <w:r w:rsidRPr="00594ED0">
        <w:rPr>
          <w:lang w:val="en-AU"/>
        </w:rPr>
        <w:t>with moderate-to-severe plaque psoriasis who were eligible for systemic therapy or phototherapy.</w:t>
      </w:r>
      <w:r w:rsidR="00195969" w:rsidRPr="00594ED0">
        <w:rPr>
          <w:lang w:val="en-AU"/>
        </w:rPr>
        <w:t xml:space="preserve"> </w:t>
      </w:r>
      <w:r w:rsidRPr="00594ED0">
        <w:rPr>
          <w:lang w:val="en-AU"/>
        </w:rPr>
        <w:t>Subjects had an Investigator’s Global Assessment (IGA) score of ≥3 (“moderate”) on a 5-point</w:t>
      </w:r>
      <w:r w:rsidR="00195969">
        <w:rPr>
          <w:lang w:val="en-AU"/>
        </w:rPr>
        <w:t xml:space="preserve"> </w:t>
      </w:r>
      <w:r w:rsidRPr="00594ED0">
        <w:rPr>
          <w:lang w:val="en-AU"/>
        </w:rPr>
        <w:t>scale of overall disease severity, a Psoriasis Area and Severity Index (PASI) score ≥12, and a</w:t>
      </w:r>
      <w:r w:rsidR="00195969">
        <w:rPr>
          <w:lang w:val="en-AU"/>
        </w:rPr>
        <w:t xml:space="preserve"> </w:t>
      </w:r>
      <w:r w:rsidRPr="00594ED0">
        <w:rPr>
          <w:lang w:val="en-AU"/>
        </w:rPr>
        <w:t xml:space="preserve">minimum affected body surface area (BSA) of 10%. Subjects with </w:t>
      </w:r>
      <w:proofErr w:type="spellStart"/>
      <w:r w:rsidRPr="00594ED0">
        <w:rPr>
          <w:lang w:val="en-AU"/>
        </w:rPr>
        <w:t>guttate</w:t>
      </w:r>
      <w:proofErr w:type="spellEnd"/>
      <w:r w:rsidRPr="00594ED0">
        <w:rPr>
          <w:lang w:val="en-AU"/>
        </w:rPr>
        <w:t xml:space="preserve">, </w:t>
      </w:r>
      <w:proofErr w:type="spellStart"/>
      <w:r w:rsidRPr="00594ED0">
        <w:rPr>
          <w:lang w:val="en-AU"/>
        </w:rPr>
        <w:t>erythrodermic</w:t>
      </w:r>
      <w:proofErr w:type="spellEnd"/>
      <w:r w:rsidRPr="00594ED0">
        <w:rPr>
          <w:lang w:val="en-AU"/>
        </w:rPr>
        <w:t>, or</w:t>
      </w:r>
      <w:r w:rsidR="00195969">
        <w:rPr>
          <w:lang w:val="en-AU"/>
        </w:rPr>
        <w:t xml:space="preserve"> </w:t>
      </w:r>
      <w:r w:rsidRPr="00594ED0">
        <w:rPr>
          <w:lang w:val="en-AU"/>
        </w:rPr>
        <w:t>pustular psoriasis were excluded.</w:t>
      </w:r>
    </w:p>
    <w:p w14:paraId="79E419E5" w14:textId="77777777" w:rsidR="00F35727" w:rsidRPr="00BA50A7" w:rsidRDefault="00F35727" w:rsidP="002B2CDA">
      <w:pPr>
        <w:pStyle w:val="Heading4"/>
        <w:rPr>
          <w:rFonts w:eastAsiaTheme="minorHAnsi" w:cstheme="minorBidi"/>
          <w:i/>
          <w:iCs w:val="0"/>
          <w:u w:val="single"/>
          <w:lang w:val="en-AU"/>
        </w:rPr>
      </w:pPr>
      <w:r w:rsidRPr="00BA50A7">
        <w:rPr>
          <w:rFonts w:eastAsiaTheme="minorHAnsi" w:cstheme="minorBidi"/>
          <w:i/>
          <w:iCs w:val="0"/>
          <w:u w:val="single"/>
          <w:lang w:val="en-AU"/>
        </w:rPr>
        <w:t>VOYAGE 1 and VOYAGE 2</w:t>
      </w:r>
    </w:p>
    <w:p w14:paraId="2A2C2D38" w14:textId="79DEF04F" w:rsidR="00822158" w:rsidRDefault="00822158" w:rsidP="00822158">
      <w:pPr>
        <w:rPr>
          <w:lang w:val="en-AU"/>
        </w:rPr>
      </w:pPr>
      <w:r w:rsidRPr="00822158">
        <w:rPr>
          <w:lang w:val="en-AU"/>
        </w:rPr>
        <w:t>In VOYAGE 1 and VOYAGE 2, 1</w:t>
      </w:r>
      <w:r>
        <w:rPr>
          <w:lang w:val="en-AU"/>
        </w:rPr>
        <w:t>829</w:t>
      </w:r>
      <w:r w:rsidRPr="00822158">
        <w:rPr>
          <w:lang w:val="en-AU"/>
        </w:rPr>
        <w:t xml:space="preserve"> subjects were randomi</w:t>
      </w:r>
      <w:r>
        <w:rPr>
          <w:lang w:val="en-AU"/>
        </w:rPr>
        <w:t>s</w:t>
      </w:r>
      <w:r w:rsidRPr="00822158">
        <w:rPr>
          <w:lang w:val="en-AU"/>
        </w:rPr>
        <w:t xml:space="preserve">ed to </w:t>
      </w:r>
      <w:proofErr w:type="gramStart"/>
      <w:r w:rsidRPr="00822158">
        <w:rPr>
          <w:lang w:val="en-AU"/>
        </w:rPr>
        <w:t>either TREMFYA</w:t>
      </w:r>
      <w:proofErr w:type="gramEnd"/>
      <w:r w:rsidRPr="00822158">
        <w:rPr>
          <w:lang w:val="en-AU"/>
        </w:rPr>
        <w:t xml:space="preserve"> (100 mg at</w:t>
      </w:r>
      <w:r>
        <w:rPr>
          <w:lang w:val="en-AU"/>
        </w:rPr>
        <w:t xml:space="preserve"> </w:t>
      </w:r>
      <w:r w:rsidRPr="00822158">
        <w:rPr>
          <w:lang w:val="en-AU"/>
        </w:rPr>
        <w:t>Weeks 0 and 4 and every 8 weeks thereafter), placebo or adalimumab (80 mg at</w:t>
      </w:r>
      <w:r>
        <w:rPr>
          <w:lang w:val="en-AU"/>
        </w:rPr>
        <w:t xml:space="preserve"> </w:t>
      </w:r>
      <w:r w:rsidRPr="00822158">
        <w:rPr>
          <w:lang w:val="en-AU"/>
        </w:rPr>
        <w:t>Week 0 and 40 mg at Week 1, followed by 40 mg every other week thereafter).</w:t>
      </w:r>
      <w:r>
        <w:rPr>
          <w:lang w:val="en-AU"/>
        </w:rPr>
        <w:t xml:space="preserve"> </w:t>
      </w:r>
    </w:p>
    <w:p w14:paraId="55FEA000" w14:textId="66C13BB4" w:rsidR="00822158" w:rsidRPr="00822158" w:rsidRDefault="00822158" w:rsidP="00822158">
      <w:pPr>
        <w:rPr>
          <w:lang w:val="en-AU"/>
        </w:rPr>
      </w:pPr>
      <w:r w:rsidRPr="00822158">
        <w:rPr>
          <w:lang w:val="en-AU"/>
        </w:rPr>
        <w:t>Both trials assessed the responses at Week 16 compared to</w:t>
      </w:r>
      <w:r>
        <w:rPr>
          <w:lang w:val="en-AU"/>
        </w:rPr>
        <w:t xml:space="preserve"> placebo for the two co-primary </w:t>
      </w:r>
      <w:r w:rsidRPr="00822158">
        <w:rPr>
          <w:lang w:val="en-AU"/>
        </w:rPr>
        <w:t>endpoints:</w:t>
      </w:r>
    </w:p>
    <w:p w14:paraId="244CF4BF" w14:textId="6E730B75" w:rsidR="00822158" w:rsidRPr="00822158" w:rsidRDefault="00822158" w:rsidP="00822158">
      <w:pPr>
        <w:pStyle w:val="ListParagraph"/>
        <w:numPr>
          <w:ilvl w:val="0"/>
          <w:numId w:val="28"/>
        </w:numPr>
        <w:rPr>
          <w:lang w:val="en-AU"/>
        </w:rPr>
      </w:pPr>
      <w:r w:rsidRPr="00822158">
        <w:rPr>
          <w:lang w:val="en-AU"/>
        </w:rPr>
        <w:t>the proportion of subjects who achieved an IGA score of 0 (“cleared”) or 1 (“minimal”);</w:t>
      </w:r>
    </w:p>
    <w:p w14:paraId="7A6D511D" w14:textId="00041AAF" w:rsidR="00822158" w:rsidRPr="00822158" w:rsidRDefault="00822158" w:rsidP="00FB787D">
      <w:pPr>
        <w:pStyle w:val="ListParagraph"/>
        <w:numPr>
          <w:ilvl w:val="0"/>
          <w:numId w:val="28"/>
        </w:numPr>
        <w:rPr>
          <w:lang w:val="en-AU"/>
        </w:rPr>
      </w:pPr>
      <w:proofErr w:type="gramStart"/>
      <w:r w:rsidRPr="00822158">
        <w:rPr>
          <w:lang w:val="en-AU"/>
        </w:rPr>
        <w:t>the</w:t>
      </w:r>
      <w:proofErr w:type="gramEnd"/>
      <w:r w:rsidRPr="00822158">
        <w:rPr>
          <w:lang w:val="en-AU"/>
        </w:rPr>
        <w:t xml:space="preserve"> proportion of subjects who achieved at least a 90% reduction from baseline in the</w:t>
      </w:r>
      <w:r>
        <w:rPr>
          <w:lang w:val="en-AU"/>
        </w:rPr>
        <w:t xml:space="preserve"> </w:t>
      </w:r>
      <w:r w:rsidRPr="00822158">
        <w:rPr>
          <w:lang w:val="en-AU"/>
        </w:rPr>
        <w:t>PASI composite score (PASI 90).</w:t>
      </w:r>
    </w:p>
    <w:p w14:paraId="47589322" w14:textId="7E2CB3F0" w:rsidR="00822158" w:rsidRPr="00822158" w:rsidRDefault="00822158" w:rsidP="00822158">
      <w:pPr>
        <w:rPr>
          <w:lang w:val="en-AU"/>
        </w:rPr>
      </w:pPr>
      <w:r w:rsidRPr="00822158">
        <w:rPr>
          <w:lang w:val="en-AU"/>
        </w:rPr>
        <w:t>Comparisons between TREMFYA and adalimu</w:t>
      </w:r>
      <w:r>
        <w:rPr>
          <w:lang w:val="en-AU"/>
        </w:rPr>
        <w:t xml:space="preserve">mab were secondary endpoints at </w:t>
      </w:r>
      <w:r w:rsidRPr="00822158">
        <w:rPr>
          <w:lang w:val="en-AU"/>
        </w:rPr>
        <w:t>the following time points:</w:t>
      </w:r>
    </w:p>
    <w:p w14:paraId="318613BD" w14:textId="0694AAB4" w:rsidR="00822158" w:rsidRPr="00822158" w:rsidRDefault="00822158" w:rsidP="00822158">
      <w:pPr>
        <w:pStyle w:val="ListParagraph"/>
        <w:numPr>
          <w:ilvl w:val="0"/>
          <w:numId w:val="28"/>
        </w:numPr>
        <w:rPr>
          <w:lang w:val="en-AU"/>
        </w:rPr>
      </w:pPr>
      <w:r w:rsidRPr="00822158">
        <w:rPr>
          <w:lang w:val="en-AU"/>
        </w:rPr>
        <w:t>at Week 16 (VOYAGE 1 and VOYAGE 2), the proportions of subjects who achieved an</w:t>
      </w:r>
      <w:r>
        <w:rPr>
          <w:lang w:val="en-AU"/>
        </w:rPr>
        <w:t xml:space="preserve"> </w:t>
      </w:r>
      <w:r w:rsidRPr="00822158">
        <w:rPr>
          <w:lang w:val="en-AU"/>
        </w:rPr>
        <w:t>IGA score of 0 or 1, a PASI 90, and a PASI 75 response;</w:t>
      </w:r>
    </w:p>
    <w:p w14:paraId="1226AA68" w14:textId="4E009522" w:rsidR="00822158" w:rsidRPr="00822158" w:rsidRDefault="00822158" w:rsidP="00822158">
      <w:pPr>
        <w:pStyle w:val="ListParagraph"/>
        <w:numPr>
          <w:ilvl w:val="0"/>
          <w:numId w:val="29"/>
        </w:numPr>
        <w:rPr>
          <w:lang w:val="en-AU"/>
        </w:rPr>
      </w:pPr>
      <w:proofErr w:type="gramStart"/>
      <w:r w:rsidRPr="00822158">
        <w:rPr>
          <w:lang w:val="en-AU"/>
        </w:rPr>
        <w:t>at</w:t>
      </w:r>
      <w:proofErr w:type="gramEnd"/>
      <w:r w:rsidRPr="00822158">
        <w:rPr>
          <w:lang w:val="en-AU"/>
        </w:rPr>
        <w:t xml:space="preserve"> Week 24 (VOYAGE 1 and VOYAGE 2), and at Week 48 (VOYAGE 1), the</w:t>
      </w:r>
      <w:r>
        <w:rPr>
          <w:lang w:val="en-AU"/>
        </w:rPr>
        <w:t xml:space="preserve"> </w:t>
      </w:r>
      <w:r w:rsidRPr="00822158">
        <w:rPr>
          <w:lang w:val="en-AU"/>
        </w:rPr>
        <w:t>proportions of subjects achieving an IGA score of 0, an IGA score of 0 or 1, and a</w:t>
      </w:r>
      <w:r>
        <w:rPr>
          <w:lang w:val="en-AU"/>
        </w:rPr>
        <w:t xml:space="preserve"> </w:t>
      </w:r>
      <w:r w:rsidRPr="00822158">
        <w:rPr>
          <w:lang w:val="en-AU"/>
        </w:rPr>
        <w:t>PASI 90 response.</w:t>
      </w:r>
    </w:p>
    <w:p w14:paraId="492AE9A4" w14:textId="77777777" w:rsidR="00822158" w:rsidRDefault="00822158" w:rsidP="00822158">
      <w:pPr>
        <w:rPr>
          <w:lang w:val="en-AU"/>
        </w:rPr>
      </w:pPr>
      <w:r w:rsidRPr="00822158">
        <w:rPr>
          <w:lang w:val="en-AU"/>
        </w:rPr>
        <w:t>Other evaluated outcomes included improvement in psoriasis symptoms assessed on the Psoria</w:t>
      </w:r>
      <w:r>
        <w:rPr>
          <w:lang w:val="en-AU"/>
        </w:rPr>
        <w:t xml:space="preserve">sis </w:t>
      </w:r>
      <w:r w:rsidRPr="00822158">
        <w:rPr>
          <w:lang w:val="en-AU"/>
        </w:rPr>
        <w:t>Symptoms and Signs Diary (PSSD) and improvements in psoriasis of the scalp at Week 16.</w:t>
      </w:r>
    </w:p>
    <w:p w14:paraId="57CBEC0C" w14:textId="6387895A" w:rsidR="00F35727" w:rsidRPr="00C85CED" w:rsidRDefault="00F35727" w:rsidP="00DA3DBA">
      <w:pPr>
        <w:rPr>
          <w:lang w:val="en-AU"/>
        </w:rPr>
      </w:pPr>
      <w:r w:rsidRPr="00C85CED">
        <w:rPr>
          <w:lang w:val="en-AU"/>
        </w:rPr>
        <w:t>Baseline disease characteristics were consistent for the study populations in VOYAGE 1 and 2 with a</w:t>
      </w:r>
      <w:r w:rsidR="00DA3DBA" w:rsidRPr="00C85CED">
        <w:rPr>
          <w:lang w:val="en-AU"/>
        </w:rPr>
        <w:t xml:space="preserve"> </w:t>
      </w:r>
      <w:r w:rsidRPr="00C85CED">
        <w:rPr>
          <w:lang w:val="en-AU"/>
        </w:rPr>
        <w:t>median BSA of 22% and 24%, a median baseline PASI score of 19 for both studies, a median baseline</w:t>
      </w:r>
      <w:r w:rsidR="00DA3DBA" w:rsidRPr="00C85CED">
        <w:rPr>
          <w:lang w:val="en-AU"/>
        </w:rPr>
        <w:t xml:space="preserve"> </w:t>
      </w:r>
      <w:r w:rsidRPr="00C85CED">
        <w:rPr>
          <w:lang w:val="en-AU"/>
        </w:rPr>
        <w:t>DLQI score of 14 and 14.5, a baseline IGA score of severe for 25% and 23% of patients, and a history</w:t>
      </w:r>
      <w:r w:rsidR="00DA3DBA" w:rsidRPr="00C85CED">
        <w:rPr>
          <w:lang w:val="en-AU"/>
        </w:rPr>
        <w:t xml:space="preserve"> </w:t>
      </w:r>
      <w:r w:rsidRPr="00C85CED">
        <w:rPr>
          <w:lang w:val="en-AU"/>
        </w:rPr>
        <w:t xml:space="preserve">of psoriatic arthritis for 19% and 18% of patients, respectively. </w:t>
      </w:r>
    </w:p>
    <w:p w14:paraId="6B973098" w14:textId="77777777" w:rsidR="00F35727" w:rsidRPr="00BA50A7" w:rsidRDefault="00F35727" w:rsidP="002B2CDA">
      <w:pPr>
        <w:pStyle w:val="Heading4"/>
        <w:rPr>
          <w:rFonts w:eastAsiaTheme="minorHAnsi" w:cstheme="minorBidi"/>
          <w:i/>
          <w:iCs w:val="0"/>
          <w:u w:val="single"/>
          <w:lang w:val="en-AU"/>
        </w:rPr>
      </w:pPr>
      <w:r w:rsidRPr="00BA50A7">
        <w:rPr>
          <w:rFonts w:eastAsiaTheme="minorHAnsi" w:cstheme="minorBidi"/>
          <w:i/>
          <w:iCs w:val="0"/>
          <w:u w:val="single"/>
          <w:lang w:val="en-AU"/>
        </w:rPr>
        <w:t>Overall skin disease</w:t>
      </w:r>
    </w:p>
    <w:p w14:paraId="2D3B6DE2" w14:textId="1652F683" w:rsidR="00F35727" w:rsidRPr="00C85CED" w:rsidRDefault="00255274" w:rsidP="002B2CDA">
      <w:pPr>
        <w:rPr>
          <w:lang w:val="en-AU"/>
        </w:rPr>
      </w:pPr>
      <w:r w:rsidRPr="00255274">
        <w:rPr>
          <w:lang w:val="en-AU"/>
        </w:rPr>
        <w:t>TREMFYA demonstrated superiority to adalimumab on PASI 75, PASI 90 and IGA cleared or minimal (0 or 1) at Week 16 in both studies (p &lt; 0.001 for all comparisons). TREMFYA also demonstrated superiority to adalimumab on PASI 75, PASI 90, PASI 100, IGA cleared (0), and IGA cleared or minimal (0 or 1) at Week 24 in both studies and at Week 48 in VOYAGE 1 (p &lt; 0.001 for all comparisons)</w:t>
      </w:r>
    </w:p>
    <w:p w14:paraId="22162065" w14:textId="1EABE816" w:rsidR="00F35727" w:rsidRPr="00C85CED" w:rsidRDefault="00F35727" w:rsidP="00DA3DBA">
      <w:pPr>
        <w:rPr>
          <w:lang w:val="en-AU"/>
        </w:rPr>
      </w:pPr>
      <w:r w:rsidRPr="00C85CED">
        <w:rPr>
          <w:lang w:val="en-AU"/>
        </w:rPr>
        <w:t>The key efficacy results for the primary and major secondary study endpoints are shown in Table 2</w:t>
      </w:r>
      <w:r w:rsidR="00DA3DBA" w:rsidRPr="00C85CED">
        <w:rPr>
          <w:lang w:val="en-AU"/>
        </w:rPr>
        <w:t xml:space="preserve"> </w:t>
      </w:r>
      <w:r w:rsidRPr="00C85CED">
        <w:rPr>
          <w:lang w:val="en-AU"/>
        </w:rPr>
        <w:t>below.</w:t>
      </w:r>
    </w:p>
    <w:p w14:paraId="59ADA8C1" w14:textId="77777777" w:rsidR="00FA32B9" w:rsidRDefault="00FA32B9">
      <w:pPr>
        <w:spacing w:after="160" w:line="259" w:lineRule="auto"/>
        <w:jc w:val="left"/>
        <w:rPr>
          <w:b/>
          <w:lang w:val="en-AU"/>
        </w:rPr>
      </w:pPr>
      <w:r>
        <w:rPr>
          <w:b/>
          <w:lang w:val="en-AU"/>
        </w:rPr>
        <w:br w:type="page"/>
      </w:r>
    </w:p>
    <w:p w14:paraId="3AE89508" w14:textId="64242509" w:rsidR="00F35727" w:rsidRPr="00C85CED" w:rsidRDefault="007564FA" w:rsidP="00CE6A10">
      <w:pPr>
        <w:autoSpaceDE w:val="0"/>
        <w:autoSpaceDN w:val="0"/>
        <w:adjustRightInd w:val="0"/>
        <w:ind w:left="1440" w:hanging="1440"/>
        <w:jc w:val="left"/>
        <w:rPr>
          <w:b/>
          <w:lang w:val="en-AU"/>
        </w:rPr>
      </w:pPr>
      <w:r w:rsidRPr="00C85CED">
        <w:rPr>
          <w:b/>
          <w:lang w:val="en-AU"/>
        </w:rPr>
        <w:lastRenderedPageBreak/>
        <w:t>Table 2:</w:t>
      </w:r>
      <w:r w:rsidRPr="00C85CED">
        <w:rPr>
          <w:b/>
          <w:lang w:val="en-AU"/>
        </w:rPr>
        <w:tab/>
        <w:t>Summary of Clinical Responses in VOYAGE 1 and VOYAGE 2</w:t>
      </w:r>
    </w:p>
    <w:tbl>
      <w:tblPr>
        <w:tblStyle w:val="TableGrid"/>
        <w:tblW w:w="9350" w:type="dxa"/>
        <w:tblLook w:val="04A0" w:firstRow="1" w:lastRow="0" w:firstColumn="1" w:lastColumn="0" w:noHBand="0" w:noVBand="1"/>
      </w:tblPr>
      <w:tblGrid>
        <w:gridCol w:w="1309"/>
        <w:gridCol w:w="1326"/>
        <w:gridCol w:w="1347"/>
        <w:gridCol w:w="1347"/>
        <w:gridCol w:w="1327"/>
        <w:gridCol w:w="1347"/>
        <w:gridCol w:w="1347"/>
      </w:tblGrid>
      <w:tr w:rsidR="00D72B85" w:rsidRPr="00E2469E" w14:paraId="74B5B189" w14:textId="77777777" w:rsidTr="00C27254">
        <w:tc>
          <w:tcPr>
            <w:tcW w:w="1309" w:type="dxa"/>
          </w:tcPr>
          <w:p w14:paraId="10ED1AF0" w14:textId="77777777" w:rsidR="00D72B85" w:rsidRPr="00E2469E" w:rsidRDefault="00D72B85" w:rsidP="00C27254">
            <w:pPr>
              <w:spacing w:after="0"/>
              <w:rPr>
                <w:b/>
              </w:rPr>
            </w:pPr>
          </w:p>
        </w:tc>
        <w:tc>
          <w:tcPr>
            <w:tcW w:w="8041" w:type="dxa"/>
            <w:gridSpan w:val="6"/>
            <w:vAlign w:val="center"/>
          </w:tcPr>
          <w:p w14:paraId="732F329D" w14:textId="77777777" w:rsidR="00D72B85" w:rsidRPr="00E2469E" w:rsidRDefault="00D72B85" w:rsidP="00C27254">
            <w:pPr>
              <w:spacing w:after="0"/>
              <w:jc w:val="center"/>
              <w:rPr>
                <w:b/>
              </w:rPr>
            </w:pPr>
            <w:r w:rsidRPr="00E2469E">
              <w:rPr>
                <w:rFonts w:cs="Arial"/>
                <w:b/>
                <w:spacing w:val="-1"/>
                <w:sz w:val="20"/>
                <w:szCs w:val="20"/>
              </w:rPr>
              <w:t>Number</w:t>
            </w:r>
            <w:r w:rsidRPr="00E2469E">
              <w:rPr>
                <w:rFonts w:cs="Arial"/>
                <w:b/>
                <w:spacing w:val="-9"/>
                <w:sz w:val="20"/>
                <w:szCs w:val="20"/>
              </w:rPr>
              <w:t xml:space="preserve"> </w:t>
            </w:r>
            <w:r w:rsidRPr="00E2469E">
              <w:rPr>
                <w:rFonts w:cs="Arial"/>
                <w:b/>
                <w:sz w:val="20"/>
                <w:szCs w:val="20"/>
              </w:rPr>
              <w:t>of</w:t>
            </w:r>
            <w:r w:rsidRPr="00E2469E">
              <w:rPr>
                <w:rFonts w:cs="Arial"/>
                <w:b/>
                <w:spacing w:val="-7"/>
                <w:sz w:val="20"/>
                <w:szCs w:val="20"/>
              </w:rPr>
              <w:t xml:space="preserve"> </w:t>
            </w:r>
            <w:r w:rsidRPr="00E2469E">
              <w:rPr>
                <w:rFonts w:cs="Arial"/>
                <w:b/>
                <w:spacing w:val="-1"/>
                <w:sz w:val="20"/>
                <w:szCs w:val="20"/>
              </w:rPr>
              <w:t>patients</w:t>
            </w:r>
            <w:r w:rsidRPr="00E2469E">
              <w:rPr>
                <w:rFonts w:cs="Arial"/>
                <w:b/>
                <w:spacing w:val="-8"/>
                <w:sz w:val="20"/>
                <w:szCs w:val="20"/>
              </w:rPr>
              <w:t xml:space="preserve"> </w:t>
            </w:r>
            <w:r w:rsidRPr="00E2469E">
              <w:rPr>
                <w:rFonts w:cs="Arial"/>
                <w:b/>
                <w:spacing w:val="-1"/>
                <w:sz w:val="20"/>
                <w:szCs w:val="20"/>
              </w:rPr>
              <w:t>(%)</w:t>
            </w:r>
          </w:p>
        </w:tc>
      </w:tr>
      <w:tr w:rsidR="00D72B85" w:rsidRPr="00E2469E" w14:paraId="0D3283F1" w14:textId="77777777" w:rsidTr="00C27254">
        <w:tc>
          <w:tcPr>
            <w:tcW w:w="1309" w:type="dxa"/>
          </w:tcPr>
          <w:p w14:paraId="7968C263" w14:textId="77777777" w:rsidR="00D72B85" w:rsidRPr="00E2469E" w:rsidRDefault="00D72B85" w:rsidP="00C27254">
            <w:pPr>
              <w:spacing w:after="0"/>
              <w:rPr>
                <w:b/>
              </w:rPr>
            </w:pPr>
          </w:p>
        </w:tc>
        <w:tc>
          <w:tcPr>
            <w:tcW w:w="4020" w:type="dxa"/>
            <w:gridSpan w:val="3"/>
            <w:vAlign w:val="center"/>
          </w:tcPr>
          <w:p w14:paraId="42F64647" w14:textId="77777777" w:rsidR="00D72B85" w:rsidRPr="00E2469E" w:rsidRDefault="00D72B85" w:rsidP="00C27254">
            <w:pPr>
              <w:pStyle w:val="TableParagraph"/>
              <w:jc w:val="center"/>
              <w:rPr>
                <w:rFonts w:ascii="Arial" w:eastAsia="Times New Roman" w:hAnsi="Arial" w:cs="Arial"/>
                <w:b/>
                <w:sz w:val="20"/>
                <w:szCs w:val="20"/>
              </w:rPr>
            </w:pPr>
            <w:r w:rsidRPr="00E2469E">
              <w:rPr>
                <w:rFonts w:ascii="Arial" w:hAnsi="Arial" w:cs="Arial"/>
                <w:b/>
                <w:spacing w:val="-1"/>
                <w:sz w:val="20"/>
                <w:szCs w:val="20"/>
                <w:u w:val="single" w:color="000000"/>
              </w:rPr>
              <w:t>VOYAGE</w:t>
            </w:r>
            <w:r w:rsidRPr="00E2469E">
              <w:rPr>
                <w:rFonts w:ascii="Arial" w:hAnsi="Arial" w:cs="Arial"/>
                <w:b/>
                <w:spacing w:val="-12"/>
                <w:sz w:val="20"/>
                <w:szCs w:val="20"/>
                <w:u w:val="single" w:color="000000"/>
              </w:rPr>
              <w:t xml:space="preserve"> </w:t>
            </w:r>
            <w:r w:rsidRPr="00E2469E">
              <w:rPr>
                <w:rFonts w:ascii="Arial" w:hAnsi="Arial" w:cs="Arial"/>
                <w:b/>
                <w:sz w:val="20"/>
                <w:szCs w:val="20"/>
                <w:u w:val="single" w:color="000000"/>
              </w:rPr>
              <w:t>1</w:t>
            </w:r>
          </w:p>
        </w:tc>
        <w:tc>
          <w:tcPr>
            <w:tcW w:w="4021" w:type="dxa"/>
            <w:gridSpan w:val="3"/>
            <w:vAlign w:val="center"/>
          </w:tcPr>
          <w:p w14:paraId="7CF2E46F" w14:textId="77777777" w:rsidR="00D72B85" w:rsidRPr="00E2469E" w:rsidRDefault="00D72B85" w:rsidP="00C27254">
            <w:pPr>
              <w:pStyle w:val="TableParagraph"/>
              <w:jc w:val="center"/>
              <w:rPr>
                <w:rFonts w:ascii="Arial" w:eastAsia="Times New Roman" w:hAnsi="Arial" w:cs="Arial"/>
                <w:b/>
                <w:sz w:val="20"/>
                <w:szCs w:val="20"/>
              </w:rPr>
            </w:pPr>
            <w:r w:rsidRPr="00E2469E">
              <w:rPr>
                <w:rFonts w:ascii="Arial" w:hAnsi="Arial" w:cs="Arial"/>
                <w:b/>
                <w:spacing w:val="-1"/>
                <w:sz w:val="20"/>
                <w:szCs w:val="20"/>
                <w:u w:val="single" w:color="000000"/>
              </w:rPr>
              <w:t>VOYAGE</w:t>
            </w:r>
            <w:r w:rsidRPr="00E2469E">
              <w:rPr>
                <w:rFonts w:ascii="Arial" w:hAnsi="Arial" w:cs="Arial"/>
                <w:b/>
                <w:spacing w:val="-11"/>
                <w:sz w:val="20"/>
                <w:szCs w:val="20"/>
                <w:u w:val="single" w:color="000000"/>
              </w:rPr>
              <w:t xml:space="preserve"> </w:t>
            </w:r>
            <w:r w:rsidRPr="00E2469E">
              <w:rPr>
                <w:rFonts w:ascii="Arial" w:hAnsi="Arial" w:cs="Arial"/>
                <w:b/>
                <w:sz w:val="20"/>
                <w:szCs w:val="20"/>
                <w:u w:val="single" w:color="000000"/>
              </w:rPr>
              <w:t>2</w:t>
            </w:r>
          </w:p>
        </w:tc>
      </w:tr>
      <w:tr w:rsidR="00D72B85" w:rsidRPr="00E2469E" w14:paraId="7BCC3EFB" w14:textId="77777777" w:rsidTr="00C27254">
        <w:tc>
          <w:tcPr>
            <w:tcW w:w="1309" w:type="dxa"/>
          </w:tcPr>
          <w:p w14:paraId="65FC73B7" w14:textId="77777777" w:rsidR="00D72B85" w:rsidRPr="00E2469E" w:rsidRDefault="00D72B85" w:rsidP="00C27254">
            <w:pPr>
              <w:spacing w:after="0"/>
              <w:rPr>
                <w:b/>
              </w:rPr>
            </w:pPr>
          </w:p>
        </w:tc>
        <w:tc>
          <w:tcPr>
            <w:tcW w:w="1326" w:type="dxa"/>
            <w:vAlign w:val="center"/>
          </w:tcPr>
          <w:p w14:paraId="20F0120B" w14:textId="77777777" w:rsidR="00D72B85" w:rsidRPr="00E2469E" w:rsidRDefault="00D72B85" w:rsidP="00C27254">
            <w:pPr>
              <w:spacing w:after="0"/>
              <w:jc w:val="center"/>
              <w:rPr>
                <w:b/>
              </w:rPr>
            </w:pPr>
            <w:r w:rsidRPr="00E2469E">
              <w:rPr>
                <w:rFonts w:cs="Arial"/>
                <w:b/>
                <w:spacing w:val="-1"/>
                <w:sz w:val="20"/>
                <w:szCs w:val="20"/>
              </w:rPr>
              <w:t>Placebo</w:t>
            </w:r>
            <w:r w:rsidRPr="00E2469E">
              <w:rPr>
                <w:rFonts w:cs="Arial"/>
                <w:b/>
                <w:spacing w:val="26"/>
                <w:w w:val="99"/>
                <w:sz w:val="20"/>
                <w:szCs w:val="20"/>
              </w:rPr>
              <w:t xml:space="preserve"> </w:t>
            </w:r>
            <w:r w:rsidRPr="00E2469E">
              <w:rPr>
                <w:rFonts w:cs="Arial"/>
                <w:b/>
                <w:spacing w:val="-1"/>
                <w:w w:val="95"/>
                <w:sz w:val="20"/>
                <w:szCs w:val="20"/>
              </w:rPr>
              <w:t>(N=174)</w:t>
            </w:r>
          </w:p>
        </w:tc>
        <w:tc>
          <w:tcPr>
            <w:tcW w:w="1347" w:type="dxa"/>
            <w:vAlign w:val="center"/>
          </w:tcPr>
          <w:p w14:paraId="34F0EC50" w14:textId="77777777" w:rsidR="00D72B85" w:rsidRPr="00E2469E" w:rsidRDefault="00D72B85" w:rsidP="00C27254">
            <w:pPr>
              <w:spacing w:after="0"/>
              <w:jc w:val="center"/>
              <w:rPr>
                <w:b/>
              </w:rPr>
            </w:pPr>
            <w:proofErr w:type="spellStart"/>
            <w:r w:rsidRPr="00E2469E">
              <w:rPr>
                <w:rFonts w:cs="Arial"/>
                <w:b/>
                <w:spacing w:val="-1"/>
                <w:w w:val="95"/>
                <w:sz w:val="20"/>
                <w:szCs w:val="20"/>
              </w:rPr>
              <w:t>Guselkumab</w:t>
            </w:r>
            <w:proofErr w:type="spellEnd"/>
            <w:r w:rsidRPr="00E2469E">
              <w:rPr>
                <w:rFonts w:cs="Arial"/>
                <w:b/>
                <w:spacing w:val="22"/>
                <w:w w:val="99"/>
                <w:sz w:val="20"/>
                <w:szCs w:val="20"/>
              </w:rPr>
              <w:t xml:space="preserve"> </w:t>
            </w:r>
            <w:r w:rsidRPr="00E2469E">
              <w:rPr>
                <w:rFonts w:cs="Arial"/>
                <w:b/>
                <w:spacing w:val="-1"/>
                <w:sz w:val="20"/>
                <w:szCs w:val="20"/>
              </w:rPr>
              <w:t>(N=329)</w:t>
            </w:r>
          </w:p>
        </w:tc>
        <w:tc>
          <w:tcPr>
            <w:tcW w:w="1347" w:type="dxa"/>
            <w:vAlign w:val="center"/>
          </w:tcPr>
          <w:p w14:paraId="19A69B5F" w14:textId="77777777" w:rsidR="00D72B85" w:rsidRPr="00E2469E" w:rsidRDefault="00D72B85" w:rsidP="00C27254">
            <w:pPr>
              <w:spacing w:after="0"/>
              <w:jc w:val="center"/>
              <w:rPr>
                <w:b/>
              </w:rPr>
            </w:pPr>
            <w:r w:rsidRPr="00E2469E">
              <w:rPr>
                <w:rFonts w:cs="Arial"/>
                <w:b/>
                <w:spacing w:val="-1"/>
                <w:w w:val="95"/>
                <w:sz w:val="20"/>
                <w:szCs w:val="20"/>
              </w:rPr>
              <w:t>Adalimumab</w:t>
            </w:r>
            <w:r w:rsidRPr="00E2469E">
              <w:rPr>
                <w:rFonts w:cs="Arial"/>
                <w:b/>
                <w:spacing w:val="25"/>
                <w:w w:val="99"/>
                <w:sz w:val="20"/>
                <w:szCs w:val="20"/>
              </w:rPr>
              <w:t xml:space="preserve"> </w:t>
            </w:r>
            <w:r w:rsidRPr="00E2469E">
              <w:rPr>
                <w:rFonts w:cs="Arial"/>
                <w:b/>
                <w:spacing w:val="-1"/>
                <w:sz w:val="20"/>
                <w:szCs w:val="20"/>
              </w:rPr>
              <w:t>(N=334)</w:t>
            </w:r>
          </w:p>
        </w:tc>
        <w:tc>
          <w:tcPr>
            <w:tcW w:w="1327" w:type="dxa"/>
            <w:vAlign w:val="center"/>
          </w:tcPr>
          <w:p w14:paraId="27A34AFA" w14:textId="77777777" w:rsidR="00D72B85" w:rsidRPr="00E2469E" w:rsidRDefault="00D72B85" w:rsidP="00C27254">
            <w:pPr>
              <w:spacing w:after="0"/>
              <w:jc w:val="center"/>
              <w:rPr>
                <w:b/>
              </w:rPr>
            </w:pPr>
            <w:r w:rsidRPr="00E2469E">
              <w:rPr>
                <w:rFonts w:cs="Arial"/>
                <w:b/>
                <w:spacing w:val="-1"/>
                <w:sz w:val="20"/>
                <w:szCs w:val="20"/>
              </w:rPr>
              <w:t>Placebo</w:t>
            </w:r>
            <w:r w:rsidRPr="00E2469E">
              <w:rPr>
                <w:rFonts w:cs="Arial"/>
                <w:b/>
                <w:spacing w:val="24"/>
                <w:w w:val="99"/>
                <w:sz w:val="20"/>
                <w:szCs w:val="20"/>
              </w:rPr>
              <w:t xml:space="preserve"> </w:t>
            </w:r>
            <w:r w:rsidRPr="00E2469E">
              <w:rPr>
                <w:rFonts w:cs="Arial"/>
                <w:b/>
                <w:spacing w:val="-1"/>
                <w:w w:val="95"/>
                <w:sz w:val="20"/>
                <w:szCs w:val="20"/>
              </w:rPr>
              <w:t>(N=248)</w:t>
            </w:r>
          </w:p>
        </w:tc>
        <w:tc>
          <w:tcPr>
            <w:tcW w:w="1347" w:type="dxa"/>
            <w:vAlign w:val="center"/>
          </w:tcPr>
          <w:p w14:paraId="3E802CE4" w14:textId="77777777" w:rsidR="00D72B85" w:rsidRPr="00E2469E" w:rsidRDefault="00D72B85" w:rsidP="00C27254">
            <w:pPr>
              <w:spacing w:after="0"/>
              <w:jc w:val="center"/>
              <w:rPr>
                <w:b/>
              </w:rPr>
            </w:pPr>
            <w:proofErr w:type="spellStart"/>
            <w:r w:rsidRPr="00E2469E">
              <w:rPr>
                <w:rFonts w:cs="Arial"/>
                <w:b/>
                <w:spacing w:val="-1"/>
                <w:w w:val="95"/>
                <w:sz w:val="20"/>
                <w:szCs w:val="20"/>
              </w:rPr>
              <w:t>Guselkumab</w:t>
            </w:r>
            <w:proofErr w:type="spellEnd"/>
            <w:r w:rsidRPr="00E2469E">
              <w:rPr>
                <w:rFonts w:cs="Arial"/>
                <w:b/>
                <w:spacing w:val="22"/>
                <w:w w:val="99"/>
                <w:sz w:val="20"/>
                <w:szCs w:val="20"/>
              </w:rPr>
              <w:t xml:space="preserve"> </w:t>
            </w:r>
            <w:r w:rsidRPr="00E2469E">
              <w:rPr>
                <w:rFonts w:cs="Arial"/>
                <w:b/>
                <w:spacing w:val="-1"/>
                <w:sz w:val="20"/>
                <w:szCs w:val="20"/>
              </w:rPr>
              <w:t>(N=496)</w:t>
            </w:r>
          </w:p>
        </w:tc>
        <w:tc>
          <w:tcPr>
            <w:tcW w:w="1347" w:type="dxa"/>
            <w:vAlign w:val="center"/>
          </w:tcPr>
          <w:p w14:paraId="5646F906" w14:textId="77777777" w:rsidR="00D72B85" w:rsidRPr="00E2469E" w:rsidRDefault="00D72B85" w:rsidP="00C27254">
            <w:pPr>
              <w:spacing w:after="0"/>
              <w:jc w:val="center"/>
              <w:rPr>
                <w:b/>
              </w:rPr>
            </w:pPr>
            <w:r w:rsidRPr="00E2469E">
              <w:rPr>
                <w:rFonts w:cs="Arial"/>
                <w:b/>
                <w:spacing w:val="-1"/>
                <w:w w:val="95"/>
                <w:sz w:val="20"/>
                <w:szCs w:val="20"/>
              </w:rPr>
              <w:t>Adalimumab</w:t>
            </w:r>
            <w:r w:rsidRPr="00E2469E">
              <w:rPr>
                <w:rFonts w:cs="Arial"/>
                <w:b/>
                <w:spacing w:val="22"/>
                <w:w w:val="99"/>
                <w:sz w:val="20"/>
                <w:szCs w:val="20"/>
              </w:rPr>
              <w:t xml:space="preserve"> </w:t>
            </w:r>
            <w:r w:rsidRPr="00E2469E">
              <w:rPr>
                <w:rFonts w:cs="Arial"/>
                <w:b/>
                <w:spacing w:val="-1"/>
                <w:sz w:val="20"/>
                <w:szCs w:val="20"/>
              </w:rPr>
              <w:t>(N=248)</w:t>
            </w:r>
          </w:p>
        </w:tc>
      </w:tr>
      <w:tr w:rsidR="00D72B85" w:rsidRPr="00E2469E" w14:paraId="705DB789" w14:textId="77777777" w:rsidTr="00C27254">
        <w:tc>
          <w:tcPr>
            <w:tcW w:w="5329" w:type="dxa"/>
            <w:gridSpan w:val="4"/>
          </w:tcPr>
          <w:p w14:paraId="65992149" w14:textId="77777777" w:rsidR="00D72B85" w:rsidRPr="00E2469E" w:rsidRDefault="00D72B85" w:rsidP="00C27254">
            <w:pPr>
              <w:spacing w:after="0"/>
              <w:rPr>
                <w:b/>
                <w:sz w:val="20"/>
              </w:rPr>
            </w:pPr>
            <w:r w:rsidRPr="00E2469E">
              <w:rPr>
                <w:b/>
                <w:sz w:val="20"/>
              </w:rPr>
              <w:t>IGA response of 0/1 (cleared or minimal)</w:t>
            </w:r>
          </w:p>
        </w:tc>
        <w:tc>
          <w:tcPr>
            <w:tcW w:w="4021" w:type="dxa"/>
            <w:gridSpan w:val="3"/>
          </w:tcPr>
          <w:p w14:paraId="3E9EE255" w14:textId="77777777" w:rsidR="00D72B85" w:rsidRPr="00E2469E" w:rsidRDefault="00D72B85" w:rsidP="00C27254">
            <w:pPr>
              <w:spacing w:after="0"/>
              <w:rPr>
                <w:b/>
                <w:sz w:val="20"/>
              </w:rPr>
            </w:pPr>
          </w:p>
        </w:tc>
      </w:tr>
      <w:tr w:rsidR="00D72B85" w14:paraId="022497E7" w14:textId="77777777" w:rsidTr="00C27254">
        <w:tc>
          <w:tcPr>
            <w:tcW w:w="1309" w:type="dxa"/>
          </w:tcPr>
          <w:p w14:paraId="5656E8BF" w14:textId="77777777" w:rsidR="00D72B85" w:rsidRPr="00680662" w:rsidRDefault="00D72B85" w:rsidP="00C27254">
            <w:pPr>
              <w:spacing w:after="0"/>
              <w:rPr>
                <w:sz w:val="20"/>
              </w:rPr>
            </w:pPr>
            <w:r w:rsidRPr="00680662">
              <w:rPr>
                <w:sz w:val="20"/>
              </w:rPr>
              <w:t>Week 16</w:t>
            </w:r>
          </w:p>
        </w:tc>
        <w:tc>
          <w:tcPr>
            <w:tcW w:w="1326" w:type="dxa"/>
            <w:vAlign w:val="center"/>
          </w:tcPr>
          <w:p w14:paraId="5F2BC977"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12</w:t>
            </w:r>
            <w:r w:rsidRPr="00C85CED">
              <w:rPr>
                <w:rFonts w:ascii="Arial" w:hAnsi="Arial" w:cs="Arial"/>
                <w:spacing w:val="-7"/>
                <w:sz w:val="20"/>
                <w:szCs w:val="20"/>
              </w:rPr>
              <w:t xml:space="preserve"> </w:t>
            </w:r>
            <w:r w:rsidRPr="00C85CED">
              <w:rPr>
                <w:rFonts w:ascii="Arial" w:hAnsi="Arial" w:cs="Arial"/>
                <w:spacing w:val="-1"/>
                <w:sz w:val="20"/>
                <w:szCs w:val="20"/>
              </w:rPr>
              <w:t>(6.9)</w:t>
            </w:r>
          </w:p>
        </w:tc>
        <w:tc>
          <w:tcPr>
            <w:tcW w:w="1347" w:type="dxa"/>
            <w:vAlign w:val="center"/>
          </w:tcPr>
          <w:p w14:paraId="2DDCD185"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280</w:t>
            </w:r>
            <w:r w:rsidRPr="00C85CED">
              <w:rPr>
                <w:rFonts w:ascii="Arial" w:hAnsi="Arial" w:cs="Arial"/>
                <w:spacing w:val="-8"/>
                <w:sz w:val="20"/>
                <w:szCs w:val="20"/>
              </w:rPr>
              <w:t xml:space="preserve"> </w:t>
            </w:r>
            <w:r w:rsidRPr="00C85CED">
              <w:rPr>
                <w:rFonts w:ascii="Arial" w:hAnsi="Arial" w:cs="Arial"/>
                <w:spacing w:val="-1"/>
                <w:sz w:val="20"/>
                <w:szCs w:val="20"/>
              </w:rPr>
              <w:t>(85.1)</w:t>
            </w:r>
            <w:r w:rsidRPr="00C85CED">
              <w:rPr>
                <w:rFonts w:ascii="Arial" w:hAnsi="Arial" w:cs="Arial"/>
                <w:spacing w:val="-1"/>
                <w:sz w:val="20"/>
                <w:szCs w:val="20"/>
                <w:vertAlign w:val="superscript"/>
              </w:rPr>
              <w:t>c</w:t>
            </w:r>
          </w:p>
        </w:tc>
        <w:tc>
          <w:tcPr>
            <w:tcW w:w="1347" w:type="dxa"/>
            <w:vAlign w:val="center"/>
          </w:tcPr>
          <w:p w14:paraId="0B5E9564"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220</w:t>
            </w:r>
            <w:r w:rsidRPr="00C85CED">
              <w:rPr>
                <w:rFonts w:ascii="Arial" w:hAnsi="Arial" w:cs="Arial"/>
                <w:spacing w:val="-8"/>
                <w:sz w:val="20"/>
                <w:szCs w:val="20"/>
              </w:rPr>
              <w:t xml:space="preserve"> </w:t>
            </w:r>
            <w:r w:rsidRPr="00C85CED">
              <w:rPr>
                <w:rFonts w:ascii="Arial" w:hAnsi="Arial" w:cs="Arial"/>
                <w:spacing w:val="-1"/>
                <w:sz w:val="20"/>
                <w:szCs w:val="20"/>
              </w:rPr>
              <w:t>(65.9)</w:t>
            </w:r>
            <w:r w:rsidRPr="00C85CED">
              <w:rPr>
                <w:rFonts w:ascii="Arial" w:hAnsi="Arial" w:cs="Arial"/>
                <w:spacing w:val="-1"/>
                <w:sz w:val="20"/>
                <w:szCs w:val="20"/>
                <w:vertAlign w:val="superscript"/>
              </w:rPr>
              <w:t>b</w:t>
            </w:r>
          </w:p>
        </w:tc>
        <w:tc>
          <w:tcPr>
            <w:tcW w:w="1327" w:type="dxa"/>
            <w:vAlign w:val="center"/>
          </w:tcPr>
          <w:p w14:paraId="4695C80A"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21</w:t>
            </w:r>
            <w:r w:rsidRPr="00C85CED">
              <w:rPr>
                <w:rFonts w:ascii="Arial" w:hAnsi="Arial" w:cs="Arial"/>
                <w:spacing w:val="-8"/>
                <w:sz w:val="20"/>
                <w:szCs w:val="20"/>
              </w:rPr>
              <w:t xml:space="preserve"> </w:t>
            </w:r>
            <w:r w:rsidRPr="00C85CED">
              <w:rPr>
                <w:rFonts w:ascii="Arial" w:hAnsi="Arial" w:cs="Arial"/>
                <w:sz w:val="20"/>
                <w:szCs w:val="20"/>
              </w:rPr>
              <w:t>(8.5)</w:t>
            </w:r>
          </w:p>
        </w:tc>
        <w:tc>
          <w:tcPr>
            <w:tcW w:w="1347" w:type="dxa"/>
            <w:vAlign w:val="center"/>
          </w:tcPr>
          <w:p w14:paraId="7B27EFA3"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417</w:t>
            </w:r>
            <w:r w:rsidRPr="00C85CED">
              <w:rPr>
                <w:rFonts w:ascii="Arial" w:hAnsi="Arial" w:cs="Arial"/>
                <w:spacing w:val="-8"/>
                <w:sz w:val="20"/>
                <w:szCs w:val="20"/>
              </w:rPr>
              <w:t xml:space="preserve"> </w:t>
            </w:r>
            <w:r w:rsidRPr="00C85CED">
              <w:rPr>
                <w:rFonts w:ascii="Arial" w:hAnsi="Arial" w:cs="Arial"/>
                <w:spacing w:val="-1"/>
                <w:sz w:val="20"/>
                <w:szCs w:val="20"/>
              </w:rPr>
              <w:t>(84.1)</w:t>
            </w:r>
            <w:r w:rsidRPr="00C85CED">
              <w:rPr>
                <w:rFonts w:ascii="Arial" w:hAnsi="Arial" w:cs="Arial"/>
                <w:spacing w:val="-1"/>
                <w:sz w:val="20"/>
                <w:szCs w:val="20"/>
                <w:vertAlign w:val="superscript"/>
              </w:rPr>
              <w:t>c</w:t>
            </w:r>
          </w:p>
        </w:tc>
        <w:tc>
          <w:tcPr>
            <w:tcW w:w="1347" w:type="dxa"/>
            <w:vAlign w:val="center"/>
          </w:tcPr>
          <w:p w14:paraId="46212F69"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168</w:t>
            </w:r>
            <w:r w:rsidRPr="00C85CED">
              <w:rPr>
                <w:rFonts w:ascii="Arial" w:hAnsi="Arial" w:cs="Arial"/>
                <w:spacing w:val="-9"/>
                <w:sz w:val="20"/>
                <w:szCs w:val="20"/>
              </w:rPr>
              <w:t xml:space="preserve"> </w:t>
            </w:r>
            <w:r w:rsidRPr="00C85CED">
              <w:rPr>
                <w:rFonts w:ascii="Arial" w:hAnsi="Arial" w:cs="Arial"/>
                <w:spacing w:val="-1"/>
                <w:sz w:val="20"/>
                <w:szCs w:val="20"/>
              </w:rPr>
              <w:t>(67.7)</w:t>
            </w:r>
            <w:r w:rsidRPr="00C85CED">
              <w:rPr>
                <w:rFonts w:ascii="Arial" w:hAnsi="Arial" w:cs="Arial"/>
                <w:spacing w:val="-1"/>
                <w:sz w:val="20"/>
                <w:szCs w:val="20"/>
                <w:vertAlign w:val="superscript"/>
              </w:rPr>
              <w:t>b</w:t>
            </w:r>
          </w:p>
        </w:tc>
      </w:tr>
      <w:tr w:rsidR="00D72B85" w14:paraId="0775A72D" w14:textId="77777777" w:rsidTr="00C27254">
        <w:tc>
          <w:tcPr>
            <w:tcW w:w="1309" w:type="dxa"/>
          </w:tcPr>
          <w:p w14:paraId="50E43AB4" w14:textId="77777777" w:rsidR="00D72B85" w:rsidRPr="00680662" w:rsidRDefault="00D72B85" w:rsidP="00C27254">
            <w:pPr>
              <w:spacing w:after="0"/>
              <w:rPr>
                <w:sz w:val="20"/>
              </w:rPr>
            </w:pPr>
            <w:r w:rsidRPr="00680662">
              <w:rPr>
                <w:sz w:val="20"/>
              </w:rPr>
              <w:t>Week 24</w:t>
            </w:r>
          </w:p>
        </w:tc>
        <w:tc>
          <w:tcPr>
            <w:tcW w:w="1326" w:type="dxa"/>
            <w:vAlign w:val="center"/>
          </w:tcPr>
          <w:p w14:paraId="5EACF7AA"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2CA6114C"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277</w:t>
            </w:r>
            <w:r w:rsidRPr="00C85CED">
              <w:rPr>
                <w:rFonts w:ascii="Arial" w:hAnsi="Arial" w:cs="Arial"/>
                <w:spacing w:val="-10"/>
                <w:sz w:val="20"/>
                <w:szCs w:val="20"/>
              </w:rPr>
              <w:t xml:space="preserve"> </w:t>
            </w:r>
            <w:r w:rsidRPr="00C85CED">
              <w:rPr>
                <w:rFonts w:ascii="Arial" w:hAnsi="Arial" w:cs="Arial"/>
                <w:sz w:val="20"/>
                <w:szCs w:val="20"/>
              </w:rPr>
              <w:t>(84.2)</w:t>
            </w:r>
          </w:p>
        </w:tc>
        <w:tc>
          <w:tcPr>
            <w:tcW w:w="1347" w:type="dxa"/>
            <w:vAlign w:val="center"/>
          </w:tcPr>
          <w:p w14:paraId="79F25098"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206</w:t>
            </w:r>
            <w:r w:rsidRPr="00C85CED">
              <w:rPr>
                <w:rFonts w:ascii="Arial" w:hAnsi="Arial" w:cs="Arial"/>
                <w:spacing w:val="-8"/>
                <w:sz w:val="20"/>
                <w:szCs w:val="20"/>
              </w:rPr>
              <w:t xml:space="preserve"> </w:t>
            </w:r>
            <w:r w:rsidRPr="00C85CED">
              <w:rPr>
                <w:rFonts w:ascii="Arial" w:hAnsi="Arial" w:cs="Arial"/>
                <w:spacing w:val="-1"/>
                <w:sz w:val="20"/>
                <w:szCs w:val="20"/>
              </w:rPr>
              <w:t>(61.7)</w:t>
            </w:r>
            <w:r w:rsidRPr="00C85CED">
              <w:rPr>
                <w:rFonts w:ascii="Arial" w:hAnsi="Arial" w:cs="Arial"/>
                <w:spacing w:val="-1"/>
                <w:sz w:val="20"/>
                <w:szCs w:val="20"/>
                <w:vertAlign w:val="superscript"/>
              </w:rPr>
              <w:t>b</w:t>
            </w:r>
          </w:p>
        </w:tc>
        <w:tc>
          <w:tcPr>
            <w:tcW w:w="1327" w:type="dxa"/>
            <w:vAlign w:val="center"/>
          </w:tcPr>
          <w:p w14:paraId="600ADC11"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1BA953F7"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414</w:t>
            </w:r>
            <w:r w:rsidRPr="00C85CED">
              <w:rPr>
                <w:rFonts w:ascii="Arial" w:hAnsi="Arial" w:cs="Arial"/>
                <w:spacing w:val="-10"/>
                <w:sz w:val="20"/>
                <w:szCs w:val="20"/>
              </w:rPr>
              <w:t xml:space="preserve"> </w:t>
            </w:r>
            <w:r w:rsidRPr="00C85CED">
              <w:rPr>
                <w:rFonts w:ascii="Arial" w:hAnsi="Arial" w:cs="Arial"/>
                <w:sz w:val="20"/>
                <w:szCs w:val="20"/>
              </w:rPr>
              <w:t>(83.5)</w:t>
            </w:r>
          </w:p>
        </w:tc>
        <w:tc>
          <w:tcPr>
            <w:tcW w:w="1347" w:type="dxa"/>
            <w:vAlign w:val="center"/>
          </w:tcPr>
          <w:p w14:paraId="4A06F1C3"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161</w:t>
            </w:r>
            <w:r w:rsidRPr="00C85CED">
              <w:rPr>
                <w:rFonts w:ascii="Arial" w:hAnsi="Arial" w:cs="Arial"/>
                <w:spacing w:val="-9"/>
                <w:sz w:val="20"/>
                <w:szCs w:val="20"/>
              </w:rPr>
              <w:t xml:space="preserve"> </w:t>
            </w:r>
            <w:r w:rsidRPr="00C85CED">
              <w:rPr>
                <w:rFonts w:ascii="Arial" w:hAnsi="Arial" w:cs="Arial"/>
                <w:spacing w:val="-1"/>
                <w:sz w:val="20"/>
                <w:szCs w:val="20"/>
              </w:rPr>
              <w:t>(64.9)</w:t>
            </w:r>
            <w:r w:rsidRPr="00C85CED">
              <w:rPr>
                <w:rFonts w:ascii="Arial" w:hAnsi="Arial" w:cs="Arial"/>
                <w:spacing w:val="-1"/>
                <w:sz w:val="20"/>
                <w:szCs w:val="20"/>
                <w:vertAlign w:val="superscript"/>
              </w:rPr>
              <w:t>b</w:t>
            </w:r>
          </w:p>
        </w:tc>
      </w:tr>
      <w:tr w:rsidR="00D72B85" w14:paraId="7AD314D6" w14:textId="77777777" w:rsidTr="00C27254">
        <w:tc>
          <w:tcPr>
            <w:tcW w:w="1309" w:type="dxa"/>
          </w:tcPr>
          <w:p w14:paraId="479B1AF3" w14:textId="77777777" w:rsidR="00D72B85" w:rsidRPr="00680662" w:rsidRDefault="00D72B85" w:rsidP="00C27254">
            <w:pPr>
              <w:spacing w:after="0"/>
              <w:rPr>
                <w:sz w:val="20"/>
              </w:rPr>
            </w:pPr>
            <w:r w:rsidRPr="00680662">
              <w:rPr>
                <w:sz w:val="20"/>
              </w:rPr>
              <w:t>Week 48</w:t>
            </w:r>
          </w:p>
        </w:tc>
        <w:tc>
          <w:tcPr>
            <w:tcW w:w="1326" w:type="dxa"/>
            <w:vAlign w:val="center"/>
          </w:tcPr>
          <w:p w14:paraId="2465BF8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6E729E46"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265</w:t>
            </w:r>
            <w:r w:rsidRPr="00C85CED">
              <w:rPr>
                <w:rFonts w:ascii="Arial" w:hAnsi="Arial" w:cs="Arial"/>
                <w:spacing w:val="-10"/>
                <w:sz w:val="20"/>
                <w:szCs w:val="20"/>
              </w:rPr>
              <w:t xml:space="preserve"> </w:t>
            </w:r>
            <w:r w:rsidRPr="00C85CED">
              <w:rPr>
                <w:rFonts w:ascii="Arial" w:hAnsi="Arial" w:cs="Arial"/>
                <w:sz w:val="20"/>
                <w:szCs w:val="20"/>
              </w:rPr>
              <w:t>(80.5)</w:t>
            </w:r>
          </w:p>
        </w:tc>
        <w:tc>
          <w:tcPr>
            <w:tcW w:w="1347" w:type="dxa"/>
            <w:vAlign w:val="center"/>
          </w:tcPr>
          <w:p w14:paraId="3E2ECEA7"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185</w:t>
            </w:r>
            <w:r w:rsidRPr="00C85CED">
              <w:rPr>
                <w:rFonts w:ascii="Arial" w:hAnsi="Arial" w:cs="Arial"/>
                <w:spacing w:val="-8"/>
                <w:sz w:val="20"/>
                <w:szCs w:val="20"/>
              </w:rPr>
              <w:t xml:space="preserve"> </w:t>
            </w:r>
            <w:r w:rsidRPr="00C85CED">
              <w:rPr>
                <w:rFonts w:ascii="Arial" w:hAnsi="Arial" w:cs="Arial"/>
                <w:spacing w:val="-1"/>
                <w:sz w:val="20"/>
                <w:szCs w:val="20"/>
              </w:rPr>
              <w:t>(55.4)</w:t>
            </w:r>
            <w:r w:rsidRPr="00C85CED">
              <w:rPr>
                <w:rFonts w:ascii="Arial" w:hAnsi="Arial" w:cs="Arial"/>
                <w:spacing w:val="-1"/>
                <w:sz w:val="20"/>
                <w:szCs w:val="20"/>
                <w:vertAlign w:val="superscript"/>
              </w:rPr>
              <w:t>b</w:t>
            </w:r>
          </w:p>
        </w:tc>
        <w:tc>
          <w:tcPr>
            <w:tcW w:w="1327" w:type="dxa"/>
            <w:vAlign w:val="center"/>
          </w:tcPr>
          <w:p w14:paraId="24BAB3D0"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2990EF8E"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3842EEE2"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r>
      <w:tr w:rsidR="00D72B85" w:rsidRPr="00E2469E" w14:paraId="10FA5541" w14:textId="77777777" w:rsidTr="00C27254">
        <w:tc>
          <w:tcPr>
            <w:tcW w:w="5329" w:type="dxa"/>
            <w:gridSpan w:val="4"/>
          </w:tcPr>
          <w:p w14:paraId="0ED3538D" w14:textId="77777777" w:rsidR="00D72B85" w:rsidRPr="00E2469E" w:rsidRDefault="00D72B85" w:rsidP="00C27254">
            <w:pPr>
              <w:spacing w:after="0"/>
              <w:rPr>
                <w:b/>
                <w:sz w:val="20"/>
              </w:rPr>
            </w:pPr>
            <w:r w:rsidRPr="00E2469E">
              <w:rPr>
                <w:b/>
                <w:sz w:val="20"/>
              </w:rPr>
              <w:t>IGA response of 0 (cleared)</w:t>
            </w:r>
          </w:p>
        </w:tc>
        <w:tc>
          <w:tcPr>
            <w:tcW w:w="4021" w:type="dxa"/>
            <w:gridSpan w:val="3"/>
          </w:tcPr>
          <w:p w14:paraId="5C38FACC" w14:textId="77777777" w:rsidR="00D72B85" w:rsidRPr="00E2469E" w:rsidRDefault="00D72B85" w:rsidP="00C27254">
            <w:pPr>
              <w:spacing w:after="0"/>
              <w:rPr>
                <w:b/>
                <w:sz w:val="20"/>
              </w:rPr>
            </w:pPr>
          </w:p>
        </w:tc>
      </w:tr>
      <w:tr w:rsidR="00D72B85" w14:paraId="4F06ED60" w14:textId="77777777" w:rsidTr="00C27254">
        <w:tc>
          <w:tcPr>
            <w:tcW w:w="1309" w:type="dxa"/>
          </w:tcPr>
          <w:p w14:paraId="6EA55CBA" w14:textId="77777777" w:rsidR="00D72B85" w:rsidRPr="00680662" w:rsidRDefault="00D72B85" w:rsidP="00C27254">
            <w:pPr>
              <w:spacing w:after="0"/>
              <w:rPr>
                <w:sz w:val="20"/>
              </w:rPr>
            </w:pPr>
            <w:r w:rsidRPr="00680662">
              <w:rPr>
                <w:sz w:val="20"/>
              </w:rPr>
              <w:t>Week 16</w:t>
            </w:r>
          </w:p>
        </w:tc>
        <w:tc>
          <w:tcPr>
            <w:tcW w:w="1326" w:type="dxa"/>
            <w:vAlign w:val="center"/>
          </w:tcPr>
          <w:p w14:paraId="58E33BA9"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w:t>
            </w:r>
            <w:r w:rsidRPr="00C85CED">
              <w:rPr>
                <w:rFonts w:ascii="Arial" w:hAnsi="Arial" w:cs="Arial"/>
                <w:spacing w:val="-6"/>
                <w:sz w:val="20"/>
                <w:szCs w:val="20"/>
              </w:rPr>
              <w:t xml:space="preserve"> </w:t>
            </w:r>
            <w:r w:rsidRPr="00C85CED">
              <w:rPr>
                <w:rFonts w:ascii="Arial" w:hAnsi="Arial" w:cs="Arial"/>
                <w:spacing w:val="-1"/>
                <w:sz w:val="20"/>
                <w:szCs w:val="20"/>
              </w:rPr>
              <w:t>(1.1)</w:t>
            </w:r>
          </w:p>
        </w:tc>
        <w:tc>
          <w:tcPr>
            <w:tcW w:w="1347" w:type="dxa"/>
            <w:vAlign w:val="center"/>
          </w:tcPr>
          <w:p w14:paraId="2074B869"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157</w:t>
            </w:r>
            <w:r w:rsidRPr="00C85CED">
              <w:rPr>
                <w:rFonts w:ascii="Arial" w:hAnsi="Arial" w:cs="Arial"/>
                <w:spacing w:val="-8"/>
                <w:sz w:val="20"/>
                <w:szCs w:val="20"/>
              </w:rPr>
              <w:t xml:space="preserve"> </w:t>
            </w:r>
            <w:r w:rsidRPr="00C85CED">
              <w:rPr>
                <w:rFonts w:ascii="Arial" w:hAnsi="Arial" w:cs="Arial"/>
                <w:spacing w:val="-1"/>
                <w:sz w:val="20"/>
                <w:szCs w:val="20"/>
              </w:rPr>
              <w:t>(47.7)</w:t>
            </w:r>
            <w:r w:rsidRPr="00C85CED">
              <w:rPr>
                <w:rFonts w:ascii="Arial" w:hAnsi="Arial" w:cs="Arial"/>
                <w:spacing w:val="-1"/>
                <w:sz w:val="20"/>
                <w:szCs w:val="20"/>
                <w:vertAlign w:val="superscript"/>
              </w:rPr>
              <w:t>a</w:t>
            </w:r>
          </w:p>
        </w:tc>
        <w:tc>
          <w:tcPr>
            <w:tcW w:w="1347" w:type="dxa"/>
            <w:vAlign w:val="center"/>
          </w:tcPr>
          <w:p w14:paraId="38D34AD8"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88</w:t>
            </w:r>
            <w:r w:rsidRPr="00C85CED">
              <w:rPr>
                <w:rFonts w:ascii="Arial" w:hAnsi="Arial" w:cs="Arial"/>
                <w:spacing w:val="-8"/>
                <w:sz w:val="20"/>
                <w:szCs w:val="20"/>
              </w:rPr>
              <w:t xml:space="preserve"> </w:t>
            </w:r>
            <w:r w:rsidRPr="00C85CED">
              <w:rPr>
                <w:rFonts w:ascii="Arial" w:hAnsi="Arial" w:cs="Arial"/>
                <w:spacing w:val="-1"/>
                <w:sz w:val="20"/>
                <w:szCs w:val="20"/>
              </w:rPr>
              <w:t>(26.3)</w:t>
            </w:r>
            <w:r w:rsidRPr="00C85CED">
              <w:rPr>
                <w:rFonts w:ascii="Arial" w:hAnsi="Arial" w:cs="Arial"/>
                <w:spacing w:val="-1"/>
                <w:sz w:val="20"/>
                <w:szCs w:val="20"/>
                <w:vertAlign w:val="superscript"/>
              </w:rPr>
              <w:t>d</w:t>
            </w:r>
          </w:p>
        </w:tc>
        <w:tc>
          <w:tcPr>
            <w:tcW w:w="1327" w:type="dxa"/>
            <w:vAlign w:val="center"/>
          </w:tcPr>
          <w:p w14:paraId="1CEB0AE0"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w:t>
            </w:r>
            <w:r w:rsidRPr="00C85CED">
              <w:rPr>
                <w:rFonts w:ascii="Arial" w:hAnsi="Arial" w:cs="Arial"/>
                <w:spacing w:val="-6"/>
                <w:sz w:val="20"/>
                <w:szCs w:val="20"/>
              </w:rPr>
              <w:t xml:space="preserve"> </w:t>
            </w:r>
            <w:r w:rsidRPr="00C85CED">
              <w:rPr>
                <w:rFonts w:ascii="Arial" w:hAnsi="Arial" w:cs="Arial"/>
                <w:spacing w:val="-1"/>
                <w:sz w:val="20"/>
                <w:szCs w:val="20"/>
              </w:rPr>
              <w:t>(0.8)</w:t>
            </w:r>
          </w:p>
        </w:tc>
        <w:tc>
          <w:tcPr>
            <w:tcW w:w="1347" w:type="dxa"/>
            <w:vAlign w:val="center"/>
          </w:tcPr>
          <w:p w14:paraId="000CF504"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215</w:t>
            </w:r>
            <w:r w:rsidRPr="00C85CED">
              <w:rPr>
                <w:rFonts w:ascii="Arial" w:hAnsi="Arial" w:cs="Arial"/>
                <w:spacing w:val="-8"/>
                <w:sz w:val="20"/>
                <w:szCs w:val="20"/>
              </w:rPr>
              <w:t xml:space="preserve"> </w:t>
            </w:r>
            <w:r w:rsidRPr="00C85CED">
              <w:rPr>
                <w:rFonts w:ascii="Arial" w:hAnsi="Arial" w:cs="Arial"/>
                <w:spacing w:val="-1"/>
                <w:sz w:val="20"/>
                <w:szCs w:val="20"/>
              </w:rPr>
              <w:t>(43.3)</w:t>
            </w:r>
            <w:r w:rsidRPr="00C85CED">
              <w:rPr>
                <w:rFonts w:ascii="Arial" w:hAnsi="Arial" w:cs="Arial"/>
                <w:spacing w:val="-1"/>
                <w:sz w:val="20"/>
                <w:szCs w:val="20"/>
                <w:vertAlign w:val="superscript"/>
              </w:rPr>
              <w:t>a</w:t>
            </w:r>
          </w:p>
        </w:tc>
        <w:tc>
          <w:tcPr>
            <w:tcW w:w="1347" w:type="dxa"/>
            <w:vAlign w:val="center"/>
          </w:tcPr>
          <w:p w14:paraId="0C20526E"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71</w:t>
            </w:r>
            <w:r w:rsidRPr="00C85CED">
              <w:rPr>
                <w:rFonts w:ascii="Arial" w:hAnsi="Arial" w:cs="Arial"/>
                <w:spacing w:val="-7"/>
                <w:sz w:val="20"/>
                <w:szCs w:val="20"/>
              </w:rPr>
              <w:t xml:space="preserve"> </w:t>
            </w:r>
            <w:r w:rsidRPr="00C85CED">
              <w:rPr>
                <w:rFonts w:ascii="Arial" w:hAnsi="Arial" w:cs="Arial"/>
                <w:spacing w:val="-1"/>
                <w:sz w:val="20"/>
                <w:szCs w:val="20"/>
              </w:rPr>
              <w:t>(28.6)</w:t>
            </w:r>
            <w:r w:rsidRPr="00C85CED">
              <w:rPr>
                <w:rFonts w:ascii="Arial" w:hAnsi="Arial" w:cs="Arial"/>
                <w:spacing w:val="-1"/>
                <w:sz w:val="20"/>
                <w:szCs w:val="20"/>
                <w:vertAlign w:val="superscript"/>
              </w:rPr>
              <w:t>d</w:t>
            </w:r>
          </w:p>
        </w:tc>
      </w:tr>
      <w:tr w:rsidR="00D72B85" w14:paraId="2A8E297B" w14:textId="77777777" w:rsidTr="00C27254">
        <w:tc>
          <w:tcPr>
            <w:tcW w:w="1309" w:type="dxa"/>
          </w:tcPr>
          <w:p w14:paraId="57CD51D6" w14:textId="77777777" w:rsidR="00D72B85" w:rsidRPr="00680662" w:rsidRDefault="00D72B85" w:rsidP="00C27254">
            <w:pPr>
              <w:spacing w:after="0"/>
              <w:rPr>
                <w:sz w:val="20"/>
              </w:rPr>
            </w:pPr>
            <w:r w:rsidRPr="00680662">
              <w:rPr>
                <w:sz w:val="20"/>
              </w:rPr>
              <w:t>Week 24</w:t>
            </w:r>
          </w:p>
        </w:tc>
        <w:tc>
          <w:tcPr>
            <w:tcW w:w="1326" w:type="dxa"/>
            <w:vAlign w:val="center"/>
          </w:tcPr>
          <w:p w14:paraId="7AC95DD3"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1A2154C0"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173</w:t>
            </w:r>
            <w:r w:rsidRPr="00C85CED">
              <w:rPr>
                <w:rFonts w:ascii="Arial" w:hAnsi="Arial" w:cs="Arial"/>
                <w:spacing w:val="-10"/>
                <w:sz w:val="20"/>
                <w:szCs w:val="20"/>
              </w:rPr>
              <w:t xml:space="preserve"> </w:t>
            </w:r>
            <w:r w:rsidRPr="00C85CED">
              <w:rPr>
                <w:rFonts w:ascii="Arial" w:hAnsi="Arial" w:cs="Arial"/>
                <w:sz w:val="20"/>
                <w:szCs w:val="20"/>
              </w:rPr>
              <w:t>(52.6)</w:t>
            </w:r>
          </w:p>
        </w:tc>
        <w:tc>
          <w:tcPr>
            <w:tcW w:w="1347" w:type="dxa"/>
            <w:vAlign w:val="center"/>
          </w:tcPr>
          <w:p w14:paraId="0BBD0F36"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98</w:t>
            </w:r>
            <w:r w:rsidRPr="00C85CED">
              <w:rPr>
                <w:rFonts w:ascii="Arial" w:hAnsi="Arial" w:cs="Arial"/>
                <w:spacing w:val="-8"/>
                <w:sz w:val="20"/>
                <w:szCs w:val="20"/>
              </w:rPr>
              <w:t xml:space="preserve"> </w:t>
            </w:r>
            <w:r w:rsidRPr="00C85CED">
              <w:rPr>
                <w:rFonts w:ascii="Arial" w:hAnsi="Arial" w:cs="Arial"/>
                <w:spacing w:val="-1"/>
                <w:sz w:val="20"/>
                <w:szCs w:val="20"/>
              </w:rPr>
              <w:t>(29.3)</w:t>
            </w:r>
            <w:r w:rsidRPr="00C85CED">
              <w:rPr>
                <w:rFonts w:ascii="Arial" w:hAnsi="Arial" w:cs="Arial"/>
                <w:spacing w:val="-1"/>
                <w:sz w:val="20"/>
                <w:szCs w:val="20"/>
                <w:vertAlign w:val="superscript"/>
              </w:rPr>
              <w:t>b</w:t>
            </w:r>
          </w:p>
        </w:tc>
        <w:tc>
          <w:tcPr>
            <w:tcW w:w="1327" w:type="dxa"/>
            <w:vAlign w:val="center"/>
          </w:tcPr>
          <w:p w14:paraId="6EFD4CB4"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0674772D"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257</w:t>
            </w:r>
            <w:r w:rsidRPr="00C85CED">
              <w:rPr>
                <w:rFonts w:ascii="Arial" w:hAnsi="Arial" w:cs="Arial"/>
                <w:spacing w:val="-10"/>
                <w:sz w:val="20"/>
                <w:szCs w:val="20"/>
              </w:rPr>
              <w:t xml:space="preserve"> </w:t>
            </w:r>
            <w:r w:rsidRPr="00C85CED">
              <w:rPr>
                <w:rFonts w:ascii="Arial" w:hAnsi="Arial" w:cs="Arial"/>
                <w:sz w:val="20"/>
                <w:szCs w:val="20"/>
              </w:rPr>
              <w:t>(51.8)</w:t>
            </w:r>
          </w:p>
        </w:tc>
        <w:tc>
          <w:tcPr>
            <w:tcW w:w="1347" w:type="dxa"/>
            <w:vAlign w:val="center"/>
          </w:tcPr>
          <w:p w14:paraId="3D0CAE79"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78</w:t>
            </w:r>
            <w:r w:rsidRPr="00C85CED">
              <w:rPr>
                <w:rFonts w:ascii="Arial" w:hAnsi="Arial" w:cs="Arial"/>
                <w:spacing w:val="-7"/>
                <w:sz w:val="20"/>
                <w:szCs w:val="20"/>
              </w:rPr>
              <w:t xml:space="preserve"> </w:t>
            </w:r>
            <w:r w:rsidRPr="00C85CED">
              <w:rPr>
                <w:rFonts w:ascii="Arial" w:hAnsi="Arial" w:cs="Arial"/>
                <w:spacing w:val="-1"/>
                <w:sz w:val="20"/>
                <w:szCs w:val="20"/>
              </w:rPr>
              <w:t>(31.5)</w:t>
            </w:r>
            <w:r w:rsidRPr="00C85CED">
              <w:rPr>
                <w:rFonts w:ascii="Arial" w:hAnsi="Arial" w:cs="Arial"/>
                <w:spacing w:val="-1"/>
                <w:sz w:val="20"/>
                <w:szCs w:val="20"/>
                <w:vertAlign w:val="superscript"/>
              </w:rPr>
              <w:t>b</w:t>
            </w:r>
          </w:p>
        </w:tc>
      </w:tr>
      <w:tr w:rsidR="00D72B85" w14:paraId="0D69DC00" w14:textId="77777777" w:rsidTr="00C27254">
        <w:tc>
          <w:tcPr>
            <w:tcW w:w="1309" w:type="dxa"/>
          </w:tcPr>
          <w:p w14:paraId="2ADA1F23" w14:textId="77777777" w:rsidR="00D72B85" w:rsidRPr="00680662" w:rsidRDefault="00D72B85" w:rsidP="00C27254">
            <w:pPr>
              <w:spacing w:after="0"/>
              <w:rPr>
                <w:sz w:val="20"/>
              </w:rPr>
            </w:pPr>
            <w:r w:rsidRPr="00680662">
              <w:rPr>
                <w:sz w:val="20"/>
              </w:rPr>
              <w:t>Week 48</w:t>
            </w:r>
          </w:p>
        </w:tc>
        <w:tc>
          <w:tcPr>
            <w:tcW w:w="1326" w:type="dxa"/>
            <w:vAlign w:val="center"/>
          </w:tcPr>
          <w:p w14:paraId="0CE9582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6EE8CE13"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166</w:t>
            </w:r>
            <w:r w:rsidRPr="00C85CED">
              <w:rPr>
                <w:rFonts w:ascii="Arial" w:hAnsi="Arial" w:cs="Arial"/>
                <w:spacing w:val="-10"/>
                <w:sz w:val="20"/>
                <w:szCs w:val="20"/>
              </w:rPr>
              <w:t xml:space="preserve"> </w:t>
            </w:r>
            <w:r w:rsidRPr="00C85CED">
              <w:rPr>
                <w:rFonts w:ascii="Arial" w:hAnsi="Arial" w:cs="Arial"/>
                <w:sz w:val="20"/>
                <w:szCs w:val="20"/>
              </w:rPr>
              <w:t>(50.5)</w:t>
            </w:r>
          </w:p>
        </w:tc>
        <w:tc>
          <w:tcPr>
            <w:tcW w:w="1347" w:type="dxa"/>
            <w:vAlign w:val="center"/>
          </w:tcPr>
          <w:p w14:paraId="7436A849"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86</w:t>
            </w:r>
            <w:r w:rsidRPr="00C85CED">
              <w:rPr>
                <w:rFonts w:ascii="Arial" w:hAnsi="Arial" w:cs="Arial"/>
                <w:spacing w:val="-8"/>
                <w:sz w:val="20"/>
                <w:szCs w:val="20"/>
              </w:rPr>
              <w:t xml:space="preserve"> </w:t>
            </w:r>
            <w:r w:rsidRPr="00C85CED">
              <w:rPr>
                <w:rFonts w:ascii="Arial" w:hAnsi="Arial" w:cs="Arial"/>
                <w:spacing w:val="-1"/>
                <w:sz w:val="20"/>
                <w:szCs w:val="20"/>
              </w:rPr>
              <w:t>(25.7)</w:t>
            </w:r>
            <w:r w:rsidRPr="00C85CED">
              <w:rPr>
                <w:rFonts w:ascii="Arial" w:hAnsi="Arial" w:cs="Arial"/>
                <w:spacing w:val="-1"/>
                <w:sz w:val="20"/>
                <w:szCs w:val="20"/>
                <w:vertAlign w:val="superscript"/>
              </w:rPr>
              <w:t>b</w:t>
            </w:r>
          </w:p>
        </w:tc>
        <w:tc>
          <w:tcPr>
            <w:tcW w:w="1327" w:type="dxa"/>
            <w:vAlign w:val="center"/>
          </w:tcPr>
          <w:p w14:paraId="6FE2DC3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6D285418"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3F2F1C9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r>
      <w:tr w:rsidR="00D72B85" w:rsidRPr="00E2469E" w14:paraId="46B6D219" w14:textId="77777777" w:rsidTr="00C27254">
        <w:tc>
          <w:tcPr>
            <w:tcW w:w="5329" w:type="dxa"/>
            <w:gridSpan w:val="4"/>
          </w:tcPr>
          <w:p w14:paraId="3129B67B" w14:textId="77777777" w:rsidR="00D72B85" w:rsidRPr="00E2469E" w:rsidRDefault="00D72B85" w:rsidP="00C27254">
            <w:pPr>
              <w:spacing w:after="0"/>
              <w:rPr>
                <w:b/>
                <w:sz w:val="20"/>
              </w:rPr>
            </w:pPr>
            <w:r w:rsidRPr="00E2469E">
              <w:rPr>
                <w:b/>
                <w:sz w:val="20"/>
              </w:rPr>
              <w:t>PASI 75 response</w:t>
            </w:r>
          </w:p>
        </w:tc>
        <w:tc>
          <w:tcPr>
            <w:tcW w:w="4021" w:type="dxa"/>
            <w:gridSpan w:val="3"/>
          </w:tcPr>
          <w:p w14:paraId="284A554A" w14:textId="77777777" w:rsidR="00D72B85" w:rsidRPr="00E2469E" w:rsidRDefault="00D72B85" w:rsidP="00C27254">
            <w:pPr>
              <w:spacing w:after="0"/>
              <w:rPr>
                <w:b/>
                <w:sz w:val="20"/>
              </w:rPr>
            </w:pPr>
          </w:p>
        </w:tc>
      </w:tr>
      <w:tr w:rsidR="00D72B85" w14:paraId="712D2E76" w14:textId="77777777" w:rsidTr="00C27254">
        <w:tc>
          <w:tcPr>
            <w:tcW w:w="1309" w:type="dxa"/>
          </w:tcPr>
          <w:p w14:paraId="6EA6D73B" w14:textId="77777777" w:rsidR="00D72B85" w:rsidRPr="00680662" w:rsidRDefault="00D72B85" w:rsidP="00C27254">
            <w:pPr>
              <w:spacing w:after="0"/>
              <w:rPr>
                <w:sz w:val="20"/>
              </w:rPr>
            </w:pPr>
            <w:r w:rsidRPr="00680662">
              <w:rPr>
                <w:sz w:val="20"/>
              </w:rPr>
              <w:t>Week 16</w:t>
            </w:r>
          </w:p>
        </w:tc>
        <w:tc>
          <w:tcPr>
            <w:tcW w:w="1326" w:type="dxa"/>
            <w:vAlign w:val="center"/>
          </w:tcPr>
          <w:p w14:paraId="119BDD96"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10</w:t>
            </w:r>
            <w:r w:rsidRPr="00C85CED">
              <w:rPr>
                <w:rFonts w:ascii="Arial" w:hAnsi="Arial" w:cs="Arial"/>
                <w:spacing w:val="-7"/>
                <w:sz w:val="20"/>
                <w:szCs w:val="20"/>
              </w:rPr>
              <w:t xml:space="preserve"> </w:t>
            </w:r>
            <w:r w:rsidRPr="00C85CED">
              <w:rPr>
                <w:rFonts w:ascii="Arial" w:hAnsi="Arial" w:cs="Arial"/>
                <w:spacing w:val="-1"/>
                <w:sz w:val="20"/>
                <w:szCs w:val="20"/>
              </w:rPr>
              <w:t>(5.7)</w:t>
            </w:r>
          </w:p>
        </w:tc>
        <w:tc>
          <w:tcPr>
            <w:tcW w:w="1347" w:type="dxa"/>
            <w:vAlign w:val="center"/>
          </w:tcPr>
          <w:p w14:paraId="23906D61" w14:textId="77777777" w:rsidR="00D72B85" w:rsidRPr="00C85CED" w:rsidRDefault="00D72B85" w:rsidP="00C27254">
            <w:pPr>
              <w:pStyle w:val="TableParagraph"/>
              <w:widowControl w:val="0"/>
              <w:jc w:val="center"/>
              <w:rPr>
                <w:rFonts w:ascii="Arial" w:eastAsia="Times New Roman" w:hAnsi="Arial" w:cs="Arial"/>
                <w:sz w:val="20"/>
                <w:szCs w:val="20"/>
              </w:rPr>
            </w:pPr>
            <w:r w:rsidRPr="00C85CED">
              <w:rPr>
                <w:rFonts w:ascii="Arial" w:hAnsi="Arial" w:cs="Arial"/>
                <w:spacing w:val="-1"/>
                <w:sz w:val="20"/>
                <w:szCs w:val="20"/>
              </w:rPr>
              <w:t>300</w:t>
            </w:r>
            <w:r w:rsidRPr="00C85CED">
              <w:rPr>
                <w:rFonts w:ascii="Arial" w:hAnsi="Arial" w:cs="Arial"/>
                <w:spacing w:val="-8"/>
                <w:sz w:val="20"/>
                <w:szCs w:val="20"/>
              </w:rPr>
              <w:t xml:space="preserve"> </w:t>
            </w:r>
            <w:r w:rsidRPr="00C85CED">
              <w:rPr>
                <w:rFonts w:ascii="Arial" w:hAnsi="Arial" w:cs="Arial"/>
                <w:spacing w:val="-1"/>
                <w:sz w:val="20"/>
                <w:szCs w:val="20"/>
              </w:rPr>
              <w:t>(91.2)</w:t>
            </w:r>
            <w:r w:rsidRPr="00C85CED">
              <w:rPr>
                <w:rFonts w:ascii="Arial" w:hAnsi="Arial" w:cs="Arial"/>
                <w:spacing w:val="-1"/>
                <w:sz w:val="20"/>
                <w:szCs w:val="20"/>
                <w:vertAlign w:val="superscript"/>
              </w:rPr>
              <w:t>a</w:t>
            </w:r>
          </w:p>
        </w:tc>
        <w:tc>
          <w:tcPr>
            <w:tcW w:w="1347" w:type="dxa"/>
            <w:vAlign w:val="center"/>
          </w:tcPr>
          <w:p w14:paraId="76C0EA51"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244</w:t>
            </w:r>
            <w:r w:rsidRPr="00C85CED">
              <w:rPr>
                <w:rFonts w:ascii="Arial" w:hAnsi="Arial" w:cs="Arial"/>
                <w:spacing w:val="-8"/>
                <w:sz w:val="20"/>
                <w:szCs w:val="20"/>
              </w:rPr>
              <w:t xml:space="preserve"> </w:t>
            </w:r>
            <w:r w:rsidRPr="00C85CED">
              <w:rPr>
                <w:rFonts w:ascii="Arial" w:hAnsi="Arial" w:cs="Arial"/>
                <w:spacing w:val="-1"/>
                <w:sz w:val="20"/>
                <w:szCs w:val="20"/>
              </w:rPr>
              <w:t>(73.1)</w:t>
            </w:r>
            <w:r w:rsidRPr="00C85CED">
              <w:rPr>
                <w:rFonts w:ascii="Arial" w:hAnsi="Arial" w:cs="Arial"/>
                <w:spacing w:val="-1"/>
                <w:sz w:val="20"/>
                <w:szCs w:val="20"/>
                <w:vertAlign w:val="superscript"/>
              </w:rPr>
              <w:t>b</w:t>
            </w:r>
          </w:p>
        </w:tc>
        <w:tc>
          <w:tcPr>
            <w:tcW w:w="1327" w:type="dxa"/>
            <w:vAlign w:val="center"/>
          </w:tcPr>
          <w:p w14:paraId="61EA1B96"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20</w:t>
            </w:r>
            <w:r w:rsidRPr="00C85CED">
              <w:rPr>
                <w:rFonts w:ascii="Arial" w:hAnsi="Arial" w:cs="Arial"/>
                <w:spacing w:val="-8"/>
                <w:sz w:val="20"/>
                <w:szCs w:val="20"/>
              </w:rPr>
              <w:t xml:space="preserve"> </w:t>
            </w:r>
            <w:r w:rsidRPr="00C85CED">
              <w:rPr>
                <w:rFonts w:ascii="Arial" w:hAnsi="Arial" w:cs="Arial"/>
                <w:sz w:val="20"/>
                <w:szCs w:val="20"/>
              </w:rPr>
              <w:t>(8.1)</w:t>
            </w:r>
          </w:p>
        </w:tc>
        <w:tc>
          <w:tcPr>
            <w:tcW w:w="1347" w:type="dxa"/>
            <w:vAlign w:val="center"/>
          </w:tcPr>
          <w:p w14:paraId="6D313490"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428</w:t>
            </w:r>
            <w:r w:rsidRPr="00C85CED">
              <w:rPr>
                <w:rFonts w:ascii="Arial" w:hAnsi="Arial" w:cs="Arial"/>
                <w:spacing w:val="-8"/>
                <w:sz w:val="20"/>
                <w:szCs w:val="20"/>
              </w:rPr>
              <w:t xml:space="preserve"> </w:t>
            </w:r>
            <w:r w:rsidRPr="00C85CED">
              <w:rPr>
                <w:rFonts w:ascii="Arial" w:hAnsi="Arial" w:cs="Arial"/>
                <w:spacing w:val="-1"/>
                <w:sz w:val="20"/>
                <w:szCs w:val="20"/>
              </w:rPr>
              <w:t>(86.3)</w:t>
            </w:r>
            <w:r w:rsidRPr="00C85CED">
              <w:rPr>
                <w:rFonts w:ascii="Arial" w:hAnsi="Arial" w:cs="Arial"/>
                <w:spacing w:val="-1"/>
                <w:sz w:val="20"/>
                <w:szCs w:val="20"/>
                <w:vertAlign w:val="superscript"/>
              </w:rPr>
              <w:t>a</w:t>
            </w:r>
          </w:p>
        </w:tc>
        <w:tc>
          <w:tcPr>
            <w:tcW w:w="1347" w:type="dxa"/>
            <w:vAlign w:val="center"/>
          </w:tcPr>
          <w:p w14:paraId="13BA67C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170</w:t>
            </w:r>
            <w:r w:rsidRPr="00C85CED">
              <w:rPr>
                <w:rFonts w:ascii="Arial" w:hAnsi="Arial" w:cs="Arial"/>
                <w:spacing w:val="-9"/>
                <w:sz w:val="20"/>
                <w:szCs w:val="20"/>
              </w:rPr>
              <w:t xml:space="preserve"> </w:t>
            </w:r>
            <w:r w:rsidRPr="00C85CED">
              <w:rPr>
                <w:rFonts w:ascii="Arial" w:hAnsi="Arial" w:cs="Arial"/>
                <w:spacing w:val="-1"/>
                <w:sz w:val="20"/>
                <w:szCs w:val="20"/>
              </w:rPr>
              <w:t>(68.5)</w:t>
            </w:r>
            <w:r w:rsidRPr="00C85CED">
              <w:rPr>
                <w:rFonts w:ascii="Arial" w:hAnsi="Arial" w:cs="Arial"/>
                <w:spacing w:val="-1"/>
                <w:sz w:val="20"/>
                <w:szCs w:val="20"/>
                <w:vertAlign w:val="superscript"/>
              </w:rPr>
              <w:t>b</w:t>
            </w:r>
          </w:p>
        </w:tc>
      </w:tr>
      <w:tr w:rsidR="00D72B85" w14:paraId="7E7E3253" w14:textId="77777777" w:rsidTr="00C27254">
        <w:tc>
          <w:tcPr>
            <w:tcW w:w="1309" w:type="dxa"/>
          </w:tcPr>
          <w:p w14:paraId="6D5C62E5" w14:textId="77777777" w:rsidR="00D72B85" w:rsidRPr="00680662" w:rsidRDefault="00D72B85" w:rsidP="00C27254">
            <w:pPr>
              <w:spacing w:after="0"/>
              <w:rPr>
                <w:sz w:val="20"/>
              </w:rPr>
            </w:pPr>
            <w:r w:rsidRPr="00680662">
              <w:rPr>
                <w:sz w:val="20"/>
              </w:rPr>
              <w:t>Week 24</w:t>
            </w:r>
          </w:p>
        </w:tc>
        <w:tc>
          <w:tcPr>
            <w:tcW w:w="1326" w:type="dxa"/>
            <w:vAlign w:val="center"/>
          </w:tcPr>
          <w:p w14:paraId="0C4AD91D"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2E77F2F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300</w:t>
            </w:r>
            <w:r w:rsidRPr="00C85CED">
              <w:rPr>
                <w:rFonts w:ascii="Arial" w:hAnsi="Arial" w:cs="Arial"/>
                <w:spacing w:val="-10"/>
                <w:sz w:val="20"/>
                <w:szCs w:val="20"/>
              </w:rPr>
              <w:t xml:space="preserve"> </w:t>
            </w:r>
            <w:r w:rsidRPr="00C85CED">
              <w:rPr>
                <w:rFonts w:ascii="Arial" w:hAnsi="Arial" w:cs="Arial"/>
                <w:spacing w:val="-1"/>
                <w:sz w:val="20"/>
                <w:szCs w:val="20"/>
              </w:rPr>
              <w:t>(91.2)</w:t>
            </w:r>
          </w:p>
        </w:tc>
        <w:tc>
          <w:tcPr>
            <w:tcW w:w="1347" w:type="dxa"/>
            <w:vAlign w:val="center"/>
          </w:tcPr>
          <w:p w14:paraId="4AB1E2B9"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241</w:t>
            </w:r>
            <w:r w:rsidRPr="00C85CED">
              <w:rPr>
                <w:rFonts w:ascii="Arial" w:hAnsi="Arial" w:cs="Arial"/>
                <w:spacing w:val="-8"/>
                <w:sz w:val="20"/>
                <w:szCs w:val="20"/>
              </w:rPr>
              <w:t xml:space="preserve"> </w:t>
            </w:r>
            <w:r w:rsidRPr="00C85CED">
              <w:rPr>
                <w:rFonts w:ascii="Arial" w:hAnsi="Arial" w:cs="Arial"/>
                <w:spacing w:val="-1"/>
                <w:sz w:val="20"/>
                <w:szCs w:val="20"/>
              </w:rPr>
              <w:t>(72.2)</w:t>
            </w:r>
            <w:r w:rsidRPr="00C85CED">
              <w:rPr>
                <w:rFonts w:ascii="Arial" w:hAnsi="Arial" w:cs="Arial"/>
                <w:spacing w:val="-1"/>
                <w:sz w:val="20"/>
                <w:szCs w:val="20"/>
                <w:vertAlign w:val="superscript"/>
              </w:rPr>
              <w:t>e</w:t>
            </w:r>
          </w:p>
        </w:tc>
        <w:tc>
          <w:tcPr>
            <w:tcW w:w="1327" w:type="dxa"/>
            <w:vAlign w:val="center"/>
          </w:tcPr>
          <w:p w14:paraId="2553B4FE" w14:textId="77777777" w:rsidR="00D72B85" w:rsidRPr="00C85CED" w:rsidRDefault="00D72B85" w:rsidP="00C27254">
            <w:pPr>
              <w:pStyle w:val="TableParagraph"/>
              <w:jc w:val="center"/>
              <w:rPr>
                <w:rFonts w:ascii="Arial" w:eastAsia="Times New Roman" w:hAnsi="Arial" w:cs="Arial"/>
                <w:sz w:val="20"/>
                <w:szCs w:val="20"/>
              </w:rPr>
            </w:pPr>
          </w:p>
        </w:tc>
        <w:tc>
          <w:tcPr>
            <w:tcW w:w="1347" w:type="dxa"/>
            <w:vAlign w:val="center"/>
          </w:tcPr>
          <w:p w14:paraId="17532953"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442</w:t>
            </w:r>
            <w:r w:rsidRPr="00C85CED">
              <w:rPr>
                <w:rFonts w:ascii="Arial" w:hAnsi="Arial" w:cs="Arial"/>
                <w:spacing w:val="-10"/>
                <w:sz w:val="20"/>
                <w:szCs w:val="20"/>
              </w:rPr>
              <w:t xml:space="preserve"> </w:t>
            </w:r>
            <w:r w:rsidRPr="00C85CED">
              <w:rPr>
                <w:rFonts w:ascii="Arial" w:hAnsi="Arial" w:cs="Arial"/>
                <w:sz w:val="20"/>
                <w:szCs w:val="20"/>
              </w:rPr>
              <w:t>(89.1)</w:t>
            </w:r>
          </w:p>
        </w:tc>
        <w:tc>
          <w:tcPr>
            <w:tcW w:w="1347" w:type="dxa"/>
            <w:vAlign w:val="center"/>
          </w:tcPr>
          <w:p w14:paraId="6C651FB4"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176</w:t>
            </w:r>
            <w:r w:rsidRPr="00C85CED">
              <w:rPr>
                <w:rFonts w:ascii="Arial" w:hAnsi="Arial" w:cs="Arial"/>
                <w:spacing w:val="-8"/>
                <w:sz w:val="20"/>
                <w:szCs w:val="20"/>
              </w:rPr>
              <w:t xml:space="preserve"> </w:t>
            </w:r>
            <w:r w:rsidRPr="00C85CED">
              <w:rPr>
                <w:rFonts w:ascii="Arial" w:hAnsi="Arial" w:cs="Arial"/>
                <w:spacing w:val="-1"/>
                <w:sz w:val="20"/>
                <w:szCs w:val="20"/>
              </w:rPr>
              <w:t>(71.0)</w:t>
            </w:r>
            <w:r w:rsidRPr="00C85CED">
              <w:rPr>
                <w:rFonts w:ascii="Arial" w:hAnsi="Arial" w:cs="Arial"/>
                <w:spacing w:val="-1"/>
                <w:sz w:val="20"/>
                <w:szCs w:val="20"/>
                <w:vertAlign w:val="superscript"/>
              </w:rPr>
              <w:t>e</w:t>
            </w:r>
          </w:p>
        </w:tc>
      </w:tr>
      <w:tr w:rsidR="00D72B85" w14:paraId="7EE43FDD" w14:textId="77777777" w:rsidTr="00C27254">
        <w:tc>
          <w:tcPr>
            <w:tcW w:w="1309" w:type="dxa"/>
          </w:tcPr>
          <w:p w14:paraId="4A5D96C2" w14:textId="77777777" w:rsidR="00D72B85" w:rsidRPr="00680662" w:rsidRDefault="00D72B85" w:rsidP="00C27254">
            <w:pPr>
              <w:spacing w:after="0"/>
              <w:rPr>
                <w:sz w:val="20"/>
              </w:rPr>
            </w:pPr>
            <w:r w:rsidRPr="00680662">
              <w:rPr>
                <w:sz w:val="20"/>
              </w:rPr>
              <w:t>Week 48</w:t>
            </w:r>
          </w:p>
        </w:tc>
        <w:tc>
          <w:tcPr>
            <w:tcW w:w="1326" w:type="dxa"/>
            <w:vAlign w:val="center"/>
          </w:tcPr>
          <w:p w14:paraId="036D6D04"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17FBF272"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289</w:t>
            </w:r>
            <w:r w:rsidRPr="00C85CED">
              <w:rPr>
                <w:rFonts w:ascii="Arial" w:hAnsi="Arial" w:cs="Arial"/>
                <w:spacing w:val="-10"/>
                <w:sz w:val="20"/>
                <w:szCs w:val="20"/>
              </w:rPr>
              <w:t xml:space="preserve"> </w:t>
            </w:r>
            <w:r w:rsidRPr="00C85CED">
              <w:rPr>
                <w:rFonts w:ascii="Arial" w:hAnsi="Arial" w:cs="Arial"/>
                <w:sz w:val="20"/>
                <w:szCs w:val="20"/>
              </w:rPr>
              <w:t>(87.8)</w:t>
            </w:r>
          </w:p>
        </w:tc>
        <w:tc>
          <w:tcPr>
            <w:tcW w:w="1347" w:type="dxa"/>
            <w:vAlign w:val="center"/>
          </w:tcPr>
          <w:p w14:paraId="3790B789"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209</w:t>
            </w:r>
            <w:r w:rsidRPr="00C85CED">
              <w:rPr>
                <w:rFonts w:ascii="Arial" w:hAnsi="Arial" w:cs="Arial"/>
                <w:spacing w:val="-8"/>
                <w:sz w:val="20"/>
                <w:szCs w:val="20"/>
              </w:rPr>
              <w:t xml:space="preserve"> </w:t>
            </w:r>
            <w:r w:rsidRPr="00C85CED">
              <w:rPr>
                <w:rFonts w:ascii="Arial" w:hAnsi="Arial" w:cs="Arial"/>
                <w:spacing w:val="-1"/>
                <w:sz w:val="20"/>
                <w:szCs w:val="20"/>
              </w:rPr>
              <w:t>(62.6)</w:t>
            </w:r>
            <w:r w:rsidRPr="00C85CED">
              <w:rPr>
                <w:rFonts w:ascii="Arial" w:hAnsi="Arial" w:cs="Arial"/>
                <w:spacing w:val="-1"/>
                <w:sz w:val="20"/>
                <w:szCs w:val="20"/>
                <w:vertAlign w:val="superscript"/>
              </w:rPr>
              <w:t>e</w:t>
            </w:r>
          </w:p>
        </w:tc>
        <w:tc>
          <w:tcPr>
            <w:tcW w:w="1327" w:type="dxa"/>
            <w:vAlign w:val="center"/>
          </w:tcPr>
          <w:p w14:paraId="45DDDE7B"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6BACFB1C"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662A469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r>
      <w:tr w:rsidR="00D72B85" w:rsidRPr="00E2469E" w14:paraId="3A6D777D" w14:textId="77777777" w:rsidTr="00C27254">
        <w:tc>
          <w:tcPr>
            <w:tcW w:w="5329" w:type="dxa"/>
            <w:gridSpan w:val="4"/>
          </w:tcPr>
          <w:p w14:paraId="1572F607" w14:textId="77777777" w:rsidR="00D72B85" w:rsidRPr="00E2469E" w:rsidRDefault="00D72B85" w:rsidP="00C27254">
            <w:pPr>
              <w:spacing w:after="0"/>
              <w:rPr>
                <w:b/>
                <w:sz w:val="20"/>
              </w:rPr>
            </w:pPr>
            <w:r w:rsidRPr="00E2469E">
              <w:rPr>
                <w:b/>
                <w:sz w:val="20"/>
              </w:rPr>
              <w:t>PASI 90 response</w:t>
            </w:r>
          </w:p>
        </w:tc>
        <w:tc>
          <w:tcPr>
            <w:tcW w:w="4021" w:type="dxa"/>
            <w:gridSpan w:val="3"/>
            <w:vAlign w:val="center"/>
          </w:tcPr>
          <w:p w14:paraId="76551E04" w14:textId="77777777" w:rsidR="00D72B85" w:rsidRPr="003B3268" w:rsidRDefault="00D72B85" w:rsidP="00C27254">
            <w:pPr>
              <w:spacing w:after="0"/>
              <w:jc w:val="center"/>
              <w:rPr>
                <w:rFonts w:cs="Arial"/>
                <w:sz w:val="20"/>
                <w:szCs w:val="20"/>
                <w:lang w:val="en-AU"/>
              </w:rPr>
            </w:pPr>
          </w:p>
        </w:tc>
      </w:tr>
      <w:tr w:rsidR="00D72B85" w14:paraId="00974EF8" w14:textId="77777777" w:rsidTr="00C27254">
        <w:tc>
          <w:tcPr>
            <w:tcW w:w="1309" w:type="dxa"/>
          </w:tcPr>
          <w:p w14:paraId="148DCFF4" w14:textId="77777777" w:rsidR="00D72B85" w:rsidRPr="00680662" w:rsidRDefault="00D72B85" w:rsidP="00C27254">
            <w:pPr>
              <w:spacing w:after="0"/>
              <w:rPr>
                <w:sz w:val="20"/>
              </w:rPr>
            </w:pPr>
            <w:r w:rsidRPr="00680662">
              <w:rPr>
                <w:sz w:val="20"/>
              </w:rPr>
              <w:t>Week 16</w:t>
            </w:r>
          </w:p>
        </w:tc>
        <w:tc>
          <w:tcPr>
            <w:tcW w:w="1326" w:type="dxa"/>
            <w:vAlign w:val="center"/>
          </w:tcPr>
          <w:p w14:paraId="1F6F7971"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5</w:t>
            </w:r>
            <w:r w:rsidRPr="00C85CED">
              <w:rPr>
                <w:rFonts w:ascii="Arial" w:hAnsi="Arial" w:cs="Arial"/>
                <w:spacing w:val="-6"/>
                <w:sz w:val="20"/>
                <w:szCs w:val="20"/>
              </w:rPr>
              <w:t xml:space="preserve"> </w:t>
            </w:r>
            <w:r w:rsidRPr="00C85CED">
              <w:rPr>
                <w:rFonts w:ascii="Arial" w:hAnsi="Arial" w:cs="Arial"/>
                <w:spacing w:val="-1"/>
                <w:sz w:val="20"/>
                <w:szCs w:val="20"/>
              </w:rPr>
              <w:t>(2.9)</w:t>
            </w:r>
          </w:p>
        </w:tc>
        <w:tc>
          <w:tcPr>
            <w:tcW w:w="1347" w:type="dxa"/>
            <w:vAlign w:val="center"/>
          </w:tcPr>
          <w:p w14:paraId="1292A790"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241</w:t>
            </w:r>
            <w:r w:rsidRPr="00C85CED">
              <w:rPr>
                <w:rFonts w:ascii="Arial" w:hAnsi="Arial" w:cs="Arial"/>
                <w:spacing w:val="-8"/>
                <w:sz w:val="20"/>
                <w:szCs w:val="20"/>
              </w:rPr>
              <w:t xml:space="preserve"> </w:t>
            </w:r>
            <w:r w:rsidRPr="00C85CED">
              <w:rPr>
                <w:rFonts w:ascii="Arial" w:hAnsi="Arial" w:cs="Arial"/>
                <w:spacing w:val="-1"/>
                <w:sz w:val="20"/>
                <w:szCs w:val="20"/>
              </w:rPr>
              <w:t>(73.3)</w:t>
            </w:r>
            <w:r w:rsidRPr="00C85CED">
              <w:rPr>
                <w:rFonts w:ascii="Arial" w:hAnsi="Arial" w:cs="Arial"/>
                <w:spacing w:val="-1"/>
                <w:sz w:val="20"/>
                <w:szCs w:val="20"/>
                <w:vertAlign w:val="superscript"/>
              </w:rPr>
              <w:t>c</w:t>
            </w:r>
          </w:p>
        </w:tc>
        <w:tc>
          <w:tcPr>
            <w:tcW w:w="1347" w:type="dxa"/>
            <w:vAlign w:val="center"/>
          </w:tcPr>
          <w:p w14:paraId="1F330C0B"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166</w:t>
            </w:r>
            <w:r w:rsidRPr="00C85CED">
              <w:rPr>
                <w:rFonts w:ascii="Arial" w:hAnsi="Arial" w:cs="Arial"/>
                <w:spacing w:val="-8"/>
                <w:sz w:val="20"/>
                <w:szCs w:val="20"/>
              </w:rPr>
              <w:t xml:space="preserve"> </w:t>
            </w:r>
            <w:r w:rsidRPr="00C85CED">
              <w:rPr>
                <w:rFonts w:ascii="Arial" w:hAnsi="Arial" w:cs="Arial"/>
                <w:spacing w:val="-1"/>
                <w:sz w:val="20"/>
                <w:szCs w:val="20"/>
              </w:rPr>
              <w:t>(49.7)</w:t>
            </w:r>
            <w:r w:rsidRPr="00C85CED">
              <w:rPr>
                <w:rFonts w:ascii="Arial" w:hAnsi="Arial" w:cs="Arial"/>
                <w:spacing w:val="-1"/>
                <w:sz w:val="20"/>
                <w:szCs w:val="20"/>
                <w:vertAlign w:val="superscript"/>
              </w:rPr>
              <w:t>b</w:t>
            </w:r>
          </w:p>
        </w:tc>
        <w:tc>
          <w:tcPr>
            <w:tcW w:w="1327" w:type="dxa"/>
            <w:vAlign w:val="center"/>
          </w:tcPr>
          <w:p w14:paraId="0461B57A"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6</w:t>
            </w:r>
            <w:r w:rsidRPr="00C85CED">
              <w:rPr>
                <w:rFonts w:ascii="Arial" w:hAnsi="Arial" w:cs="Arial"/>
                <w:spacing w:val="-6"/>
                <w:sz w:val="20"/>
                <w:szCs w:val="20"/>
              </w:rPr>
              <w:t xml:space="preserve"> </w:t>
            </w:r>
            <w:r w:rsidRPr="00C85CED">
              <w:rPr>
                <w:rFonts w:ascii="Arial" w:hAnsi="Arial" w:cs="Arial"/>
                <w:spacing w:val="-1"/>
                <w:sz w:val="20"/>
                <w:szCs w:val="20"/>
              </w:rPr>
              <w:t>(2.4)</w:t>
            </w:r>
          </w:p>
        </w:tc>
        <w:tc>
          <w:tcPr>
            <w:tcW w:w="1347" w:type="dxa"/>
            <w:vAlign w:val="center"/>
          </w:tcPr>
          <w:p w14:paraId="337BB4A1"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347</w:t>
            </w:r>
            <w:r w:rsidRPr="00C85CED">
              <w:rPr>
                <w:rFonts w:ascii="Arial" w:hAnsi="Arial" w:cs="Arial"/>
                <w:spacing w:val="-8"/>
                <w:sz w:val="20"/>
                <w:szCs w:val="20"/>
              </w:rPr>
              <w:t xml:space="preserve"> </w:t>
            </w:r>
            <w:r w:rsidRPr="00C85CED">
              <w:rPr>
                <w:rFonts w:ascii="Arial" w:hAnsi="Arial" w:cs="Arial"/>
                <w:spacing w:val="-1"/>
                <w:sz w:val="20"/>
                <w:szCs w:val="20"/>
              </w:rPr>
              <w:t>(70.0)</w:t>
            </w:r>
            <w:r w:rsidRPr="00C85CED">
              <w:rPr>
                <w:rFonts w:ascii="Arial" w:hAnsi="Arial" w:cs="Arial"/>
                <w:spacing w:val="-1"/>
                <w:sz w:val="20"/>
                <w:szCs w:val="20"/>
                <w:vertAlign w:val="superscript"/>
              </w:rPr>
              <w:t>c</w:t>
            </w:r>
          </w:p>
        </w:tc>
        <w:tc>
          <w:tcPr>
            <w:tcW w:w="1347" w:type="dxa"/>
            <w:vAlign w:val="center"/>
          </w:tcPr>
          <w:p w14:paraId="2BCD5DE1"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116</w:t>
            </w:r>
            <w:r w:rsidRPr="00C85CED">
              <w:rPr>
                <w:rFonts w:ascii="Arial" w:hAnsi="Arial" w:cs="Arial"/>
                <w:spacing w:val="-9"/>
                <w:sz w:val="20"/>
                <w:szCs w:val="20"/>
              </w:rPr>
              <w:t xml:space="preserve"> </w:t>
            </w:r>
            <w:r w:rsidRPr="00C85CED">
              <w:rPr>
                <w:rFonts w:ascii="Arial" w:hAnsi="Arial" w:cs="Arial"/>
                <w:spacing w:val="-1"/>
                <w:sz w:val="20"/>
                <w:szCs w:val="20"/>
              </w:rPr>
              <w:t>(46.8)</w:t>
            </w:r>
            <w:r w:rsidRPr="00C85CED">
              <w:rPr>
                <w:rFonts w:ascii="Arial" w:hAnsi="Arial" w:cs="Arial"/>
                <w:spacing w:val="-1"/>
                <w:sz w:val="20"/>
                <w:szCs w:val="20"/>
                <w:vertAlign w:val="superscript"/>
              </w:rPr>
              <w:t>b</w:t>
            </w:r>
          </w:p>
        </w:tc>
      </w:tr>
      <w:tr w:rsidR="00D72B85" w14:paraId="6FFA7586" w14:textId="77777777" w:rsidTr="00C27254">
        <w:tc>
          <w:tcPr>
            <w:tcW w:w="1309" w:type="dxa"/>
          </w:tcPr>
          <w:p w14:paraId="47BD257C" w14:textId="77777777" w:rsidR="00D72B85" w:rsidRPr="00680662" w:rsidRDefault="00D72B85" w:rsidP="00C27254">
            <w:pPr>
              <w:spacing w:after="0"/>
              <w:rPr>
                <w:sz w:val="20"/>
              </w:rPr>
            </w:pPr>
            <w:r w:rsidRPr="00680662">
              <w:rPr>
                <w:sz w:val="20"/>
              </w:rPr>
              <w:t>Week 24</w:t>
            </w:r>
          </w:p>
        </w:tc>
        <w:tc>
          <w:tcPr>
            <w:tcW w:w="1326" w:type="dxa"/>
            <w:vAlign w:val="center"/>
          </w:tcPr>
          <w:p w14:paraId="3E53D207"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30AD1C87"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264</w:t>
            </w:r>
            <w:r w:rsidRPr="00C85CED">
              <w:rPr>
                <w:rFonts w:ascii="Arial" w:hAnsi="Arial" w:cs="Arial"/>
                <w:spacing w:val="-10"/>
                <w:sz w:val="20"/>
                <w:szCs w:val="20"/>
              </w:rPr>
              <w:t xml:space="preserve"> </w:t>
            </w:r>
            <w:r w:rsidRPr="00C85CED">
              <w:rPr>
                <w:rFonts w:ascii="Arial" w:hAnsi="Arial" w:cs="Arial"/>
                <w:sz w:val="20"/>
                <w:szCs w:val="20"/>
              </w:rPr>
              <w:t>(80.2)</w:t>
            </w:r>
          </w:p>
        </w:tc>
        <w:tc>
          <w:tcPr>
            <w:tcW w:w="1347" w:type="dxa"/>
            <w:vAlign w:val="center"/>
          </w:tcPr>
          <w:p w14:paraId="7C2C338B"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177</w:t>
            </w:r>
            <w:r w:rsidRPr="00C85CED">
              <w:rPr>
                <w:rFonts w:ascii="Arial" w:hAnsi="Arial" w:cs="Arial"/>
                <w:spacing w:val="-8"/>
                <w:sz w:val="20"/>
                <w:szCs w:val="20"/>
              </w:rPr>
              <w:t xml:space="preserve"> </w:t>
            </w:r>
            <w:r w:rsidRPr="00C85CED">
              <w:rPr>
                <w:rFonts w:ascii="Arial" w:hAnsi="Arial" w:cs="Arial"/>
                <w:spacing w:val="-1"/>
                <w:sz w:val="20"/>
                <w:szCs w:val="20"/>
              </w:rPr>
              <w:t>(53.0)</w:t>
            </w:r>
            <w:r w:rsidRPr="00C85CED">
              <w:rPr>
                <w:rFonts w:ascii="Arial" w:hAnsi="Arial" w:cs="Arial"/>
                <w:spacing w:val="-1"/>
                <w:sz w:val="20"/>
                <w:szCs w:val="20"/>
                <w:vertAlign w:val="superscript"/>
              </w:rPr>
              <w:t>b</w:t>
            </w:r>
          </w:p>
        </w:tc>
        <w:tc>
          <w:tcPr>
            <w:tcW w:w="1327" w:type="dxa"/>
            <w:vAlign w:val="center"/>
          </w:tcPr>
          <w:p w14:paraId="46C246CB"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2622B7C8"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373</w:t>
            </w:r>
            <w:r w:rsidRPr="00C85CED">
              <w:rPr>
                <w:rFonts w:ascii="Arial" w:hAnsi="Arial" w:cs="Arial"/>
                <w:spacing w:val="-10"/>
                <w:sz w:val="20"/>
                <w:szCs w:val="20"/>
              </w:rPr>
              <w:t xml:space="preserve"> </w:t>
            </w:r>
            <w:r w:rsidRPr="00C85CED">
              <w:rPr>
                <w:rFonts w:ascii="Arial" w:hAnsi="Arial" w:cs="Arial"/>
                <w:sz w:val="20"/>
                <w:szCs w:val="20"/>
              </w:rPr>
              <w:t>(75.2)</w:t>
            </w:r>
          </w:p>
        </w:tc>
        <w:tc>
          <w:tcPr>
            <w:tcW w:w="1347" w:type="dxa"/>
            <w:vAlign w:val="center"/>
          </w:tcPr>
          <w:p w14:paraId="1CF14BED"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136</w:t>
            </w:r>
            <w:r w:rsidRPr="00C85CED">
              <w:rPr>
                <w:rFonts w:ascii="Arial" w:hAnsi="Arial" w:cs="Arial"/>
                <w:spacing w:val="-9"/>
                <w:sz w:val="20"/>
                <w:szCs w:val="20"/>
              </w:rPr>
              <w:t xml:space="preserve"> </w:t>
            </w:r>
            <w:r w:rsidRPr="00C85CED">
              <w:rPr>
                <w:rFonts w:ascii="Arial" w:hAnsi="Arial" w:cs="Arial"/>
                <w:spacing w:val="-1"/>
                <w:sz w:val="20"/>
                <w:szCs w:val="20"/>
              </w:rPr>
              <w:t>(54.8)</w:t>
            </w:r>
            <w:r w:rsidRPr="00C85CED">
              <w:rPr>
                <w:rFonts w:ascii="Arial" w:hAnsi="Arial" w:cs="Arial"/>
                <w:spacing w:val="-1"/>
                <w:sz w:val="20"/>
                <w:szCs w:val="20"/>
                <w:vertAlign w:val="superscript"/>
              </w:rPr>
              <w:t>b</w:t>
            </w:r>
          </w:p>
        </w:tc>
      </w:tr>
      <w:tr w:rsidR="00D72B85" w14:paraId="2EA8E7FB" w14:textId="77777777" w:rsidTr="00C27254">
        <w:tc>
          <w:tcPr>
            <w:tcW w:w="1309" w:type="dxa"/>
          </w:tcPr>
          <w:p w14:paraId="767B78E2" w14:textId="77777777" w:rsidR="00D72B85" w:rsidRPr="00680662" w:rsidRDefault="00D72B85" w:rsidP="00C27254">
            <w:pPr>
              <w:spacing w:after="0"/>
              <w:rPr>
                <w:sz w:val="20"/>
              </w:rPr>
            </w:pPr>
            <w:r w:rsidRPr="00680662">
              <w:rPr>
                <w:sz w:val="20"/>
              </w:rPr>
              <w:t>Week 48</w:t>
            </w:r>
          </w:p>
        </w:tc>
        <w:tc>
          <w:tcPr>
            <w:tcW w:w="1326" w:type="dxa"/>
            <w:vAlign w:val="center"/>
          </w:tcPr>
          <w:p w14:paraId="79D962D2"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23B101B6"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251</w:t>
            </w:r>
            <w:r w:rsidRPr="00C85CED">
              <w:rPr>
                <w:rFonts w:ascii="Arial" w:hAnsi="Arial" w:cs="Arial"/>
                <w:spacing w:val="-10"/>
                <w:sz w:val="20"/>
                <w:szCs w:val="20"/>
              </w:rPr>
              <w:t xml:space="preserve"> </w:t>
            </w:r>
            <w:r w:rsidRPr="00C85CED">
              <w:rPr>
                <w:rFonts w:ascii="Arial" w:hAnsi="Arial" w:cs="Arial"/>
                <w:sz w:val="20"/>
                <w:szCs w:val="20"/>
              </w:rPr>
              <w:t>(76.3)</w:t>
            </w:r>
          </w:p>
        </w:tc>
        <w:tc>
          <w:tcPr>
            <w:tcW w:w="1347" w:type="dxa"/>
            <w:vAlign w:val="center"/>
          </w:tcPr>
          <w:p w14:paraId="589B5A7D"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160</w:t>
            </w:r>
            <w:r w:rsidRPr="00C85CED">
              <w:rPr>
                <w:rFonts w:ascii="Arial" w:hAnsi="Arial" w:cs="Arial"/>
                <w:spacing w:val="-8"/>
                <w:sz w:val="20"/>
                <w:szCs w:val="20"/>
              </w:rPr>
              <w:t xml:space="preserve"> </w:t>
            </w:r>
            <w:r w:rsidRPr="00C85CED">
              <w:rPr>
                <w:rFonts w:ascii="Arial" w:hAnsi="Arial" w:cs="Arial"/>
                <w:spacing w:val="-1"/>
                <w:sz w:val="20"/>
                <w:szCs w:val="20"/>
              </w:rPr>
              <w:t>(47.9)</w:t>
            </w:r>
            <w:r w:rsidRPr="00C85CED">
              <w:rPr>
                <w:rFonts w:ascii="Arial" w:hAnsi="Arial" w:cs="Arial"/>
                <w:spacing w:val="-1"/>
                <w:sz w:val="20"/>
                <w:szCs w:val="20"/>
                <w:vertAlign w:val="superscript"/>
              </w:rPr>
              <w:t>b</w:t>
            </w:r>
          </w:p>
        </w:tc>
        <w:tc>
          <w:tcPr>
            <w:tcW w:w="1327" w:type="dxa"/>
            <w:vAlign w:val="center"/>
          </w:tcPr>
          <w:p w14:paraId="5AEB502A"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106F4489"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17A4F71E"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r>
      <w:tr w:rsidR="00D72B85" w:rsidRPr="00E2469E" w14:paraId="71964FE0" w14:textId="77777777" w:rsidTr="00C27254">
        <w:tc>
          <w:tcPr>
            <w:tcW w:w="5329" w:type="dxa"/>
            <w:gridSpan w:val="4"/>
          </w:tcPr>
          <w:p w14:paraId="20D856DC" w14:textId="77777777" w:rsidR="00D72B85" w:rsidRPr="00E2469E" w:rsidRDefault="00D72B85" w:rsidP="00C27254">
            <w:pPr>
              <w:spacing w:after="0"/>
              <w:rPr>
                <w:b/>
                <w:sz w:val="20"/>
              </w:rPr>
            </w:pPr>
            <w:r w:rsidRPr="00E2469E">
              <w:rPr>
                <w:b/>
                <w:sz w:val="20"/>
              </w:rPr>
              <w:t>PASI 100 response</w:t>
            </w:r>
          </w:p>
        </w:tc>
        <w:tc>
          <w:tcPr>
            <w:tcW w:w="4021" w:type="dxa"/>
            <w:gridSpan w:val="3"/>
          </w:tcPr>
          <w:p w14:paraId="2689051F" w14:textId="77777777" w:rsidR="00D72B85" w:rsidRPr="00E2469E" w:rsidRDefault="00D72B85" w:rsidP="00C27254">
            <w:pPr>
              <w:spacing w:after="0"/>
              <w:rPr>
                <w:b/>
                <w:sz w:val="20"/>
              </w:rPr>
            </w:pPr>
          </w:p>
        </w:tc>
      </w:tr>
      <w:tr w:rsidR="00D72B85" w14:paraId="6F72D246" w14:textId="77777777" w:rsidTr="00C27254">
        <w:tc>
          <w:tcPr>
            <w:tcW w:w="1309" w:type="dxa"/>
          </w:tcPr>
          <w:p w14:paraId="2E832782" w14:textId="77777777" w:rsidR="00D72B85" w:rsidRPr="00680662" w:rsidRDefault="00D72B85" w:rsidP="00C27254">
            <w:pPr>
              <w:spacing w:after="0"/>
              <w:rPr>
                <w:sz w:val="20"/>
              </w:rPr>
            </w:pPr>
            <w:r w:rsidRPr="00680662">
              <w:rPr>
                <w:sz w:val="20"/>
              </w:rPr>
              <w:t>Week 16</w:t>
            </w:r>
          </w:p>
        </w:tc>
        <w:tc>
          <w:tcPr>
            <w:tcW w:w="1326" w:type="dxa"/>
            <w:vAlign w:val="center"/>
          </w:tcPr>
          <w:p w14:paraId="788F65B0"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w:t>
            </w:r>
            <w:r w:rsidRPr="00C85CED">
              <w:rPr>
                <w:rFonts w:ascii="Arial" w:hAnsi="Arial" w:cs="Arial"/>
                <w:spacing w:val="-6"/>
                <w:sz w:val="20"/>
                <w:szCs w:val="20"/>
              </w:rPr>
              <w:t xml:space="preserve"> </w:t>
            </w:r>
            <w:r w:rsidRPr="00C85CED">
              <w:rPr>
                <w:rFonts w:ascii="Arial" w:hAnsi="Arial" w:cs="Arial"/>
                <w:spacing w:val="-1"/>
                <w:sz w:val="20"/>
                <w:szCs w:val="20"/>
              </w:rPr>
              <w:t>(0.6)</w:t>
            </w:r>
          </w:p>
        </w:tc>
        <w:tc>
          <w:tcPr>
            <w:tcW w:w="1347" w:type="dxa"/>
            <w:vAlign w:val="center"/>
          </w:tcPr>
          <w:p w14:paraId="303D0B5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123</w:t>
            </w:r>
            <w:r w:rsidRPr="00C85CED">
              <w:rPr>
                <w:rFonts w:ascii="Arial" w:hAnsi="Arial" w:cs="Arial"/>
                <w:spacing w:val="-8"/>
                <w:sz w:val="20"/>
                <w:szCs w:val="20"/>
              </w:rPr>
              <w:t xml:space="preserve"> </w:t>
            </w:r>
            <w:r w:rsidRPr="00C85CED">
              <w:rPr>
                <w:rFonts w:ascii="Arial" w:hAnsi="Arial" w:cs="Arial"/>
                <w:spacing w:val="-1"/>
                <w:sz w:val="20"/>
                <w:szCs w:val="20"/>
              </w:rPr>
              <w:t>(37.4)</w:t>
            </w:r>
            <w:r w:rsidRPr="00C85CED">
              <w:rPr>
                <w:rFonts w:ascii="Arial" w:hAnsi="Arial" w:cs="Arial"/>
                <w:spacing w:val="-1"/>
                <w:sz w:val="20"/>
                <w:szCs w:val="20"/>
                <w:vertAlign w:val="superscript"/>
              </w:rPr>
              <w:t>a</w:t>
            </w:r>
          </w:p>
        </w:tc>
        <w:tc>
          <w:tcPr>
            <w:tcW w:w="1347" w:type="dxa"/>
            <w:vAlign w:val="center"/>
          </w:tcPr>
          <w:p w14:paraId="30EA0DDC"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57</w:t>
            </w:r>
            <w:r w:rsidRPr="00C85CED">
              <w:rPr>
                <w:rFonts w:ascii="Arial" w:hAnsi="Arial" w:cs="Arial"/>
                <w:spacing w:val="-8"/>
                <w:sz w:val="20"/>
                <w:szCs w:val="20"/>
              </w:rPr>
              <w:t xml:space="preserve"> </w:t>
            </w:r>
            <w:r w:rsidRPr="00C85CED">
              <w:rPr>
                <w:rFonts w:ascii="Arial" w:hAnsi="Arial" w:cs="Arial"/>
                <w:spacing w:val="-1"/>
                <w:sz w:val="20"/>
                <w:szCs w:val="20"/>
              </w:rPr>
              <w:t>(17.1)</w:t>
            </w:r>
            <w:r w:rsidRPr="00C85CED">
              <w:rPr>
                <w:rFonts w:ascii="Arial" w:hAnsi="Arial" w:cs="Arial"/>
                <w:spacing w:val="-1"/>
                <w:sz w:val="20"/>
                <w:szCs w:val="20"/>
                <w:vertAlign w:val="superscript"/>
              </w:rPr>
              <w:t>d</w:t>
            </w:r>
          </w:p>
        </w:tc>
        <w:tc>
          <w:tcPr>
            <w:tcW w:w="1327" w:type="dxa"/>
            <w:vAlign w:val="center"/>
          </w:tcPr>
          <w:p w14:paraId="1E227C4D"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2</w:t>
            </w:r>
            <w:r w:rsidRPr="00C85CED">
              <w:rPr>
                <w:rFonts w:ascii="Arial" w:hAnsi="Arial" w:cs="Arial"/>
                <w:spacing w:val="-6"/>
                <w:sz w:val="20"/>
                <w:szCs w:val="20"/>
              </w:rPr>
              <w:t xml:space="preserve"> </w:t>
            </w:r>
            <w:r w:rsidRPr="00C85CED">
              <w:rPr>
                <w:rFonts w:ascii="Arial" w:hAnsi="Arial" w:cs="Arial"/>
                <w:spacing w:val="-1"/>
                <w:sz w:val="20"/>
                <w:szCs w:val="20"/>
              </w:rPr>
              <w:t>(0.8)</w:t>
            </w:r>
          </w:p>
        </w:tc>
        <w:tc>
          <w:tcPr>
            <w:tcW w:w="1347" w:type="dxa"/>
            <w:vAlign w:val="center"/>
          </w:tcPr>
          <w:p w14:paraId="2C076579"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169</w:t>
            </w:r>
            <w:r w:rsidRPr="00C85CED">
              <w:rPr>
                <w:rFonts w:ascii="Arial" w:hAnsi="Arial" w:cs="Arial"/>
                <w:spacing w:val="-8"/>
                <w:sz w:val="20"/>
                <w:szCs w:val="20"/>
              </w:rPr>
              <w:t xml:space="preserve"> </w:t>
            </w:r>
            <w:r w:rsidRPr="00C85CED">
              <w:rPr>
                <w:rFonts w:ascii="Arial" w:hAnsi="Arial" w:cs="Arial"/>
                <w:spacing w:val="-1"/>
                <w:sz w:val="20"/>
                <w:szCs w:val="20"/>
              </w:rPr>
              <w:t>(34.1)</w:t>
            </w:r>
            <w:r w:rsidRPr="00C85CED">
              <w:rPr>
                <w:rFonts w:ascii="Arial" w:hAnsi="Arial" w:cs="Arial"/>
                <w:spacing w:val="-1"/>
                <w:sz w:val="20"/>
                <w:szCs w:val="20"/>
                <w:vertAlign w:val="superscript"/>
              </w:rPr>
              <w:t>a</w:t>
            </w:r>
          </w:p>
        </w:tc>
        <w:tc>
          <w:tcPr>
            <w:tcW w:w="1347" w:type="dxa"/>
            <w:vAlign w:val="center"/>
          </w:tcPr>
          <w:p w14:paraId="32CCA215"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51</w:t>
            </w:r>
            <w:r w:rsidRPr="00C85CED">
              <w:rPr>
                <w:rFonts w:ascii="Arial" w:hAnsi="Arial" w:cs="Arial"/>
                <w:spacing w:val="-7"/>
                <w:sz w:val="20"/>
                <w:szCs w:val="20"/>
              </w:rPr>
              <w:t xml:space="preserve"> </w:t>
            </w:r>
            <w:r w:rsidRPr="00C85CED">
              <w:rPr>
                <w:rFonts w:ascii="Arial" w:hAnsi="Arial" w:cs="Arial"/>
                <w:spacing w:val="-1"/>
                <w:sz w:val="20"/>
                <w:szCs w:val="20"/>
              </w:rPr>
              <w:t>(20.6)</w:t>
            </w:r>
            <w:r w:rsidRPr="00C85CED">
              <w:rPr>
                <w:rFonts w:ascii="Arial" w:hAnsi="Arial" w:cs="Arial"/>
                <w:spacing w:val="-1"/>
                <w:sz w:val="20"/>
                <w:szCs w:val="20"/>
                <w:vertAlign w:val="superscript"/>
              </w:rPr>
              <w:t>d</w:t>
            </w:r>
          </w:p>
        </w:tc>
      </w:tr>
      <w:tr w:rsidR="00D72B85" w14:paraId="62CE1C9C" w14:textId="77777777" w:rsidTr="00C27254">
        <w:tc>
          <w:tcPr>
            <w:tcW w:w="1309" w:type="dxa"/>
          </w:tcPr>
          <w:p w14:paraId="22F9AEAF" w14:textId="77777777" w:rsidR="00D72B85" w:rsidRPr="00680662" w:rsidRDefault="00D72B85" w:rsidP="00C27254">
            <w:pPr>
              <w:spacing w:after="0"/>
              <w:rPr>
                <w:sz w:val="20"/>
              </w:rPr>
            </w:pPr>
            <w:r w:rsidRPr="00680662">
              <w:rPr>
                <w:sz w:val="20"/>
              </w:rPr>
              <w:t>Week 24</w:t>
            </w:r>
          </w:p>
        </w:tc>
        <w:tc>
          <w:tcPr>
            <w:tcW w:w="1326" w:type="dxa"/>
            <w:vAlign w:val="center"/>
          </w:tcPr>
          <w:p w14:paraId="5FAF2EBD"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5EA0E738"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146</w:t>
            </w:r>
            <w:r w:rsidRPr="00C85CED">
              <w:rPr>
                <w:rFonts w:ascii="Arial" w:hAnsi="Arial" w:cs="Arial"/>
                <w:spacing w:val="-10"/>
                <w:sz w:val="20"/>
                <w:szCs w:val="20"/>
              </w:rPr>
              <w:t xml:space="preserve"> </w:t>
            </w:r>
            <w:r w:rsidRPr="00C85CED">
              <w:rPr>
                <w:rFonts w:ascii="Arial" w:hAnsi="Arial" w:cs="Arial"/>
                <w:sz w:val="20"/>
                <w:szCs w:val="20"/>
              </w:rPr>
              <w:t>(44.4)</w:t>
            </w:r>
          </w:p>
        </w:tc>
        <w:tc>
          <w:tcPr>
            <w:tcW w:w="1347" w:type="dxa"/>
            <w:vAlign w:val="center"/>
          </w:tcPr>
          <w:p w14:paraId="5DD33206"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83</w:t>
            </w:r>
            <w:r w:rsidRPr="00C85CED">
              <w:rPr>
                <w:rFonts w:ascii="Arial" w:hAnsi="Arial" w:cs="Arial"/>
                <w:spacing w:val="-7"/>
                <w:sz w:val="20"/>
                <w:szCs w:val="20"/>
              </w:rPr>
              <w:t xml:space="preserve"> </w:t>
            </w:r>
            <w:r w:rsidRPr="00C85CED">
              <w:rPr>
                <w:rFonts w:ascii="Arial" w:hAnsi="Arial" w:cs="Arial"/>
                <w:spacing w:val="-1"/>
                <w:sz w:val="20"/>
                <w:szCs w:val="20"/>
              </w:rPr>
              <w:t>(24.9)</w:t>
            </w:r>
            <w:r w:rsidRPr="00C85CED">
              <w:rPr>
                <w:rFonts w:ascii="Arial" w:hAnsi="Arial" w:cs="Arial"/>
                <w:spacing w:val="-1"/>
                <w:sz w:val="20"/>
                <w:szCs w:val="20"/>
                <w:vertAlign w:val="superscript"/>
              </w:rPr>
              <w:t>e</w:t>
            </w:r>
          </w:p>
        </w:tc>
        <w:tc>
          <w:tcPr>
            <w:tcW w:w="1327" w:type="dxa"/>
            <w:vAlign w:val="center"/>
          </w:tcPr>
          <w:p w14:paraId="0A32F27D"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5F8D64D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pacing w:val="-1"/>
                <w:sz w:val="20"/>
                <w:szCs w:val="20"/>
              </w:rPr>
              <w:t>219</w:t>
            </w:r>
            <w:r w:rsidRPr="00C85CED">
              <w:rPr>
                <w:rFonts w:ascii="Arial" w:hAnsi="Arial" w:cs="Arial"/>
                <w:spacing w:val="-10"/>
                <w:sz w:val="20"/>
                <w:szCs w:val="20"/>
              </w:rPr>
              <w:t xml:space="preserve"> </w:t>
            </w:r>
            <w:r w:rsidRPr="00C85CED">
              <w:rPr>
                <w:rFonts w:ascii="Arial" w:hAnsi="Arial" w:cs="Arial"/>
                <w:sz w:val="20"/>
                <w:szCs w:val="20"/>
              </w:rPr>
              <w:t>(44.2)</w:t>
            </w:r>
          </w:p>
        </w:tc>
        <w:tc>
          <w:tcPr>
            <w:tcW w:w="1347" w:type="dxa"/>
            <w:vAlign w:val="center"/>
          </w:tcPr>
          <w:p w14:paraId="4E63B972"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66</w:t>
            </w:r>
            <w:r w:rsidRPr="00C85CED">
              <w:rPr>
                <w:rFonts w:ascii="Arial" w:hAnsi="Arial" w:cs="Arial"/>
                <w:spacing w:val="-8"/>
                <w:sz w:val="20"/>
                <w:szCs w:val="20"/>
              </w:rPr>
              <w:t xml:space="preserve"> </w:t>
            </w:r>
            <w:r w:rsidRPr="00C85CED">
              <w:rPr>
                <w:rFonts w:ascii="Arial" w:hAnsi="Arial" w:cs="Arial"/>
                <w:spacing w:val="-1"/>
                <w:sz w:val="20"/>
                <w:szCs w:val="20"/>
              </w:rPr>
              <w:t>(26.6)</w:t>
            </w:r>
            <w:r w:rsidRPr="00C85CED">
              <w:rPr>
                <w:rFonts w:ascii="Arial" w:hAnsi="Arial" w:cs="Arial"/>
                <w:spacing w:val="-1"/>
                <w:sz w:val="20"/>
                <w:szCs w:val="20"/>
                <w:vertAlign w:val="superscript"/>
              </w:rPr>
              <w:t>e</w:t>
            </w:r>
          </w:p>
        </w:tc>
      </w:tr>
      <w:tr w:rsidR="00D72B85" w14:paraId="5569D8DD" w14:textId="77777777" w:rsidTr="00C27254">
        <w:tc>
          <w:tcPr>
            <w:tcW w:w="1309" w:type="dxa"/>
          </w:tcPr>
          <w:p w14:paraId="182C707B" w14:textId="77777777" w:rsidR="00D72B85" w:rsidRPr="00680662" w:rsidRDefault="00D72B85" w:rsidP="00C27254">
            <w:pPr>
              <w:spacing w:after="0"/>
              <w:rPr>
                <w:sz w:val="20"/>
              </w:rPr>
            </w:pPr>
            <w:r w:rsidRPr="00680662">
              <w:rPr>
                <w:sz w:val="20"/>
              </w:rPr>
              <w:t>Week 48</w:t>
            </w:r>
          </w:p>
        </w:tc>
        <w:tc>
          <w:tcPr>
            <w:tcW w:w="1326" w:type="dxa"/>
            <w:vAlign w:val="center"/>
          </w:tcPr>
          <w:p w14:paraId="7BE3D00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6DB1C42F"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156</w:t>
            </w:r>
            <w:r w:rsidRPr="00C85CED">
              <w:rPr>
                <w:rFonts w:ascii="Arial" w:hAnsi="Arial" w:cs="Arial"/>
                <w:spacing w:val="-10"/>
                <w:sz w:val="20"/>
                <w:szCs w:val="20"/>
              </w:rPr>
              <w:t xml:space="preserve"> </w:t>
            </w:r>
            <w:r w:rsidRPr="00C85CED">
              <w:rPr>
                <w:rFonts w:ascii="Arial" w:hAnsi="Arial" w:cs="Arial"/>
                <w:sz w:val="20"/>
                <w:szCs w:val="20"/>
              </w:rPr>
              <w:t>(47.4)</w:t>
            </w:r>
          </w:p>
        </w:tc>
        <w:tc>
          <w:tcPr>
            <w:tcW w:w="1347" w:type="dxa"/>
            <w:vAlign w:val="center"/>
          </w:tcPr>
          <w:p w14:paraId="57C03F47"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78</w:t>
            </w:r>
            <w:r w:rsidRPr="00C85CED">
              <w:rPr>
                <w:rFonts w:ascii="Arial" w:hAnsi="Arial" w:cs="Arial"/>
                <w:spacing w:val="-7"/>
                <w:sz w:val="20"/>
                <w:szCs w:val="20"/>
              </w:rPr>
              <w:t xml:space="preserve"> </w:t>
            </w:r>
            <w:r w:rsidRPr="00C85CED">
              <w:rPr>
                <w:rFonts w:ascii="Arial" w:hAnsi="Arial" w:cs="Arial"/>
                <w:spacing w:val="-1"/>
                <w:sz w:val="20"/>
                <w:szCs w:val="20"/>
              </w:rPr>
              <w:t>(23.4)</w:t>
            </w:r>
            <w:r w:rsidRPr="00C85CED">
              <w:rPr>
                <w:rFonts w:ascii="Arial" w:hAnsi="Arial" w:cs="Arial"/>
                <w:spacing w:val="-1"/>
                <w:sz w:val="20"/>
                <w:szCs w:val="20"/>
                <w:vertAlign w:val="superscript"/>
              </w:rPr>
              <w:t>e</w:t>
            </w:r>
          </w:p>
        </w:tc>
        <w:tc>
          <w:tcPr>
            <w:tcW w:w="1327" w:type="dxa"/>
            <w:vAlign w:val="center"/>
          </w:tcPr>
          <w:p w14:paraId="0548588B"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4379867E"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c>
          <w:tcPr>
            <w:tcW w:w="1347" w:type="dxa"/>
            <w:vAlign w:val="center"/>
          </w:tcPr>
          <w:p w14:paraId="282959E1" w14:textId="77777777" w:rsidR="00D72B85" w:rsidRPr="00C85CED" w:rsidRDefault="00D72B85" w:rsidP="00C27254">
            <w:pPr>
              <w:pStyle w:val="TableParagraph"/>
              <w:jc w:val="center"/>
              <w:rPr>
                <w:rFonts w:ascii="Arial" w:eastAsia="Times New Roman" w:hAnsi="Arial" w:cs="Arial"/>
                <w:sz w:val="20"/>
                <w:szCs w:val="20"/>
              </w:rPr>
            </w:pPr>
            <w:r w:rsidRPr="00C85CED">
              <w:rPr>
                <w:rFonts w:ascii="Arial" w:hAnsi="Arial" w:cs="Arial"/>
                <w:sz w:val="20"/>
                <w:szCs w:val="20"/>
              </w:rPr>
              <w:t>-</w:t>
            </w:r>
          </w:p>
        </w:tc>
      </w:tr>
    </w:tbl>
    <w:p w14:paraId="538303A6" w14:textId="77777777" w:rsidR="007B31EB" w:rsidRPr="00C85CED" w:rsidRDefault="007B31EB" w:rsidP="007B31EB">
      <w:pPr>
        <w:autoSpaceDE w:val="0"/>
        <w:autoSpaceDN w:val="0"/>
        <w:adjustRightInd w:val="0"/>
        <w:spacing w:after="0"/>
        <w:jc w:val="left"/>
        <w:rPr>
          <w:rFonts w:cs="Arial"/>
          <w:iCs/>
          <w:sz w:val="18"/>
          <w:szCs w:val="16"/>
          <w:lang w:val="en-AU"/>
        </w:rPr>
      </w:pPr>
      <w:proofErr w:type="gramStart"/>
      <w:r w:rsidRPr="00C85CED">
        <w:rPr>
          <w:rFonts w:cs="Arial"/>
          <w:iCs/>
          <w:sz w:val="18"/>
          <w:szCs w:val="16"/>
          <w:vertAlign w:val="superscript"/>
          <w:lang w:val="en-AU"/>
        </w:rPr>
        <w:t>a</w:t>
      </w:r>
      <w:proofErr w:type="gramEnd"/>
      <w:r w:rsidRPr="00C85CED">
        <w:rPr>
          <w:rFonts w:cs="Arial"/>
          <w:iCs/>
          <w:sz w:val="16"/>
          <w:szCs w:val="16"/>
          <w:lang w:val="en-AU"/>
        </w:rPr>
        <w:tab/>
      </w:r>
      <w:r w:rsidRPr="00C85CED">
        <w:rPr>
          <w:rFonts w:cs="Arial"/>
          <w:iCs/>
          <w:sz w:val="18"/>
          <w:szCs w:val="16"/>
          <w:lang w:val="en-AU"/>
        </w:rPr>
        <w:t xml:space="preserve">p &lt; 0.001 for comparison between </w:t>
      </w:r>
      <w:proofErr w:type="spellStart"/>
      <w:r w:rsidRPr="00C85CED">
        <w:rPr>
          <w:rFonts w:cs="Arial"/>
          <w:iCs/>
          <w:sz w:val="18"/>
          <w:szCs w:val="16"/>
          <w:lang w:val="en-AU"/>
        </w:rPr>
        <w:t>guselkumab</w:t>
      </w:r>
      <w:proofErr w:type="spellEnd"/>
      <w:r w:rsidRPr="00C85CED">
        <w:rPr>
          <w:rFonts w:cs="Arial"/>
          <w:iCs/>
          <w:sz w:val="18"/>
          <w:szCs w:val="16"/>
          <w:lang w:val="en-AU"/>
        </w:rPr>
        <w:t xml:space="preserve"> and placebo.</w:t>
      </w:r>
    </w:p>
    <w:p w14:paraId="642FDF3A" w14:textId="77777777" w:rsidR="007B31EB" w:rsidRPr="00C85CED" w:rsidRDefault="007B31EB" w:rsidP="007B31EB">
      <w:pPr>
        <w:autoSpaceDE w:val="0"/>
        <w:autoSpaceDN w:val="0"/>
        <w:adjustRightInd w:val="0"/>
        <w:spacing w:after="0"/>
        <w:jc w:val="left"/>
        <w:rPr>
          <w:rFonts w:cs="Arial"/>
          <w:iCs/>
          <w:sz w:val="18"/>
          <w:szCs w:val="16"/>
          <w:lang w:val="en-AU"/>
        </w:rPr>
      </w:pPr>
      <w:proofErr w:type="gramStart"/>
      <w:r w:rsidRPr="00C85CED">
        <w:rPr>
          <w:rFonts w:cs="Arial"/>
          <w:iCs/>
          <w:sz w:val="18"/>
          <w:szCs w:val="16"/>
          <w:vertAlign w:val="superscript"/>
          <w:lang w:val="en-AU"/>
        </w:rPr>
        <w:t>b</w:t>
      </w:r>
      <w:proofErr w:type="gramEnd"/>
      <w:r w:rsidRPr="00C85CED">
        <w:rPr>
          <w:rFonts w:cs="Arial"/>
          <w:iCs/>
          <w:sz w:val="18"/>
          <w:szCs w:val="16"/>
          <w:lang w:val="en-AU"/>
        </w:rPr>
        <w:tab/>
        <w:t xml:space="preserve">p &lt; 0.001 for comparison between </w:t>
      </w:r>
      <w:proofErr w:type="spellStart"/>
      <w:r w:rsidRPr="00C85CED">
        <w:rPr>
          <w:rFonts w:cs="Arial"/>
          <w:iCs/>
          <w:sz w:val="18"/>
          <w:szCs w:val="16"/>
          <w:lang w:val="en-AU"/>
        </w:rPr>
        <w:t>guselkumab</w:t>
      </w:r>
      <w:proofErr w:type="spellEnd"/>
      <w:r w:rsidRPr="00C85CED">
        <w:rPr>
          <w:rFonts w:cs="Arial"/>
          <w:iCs/>
          <w:sz w:val="18"/>
          <w:szCs w:val="16"/>
          <w:lang w:val="en-AU"/>
        </w:rPr>
        <w:t xml:space="preserve"> and adalimumab for major secondary endpoints.</w:t>
      </w:r>
    </w:p>
    <w:p w14:paraId="1B93B1CD" w14:textId="77777777" w:rsidR="007B31EB" w:rsidRPr="00C85CED" w:rsidRDefault="007B31EB" w:rsidP="007B31EB">
      <w:pPr>
        <w:autoSpaceDE w:val="0"/>
        <w:autoSpaceDN w:val="0"/>
        <w:adjustRightInd w:val="0"/>
        <w:spacing w:after="0"/>
        <w:jc w:val="left"/>
        <w:rPr>
          <w:rFonts w:cs="Arial"/>
          <w:iCs/>
          <w:sz w:val="18"/>
          <w:szCs w:val="16"/>
          <w:lang w:val="en-AU"/>
        </w:rPr>
      </w:pPr>
      <w:proofErr w:type="gramStart"/>
      <w:r w:rsidRPr="00C85CED">
        <w:rPr>
          <w:rFonts w:cs="Arial"/>
          <w:iCs/>
          <w:sz w:val="18"/>
          <w:szCs w:val="16"/>
          <w:vertAlign w:val="superscript"/>
          <w:lang w:val="en-AU"/>
        </w:rPr>
        <w:t>c</w:t>
      </w:r>
      <w:proofErr w:type="gramEnd"/>
      <w:r w:rsidRPr="00C85CED">
        <w:rPr>
          <w:rFonts w:cs="Arial"/>
          <w:iCs/>
          <w:sz w:val="18"/>
          <w:szCs w:val="16"/>
          <w:lang w:val="en-AU"/>
        </w:rPr>
        <w:tab/>
        <w:t xml:space="preserve">p &lt; 0.001 for the comparisons between </w:t>
      </w:r>
      <w:proofErr w:type="spellStart"/>
      <w:r w:rsidRPr="00C85CED">
        <w:rPr>
          <w:rFonts w:cs="Arial"/>
          <w:iCs/>
          <w:sz w:val="18"/>
          <w:szCs w:val="16"/>
          <w:lang w:val="en-AU"/>
        </w:rPr>
        <w:t>guselkumab</w:t>
      </w:r>
      <w:proofErr w:type="spellEnd"/>
      <w:r w:rsidRPr="00C85CED">
        <w:rPr>
          <w:rFonts w:cs="Arial"/>
          <w:iCs/>
          <w:sz w:val="18"/>
          <w:szCs w:val="16"/>
          <w:lang w:val="en-AU"/>
        </w:rPr>
        <w:t xml:space="preserve"> and placebo for the co-primary endpoints.</w:t>
      </w:r>
    </w:p>
    <w:p w14:paraId="0C18D75F" w14:textId="77777777" w:rsidR="007B31EB" w:rsidRPr="00C85CED" w:rsidRDefault="007B31EB" w:rsidP="007B31EB">
      <w:pPr>
        <w:autoSpaceDE w:val="0"/>
        <w:autoSpaceDN w:val="0"/>
        <w:adjustRightInd w:val="0"/>
        <w:spacing w:after="0"/>
        <w:jc w:val="left"/>
        <w:rPr>
          <w:rFonts w:cs="Arial"/>
          <w:iCs/>
          <w:sz w:val="18"/>
          <w:szCs w:val="16"/>
          <w:lang w:val="en-AU"/>
        </w:rPr>
      </w:pPr>
      <w:proofErr w:type="gramStart"/>
      <w:r w:rsidRPr="00C85CED">
        <w:rPr>
          <w:rFonts w:cs="Arial"/>
          <w:iCs/>
          <w:sz w:val="18"/>
          <w:szCs w:val="16"/>
          <w:vertAlign w:val="superscript"/>
          <w:lang w:val="en-AU"/>
        </w:rPr>
        <w:t>d</w:t>
      </w:r>
      <w:proofErr w:type="gramEnd"/>
      <w:r w:rsidRPr="00C85CED">
        <w:rPr>
          <w:rFonts w:cs="Arial"/>
          <w:iCs/>
          <w:sz w:val="18"/>
          <w:szCs w:val="16"/>
          <w:lang w:val="en-AU"/>
        </w:rPr>
        <w:tab/>
        <w:t xml:space="preserve">comparisons between </w:t>
      </w:r>
      <w:proofErr w:type="spellStart"/>
      <w:r w:rsidRPr="00C85CED">
        <w:rPr>
          <w:rFonts w:cs="Arial"/>
          <w:iCs/>
          <w:sz w:val="18"/>
          <w:szCs w:val="16"/>
          <w:lang w:val="en-AU"/>
        </w:rPr>
        <w:t>guselkumab</w:t>
      </w:r>
      <w:proofErr w:type="spellEnd"/>
      <w:r w:rsidRPr="00C85CED">
        <w:rPr>
          <w:rFonts w:cs="Arial"/>
          <w:iCs/>
          <w:sz w:val="18"/>
          <w:szCs w:val="16"/>
          <w:lang w:val="en-AU"/>
        </w:rPr>
        <w:t xml:space="preserve"> and adalimumab were not performed.</w:t>
      </w:r>
    </w:p>
    <w:p w14:paraId="6FABABCA" w14:textId="300B1F72" w:rsidR="002B2CDA" w:rsidRPr="00C85CED" w:rsidRDefault="007B31EB" w:rsidP="007B31EB">
      <w:pPr>
        <w:autoSpaceDE w:val="0"/>
        <w:autoSpaceDN w:val="0"/>
        <w:adjustRightInd w:val="0"/>
        <w:spacing w:after="0"/>
        <w:jc w:val="left"/>
        <w:rPr>
          <w:rFonts w:cs="Arial"/>
          <w:iCs/>
          <w:sz w:val="18"/>
          <w:szCs w:val="16"/>
          <w:lang w:val="en-AU"/>
        </w:rPr>
      </w:pPr>
      <w:proofErr w:type="gramStart"/>
      <w:r w:rsidRPr="00C85CED">
        <w:rPr>
          <w:rFonts w:cs="Arial"/>
          <w:iCs/>
          <w:sz w:val="18"/>
          <w:szCs w:val="16"/>
          <w:vertAlign w:val="superscript"/>
          <w:lang w:val="en-AU"/>
        </w:rPr>
        <w:t>e</w:t>
      </w:r>
      <w:proofErr w:type="gramEnd"/>
      <w:r w:rsidRPr="00C85CED">
        <w:rPr>
          <w:rFonts w:cs="Arial"/>
          <w:iCs/>
          <w:sz w:val="18"/>
          <w:szCs w:val="16"/>
          <w:lang w:val="en-AU"/>
        </w:rPr>
        <w:tab/>
        <w:t xml:space="preserve">p &lt; 0.001 for comparison between </w:t>
      </w:r>
      <w:proofErr w:type="spellStart"/>
      <w:r w:rsidRPr="00C85CED">
        <w:rPr>
          <w:rFonts w:cs="Arial"/>
          <w:iCs/>
          <w:sz w:val="18"/>
          <w:szCs w:val="16"/>
          <w:lang w:val="en-AU"/>
        </w:rPr>
        <w:t>guselkumab</w:t>
      </w:r>
      <w:proofErr w:type="spellEnd"/>
      <w:r w:rsidRPr="00C85CED">
        <w:rPr>
          <w:rFonts w:cs="Arial"/>
          <w:iCs/>
          <w:sz w:val="18"/>
          <w:szCs w:val="16"/>
          <w:lang w:val="en-AU"/>
        </w:rPr>
        <w:t xml:space="preserve"> and adalimumab.</w:t>
      </w:r>
    </w:p>
    <w:p w14:paraId="4ECBDB58" w14:textId="72108AEA" w:rsidR="00F35727" w:rsidRPr="00BA50A7" w:rsidRDefault="00F35727" w:rsidP="00545494">
      <w:pPr>
        <w:pStyle w:val="Heading4"/>
        <w:rPr>
          <w:rFonts w:eastAsiaTheme="minorHAnsi" w:cstheme="minorBidi"/>
          <w:i/>
          <w:iCs w:val="0"/>
          <w:u w:val="single"/>
          <w:lang w:val="en-AU"/>
        </w:rPr>
      </w:pPr>
      <w:r w:rsidRPr="00BA50A7">
        <w:rPr>
          <w:rFonts w:eastAsiaTheme="minorHAnsi" w:cstheme="minorBidi"/>
          <w:i/>
          <w:iCs w:val="0"/>
          <w:u w:val="single"/>
          <w:lang w:val="en-AU"/>
        </w:rPr>
        <w:t>Response over time</w:t>
      </w:r>
    </w:p>
    <w:p w14:paraId="39506401" w14:textId="297BCC9B" w:rsidR="00F35727" w:rsidRPr="00C85CED" w:rsidRDefault="007B31EB" w:rsidP="007B31EB">
      <w:pPr>
        <w:rPr>
          <w:lang w:val="en-AU"/>
        </w:rPr>
      </w:pPr>
      <w:proofErr w:type="spellStart"/>
      <w:r w:rsidRPr="00C85CED">
        <w:rPr>
          <w:lang w:val="en-AU"/>
        </w:rPr>
        <w:t>Guselkumab</w:t>
      </w:r>
      <w:proofErr w:type="spellEnd"/>
      <w:r w:rsidRPr="00C85CED">
        <w:rPr>
          <w:lang w:val="en-AU"/>
        </w:rPr>
        <w:t xml:space="preserve"> demonstrated rapid onset of efficacy, with a significantly higher percent improvement in PASI as compared with placebo as early as Week 2 (p &lt; 0.001). The percentage of subjects achieving a PASI 90 response was numerically higher for </w:t>
      </w:r>
      <w:proofErr w:type="spellStart"/>
      <w:r w:rsidRPr="00C85CED">
        <w:rPr>
          <w:lang w:val="en-AU"/>
        </w:rPr>
        <w:t>guselkumab</w:t>
      </w:r>
      <w:proofErr w:type="spellEnd"/>
      <w:r w:rsidRPr="00C85CED">
        <w:rPr>
          <w:lang w:val="en-AU"/>
        </w:rPr>
        <w:t xml:space="preserve"> than adalimumab starting at Week 8 with the difference reaching a maximum around Week 20 (VOYAGE 1 and 2) and maintained through Week 48 (VOYAGE 1).</w:t>
      </w:r>
    </w:p>
    <w:p w14:paraId="780A982B" w14:textId="53EC2C69" w:rsidR="00F35727" w:rsidRPr="00C85CED" w:rsidRDefault="00F35727" w:rsidP="0057739A">
      <w:pPr>
        <w:kinsoku w:val="0"/>
        <w:overflowPunct w:val="0"/>
        <w:autoSpaceDE w:val="0"/>
        <w:autoSpaceDN w:val="0"/>
        <w:adjustRightInd w:val="0"/>
        <w:spacing w:after="0" w:line="200" w:lineRule="atLeast"/>
        <w:ind w:left="128"/>
        <w:jc w:val="center"/>
        <w:rPr>
          <w:rFonts w:ascii="Times New Roman" w:hAnsi="Times New Roman" w:cs="Times New Roman"/>
          <w:sz w:val="20"/>
          <w:szCs w:val="20"/>
          <w:lang w:val="en-AU"/>
        </w:rPr>
      </w:pPr>
      <w:r w:rsidRPr="00C85CED">
        <w:rPr>
          <w:rFonts w:ascii="Times New Roman" w:hAnsi="Times New Roman" w:cs="Times New Roman"/>
          <w:noProof/>
          <w:sz w:val="20"/>
          <w:szCs w:val="20"/>
          <w:lang w:val="en-AU" w:eastAsia="en-AU"/>
        </w:rPr>
        <w:lastRenderedPageBreak/>
        <w:drawing>
          <wp:inline distT="0" distB="0" distL="0" distR="0" wp14:anchorId="2B111D72" wp14:editId="4777A470">
            <wp:extent cx="4508500" cy="283083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00" cy="2830830"/>
                    </a:xfrm>
                    <a:prstGeom prst="rect">
                      <a:avLst/>
                    </a:prstGeom>
                    <a:noFill/>
                    <a:ln>
                      <a:noFill/>
                    </a:ln>
                  </pic:spPr>
                </pic:pic>
              </a:graphicData>
            </a:graphic>
          </wp:inline>
        </w:drawing>
      </w:r>
    </w:p>
    <w:p w14:paraId="65CC05E5" w14:textId="77777777" w:rsidR="00F9467F" w:rsidRPr="00C85CED" w:rsidRDefault="00F9467F" w:rsidP="00F9467F">
      <w:pPr>
        <w:pStyle w:val="Heading3"/>
        <w:ind w:left="1560" w:hanging="1560"/>
        <w:rPr>
          <w:rFonts w:eastAsiaTheme="minorHAnsi" w:cstheme="minorBidi"/>
          <w:szCs w:val="22"/>
          <w:lang w:val="en-AU"/>
        </w:rPr>
      </w:pPr>
      <w:r w:rsidRPr="00C85CED">
        <w:rPr>
          <w:rFonts w:eastAsiaTheme="minorHAnsi" w:cstheme="minorBidi"/>
          <w:szCs w:val="22"/>
          <w:lang w:val="en-AU"/>
        </w:rPr>
        <w:t>Figure 1:</w:t>
      </w:r>
      <w:r w:rsidRPr="00C85CED">
        <w:rPr>
          <w:rFonts w:eastAsiaTheme="minorHAnsi" w:cstheme="minorBidi"/>
          <w:szCs w:val="22"/>
          <w:lang w:val="en-AU"/>
        </w:rPr>
        <w:tab/>
        <w:t xml:space="preserve">Percent of Subjects Who Achieved PASI 90 Response </w:t>
      </w:r>
      <w:proofErr w:type="gramStart"/>
      <w:r w:rsidRPr="00C85CED">
        <w:rPr>
          <w:rFonts w:eastAsiaTheme="minorHAnsi" w:cstheme="minorBidi"/>
          <w:szCs w:val="22"/>
          <w:lang w:val="en-AU"/>
        </w:rPr>
        <w:t>Through</w:t>
      </w:r>
      <w:proofErr w:type="gramEnd"/>
      <w:r w:rsidRPr="00C85CED">
        <w:rPr>
          <w:rFonts w:eastAsiaTheme="minorHAnsi" w:cstheme="minorBidi"/>
          <w:szCs w:val="22"/>
          <w:lang w:val="en-AU"/>
        </w:rPr>
        <w:t xml:space="preserve"> Week 48 by Visit (Subjects Randomised at Week 0) in VOYAGE 1</w:t>
      </w:r>
    </w:p>
    <w:p w14:paraId="6BE2AC7A" w14:textId="30EF39AA" w:rsidR="007B31EB" w:rsidRPr="00C85CED" w:rsidRDefault="007B31EB" w:rsidP="00545494">
      <w:pPr>
        <w:rPr>
          <w:lang w:val="en-AU"/>
        </w:rPr>
      </w:pPr>
      <w:r w:rsidRPr="00C85CED">
        <w:rPr>
          <w:lang w:val="en-AU"/>
        </w:rPr>
        <w:t xml:space="preserve">The efficacy and safety of </w:t>
      </w:r>
      <w:proofErr w:type="spellStart"/>
      <w:r w:rsidRPr="00C85CED">
        <w:rPr>
          <w:lang w:val="en-AU"/>
        </w:rPr>
        <w:t>guselkumab</w:t>
      </w:r>
      <w:proofErr w:type="spellEnd"/>
      <w:r w:rsidRPr="00C85CED">
        <w:rPr>
          <w:lang w:val="en-AU"/>
        </w:rPr>
        <w:t xml:space="preserve"> was demonstrated regardless of age, gender, race, body weight, plaques location, PASI baseline severity, concurrent psoriatic arthritis, and previous treatment with a biologic therapy. </w:t>
      </w:r>
      <w:proofErr w:type="spellStart"/>
      <w:r w:rsidRPr="00C85CED">
        <w:rPr>
          <w:lang w:val="en-AU"/>
        </w:rPr>
        <w:t>Guselkumab</w:t>
      </w:r>
      <w:proofErr w:type="spellEnd"/>
      <w:r w:rsidRPr="00C85CED">
        <w:rPr>
          <w:lang w:val="en-AU"/>
        </w:rPr>
        <w:t xml:space="preserve"> was efficacious in conventional systemic-naive, biologic-naive, and biologic-exposed patients.</w:t>
      </w:r>
    </w:p>
    <w:p w14:paraId="773AF304" w14:textId="77777777" w:rsidR="007B31EB" w:rsidRPr="00C85CED" w:rsidRDefault="007B31EB" w:rsidP="00545494">
      <w:pPr>
        <w:rPr>
          <w:lang w:val="en-AU"/>
        </w:rPr>
      </w:pPr>
      <w:r w:rsidRPr="00C85CED">
        <w:rPr>
          <w:lang w:val="en-AU"/>
        </w:rPr>
        <w:t xml:space="preserve">In VOYAGE 2, 88.6% of patients receiving </w:t>
      </w:r>
      <w:proofErr w:type="spellStart"/>
      <w:r w:rsidRPr="00C85CED">
        <w:rPr>
          <w:lang w:val="en-AU"/>
        </w:rPr>
        <w:t>guselkumab</w:t>
      </w:r>
      <w:proofErr w:type="spellEnd"/>
      <w:r w:rsidRPr="00C85CED">
        <w:rPr>
          <w:lang w:val="en-AU"/>
        </w:rPr>
        <w:t xml:space="preserve"> maintenance treatment at Week 48 were PASI 90 responders compared to 36.8% of patients who were withdrawn from treatment at Week 28 (p &lt; 0.001). Loss of PASI 90 response was noted as early as 4 weeks after withdrawal of </w:t>
      </w:r>
      <w:proofErr w:type="spellStart"/>
      <w:r w:rsidRPr="00C85CED">
        <w:rPr>
          <w:lang w:val="en-AU"/>
        </w:rPr>
        <w:t>guselkumab</w:t>
      </w:r>
      <w:proofErr w:type="spellEnd"/>
      <w:r w:rsidRPr="00C85CED">
        <w:rPr>
          <w:lang w:val="en-AU"/>
        </w:rPr>
        <w:t xml:space="preserve"> treatment with a median time to loss of PASI 90 response of approximately 15 weeks.</w:t>
      </w:r>
    </w:p>
    <w:p w14:paraId="5F718D55" w14:textId="77777777" w:rsidR="007B31EB" w:rsidRPr="00C85CED" w:rsidRDefault="007B31EB" w:rsidP="00545494">
      <w:pPr>
        <w:rPr>
          <w:lang w:val="en-AU"/>
        </w:rPr>
      </w:pPr>
      <w:r w:rsidRPr="00C85CED">
        <w:rPr>
          <w:lang w:val="en-AU"/>
        </w:rPr>
        <w:t xml:space="preserve">In VOYAGE 2, among 112 adalimumab subjects who failed to achieve a PASI 90 response at Week 28, 66% achieved a PASI 90 response after 20 weeks of treatment with </w:t>
      </w:r>
      <w:proofErr w:type="spellStart"/>
      <w:r w:rsidRPr="00C85CED">
        <w:rPr>
          <w:lang w:val="en-AU"/>
        </w:rPr>
        <w:t>guselkumab</w:t>
      </w:r>
      <w:proofErr w:type="spellEnd"/>
      <w:r w:rsidRPr="00C85CED">
        <w:rPr>
          <w:lang w:val="en-AU"/>
        </w:rPr>
        <w:t xml:space="preserve">. No new safety findings were observed in patients who switched from adalimumab to </w:t>
      </w:r>
      <w:proofErr w:type="spellStart"/>
      <w:r w:rsidRPr="00C85CED">
        <w:rPr>
          <w:lang w:val="en-AU"/>
        </w:rPr>
        <w:t>guselkumab</w:t>
      </w:r>
      <w:proofErr w:type="spellEnd"/>
      <w:r w:rsidRPr="00C85CED">
        <w:rPr>
          <w:lang w:val="en-AU"/>
        </w:rPr>
        <w:t>.</w:t>
      </w:r>
    </w:p>
    <w:p w14:paraId="3CCF7FC7" w14:textId="77777777" w:rsidR="007B31EB" w:rsidRPr="00BA50A7" w:rsidRDefault="007B31EB" w:rsidP="00545494">
      <w:pPr>
        <w:pStyle w:val="Heading4"/>
        <w:rPr>
          <w:rFonts w:eastAsiaTheme="minorHAnsi" w:cstheme="minorBidi"/>
          <w:i/>
          <w:iCs w:val="0"/>
          <w:u w:val="single"/>
          <w:lang w:val="en-AU"/>
        </w:rPr>
      </w:pPr>
      <w:r w:rsidRPr="00BA50A7">
        <w:rPr>
          <w:rFonts w:eastAsiaTheme="minorHAnsi" w:cstheme="minorBidi"/>
          <w:i/>
          <w:iCs w:val="0"/>
          <w:u w:val="single"/>
          <w:lang w:val="en-AU"/>
        </w:rPr>
        <w:t>Regional disease</w:t>
      </w:r>
    </w:p>
    <w:p w14:paraId="1E2CE3B7" w14:textId="0E713C9D" w:rsidR="00F35727" w:rsidRPr="00C85CED" w:rsidRDefault="007B31EB" w:rsidP="00545494">
      <w:pPr>
        <w:rPr>
          <w:lang w:val="en-AU"/>
        </w:rPr>
      </w:pPr>
      <w:r w:rsidRPr="00C85CED">
        <w:rPr>
          <w:lang w:val="en-AU"/>
        </w:rPr>
        <w:t>In VOYAGE 1 and 2, significant improvements were seen in scalp, hand and foot, and nail psoriasis (as measured by the Scalp-specific Investigator Global Assessment [</w:t>
      </w:r>
      <w:proofErr w:type="spellStart"/>
      <w:r w:rsidRPr="00C85CED">
        <w:rPr>
          <w:lang w:val="en-AU"/>
        </w:rPr>
        <w:t>ss</w:t>
      </w:r>
      <w:proofErr w:type="spellEnd"/>
      <w:r w:rsidRPr="00C85CED">
        <w:rPr>
          <w:lang w:val="en-AU"/>
        </w:rPr>
        <w:t>-IGA], Physician’s Global Assessment of Hands and/or Feet [</w:t>
      </w:r>
      <w:proofErr w:type="spellStart"/>
      <w:r w:rsidRPr="00C85CED">
        <w:rPr>
          <w:lang w:val="en-AU"/>
        </w:rPr>
        <w:t>hf</w:t>
      </w:r>
      <w:proofErr w:type="spellEnd"/>
      <w:r w:rsidRPr="00C85CED">
        <w:rPr>
          <w:lang w:val="en-AU"/>
        </w:rPr>
        <w:t xml:space="preserve">-PGA], Fingernail Physician’s Global Assessment [f-PGA] and Nail Psoriasis Severity Index [NAPSI], respectively) in </w:t>
      </w:r>
      <w:proofErr w:type="spellStart"/>
      <w:r w:rsidRPr="00C85CED">
        <w:rPr>
          <w:lang w:val="en-AU"/>
        </w:rPr>
        <w:t>guselkumab</w:t>
      </w:r>
      <w:proofErr w:type="spellEnd"/>
      <w:r w:rsidRPr="00C85CED">
        <w:rPr>
          <w:lang w:val="en-AU"/>
        </w:rPr>
        <w:t xml:space="preserve"> treated patients compared to placebo treated patients at Week 16 (p &lt; 0.001, Table 3). </w:t>
      </w:r>
      <w:proofErr w:type="spellStart"/>
      <w:r w:rsidRPr="00C85CED">
        <w:rPr>
          <w:lang w:val="en-AU"/>
        </w:rPr>
        <w:t>Guselkumab</w:t>
      </w:r>
      <w:proofErr w:type="spellEnd"/>
      <w:r w:rsidRPr="00C85CED">
        <w:rPr>
          <w:lang w:val="en-AU"/>
        </w:rPr>
        <w:t xml:space="preserve"> demonstrated superiority compared to adalimumab for scalp and hand and foot psoriasis at Week 24 (VOYAGE 1 and 2) and Week 48 (VOYAGE 1) (p ≤ 0.001, except for hand and foot psoriasis at Week 24 [VOYAGE 2] and Week 48 [VOYAGE 1], p &lt; 0.05).</w:t>
      </w:r>
    </w:p>
    <w:p w14:paraId="72D5A7EA" w14:textId="77777777" w:rsidR="00FA32B9" w:rsidRDefault="00FA32B9">
      <w:pPr>
        <w:spacing w:after="160" w:line="259" w:lineRule="auto"/>
        <w:jc w:val="left"/>
        <w:rPr>
          <w:b/>
          <w:lang w:val="en-AU"/>
        </w:rPr>
      </w:pPr>
      <w:r>
        <w:rPr>
          <w:lang w:val="en-AU"/>
        </w:rPr>
        <w:br w:type="page"/>
      </w:r>
    </w:p>
    <w:p w14:paraId="06B03D81" w14:textId="5F419A9F" w:rsidR="00F35727" w:rsidRPr="00C85CED" w:rsidRDefault="00BB22F6" w:rsidP="00D41697">
      <w:pPr>
        <w:pStyle w:val="Heading3"/>
        <w:rPr>
          <w:rFonts w:eastAsiaTheme="minorHAnsi" w:cstheme="minorBidi"/>
          <w:szCs w:val="22"/>
          <w:lang w:val="en-AU"/>
        </w:rPr>
      </w:pPr>
      <w:r w:rsidRPr="00C85CED">
        <w:rPr>
          <w:rFonts w:eastAsiaTheme="minorHAnsi" w:cstheme="minorBidi"/>
          <w:szCs w:val="22"/>
          <w:lang w:val="en-AU"/>
        </w:rPr>
        <w:lastRenderedPageBreak/>
        <w:t>Table 3:</w:t>
      </w:r>
      <w:r w:rsidRPr="00C85CED">
        <w:rPr>
          <w:rFonts w:eastAsiaTheme="minorHAnsi" w:cstheme="minorBidi"/>
          <w:szCs w:val="22"/>
          <w:lang w:val="en-AU"/>
        </w:rPr>
        <w:tab/>
        <w:t>Summary of Regional Disease Responses in VOYAGE 1 and VOYAGE 2</w:t>
      </w:r>
    </w:p>
    <w:tbl>
      <w:tblPr>
        <w:tblW w:w="9260" w:type="dxa"/>
        <w:tblInd w:w="125" w:type="dxa"/>
        <w:tblLayout w:type="fixed"/>
        <w:tblCellMar>
          <w:left w:w="0" w:type="dxa"/>
          <w:right w:w="0" w:type="dxa"/>
        </w:tblCellMar>
        <w:tblLook w:val="01E0" w:firstRow="1" w:lastRow="1" w:firstColumn="1" w:lastColumn="1" w:noHBand="0" w:noVBand="0"/>
      </w:tblPr>
      <w:tblGrid>
        <w:gridCol w:w="1652"/>
        <w:gridCol w:w="1167"/>
        <w:gridCol w:w="1335"/>
        <w:gridCol w:w="1383"/>
        <w:gridCol w:w="1037"/>
        <w:gridCol w:w="1334"/>
        <w:gridCol w:w="1352"/>
      </w:tblGrid>
      <w:tr w:rsidR="00995B57" w:rsidRPr="003B3268" w14:paraId="2C321568" w14:textId="032B5A61" w:rsidTr="00FE36FE">
        <w:trPr>
          <w:trHeight w:hRule="exact" w:val="256"/>
        </w:trPr>
        <w:tc>
          <w:tcPr>
            <w:tcW w:w="1652" w:type="dxa"/>
            <w:vMerge w:val="restart"/>
            <w:tcBorders>
              <w:top w:val="single" w:sz="4" w:space="0" w:color="auto"/>
              <w:left w:val="single" w:sz="4" w:space="0" w:color="auto"/>
              <w:bottom w:val="single" w:sz="4" w:space="0" w:color="auto"/>
              <w:right w:val="single" w:sz="4" w:space="0" w:color="auto"/>
            </w:tcBorders>
          </w:tcPr>
          <w:p w14:paraId="271FF69B" w14:textId="0A7D5D99" w:rsidR="00995B57" w:rsidRPr="003B3268" w:rsidRDefault="00995B57" w:rsidP="00FE36FE">
            <w:pPr>
              <w:spacing w:after="0"/>
              <w:rPr>
                <w:rFonts w:cs="Arial"/>
                <w:sz w:val="20"/>
                <w:szCs w:val="20"/>
                <w:lang w:val="en-AU"/>
              </w:rPr>
            </w:pPr>
          </w:p>
        </w:tc>
        <w:tc>
          <w:tcPr>
            <w:tcW w:w="3885" w:type="dxa"/>
            <w:gridSpan w:val="3"/>
            <w:tcBorders>
              <w:top w:val="single" w:sz="4" w:space="0" w:color="auto"/>
              <w:left w:val="single" w:sz="4" w:space="0" w:color="auto"/>
              <w:bottom w:val="single" w:sz="4" w:space="0" w:color="auto"/>
              <w:right w:val="single" w:sz="7" w:space="0" w:color="000000"/>
            </w:tcBorders>
            <w:vAlign w:val="center"/>
          </w:tcPr>
          <w:p w14:paraId="7CDBFD17" w14:textId="489F769D" w:rsidR="00995B57" w:rsidRPr="003B3268" w:rsidRDefault="00995B57" w:rsidP="00FE36FE">
            <w:pPr>
              <w:spacing w:after="0"/>
              <w:jc w:val="center"/>
              <w:rPr>
                <w:rFonts w:cs="Arial"/>
                <w:sz w:val="20"/>
                <w:szCs w:val="20"/>
                <w:lang w:val="en-AU"/>
              </w:rPr>
            </w:pPr>
            <w:r w:rsidRPr="003B3268">
              <w:rPr>
                <w:rFonts w:cs="Arial"/>
                <w:spacing w:val="-1"/>
                <w:sz w:val="20"/>
                <w:szCs w:val="20"/>
                <w:u w:val="single" w:color="000000"/>
                <w:lang w:val="en-AU"/>
              </w:rPr>
              <w:t>VOYAGE</w:t>
            </w:r>
            <w:r w:rsidRPr="003B3268">
              <w:rPr>
                <w:rFonts w:cs="Arial"/>
                <w:spacing w:val="-11"/>
                <w:sz w:val="20"/>
                <w:szCs w:val="20"/>
                <w:u w:val="single" w:color="000000"/>
                <w:lang w:val="en-AU"/>
              </w:rPr>
              <w:t xml:space="preserve"> </w:t>
            </w:r>
            <w:r w:rsidRPr="003B3268">
              <w:rPr>
                <w:rFonts w:cs="Arial"/>
                <w:sz w:val="20"/>
                <w:szCs w:val="20"/>
                <w:u w:val="single" w:color="000000"/>
                <w:lang w:val="en-AU"/>
              </w:rPr>
              <w:t>1</w:t>
            </w:r>
          </w:p>
        </w:tc>
        <w:tc>
          <w:tcPr>
            <w:tcW w:w="3723" w:type="dxa"/>
            <w:gridSpan w:val="3"/>
            <w:tcBorders>
              <w:top w:val="single" w:sz="4" w:space="0" w:color="auto"/>
              <w:left w:val="single" w:sz="7" w:space="0" w:color="000000"/>
              <w:bottom w:val="single" w:sz="4" w:space="0" w:color="auto"/>
              <w:right w:val="single" w:sz="4" w:space="0" w:color="auto"/>
            </w:tcBorders>
            <w:vAlign w:val="center"/>
          </w:tcPr>
          <w:p w14:paraId="5B5021EB" w14:textId="536FCD7F" w:rsidR="00995B57" w:rsidRPr="003B3268" w:rsidRDefault="00995B57" w:rsidP="00FE36FE">
            <w:pPr>
              <w:spacing w:after="0"/>
              <w:jc w:val="center"/>
              <w:rPr>
                <w:rFonts w:cs="Arial"/>
                <w:sz w:val="20"/>
                <w:szCs w:val="20"/>
                <w:lang w:val="en-AU"/>
              </w:rPr>
            </w:pPr>
            <w:r w:rsidRPr="003B3268">
              <w:rPr>
                <w:rFonts w:cs="Arial"/>
                <w:spacing w:val="-1"/>
                <w:sz w:val="20"/>
                <w:szCs w:val="20"/>
                <w:u w:val="single" w:color="000000"/>
                <w:lang w:val="en-AU"/>
              </w:rPr>
              <w:t>VOYAGE</w:t>
            </w:r>
            <w:r w:rsidRPr="003B3268">
              <w:rPr>
                <w:rFonts w:cs="Arial"/>
                <w:spacing w:val="-11"/>
                <w:sz w:val="20"/>
                <w:szCs w:val="20"/>
                <w:u w:val="single" w:color="000000"/>
                <w:lang w:val="en-AU"/>
              </w:rPr>
              <w:t xml:space="preserve"> </w:t>
            </w:r>
            <w:r w:rsidRPr="003B3268">
              <w:rPr>
                <w:rFonts w:cs="Arial"/>
                <w:sz w:val="20"/>
                <w:szCs w:val="20"/>
                <w:u w:val="single" w:color="000000"/>
                <w:lang w:val="en-AU"/>
              </w:rPr>
              <w:t>2</w:t>
            </w:r>
          </w:p>
        </w:tc>
      </w:tr>
      <w:tr w:rsidR="005E73A0" w:rsidRPr="003B3268" w14:paraId="4C099830" w14:textId="70C35236" w:rsidTr="00FE36FE">
        <w:trPr>
          <w:trHeight w:hRule="exact" w:val="266"/>
        </w:trPr>
        <w:tc>
          <w:tcPr>
            <w:tcW w:w="1652" w:type="dxa"/>
            <w:vMerge/>
            <w:tcBorders>
              <w:top w:val="single" w:sz="4" w:space="0" w:color="auto"/>
              <w:left w:val="single" w:sz="4" w:space="0" w:color="auto"/>
              <w:bottom w:val="single" w:sz="4" w:space="0" w:color="000000"/>
              <w:right w:val="single" w:sz="4" w:space="0" w:color="auto"/>
            </w:tcBorders>
          </w:tcPr>
          <w:p w14:paraId="186BF2E0" w14:textId="3136FB87" w:rsidR="006D21C6" w:rsidRPr="003B3268" w:rsidRDefault="006D21C6" w:rsidP="00FE36FE">
            <w:pPr>
              <w:spacing w:after="0"/>
              <w:rPr>
                <w:rFonts w:cs="Arial"/>
                <w:sz w:val="20"/>
                <w:szCs w:val="20"/>
                <w:lang w:val="en-AU"/>
              </w:rPr>
            </w:pPr>
          </w:p>
        </w:tc>
        <w:tc>
          <w:tcPr>
            <w:tcW w:w="1167" w:type="dxa"/>
            <w:tcBorders>
              <w:top w:val="single" w:sz="4" w:space="0" w:color="auto"/>
              <w:left w:val="single" w:sz="4" w:space="0" w:color="auto"/>
              <w:bottom w:val="single" w:sz="4" w:space="0" w:color="000000"/>
              <w:right w:val="single" w:sz="6" w:space="0" w:color="000000"/>
            </w:tcBorders>
            <w:vAlign w:val="center"/>
          </w:tcPr>
          <w:p w14:paraId="005148C8" w14:textId="5EC4E7DD" w:rsidR="006D21C6" w:rsidRPr="00C85CED" w:rsidRDefault="006D21C6" w:rsidP="00FE36FE">
            <w:pPr>
              <w:pStyle w:val="TableParagraph"/>
              <w:ind w:left="63"/>
              <w:jc w:val="center"/>
              <w:rPr>
                <w:rFonts w:ascii="Arial" w:eastAsia="Times New Roman" w:hAnsi="Arial" w:cs="Arial"/>
                <w:sz w:val="20"/>
                <w:szCs w:val="20"/>
              </w:rPr>
            </w:pPr>
            <w:r w:rsidRPr="00C85CED">
              <w:rPr>
                <w:rFonts w:ascii="Arial" w:hAnsi="Arial" w:cs="Arial"/>
                <w:spacing w:val="-1"/>
                <w:sz w:val="20"/>
                <w:szCs w:val="20"/>
              </w:rPr>
              <w:t>Placebo</w:t>
            </w:r>
          </w:p>
        </w:tc>
        <w:tc>
          <w:tcPr>
            <w:tcW w:w="1335" w:type="dxa"/>
            <w:tcBorders>
              <w:top w:val="single" w:sz="4" w:space="0" w:color="auto"/>
              <w:left w:val="single" w:sz="6" w:space="0" w:color="000000"/>
              <w:bottom w:val="single" w:sz="4" w:space="0" w:color="000000"/>
              <w:right w:val="single" w:sz="7" w:space="0" w:color="000000"/>
            </w:tcBorders>
            <w:vAlign w:val="center"/>
          </w:tcPr>
          <w:p w14:paraId="4961C61F" w14:textId="4CBA37AC" w:rsidR="006D21C6" w:rsidRPr="00C85CED" w:rsidRDefault="006D21C6" w:rsidP="00FE36FE">
            <w:pPr>
              <w:pStyle w:val="TableParagraph"/>
              <w:ind w:left="132"/>
              <w:jc w:val="center"/>
              <w:rPr>
                <w:rFonts w:ascii="Arial" w:eastAsia="Times New Roman" w:hAnsi="Arial" w:cs="Arial"/>
                <w:sz w:val="20"/>
                <w:szCs w:val="20"/>
              </w:rPr>
            </w:pPr>
            <w:proofErr w:type="spellStart"/>
            <w:r w:rsidRPr="00C85CED">
              <w:rPr>
                <w:rFonts w:ascii="Arial" w:hAnsi="Arial" w:cs="Arial"/>
                <w:spacing w:val="-1"/>
                <w:sz w:val="20"/>
                <w:szCs w:val="20"/>
              </w:rPr>
              <w:t>Guselkumab</w:t>
            </w:r>
            <w:proofErr w:type="spellEnd"/>
          </w:p>
        </w:tc>
        <w:tc>
          <w:tcPr>
            <w:tcW w:w="1383" w:type="dxa"/>
            <w:tcBorders>
              <w:top w:val="single" w:sz="4" w:space="0" w:color="auto"/>
              <w:left w:val="single" w:sz="7" w:space="0" w:color="000000"/>
              <w:bottom w:val="single" w:sz="4" w:space="0" w:color="000000"/>
              <w:right w:val="single" w:sz="7" w:space="0" w:color="000000"/>
            </w:tcBorders>
            <w:vAlign w:val="center"/>
          </w:tcPr>
          <w:p w14:paraId="46FA6635" w14:textId="77B6F98B" w:rsidR="006D21C6" w:rsidRPr="00C85CED" w:rsidRDefault="006D21C6" w:rsidP="00FE36FE">
            <w:pPr>
              <w:pStyle w:val="TableParagraph"/>
              <w:ind w:left="147"/>
              <w:jc w:val="center"/>
              <w:rPr>
                <w:rFonts w:ascii="Arial" w:eastAsia="Times New Roman" w:hAnsi="Arial" w:cs="Arial"/>
                <w:sz w:val="20"/>
                <w:szCs w:val="20"/>
              </w:rPr>
            </w:pPr>
            <w:r w:rsidRPr="00C85CED">
              <w:rPr>
                <w:rFonts w:ascii="Arial" w:hAnsi="Arial" w:cs="Arial"/>
                <w:spacing w:val="-1"/>
                <w:sz w:val="20"/>
                <w:szCs w:val="20"/>
              </w:rPr>
              <w:t>Adalimumab</w:t>
            </w:r>
          </w:p>
        </w:tc>
        <w:tc>
          <w:tcPr>
            <w:tcW w:w="1037" w:type="dxa"/>
            <w:tcBorders>
              <w:top w:val="single" w:sz="4" w:space="0" w:color="auto"/>
              <w:left w:val="single" w:sz="7" w:space="0" w:color="000000"/>
              <w:bottom w:val="single" w:sz="4" w:space="0" w:color="000000"/>
              <w:right w:val="single" w:sz="7" w:space="0" w:color="000000"/>
            </w:tcBorders>
          </w:tcPr>
          <w:p w14:paraId="0F2FEA68" w14:textId="556880CB" w:rsidR="006D21C6" w:rsidRPr="00C85CED" w:rsidRDefault="006D21C6" w:rsidP="00FE36FE">
            <w:pPr>
              <w:pStyle w:val="TableParagraph"/>
              <w:ind w:left="189"/>
              <w:rPr>
                <w:rFonts w:ascii="Arial" w:eastAsia="Times New Roman" w:hAnsi="Arial" w:cs="Arial"/>
                <w:sz w:val="20"/>
                <w:szCs w:val="20"/>
              </w:rPr>
            </w:pPr>
            <w:r w:rsidRPr="00C85CED">
              <w:rPr>
                <w:rFonts w:ascii="Arial" w:hAnsi="Arial" w:cs="Arial"/>
                <w:spacing w:val="-1"/>
                <w:sz w:val="20"/>
                <w:szCs w:val="20"/>
              </w:rPr>
              <w:t>Placebo</w:t>
            </w:r>
          </w:p>
        </w:tc>
        <w:tc>
          <w:tcPr>
            <w:tcW w:w="1334" w:type="dxa"/>
            <w:tcBorders>
              <w:top w:val="single" w:sz="4" w:space="0" w:color="auto"/>
              <w:left w:val="single" w:sz="7" w:space="0" w:color="000000"/>
              <w:bottom w:val="single" w:sz="4" w:space="0" w:color="000000"/>
              <w:right w:val="nil"/>
            </w:tcBorders>
          </w:tcPr>
          <w:p w14:paraId="3C404184" w14:textId="1D5229E6" w:rsidR="006D21C6" w:rsidRPr="00C85CED" w:rsidRDefault="006D21C6" w:rsidP="00FE36FE">
            <w:pPr>
              <w:pStyle w:val="TableParagraph"/>
              <w:ind w:left="130"/>
              <w:rPr>
                <w:rFonts w:ascii="Arial" w:eastAsia="Times New Roman" w:hAnsi="Arial" w:cs="Arial"/>
                <w:sz w:val="20"/>
                <w:szCs w:val="20"/>
              </w:rPr>
            </w:pPr>
            <w:proofErr w:type="spellStart"/>
            <w:r w:rsidRPr="00C85CED">
              <w:rPr>
                <w:rFonts w:ascii="Arial" w:hAnsi="Arial" w:cs="Arial"/>
                <w:spacing w:val="-1"/>
                <w:sz w:val="20"/>
                <w:szCs w:val="20"/>
              </w:rPr>
              <w:t>Guselkumab</w:t>
            </w:r>
            <w:proofErr w:type="spellEnd"/>
          </w:p>
        </w:tc>
        <w:tc>
          <w:tcPr>
            <w:tcW w:w="1352" w:type="dxa"/>
            <w:tcBorders>
              <w:top w:val="single" w:sz="4" w:space="0" w:color="auto"/>
              <w:left w:val="nil"/>
              <w:bottom w:val="single" w:sz="4" w:space="0" w:color="000000"/>
              <w:right w:val="single" w:sz="4" w:space="0" w:color="auto"/>
            </w:tcBorders>
          </w:tcPr>
          <w:p w14:paraId="081E4577" w14:textId="403FF5BE" w:rsidR="006D21C6" w:rsidRPr="00C85CED" w:rsidRDefault="006D21C6" w:rsidP="00FE36FE">
            <w:pPr>
              <w:pStyle w:val="TableParagraph"/>
              <w:ind w:left="113"/>
              <w:rPr>
                <w:rFonts w:ascii="Arial" w:eastAsia="Times New Roman" w:hAnsi="Arial" w:cs="Arial"/>
                <w:sz w:val="20"/>
                <w:szCs w:val="20"/>
              </w:rPr>
            </w:pPr>
            <w:r w:rsidRPr="00C85CED">
              <w:rPr>
                <w:rFonts w:ascii="Arial" w:hAnsi="Arial" w:cs="Arial"/>
                <w:spacing w:val="-1"/>
                <w:sz w:val="20"/>
                <w:szCs w:val="20"/>
              </w:rPr>
              <w:t>Adalimumab</w:t>
            </w:r>
          </w:p>
        </w:tc>
      </w:tr>
      <w:tr w:rsidR="005E73A0" w:rsidRPr="003B3268" w14:paraId="2D6B782A" w14:textId="3B36E2EC" w:rsidTr="00FE36FE">
        <w:trPr>
          <w:trHeight w:hRule="exact" w:val="256"/>
        </w:trPr>
        <w:tc>
          <w:tcPr>
            <w:tcW w:w="1652" w:type="dxa"/>
            <w:tcBorders>
              <w:top w:val="single" w:sz="4" w:space="0" w:color="000000"/>
              <w:left w:val="single" w:sz="4" w:space="0" w:color="auto"/>
              <w:bottom w:val="nil"/>
              <w:right w:val="nil"/>
            </w:tcBorders>
          </w:tcPr>
          <w:p w14:paraId="30DF8988" w14:textId="1838E468" w:rsidR="006D21C6" w:rsidRPr="00C85CED" w:rsidRDefault="006D21C6" w:rsidP="00FE36FE">
            <w:pPr>
              <w:pStyle w:val="TableParagraph"/>
              <w:ind w:left="99"/>
              <w:rPr>
                <w:rFonts w:ascii="Arial" w:eastAsia="Times New Roman" w:hAnsi="Arial" w:cs="Arial"/>
                <w:sz w:val="20"/>
                <w:szCs w:val="20"/>
              </w:rPr>
            </w:pPr>
            <w:proofErr w:type="spellStart"/>
            <w:r w:rsidRPr="00C85CED">
              <w:rPr>
                <w:rFonts w:ascii="Arial" w:hAnsi="Arial" w:cs="Arial"/>
                <w:b/>
                <w:spacing w:val="-1"/>
                <w:sz w:val="20"/>
                <w:szCs w:val="20"/>
              </w:rPr>
              <w:t>ss</w:t>
            </w:r>
            <w:proofErr w:type="spellEnd"/>
            <w:r w:rsidRPr="00C85CED">
              <w:rPr>
                <w:rFonts w:ascii="Arial" w:hAnsi="Arial" w:cs="Arial"/>
                <w:b/>
                <w:spacing w:val="-1"/>
                <w:sz w:val="20"/>
                <w:szCs w:val="20"/>
              </w:rPr>
              <w:t>-IGA</w:t>
            </w:r>
            <w:r w:rsidRPr="00C85CED">
              <w:rPr>
                <w:rFonts w:ascii="Arial" w:hAnsi="Arial" w:cs="Arial"/>
                <w:b/>
                <w:spacing w:val="-11"/>
                <w:sz w:val="20"/>
                <w:szCs w:val="20"/>
              </w:rPr>
              <w:t xml:space="preserve"> </w:t>
            </w:r>
            <w:r w:rsidRPr="00C85CED">
              <w:rPr>
                <w:rFonts w:ascii="Arial" w:hAnsi="Arial" w:cs="Arial"/>
                <w:b/>
                <w:spacing w:val="-1"/>
                <w:sz w:val="20"/>
                <w:szCs w:val="20"/>
              </w:rPr>
              <w:t>(N)</w:t>
            </w:r>
            <w:r w:rsidR="0032218F" w:rsidRPr="00C85CED">
              <w:rPr>
                <w:rFonts w:ascii="Arial" w:hAnsi="Arial" w:cs="Arial"/>
                <w:b/>
                <w:spacing w:val="-1"/>
                <w:sz w:val="20"/>
                <w:szCs w:val="20"/>
                <w:vertAlign w:val="superscript"/>
              </w:rPr>
              <w:t>a</w:t>
            </w:r>
          </w:p>
        </w:tc>
        <w:tc>
          <w:tcPr>
            <w:tcW w:w="1167" w:type="dxa"/>
            <w:tcBorders>
              <w:top w:val="single" w:sz="4" w:space="0" w:color="000000"/>
              <w:left w:val="nil"/>
              <w:bottom w:val="nil"/>
              <w:right w:val="single" w:sz="4" w:space="0" w:color="auto"/>
            </w:tcBorders>
            <w:vAlign w:val="center"/>
          </w:tcPr>
          <w:p w14:paraId="0AABEF9D" w14:textId="479705A2" w:rsidR="006D21C6" w:rsidRPr="00C85CED" w:rsidRDefault="006D21C6" w:rsidP="00FE36FE">
            <w:pPr>
              <w:pStyle w:val="TableParagraph"/>
              <w:ind w:left="99"/>
              <w:jc w:val="center"/>
              <w:rPr>
                <w:rFonts w:ascii="Arial" w:eastAsia="Times New Roman" w:hAnsi="Arial" w:cs="Arial"/>
                <w:sz w:val="20"/>
                <w:szCs w:val="20"/>
              </w:rPr>
            </w:pPr>
            <w:r w:rsidRPr="00C85CED">
              <w:rPr>
                <w:rFonts w:ascii="Arial" w:hAnsi="Arial" w:cs="Arial"/>
                <w:spacing w:val="-1"/>
                <w:sz w:val="20"/>
                <w:szCs w:val="20"/>
              </w:rPr>
              <w:t>145</w:t>
            </w:r>
          </w:p>
        </w:tc>
        <w:tc>
          <w:tcPr>
            <w:tcW w:w="1335" w:type="dxa"/>
            <w:tcBorders>
              <w:top w:val="single" w:sz="4" w:space="0" w:color="000000"/>
              <w:left w:val="single" w:sz="4" w:space="0" w:color="auto"/>
              <w:bottom w:val="nil"/>
              <w:right w:val="single" w:sz="4" w:space="0" w:color="auto"/>
            </w:tcBorders>
            <w:vAlign w:val="center"/>
          </w:tcPr>
          <w:p w14:paraId="01141F46" w14:textId="687172F0" w:rsidR="006D21C6" w:rsidRPr="00C85CED" w:rsidRDefault="006D21C6" w:rsidP="00FE36FE">
            <w:pPr>
              <w:pStyle w:val="TableParagraph"/>
              <w:ind w:right="3"/>
              <w:jc w:val="center"/>
              <w:rPr>
                <w:rFonts w:ascii="Arial" w:eastAsia="Times New Roman" w:hAnsi="Arial" w:cs="Arial"/>
                <w:sz w:val="20"/>
                <w:szCs w:val="20"/>
              </w:rPr>
            </w:pPr>
            <w:r w:rsidRPr="00C85CED">
              <w:rPr>
                <w:rFonts w:ascii="Arial" w:hAnsi="Arial" w:cs="Arial"/>
                <w:sz w:val="20"/>
                <w:szCs w:val="20"/>
              </w:rPr>
              <w:t>277</w:t>
            </w:r>
          </w:p>
        </w:tc>
        <w:tc>
          <w:tcPr>
            <w:tcW w:w="1383" w:type="dxa"/>
            <w:tcBorders>
              <w:top w:val="single" w:sz="4" w:space="0" w:color="000000"/>
              <w:left w:val="single" w:sz="4" w:space="0" w:color="auto"/>
              <w:bottom w:val="nil"/>
              <w:right w:val="single" w:sz="4" w:space="0" w:color="auto"/>
            </w:tcBorders>
            <w:vAlign w:val="center"/>
          </w:tcPr>
          <w:p w14:paraId="7C006D9C" w14:textId="0E706629" w:rsidR="006D21C6" w:rsidRPr="00C85CED" w:rsidRDefault="006D21C6" w:rsidP="00FE36FE">
            <w:pPr>
              <w:pStyle w:val="TableParagraph"/>
              <w:ind w:left="4"/>
              <w:jc w:val="center"/>
              <w:rPr>
                <w:rFonts w:ascii="Arial" w:eastAsia="Times New Roman" w:hAnsi="Arial" w:cs="Arial"/>
                <w:sz w:val="20"/>
                <w:szCs w:val="20"/>
              </w:rPr>
            </w:pPr>
            <w:r w:rsidRPr="00C85CED">
              <w:rPr>
                <w:rFonts w:ascii="Arial" w:hAnsi="Arial" w:cs="Arial"/>
                <w:sz w:val="20"/>
                <w:szCs w:val="20"/>
              </w:rPr>
              <w:t>286</w:t>
            </w:r>
          </w:p>
        </w:tc>
        <w:tc>
          <w:tcPr>
            <w:tcW w:w="1037" w:type="dxa"/>
            <w:tcBorders>
              <w:top w:val="single" w:sz="4" w:space="0" w:color="000000"/>
              <w:left w:val="single" w:sz="4" w:space="0" w:color="auto"/>
              <w:bottom w:val="nil"/>
              <w:right w:val="single" w:sz="4" w:space="0" w:color="auto"/>
            </w:tcBorders>
          </w:tcPr>
          <w:p w14:paraId="3779E7D2" w14:textId="2BB677F9" w:rsidR="006D21C6" w:rsidRPr="00C85CED" w:rsidRDefault="006D21C6" w:rsidP="00FE36FE">
            <w:pPr>
              <w:pStyle w:val="TableParagraph"/>
              <w:ind w:right="1"/>
              <w:jc w:val="center"/>
              <w:rPr>
                <w:rFonts w:ascii="Arial" w:eastAsia="Times New Roman" w:hAnsi="Arial" w:cs="Arial"/>
                <w:sz w:val="20"/>
                <w:szCs w:val="20"/>
              </w:rPr>
            </w:pPr>
            <w:r w:rsidRPr="00C85CED">
              <w:rPr>
                <w:rFonts w:ascii="Arial" w:hAnsi="Arial" w:cs="Arial"/>
                <w:spacing w:val="-1"/>
                <w:sz w:val="20"/>
                <w:szCs w:val="20"/>
              </w:rPr>
              <w:t>202</w:t>
            </w:r>
          </w:p>
        </w:tc>
        <w:tc>
          <w:tcPr>
            <w:tcW w:w="1334" w:type="dxa"/>
            <w:tcBorders>
              <w:top w:val="single" w:sz="4" w:space="0" w:color="000000"/>
              <w:left w:val="single" w:sz="4" w:space="0" w:color="auto"/>
              <w:bottom w:val="nil"/>
              <w:right w:val="single" w:sz="4" w:space="0" w:color="auto"/>
            </w:tcBorders>
          </w:tcPr>
          <w:p w14:paraId="5ABF22C1" w14:textId="3F27AC3B" w:rsidR="006D21C6" w:rsidRPr="00C85CED" w:rsidRDefault="006D21C6" w:rsidP="00FE36FE">
            <w:pPr>
              <w:pStyle w:val="TableParagraph"/>
              <w:ind w:right="58"/>
              <w:jc w:val="center"/>
              <w:rPr>
                <w:rFonts w:ascii="Arial" w:eastAsia="Times New Roman" w:hAnsi="Arial" w:cs="Arial"/>
                <w:sz w:val="20"/>
                <w:szCs w:val="20"/>
              </w:rPr>
            </w:pPr>
            <w:r w:rsidRPr="00C85CED">
              <w:rPr>
                <w:rFonts w:ascii="Arial" w:hAnsi="Arial" w:cs="Arial"/>
                <w:spacing w:val="-1"/>
                <w:sz w:val="20"/>
                <w:szCs w:val="20"/>
              </w:rPr>
              <w:t>408</w:t>
            </w:r>
          </w:p>
        </w:tc>
        <w:tc>
          <w:tcPr>
            <w:tcW w:w="1352" w:type="dxa"/>
            <w:tcBorders>
              <w:top w:val="single" w:sz="4" w:space="0" w:color="000000"/>
              <w:left w:val="single" w:sz="4" w:space="0" w:color="auto"/>
              <w:bottom w:val="nil"/>
              <w:right w:val="single" w:sz="4" w:space="0" w:color="auto"/>
            </w:tcBorders>
          </w:tcPr>
          <w:p w14:paraId="71A51A2E" w14:textId="5DF92CC1" w:rsidR="006D21C6" w:rsidRPr="00C85CED" w:rsidRDefault="006D21C6" w:rsidP="00FE36FE">
            <w:pPr>
              <w:pStyle w:val="TableParagraph"/>
              <w:ind w:right="40"/>
              <w:jc w:val="center"/>
              <w:rPr>
                <w:rFonts w:ascii="Arial" w:eastAsia="Times New Roman" w:hAnsi="Arial" w:cs="Arial"/>
                <w:sz w:val="20"/>
                <w:szCs w:val="20"/>
              </w:rPr>
            </w:pPr>
            <w:r w:rsidRPr="00C85CED">
              <w:rPr>
                <w:rFonts w:ascii="Arial" w:hAnsi="Arial" w:cs="Arial"/>
                <w:spacing w:val="-1"/>
                <w:sz w:val="20"/>
                <w:szCs w:val="20"/>
              </w:rPr>
              <w:t>194</w:t>
            </w:r>
          </w:p>
        </w:tc>
      </w:tr>
      <w:tr w:rsidR="000F69CC" w:rsidRPr="003B3268" w14:paraId="304A845F" w14:textId="2BC3101C" w:rsidTr="00FE36FE">
        <w:trPr>
          <w:trHeight w:hRule="exact" w:val="272"/>
        </w:trPr>
        <w:tc>
          <w:tcPr>
            <w:tcW w:w="2819" w:type="dxa"/>
            <w:gridSpan w:val="2"/>
            <w:tcBorders>
              <w:top w:val="nil"/>
              <w:left w:val="single" w:sz="4" w:space="0" w:color="auto"/>
              <w:bottom w:val="nil"/>
              <w:right w:val="single" w:sz="4" w:space="0" w:color="auto"/>
            </w:tcBorders>
            <w:vAlign w:val="center"/>
          </w:tcPr>
          <w:p w14:paraId="57883B9F" w14:textId="22961D5B" w:rsidR="000F69CC" w:rsidRPr="003B3268" w:rsidRDefault="000F69CC" w:rsidP="00FE36FE">
            <w:pPr>
              <w:spacing w:after="0"/>
              <w:ind w:left="99"/>
              <w:jc w:val="left"/>
              <w:rPr>
                <w:rFonts w:cs="Arial"/>
                <w:sz w:val="20"/>
                <w:szCs w:val="20"/>
                <w:lang w:val="en-AU"/>
              </w:rPr>
            </w:pPr>
            <w:proofErr w:type="spellStart"/>
            <w:proofErr w:type="gramStart"/>
            <w:r w:rsidRPr="00C85CED">
              <w:rPr>
                <w:rFonts w:cs="Arial"/>
                <w:spacing w:val="-1"/>
                <w:sz w:val="20"/>
                <w:szCs w:val="20"/>
              </w:rPr>
              <w:t>ss</w:t>
            </w:r>
            <w:proofErr w:type="spellEnd"/>
            <w:r w:rsidRPr="00C85CED">
              <w:rPr>
                <w:rFonts w:cs="Arial"/>
                <w:spacing w:val="-1"/>
                <w:sz w:val="20"/>
                <w:szCs w:val="20"/>
              </w:rPr>
              <w:t>-IGA</w:t>
            </w:r>
            <w:proofErr w:type="gramEnd"/>
            <w:r w:rsidRPr="00C85CED">
              <w:rPr>
                <w:rFonts w:cs="Arial"/>
                <w:spacing w:val="-5"/>
                <w:sz w:val="20"/>
                <w:szCs w:val="20"/>
              </w:rPr>
              <w:t xml:space="preserve"> </w:t>
            </w:r>
            <w:r w:rsidRPr="00C85CED">
              <w:rPr>
                <w:rFonts w:cs="Arial"/>
                <w:sz w:val="20"/>
                <w:szCs w:val="20"/>
              </w:rPr>
              <w:t>0/1</w:t>
            </w:r>
            <w:r w:rsidRPr="00C85CED">
              <w:rPr>
                <w:rFonts w:cs="Arial"/>
                <w:sz w:val="20"/>
                <w:szCs w:val="20"/>
                <w:vertAlign w:val="superscript"/>
              </w:rPr>
              <w:t>b</w:t>
            </w:r>
            <w:r w:rsidRPr="00C85CED">
              <w:rPr>
                <w:rFonts w:cs="Arial"/>
                <w:sz w:val="20"/>
                <w:szCs w:val="20"/>
              </w:rPr>
              <w:t>,</w:t>
            </w:r>
            <w:r w:rsidRPr="00C85CED">
              <w:rPr>
                <w:rFonts w:cs="Arial"/>
                <w:spacing w:val="-7"/>
                <w:sz w:val="20"/>
                <w:szCs w:val="20"/>
              </w:rPr>
              <w:t xml:space="preserve"> </w:t>
            </w:r>
            <w:r w:rsidRPr="00C85CED">
              <w:rPr>
                <w:rFonts w:cs="Arial"/>
                <w:sz w:val="20"/>
                <w:szCs w:val="20"/>
              </w:rPr>
              <w:t>n</w:t>
            </w:r>
            <w:r w:rsidRPr="00C85CED">
              <w:rPr>
                <w:rFonts w:cs="Arial"/>
                <w:spacing w:val="-5"/>
                <w:sz w:val="20"/>
                <w:szCs w:val="20"/>
              </w:rPr>
              <w:t xml:space="preserve"> </w:t>
            </w:r>
            <w:r w:rsidRPr="00C85CED">
              <w:rPr>
                <w:rFonts w:cs="Arial"/>
                <w:spacing w:val="-1"/>
                <w:sz w:val="20"/>
                <w:szCs w:val="20"/>
              </w:rPr>
              <w:t>(%)</w:t>
            </w:r>
          </w:p>
        </w:tc>
        <w:tc>
          <w:tcPr>
            <w:tcW w:w="1335" w:type="dxa"/>
            <w:tcBorders>
              <w:top w:val="nil"/>
              <w:left w:val="single" w:sz="4" w:space="0" w:color="auto"/>
              <w:bottom w:val="nil"/>
              <w:right w:val="single" w:sz="4" w:space="0" w:color="auto"/>
            </w:tcBorders>
            <w:vAlign w:val="center"/>
          </w:tcPr>
          <w:p w14:paraId="20643362" w14:textId="73F10106" w:rsidR="000F69CC" w:rsidRPr="003B3268" w:rsidRDefault="000F69CC" w:rsidP="00FE36FE">
            <w:pPr>
              <w:spacing w:after="0"/>
              <w:jc w:val="center"/>
              <w:rPr>
                <w:rFonts w:cs="Arial"/>
                <w:sz w:val="20"/>
                <w:szCs w:val="20"/>
                <w:lang w:val="en-AU"/>
              </w:rPr>
            </w:pPr>
          </w:p>
        </w:tc>
        <w:tc>
          <w:tcPr>
            <w:tcW w:w="1383" w:type="dxa"/>
            <w:tcBorders>
              <w:top w:val="nil"/>
              <w:left w:val="single" w:sz="4" w:space="0" w:color="auto"/>
              <w:bottom w:val="nil"/>
              <w:right w:val="single" w:sz="4" w:space="0" w:color="auto"/>
            </w:tcBorders>
            <w:vAlign w:val="center"/>
          </w:tcPr>
          <w:p w14:paraId="3F13EA4D" w14:textId="7FC142A1" w:rsidR="000F69CC" w:rsidRPr="003B3268" w:rsidRDefault="000F69CC" w:rsidP="00FE36FE">
            <w:pPr>
              <w:spacing w:after="0"/>
              <w:jc w:val="center"/>
              <w:rPr>
                <w:rFonts w:cs="Arial"/>
                <w:sz w:val="20"/>
                <w:szCs w:val="20"/>
                <w:lang w:val="en-AU"/>
              </w:rPr>
            </w:pPr>
          </w:p>
        </w:tc>
        <w:tc>
          <w:tcPr>
            <w:tcW w:w="1037" w:type="dxa"/>
            <w:tcBorders>
              <w:top w:val="nil"/>
              <w:left w:val="single" w:sz="4" w:space="0" w:color="auto"/>
              <w:bottom w:val="nil"/>
              <w:right w:val="single" w:sz="4" w:space="0" w:color="auto"/>
            </w:tcBorders>
          </w:tcPr>
          <w:p w14:paraId="7A10728C" w14:textId="342619A5" w:rsidR="000F69CC" w:rsidRPr="003B3268" w:rsidRDefault="000F69CC" w:rsidP="00FE36FE">
            <w:pPr>
              <w:spacing w:after="0"/>
              <w:rPr>
                <w:rFonts w:cs="Arial"/>
                <w:sz w:val="20"/>
                <w:szCs w:val="20"/>
                <w:lang w:val="en-AU"/>
              </w:rPr>
            </w:pPr>
          </w:p>
        </w:tc>
        <w:tc>
          <w:tcPr>
            <w:tcW w:w="1334" w:type="dxa"/>
            <w:tcBorders>
              <w:top w:val="nil"/>
              <w:left w:val="single" w:sz="4" w:space="0" w:color="auto"/>
              <w:bottom w:val="nil"/>
              <w:right w:val="single" w:sz="4" w:space="0" w:color="auto"/>
            </w:tcBorders>
          </w:tcPr>
          <w:p w14:paraId="6407583F" w14:textId="34B28BDC" w:rsidR="000F69CC" w:rsidRPr="003B3268" w:rsidRDefault="000F69CC" w:rsidP="00FE36FE">
            <w:pPr>
              <w:spacing w:after="0"/>
              <w:rPr>
                <w:rFonts w:cs="Arial"/>
                <w:sz w:val="20"/>
                <w:szCs w:val="20"/>
                <w:lang w:val="en-AU"/>
              </w:rPr>
            </w:pPr>
          </w:p>
        </w:tc>
        <w:tc>
          <w:tcPr>
            <w:tcW w:w="1352" w:type="dxa"/>
            <w:tcBorders>
              <w:top w:val="nil"/>
              <w:left w:val="single" w:sz="4" w:space="0" w:color="auto"/>
              <w:bottom w:val="nil"/>
              <w:right w:val="single" w:sz="4" w:space="0" w:color="auto"/>
            </w:tcBorders>
          </w:tcPr>
          <w:p w14:paraId="08D15E9A" w14:textId="40AC4440" w:rsidR="000F69CC" w:rsidRPr="003B3268" w:rsidRDefault="000F69CC" w:rsidP="00FE36FE">
            <w:pPr>
              <w:spacing w:after="0"/>
              <w:rPr>
                <w:rFonts w:cs="Arial"/>
                <w:sz w:val="20"/>
                <w:szCs w:val="20"/>
                <w:lang w:val="en-AU"/>
              </w:rPr>
            </w:pPr>
          </w:p>
        </w:tc>
      </w:tr>
      <w:tr w:rsidR="005E73A0" w:rsidRPr="003B3268" w14:paraId="4E140570" w14:textId="5D53BC32" w:rsidTr="00FE36FE">
        <w:trPr>
          <w:trHeight w:hRule="exact" w:val="276"/>
        </w:trPr>
        <w:tc>
          <w:tcPr>
            <w:tcW w:w="1652" w:type="dxa"/>
            <w:tcBorders>
              <w:top w:val="nil"/>
              <w:left w:val="single" w:sz="4" w:space="0" w:color="auto"/>
              <w:bottom w:val="single" w:sz="7" w:space="0" w:color="000000"/>
              <w:right w:val="nil"/>
            </w:tcBorders>
          </w:tcPr>
          <w:p w14:paraId="697D223D" w14:textId="75092806" w:rsidR="006D21C6" w:rsidRPr="00C85CED" w:rsidRDefault="006D21C6" w:rsidP="00FE36FE">
            <w:pPr>
              <w:pStyle w:val="TableParagraph"/>
              <w:ind w:left="367"/>
              <w:rPr>
                <w:rFonts w:ascii="Arial" w:eastAsia="Times New Roman" w:hAnsi="Arial" w:cs="Arial"/>
                <w:sz w:val="20"/>
                <w:szCs w:val="20"/>
              </w:rPr>
            </w:pPr>
            <w:r w:rsidRPr="00C85CED">
              <w:rPr>
                <w:rFonts w:ascii="Arial" w:hAnsi="Arial" w:cs="Arial"/>
                <w:spacing w:val="-1"/>
                <w:sz w:val="20"/>
                <w:szCs w:val="20"/>
              </w:rPr>
              <w:t>Week</w:t>
            </w:r>
            <w:r w:rsidRPr="00C85CED">
              <w:rPr>
                <w:rFonts w:ascii="Arial" w:hAnsi="Arial" w:cs="Arial"/>
                <w:spacing w:val="-8"/>
                <w:sz w:val="20"/>
                <w:szCs w:val="20"/>
              </w:rPr>
              <w:t xml:space="preserve"> </w:t>
            </w:r>
            <w:r w:rsidRPr="00C85CED">
              <w:rPr>
                <w:rFonts w:ascii="Arial" w:hAnsi="Arial" w:cs="Arial"/>
                <w:spacing w:val="-1"/>
                <w:sz w:val="20"/>
                <w:szCs w:val="20"/>
              </w:rPr>
              <w:t>16</w:t>
            </w:r>
          </w:p>
        </w:tc>
        <w:tc>
          <w:tcPr>
            <w:tcW w:w="1167" w:type="dxa"/>
            <w:tcBorders>
              <w:top w:val="nil"/>
              <w:left w:val="nil"/>
              <w:bottom w:val="single" w:sz="7" w:space="0" w:color="000000"/>
              <w:right w:val="single" w:sz="4" w:space="0" w:color="auto"/>
            </w:tcBorders>
            <w:vAlign w:val="center"/>
          </w:tcPr>
          <w:p w14:paraId="009764AB" w14:textId="5A23B53D" w:rsidR="006D21C6" w:rsidRPr="00C85CED" w:rsidRDefault="006D21C6" w:rsidP="00FE36FE">
            <w:pPr>
              <w:pStyle w:val="TableParagraph"/>
              <w:ind w:left="15"/>
              <w:jc w:val="center"/>
              <w:rPr>
                <w:rFonts w:ascii="Arial" w:eastAsia="Times New Roman" w:hAnsi="Arial" w:cs="Arial"/>
                <w:sz w:val="20"/>
                <w:szCs w:val="20"/>
              </w:rPr>
            </w:pPr>
            <w:r w:rsidRPr="00C85CED">
              <w:rPr>
                <w:rFonts w:ascii="Arial" w:hAnsi="Arial" w:cs="Arial"/>
                <w:sz w:val="20"/>
                <w:szCs w:val="20"/>
              </w:rPr>
              <w:t>21</w:t>
            </w:r>
            <w:r w:rsidRPr="00C85CED">
              <w:rPr>
                <w:rFonts w:ascii="Arial" w:hAnsi="Arial" w:cs="Arial"/>
                <w:spacing w:val="-8"/>
                <w:sz w:val="20"/>
                <w:szCs w:val="20"/>
              </w:rPr>
              <w:t xml:space="preserve"> </w:t>
            </w:r>
            <w:r w:rsidRPr="00C85CED">
              <w:rPr>
                <w:rFonts w:ascii="Arial" w:hAnsi="Arial" w:cs="Arial"/>
                <w:spacing w:val="-1"/>
                <w:sz w:val="20"/>
                <w:szCs w:val="20"/>
              </w:rPr>
              <w:t>(14.5)</w:t>
            </w:r>
          </w:p>
        </w:tc>
        <w:tc>
          <w:tcPr>
            <w:tcW w:w="1335" w:type="dxa"/>
            <w:tcBorders>
              <w:top w:val="nil"/>
              <w:left w:val="single" w:sz="4" w:space="0" w:color="auto"/>
              <w:bottom w:val="single" w:sz="7" w:space="0" w:color="000000"/>
              <w:right w:val="single" w:sz="4" w:space="0" w:color="auto"/>
            </w:tcBorders>
            <w:vAlign w:val="center"/>
          </w:tcPr>
          <w:p w14:paraId="4AFD93D1" w14:textId="2F7CA821" w:rsidR="006D21C6" w:rsidRPr="00C85CED" w:rsidRDefault="006D21C6" w:rsidP="00FE36FE">
            <w:pPr>
              <w:pStyle w:val="TableParagraph"/>
              <w:ind w:left="187"/>
              <w:jc w:val="center"/>
              <w:rPr>
                <w:rFonts w:ascii="Arial" w:eastAsia="Times New Roman" w:hAnsi="Arial" w:cs="Arial"/>
                <w:sz w:val="20"/>
                <w:szCs w:val="20"/>
              </w:rPr>
            </w:pPr>
            <w:r w:rsidRPr="00C85CED">
              <w:rPr>
                <w:rFonts w:ascii="Arial" w:hAnsi="Arial" w:cs="Arial"/>
                <w:spacing w:val="-1"/>
                <w:sz w:val="20"/>
                <w:szCs w:val="20"/>
              </w:rPr>
              <w:t>231</w:t>
            </w:r>
            <w:r w:rsidRPr="00C85CED">
              <w:rPr>
                <w:rFonts w:ascii="Arial" w:hAnsi="Arial" w:cs="Arial"/>
                <w:spacing w:val="-8"/>
                <w:sz w:val="20"/>
                <w:szCs w:val="20"/>
              </w:rPr>
              <w:t xml:space="preserve"> </w:t>
            </w:r>
            <w:r w:rsidRPr="00C85CED">
              <w:rPr>
                <w:rFonts w:ascii="Arial" w:hAnsi="Arial" w:cs="Arial"/>
                <w:spacing w:val="-1"/>
                <w:sz w:val="20"/>
                <w:szCs w:val="20"/>
              </w:rPr>
              <w:t>(83.4)</w:t>
            </w:r>
            <w:r w:rsidR="0032218F" w:rsidRPr="00C85CED">
              <w:rPr>
                <w:rFonts w:ascii="Arial" w:hAnsi="Arial" w:cs="Arial"/>
                <w:spacing w:val="-1"/>
                <w:sz w:val="20"/>
                <w:szCs w:val="20"/>
                <w:vertAlign w:val="superscript"/>
              </w:rPr>
              <w:t>c</w:t>
            </w:r>
          </w:p>
        </w:tc>
        <w:tc>
          <w:tcPr>
            <w:tcW w:w="1383" w:type="dxa"/>
            <w:tcBorders>
              <w:top w:val="nil"/>
              <w:left w:val="single" w:sz="4" w:space="0" w:color="auto"/>
              <w:bottom w:val="single" w:sz="7" w:space="0" w:color="000000"/>
              <w:right w:val="single" w:sz="4" w:space="0" w:color="auto"/>
            </w:tcBorders>
            <w:vAlign w:val="center"/>
          </w:tcPr>
          <w:p w14:paraId="7D1C8C65" w14:textId="15FB8A6F" w:rsidR="006D21C6" w:rsidRPr="00C85CED" w:rsidRDefault="006D21C6" w:rsidP="00FE36FE">
            <w:pPr>
              <w:pStyle w:val="TableParagraph"/>
              <w:jc w:val="center"/>
              <w:rPr>
                <w:rFonts w:ascii="Arial" w:eastAsia="Times New Roman" w:hAnsi="Arial" w:cs="Arial"/>
                <w:sz w:val="20"/>
                <w:szCs w:val="20"/>
              </w:rPr>
            </w:pPr>
            <w:r w:rsidRPr="00C85CED">
              <w:rPr>
                <w:rFonts w:ascii="Arial" w:hAnsi="Arial" w:cs="Arial"/>
                <w:spacing w:val="-1"/>
                <w:sz w:val="20"/>
                <w:szCs w:val="20"/>
              </w:rPr>
              <w:t>201</w:t>
            </w:r>
            <w:r w:rsidRPr="00C85CED">
              <w:rPr>
                <w:rFonts w:ascii="Arial" w:hAnsi="Arial" w:cs="Arial"/>
                <w:spacing w:val="-8"/>
                <w:sz w:val="20"/>
                <w:szCs w:val="20"/>
              </w:rPr>
              <w:t xml:space="preserve"> </w:t>
            </w:r>
            <w:r w:rsidRPr="00C85CED">
              <w:rPr>
                <w:rFonts w:ascii="Arial" w:hAnsi="Arial" w:cs="Arial"/>
                <w:spacing w:val="-1"/>
                <w:sz w:val="20"/>
                <w:szCs w:val="20"/>
              </w:rPr>
              <w:t>(70.3)</w:t>
            </w:r>
            <w:r w:rsidR="0032218F" w:rsidRPr="00C85CED">
              <w:rPr>
                <w:rFonts w:ascii="Arial" w:hAnsi="Arial" w:cs="Arial"/>
                <w:spacing w:val="-1"/>
                <w:sz w:val="20"/>
                <w:szCs w:val="20"/>
                <w:vertAlign w:val="superscript"/>
              </w:rPr>
              <w:t>d</w:t>
            </w:r>
          </w:p>
        </w:tc>
        <w:tc>
          <w:tcPr>
            <w:tcW w:w="1037" w:type="dxa"/>
            <w:tcBorders>
              <w:top w:val="nil"/>
              <w:left w:val="single" w:sz="4" w:space="0" w:color="auto"/>
              <w:bottom w:val="single" w:sz="7" w:space="0" w:color="000000"/>
              <w:right w:val="single" w:sz="4" w:space="0" w:color="auto"/>
            </w:tcBorders>
          </w:tcPr>
          <w:p w14:paraId="4B42F155" w14:textId="1B4E3EFD" w:rsidR="006D21C6" w:rsidRPr="00C85CED" w:rsidRDefault="006D21C6" w:rsidP="00FE36FE">
            <w:pPr>
              <w:pStyle w:val="TableParagraph"/>
              <w:ind w:left="141"/>
              <w:jc w:val="center"/>
              <w:rPr>
                <w:rFonts w:ascii="Arial" w:eastAsia="Times New Roman" w:hAnsi="Arial" w:cs="Arial"/>
                <w:sz w:val="20"/>
                <w:szCs w:val="20"/>
              </w:rPr>
            </w:pPr>
            <w:r w:rsidRPr="00C85CED">
              <w:rPr>
                <w:rFonts w:ascii="Arial" w:hAnsi="Arial" w:cs="Arial"/>
                <w:sz w:val="20"/>
                <w:szCs w:val="20"/>
              </w:rPr>
              <w:t>22</w:t>
            </w:r>
            <w:r w:rsidRPr="00C85CED">
              <w:rPr>
                <w:rFonts w:ascii="Arial" w:hAnsi="Arial" w:cs="Arial"/>
                <w:spacing w:val="-8"/>
                <w:sz w:val="20"/>
                <w:szCs w:val="20"/>
              </w:rPr>
              <w:t xml:space="preserve"> </w:t>
            </w:r>
            <w:r w:rsidRPr="00C85CED">
              <w:rPr>
                <w:rFonts w:ascii="Arial" w:hAnsi="Arial" w:cs="Arial"/>
                <w:spacing w:val="-1"/>
                <w:sz w:val="20"/>
                <w:szCs w:val="20"/>
              </w:rPr>
              <w:t>(10.9)</w:t>
            </w:r>
          </w:p>
        </w:tc>
        <w:tc>
          <w:tcPr>
            <w:tcW w:w="1334" w:type="dxa"/>
            <w:tcBorders>
              <w:top w:val="nil"/>
              <w:left w:val="single" w:sz="4" w:space="0" w:color="auto"/>
              <w:bottom w:val="single" w:sz="7" w:space="0" w:color="000000"/>
              <w:right w:val="single" w:sz="4" w:space="0" w:color="auto"/>
            </w:tcBorders>
          </w:tcPr>
          <w:p w14:paraId="6231206B" w14:textId="675DBFFE" w:rsidR="006D21C6" w:rsidRPr="00C85CED" w:rsidRDefault="006D21C6" w:rsidP="00FE36FE">
            <w:pPr>
              <w:pStyle w:val="TableParagraph"/>
              <w:ind w:left="192"/>
              <w:jc w:val="center"/>
              <w:rPr>
                <w:rFonts w:ascii="Arial" w:eastAsia="Times New Roman" w:hAnsi="Arial" w:cs="Arial"/>
                <w:sz w:val="20"/>
                <w:szCs w:val="20"/>
              </w:rPr>
            </w:pPr>
            <w:r w:rsidRPr="00C85CED">
              <w:rPr>
                <w:rFonts w:ascii="Arial" w:hAnsi="Arial" w:cs="Arial"/>
                <w:spacing w:val="-1"/>
                <w:sz w:val="20"/>
                <w:szCs w:val="20"/>
              </w:rPr>
              <w:t>329</w:t>
            </w:r>
            <w:r w:rsidRPr="00C85CED">
              <w:rPr>
                <w:rFonts w:ascii="Arial" w:hAnsi="Arial" w:cs="Arial"/>
                <w:spacing w:val="-8"/>
                <w:sz w:val="20"/>
                <w:szCs w:val="20"/>
              </w:rPr>
              <w:t xml:space="preserve"> </w:t>
            </w:r>
            <w:r w:rsidRPr="00C85CED">
              <w:rPr>
                <w:rFonts w:ascii="Arial" w:hAnsi="Arial" w:cs="Arial"/>
                <w:spacing w:val="-1"/>
                <w:sz w:val="20"/>
                <w:szCs w:val="20"/>
              </w:rPr>
              <w:t>(80.6)</w:t>
            </w:r>
            <w:r w:rsidR="0032218F" w:rsidRPr="00C85CED">
              <w:rPr>
                <w:rFonts w:ascii="Arial" w:hAnsi="Arial" w:cs="Arial"/>
                <w:spacing w:val="-1"/>
                <w:sz w:val="20"/>
                <w:szCs w:val="20"/>
                <w:vertAlign w:val="superscript"/>
              </w:rPr>
              <w:t>c</w:t>
            </w:r>
          </w:p>
        </w:tc>
        <w:tc>
          <w:tcPr>
            <w:tcW w:w="1352" w:type="dxa"/>
            <w:tcBorders>
              <w:top w:val="nil"/>
              <w:left w:val="single" w:sz="4" w:space="0" w:color="auto"/>
              <w:bottom w:val="single" w:sz="7" w:space="0" w:color="000000"/>
              <w:right w:val="single" w:sz="4" w:space="0" w:color="auto"/>
            </w:tcBorders>
          </w:tcPr>
          <w:p w14:paraId="11B5A136" w14:textId="62226A45" w:rsidR="006D21C6" w:rsidRPr="00C85CED" w:rsidRDefault="006D21C6" w:rsidP="00FE36FE">
            <w:pPr>
              <w:pStyle w:val="TableParagraph"/>
              <w:ind w:left="217"/>
              <w:jc w:val="center"/>
              <w:rPr>
                <w:rFonts w:ascii="Arial" w:eastAsia="Times New Roman" w:hAnsi="Arial" w:cs="Arial"/>
                <w:sz w:val="20"/>
                <w:szCs w:val="20"/>
              </w:rPr>
            </w:pPr>
            <w:r w:rsidRPr="00C85CED">
              <w:rPr>
                <w:rFonts w:ascii="Arial" w:hAnsi="Arial" w:cs="Arial"/>
                <w:spacing w:val="-1"/>
                <w:sz w:val="20"/>
                <w:szCs w:val="20"/>
              </w:rPr>
              <w:t>130</w:t>
            </w:r>
            <w:r w:rsidRPr="00C85CED">
              <w:rPr>
                <w:rFonts w:ascii="Arial" w:hAnsi="Arial" w:cs="Arial"/>
                <w:spacing w:val="-8"/>
                <w:sz w:val="20"/>
                <w:szCs w:val="20"/>
              </w:rPr>
              <w:t xml:space="preserve"> </w:t>
            </w:r>
            <w:r w:rsidRPr="00C85CED">
              <w:rPr>
                <w:rFonts w:ascii="Arial" w:hAnsi="Arial" w:cs="Arial"/>
                <w:spacing w:val="-1"/>
                <w:sz w:val="20"/>
                <w:szCs w:val="20"/>
              </w:rPr>
              <w:t>(67.0)</w:t>
            </w:r>
            <w:r w:rsidR="0032218F" w:rsidRPr="00C85CED">
              <w:rPr>
                <w:rFonts w:ascii="Arial" w:hAnsi="Arial" w:cs="Arial"/>
                <w:spacing w:val="-1"/>
                <w:sz w:val="20"/>
                <w:szCs w:val="20"/>
                <w:vertAlign w:val="superscript"/>
              </w:rPr>
              <w:t>d</w:t>
            </w:r>
          </w:p>
        </w:tc>
      </w:tr>
      <w:tr w:rsidR="005E73A0" w:rsidRPr="003B3268" w14:paraId="0890681B" w14:textId="3ACDA62A" w:rsidTr="00FE36FE">
        <w:trPr>
          <w:trHeight w:hRule="exact" w:val="254"/>
        </w:trPr>
        <w:tc>
          <w:tcPr>
            <w:tcW w:w="1652" w:type="dxa"/>
            <w:tcBorders>
              <w:top w:val="single" w:sz="7" w:space="0" w:color="000000"/>
              <w:left w:val="single" w:sz="4" w:space="0" w:color="auto"/>
              <w:bottom w:val="nil"/>
              <w:right w:val="nil"/>
            </w:tcBorders>
          </w:tcPr>
          <w:p w14:paraId="2494E546" w14:textId="56BB9639" w:rsidR="006D21C6" w:rsidRPr="00C85CED" w:rsidRDefault="006D21C6" w:rsidP="00FE36FE">
            <w:pPr>
              <w:pStyle w:val="TableParagraph"/>
              <w:ind w:left="99"/>
              <w:rPr>
                <w:rFonts w:ascii="Arial" w:eastAsia="Times New Roman" w:hAnsi="Arial" w:cs="Arial"/>
                <w:sz w:val="20"/>
                <w:szCs w:val="20"/>
              </w:rPr>
            </w:pPr>
            <w:proofErr w:type="spellStart"/>
            <w:r w:rsidRPr="00C85CED">
              <w:rPr>
                <w:rFonts w:ascii="Arial" w:hAnsi="Arial" w:cs="Arial"/>
                <w:b/>
                <w:spacing w:val="-1"/>
                <w:sz w:val="20"/>
                <w:szCs w:val="20"/>
              </w:rPr>
              <w:t>hf</w:t>
            </w:r>
            <w:proofErr w:type="spellEnd"/>
            <w:r w:rsidRPr="00C85CED">
              <w:rPr>
                <w:rFonts w:ascii="Arial" w:hAnsi="Arial" w:cs="Arial"/>
                <w:b/>
                <w:spacing w:val="-1"/>
                <w:sz w:val="20"/>
                <w:szCs w:val="20"/>
              </w:rPr>
              <w:t>-PGA</w:t>
            </w:r>
            <w:r w:rsidRPr="00C85CED">
              <w:rPr>
                <w:rFonts w:ascii="Arial" w:hAnsi="Arial" w:cs="Arial"/>
                <w:b/>
                <w:spacing w:val="-11"/>
                <w:sz w:val="20"/>
                <w:szCs w:val="20"/>
              </w:rPr>
              <w:t xml:space="preserve"> </w:t>
            </w:r>
            <w:r w:rsidRPr="00C85CED">
              <w:rPr>
                <w:rFonts w:ascii="Arial" w:hAnsi="Arial" w:cs="Arial"/>
                <w:b/>
                <w:spacing w:val="-1"/>
                <w:sz w:val="20"/>
                <w:szCs w:val="20"/>
              </w:rPr>
              <w:t>(N)</w:t>
            </w:r>
            <w:r w:rsidR="0032218F" w:rsidRPr="00C85CED">
              <w:rPr>
                <w:rFonts w:ascii="Arial" w:hAnsi="Arial" w:cs="Arial"/>
                <w:b/>
                <w:spacing w:val="-1"/>
                <w:sz w:val="20"/>
                <w:szCs w:val="20"/>
                <w:vertAlign w:val="superscript"/>
              </w:rPr>
              <w:t>a</w:t>
            </w:r>
          </w:p>
        </w:tc>
        <w:tc>
          <w:tcPr>
            <w:tcW w:w="1167" w:type="dxa"/>
            <w:tcBorders>
              <w:top w:val="single" w:sz="7" w:space="0" w:color="000000"/>
              <w:left w:val="nil"/>
              <w:bottom w:val="nil"/>
              <w:right w:val="single" w:sz="4" w:space="0" w:color="auto"/>
            </w:tcBorders>
            <w:vAlign w:val="center"/>
          </w:tcPr>
          <w:p w14:paraId="7F2C7BAD" w14:textId="21B1706B" w:rsidR="006D21C6" w:rsidRPr="00C85CED" w:rsidRDefault="006D21C6" w:rsidP="00FE36FE">
            <w:pPr>
              <w:pStyle w:val="TableParagraph"/>
              <w:ind w:left="99"/>
              <w:jc w:val="center"/>
              <w:rPr>
                <w:rFonts w:ascii="Arial" w:eastAsia="Times New Roman" w:hAnsi="Arial" w:cs="Arial"/>
                <w:sz w:val="20"/>
                <w:szCs w:val="20"/>
              </w:rPr>
            </w:pPr>
            <w:r w:rsidRPr="00C85CED">
              <w:rPr>
                <w:rFonts w:ascii="Arial" w:hAnsi="Arial" w:cs="Arial"/>
                <w:sz w:val="20"/>
                <w:szCs w:val="20"/>
              </w:rPr>
              <w:t>43</w:t>
            </w:r>
          </w:p>
        </w:tc>
        <w:tc>
          <w:tcPr>
            <w:tcW w:w="1335" w:type="dxa"/>
            <w:tcBorders>
              <w:top w:val="single" w:sz="7" w:space="0" w:color="000000"/>
              <w:left w:val="single" w:sz="4" w:space="0" w:color="auto"/>
              <w:bottom w:val="nil"/>
              <w:right w:val="single" w:sz="4" w:space="0" w:color="auto"/>
            </w:tcBorders>
            <w:vAlign w:val="center"/>
          </w:tcPr>
          <w:p w14:paraId="6891A676" w14:textId="40057AE1" w:rsidR="006D21C6" w:rsidRPr="00C85CED" w:rsidRDefault="006D21C6" w:rsidP="00FE36FE">
            <w:pPr>
              <w:pStyle w:val="TableParagraph"/>
              <w:ind w:right="4"/>
              <w:jc w:val="center"/>
              <w:rPr>
                <w:rFonts w:ascii="Arial" w:eastAsia="Times New Roman" w:hAnsi="Arial" w:cs="Arial"/>
                <w:sz w:val="20"/>
                <w:szCs w:val="20"/>
              </w:rPr>
            </w:pPr>
            <w:r w:rsidRPr="00C85CED">
              <w:rPr>
                <w:rFonts w:ascii="Arial" w:hAnsi="Arial" w:cs="Arial"/>
                <w:sz w:val="20"/>
                <w:szCs w:val="20"/>
              </w:rPr>
              <w:t>90</w:t>
            </w:r>
          </w:p>
        </w:tc>
        <w:tc>
          <w:tcPr>
            <w:tcW w:w="1383" w:type="dxa"/>
            <w:tcBorders>
              <w:top w:val="single" w:sz="7" w:space="0" w:color="000000"/>
              <w:left w:val="single" w:sz="4" w:space="0" w:color="auto"/>
              <w:bottom w:val="nil"/>
              <w:right w:val="single" w:sz="4" w:space="0" w:color="auto"/>
            </w:tcBorders>
            <w:vAlign w:val="center"/>
          </w:tcPr>
          <w:p w14:paraId="36ABFE92" w14:textId="38F581D2" w:rsidR="006D21C6" w:rsidRPr="00C85CED" w:rsidRDefault="006D21C6" w:rsidP="00FE36FE">
            <w:pPr>
              <w:pStyle w:val="TableParagraph"/>
              <w:ind w:left="5"/>
              <w:jc w:val="center"/>
              <w:rPr>
                <w:rFonts w:ascii="Arial" w:eastAsia="Times New Roman" w:hAnsi="Arial" w:cs="Arial"/>
                <w:sz w:val="20"/>
                <w:szCs w:val="20"/>
              </w:rPr>
            </w:pPr>
            <w:r w:rsidRPr="00C85CED">
              <w:rPr>
                <w:rFonts w:ascii="Arial" w:hAnsi="Arial" w:cs="Arial"/>
                <w:sz w:val="20"/>
                <w:szCs w:val="20"/>
              </w:rPr>
              <w:t>95</w:t>
            </w:r>
          </w:p>
        </w:tc>
        <w:tc>
          <w:tcPr>
            <w:tcW w:w="1037" w:type="dxa"/>
            <w:tcBorders>
              <w:top w:val="single" w:sz="7" w:space="0" w:color="000000"/>
              <w:left w:val="single" w:sz="4" w:space="0" w:color="auto"/>
              <w:bottom w:val="nil"/>
              <w:right w:val="single" w:sz="4" w:space="0" w:color="auto"/>
            </w:tcBorders>
          </w:tcPr>
          <w:p w14:paraId="7F51EA9F" w14:textId="4320BBA6" w:rsidR="006D21C6" w:rsidRPr="00C85CED" w:rsidRDefault="006D21C6" w:rsidP="00FE36FE">
            <w:pPr>
              <w:pStyle w:val="TableParagraph"/>
              <w:jc w:val="center"/>
              <w:rPr>
                <w:rFonts w:ascii="Arial" w:eastAsia="Times New Roman" w:hAnsi="Arial" w:cs="Arial"/>
                <w:sz w:val="20"/>
                <w:szCs w:val="20"/>
              </w:rPr>
            </w:pPr>
            <w:r w:rsidRPr="00C85CED">
              <w:rPr>
                <w:rFonts w:ascii="Arial" w:hAnsi="Arial" w:cs="Arial"/>
                <w:sz w:val="20"/>
                <w:szCs w:val="20"/>
              </w:rPr>
              <w:t>63</w:t>
            </w:r>
          </w:p>
        </w:tc>
        <w:tc>
          <w:tcPr>
            <w:tcW w:w="1334" w:type="dxa"/>
            <w:tcBorders>
              <w:top w:val="single" w:sz="7" w:space="0" w:color="000000"/>
              <w:left w:val="single" w:sz="4" w:space="0" w:color="auto"/>
              <w:bottom w:val="nil"/>
              <w:right w:val="single" w:sz="4" w:space="0" w:color="auto"/>
            </w:tcBorders>
          </w:tcPr>
          <w:p w14:paraId="04A2CFD3" w14:textId="737B5540" w:rsidR="006D21C6" w:rsidRPr="00C85CED" w:rsidRDefault="006D21C6" w:rsidP="00FE36FE">
            <w:pPr>
              <w:pStyle w:val="TableParagraph"/>
              <w:ind w:right="36"/>
              <w:jc w:val="center"/>
              <w:rPr>
                <w:rFonts w:ascii="Arial" w:eastAsia="Times New Roman" w:hAnsi="Arial" w:cs="Arial"/>
                <w:sz w:val="20"/>
                <w:szCs w:val="20"/>
              </w:rPr>
            </w:pPr>
            <w:r w:rsidRPr="00C85CED">
              <w:rPr>
                <w:rFonts w:ascii="Arial" w:hAnsi="Arial" w:cs="Arial"/>
                <w:spacing w:val="-1"/>
                <w:sz w:val="20"/>
                <w:szCs w:val="20"/>
              </w:rPr>
              <w:t>114</w:t>
            </w:r>
          </w:p>
        </w:tc>
        <w:tc>
          <w:tcPr>
            <w:tcW w:w="1352" w:type="dxa"/>
            <w:tcBorders>
              <w:top w:val="single" w:sz="7" w:space="0" w:color="000000"/>
              <w:left w:val="single" w:sz="4" w:space="0" w:color="auto"/>
              <w:bottom w:val="nil"/>
              <w:right w:val="single" w:sz="4" w:space="0" w:color="auto"/>
            </w:tcBorders>
          </w:tcPr>
          <w:p w14:paraId="750B8114" w14:textId="70AD1363" w:rsidR="006D21C6" w:rsidRPr="00C85CED" w:rsidRDefault="006D21C6" w:rsidP="00FE36FE">
            <w:pPr>
              <w:pStyle w:val="TableParagraph"/>
              <w:ind w:left="35"/>
              <w:jc w:val="center"/>
              <w:rPr>
                <w:rFonts w:ascii="Arial" w:eastAsia="Times New Roman" w:hAnsi="Arial" w:cs="Arial"/>
                <w:sz w:val="20"/>
                <w:szCs w:val="20"/>
              </w:rPr>
            </w:pPr>
            <w:r w:rsidRPr="00C85CED">
              <w:rPr>
                <w:rFonts w:ascii="Arial" w:hAnsi="Arial" w:cs="Arial"/>
                <w:sz w:val="20"/>
                <w:szCs w:val="20"/>
              </w:rPr>
              <w:t>56</w:t>
            </w:r>
          </w:p>
        </w:tc>
      </w:tr>
      <w:tr w:rsidR="000F69CC" w:rsidRPr="003B3268" w14:paraId="51E42C4A" w14:textId="7B480278" w:rsidTr="00FE36FE">
        <w:trPr>
          <w:trHeight w:hRule="exact" w:val="311"/>
        </w:trPr>
        <w:tc>
          <w:tcPr>
            <w:tcW w:w="2819" w:type="dxa"/>
            <w:gridSpan w:val="2"/>
            <w:tcBorders>
              <w:top w:val="nil"/>
              <w:left w:val="single" w:sz="4" w:space="0" w:color="auto"/>
              <w:bottom w:val="nil"/>
              <w:right w:val="single" w:sz="4" w:space="0" w:color="auto"/>
            </w:tcBorders>
            <w:vAlign w:val="center"/>
          </w:tcPr>
          <w:p w14:paraId="3382B24C" w14:textId="67A94F6F" w:rsidR="000F69CC" w:rsidRPr="003B3268" w:rsidRDefault="000F69CC" w:rsidP="00FE36FE">
            <w:pPr>
              <w:spacing w:after="0"/>
              <w:ind w:left="99"/>
              <w:jc w:val="left"/>
              <w:rPr>
                <w:rFonts w:cs="Arial"/>
                <w:sz w:val="20"/>
                <w:szCs w:val="20"/>
                <w:lang w:val="en-AU"/>
              </w:rPr>
            </w:pPr>
            <w:proofErr w:type="spellStart"/>
            <w:proofErr w:type="gramStart"/>
            <w:r w:rsidRPr="00C85CED">
              <w:rPr>
                <w:rFonts w:cs="Arial"/>
                <w:spacing w:val="-1"/>
                <w:sz w:val="20"/>
                <w:szCs w:val="20"/>
              </w:rPr>
              <w:t>hf</w:t>
            </w:r>
            <w:proofErr w:type="spellEnd"/>
            <w:r w:rsidRPr="00C85CED">
              <w:rPr>
                <w:rFonts w:cs="Arial"/>
                <w:spacing w:val="-1"/>
                <w:sz w:val="20"/>
                <w:szCs w:val="20"/>
              </w:rPr>
              <w:t>-PGA</w:t>
            </w:r>
            <w:proofErr w:type="gramEnd"/>
            <w:r w:rsidRPr="00C85CED">
              <w:rPr>
                <w:rFonts w:cs="Arial"/>
                <w:spacing w:val="-6"/>
                <w:sz w:val="20"/>
                <w:szCs w:val="20"/>
              </w:rPr>
              <w:t xml:space="preserve"> </w:t>
            </w:r>
            <w:r w:rsidRPr="00C85CED">
              <w:rPr>
                <w:rFonts w:cs="Arial"/>
                <w:sz w:val="20"/>
                <w:szCs w:val="20"/>
              </w:rPr>
              <w:t>0/1</w:t>
            </w:r>
            <w:r w:rsidRPr="00C85CED">
              <w:rPr>
                <w:rFonts w:cs="Arial"/>
                <w:sz w:val="20"/>
                <w:szCs w:val="20"/>
                <w:vertAlign w:val="superscript"/>
              </w:rPr>
              <w:t>b</w:t>
            </w:r>
            <w:r w:rsidRPr="00C85CED">
              <w:rPr>
                <w:rFonts w:cs="Arial"/>
                <w:sz w:val="20"/>
                <w:szCs w:val="20"/>
              </w:rPr>
              <w:t>,</w:t>
            </w:r>
            <w:r w:rsidRPr="00C85CED">
              <w:rPr>
                <w:rFonts w:cs="Arial"/>
                <w:spacing w:val="-6"/>
                <w:sz w:val="20"/>
                <w:szCs w:val="20"/>
              </w:rPr>
              <w:t xml:space="preserve"> </w:t>
            </w:r>
            <w:r w:rsidRPr="00C85CED">
              <w:rPr>
                <w:rFonts w:cs="Arial"/>
                <w:sz w:val="20"/>
                <w:szCs w:val="20"/>
              </w:rPr>
              <w:t>n</w:t>
            </w:r>
            <w:r w:rsidRPr="00C85CED">
              <w:rPr>
                <w:rFonts w:cs="Arial"/>
                <w:spacing w:val="-6"/>
                <w:sz w:val="20"/>
                <w:szCs w:val="20"/>
              </w:rPr>
              <w:t xml:space="preserve"> </w:t>
            </w:r>
            <w:r w:rsidRPr="00C85CED">
              <w:rPr>
                <w:rFonts w:cs="Arial"/>
                <w:spacing w:val="-1"/>
                <w:sz w:val="20"/>
                <w:szCs w:val="20"/>
              </w:rPr>
              <w:t>(%)</w:t>
            </w:r>
          </w:p>
        </w:tc>
        <w:tc>
          <w:tcPr>
            <w:tcW w:w="1335" w:type="dxa"/>
            <w:tcBorders>
              <w:top w:val="nil"/>
              <w:left w:val="single" w:sz="4" w:space="0" w:color="auto"/>
              <w:bottom w:val="nil"/>
              <w:right w:val="single" w:sz="4" w:space="0" w:color="auto"/>
            </w:tcBorders>
            <w:vAlign w:val="center"/>
          </w:tcPr>
          <w:p w14:paraId="37FED7DD" w14:textId="655932C2" w:rsidR="000F69CC" w:rsidRPr="003B3268" w:rsidRDefault="000F69CC" w:rsidP="00FE36FE">
            <w:pPr>
              <w:spacing w:after="0"/>
              <w:jc w:val="center"/>
              <w:rPr>
                <w:rFonts w:cs="Arial"/>
                <w:sz w:val="20"/>
                <w:szCs w:val="20"/>
                <w:lang w:val="en-AU"/>
              </w:rPr>
            </w:pPr>
          </w:p>
        </w:tc>
        <w:tc>
          <w:tcPr>
            <w:tcW w:w="1383" w:type="dxa"/>
            <w:tcBorders>
              <w:top w:val="nil"/>
              <w:left w:val="single" w:sz="4" w:space="0" w:color="auto"/>
              <w:bottom w:val="nil"/>
              <w:right w:val="single" w:sz="4" w:space="0" w:color="auto"/>
            </w:tcBorders>
            <w:vAlign w:val="center"/>
          </w:tcPr>
          <w:p w14:paraId="46AC1359" w14:textId="29FD29B9" w:rsidR="000F69CC" w:rsidRPr="003B3268" w:rsidRDefault="000F69CC" w:rsidP="00FE36FE">
            <w:pPr>
              <w:spacing w:after="0"/>
              <w:jc w:val="center"/>
              <w:rPr>
                <w:rFonts w:cs="Arial"/>
                <w:sz w:val="20"/>
                <w:szCs w:val="20"/>
                <w:lang w:val="en-AU"/>
              </w:rPr>
            </w:pPr>
          </w:p>
        </w:tc>
        <w:tc>
          <w:tcPr>
            <w:tcW w:w="1037" w:type="dxa"/>
            <w:tcBorders>
              <w:top w:val="nil"/>
              <w:left w:val="single" w:sz="4" w:space="0" w:color="auto"/>
              <w:bottom w:val="nil"/>
              <w:right w:val="single" w:sz="4" w:space="0" w:color="auto"/>
            </w:tcBorders>
          </w:tcPr>
          <w:p w14:paraId="526F23E8" w14:textId="70367199" w:rsidR="000F69CC" w:rsidRPr="003B3268" w:rsidRDefault="000F69CC" w:rsidP="00FE36FE">
            <w:pPr>
              <w:spacing w:after="0"/>
              <w:rPr>
                <w:rFonts w:cs="Arial"/>
                <w:sz w:val="20"/>
                <w:szCs w:val="20"/>
                <w:lang w:val="en-AU"/>
              </w:rPr>
            </w:pPr>
          </w:p>
        </w:tc>
        <w:tc>
          <w:tcPr>
            <w:tcW w:w="1334" w:type="dxa"/>
            <w:tcBorders>
              <w:top w:val="nil"/>
              <w:left w:val="single" w:sz="4" w:space="0" w:color="auto"/>
              <w:bottom w:val="nil"/>
              <w:right w:val="single" w:sz="4" w:space="0" w:color="auto"/>
            </w:tcBorders>
          </w:tcPr>
          <w:p w14:paraId="0CC16EAD" w14:textId="73B10127" w:rsidR="000F69CC" w:rsidRPr="003B3268" w:rsidRDefault="000F69CC" w:rsidP="00FE36FE">
            <w:pPr>
              <w:spacing w:after="0"/>
              <w:rPr>
                <w:rFonts w:cs="Arial"/>
                <w:sz w:val="20"/>
                <w:szCs w:val="20"/>
                <w:lang w:val="en-AU"/>
              </w:rPr>
            </w:pPr>
          </w:p>
        </w:tc>
        <w:tc>
          <w:tcPr>
            <w:tcW w:w="1352" w:type="dxa"/>
            <w:tcBorders>
              <w:top w:val="nil"/>
              <w:left w:val="single" w:sz="4" w:space="0" w:color="auto"/>
              <w:bottom w:val="nil"/>
              <w:right w:val="single" w:sz="4" w:space="0" w:color="auto"/>
            </w:tcBorders>
          </w:tcPr>
          <w:p w14:paraId="73BF8BD5" w14:textId="688617B2" w:rsidR="000F69CC" w:rsidRPr="003B3268" w:rsidRDefault="000F69CC" w:rsidP="00FE36FE">
            <w:pPr>
              <w:spacing w:after="0"/>
              <w:rPr>
                <w:rFonts w:cs="Arial"/>
                <w:sz w:val="20"/>
                <w:szCs w:val="20"/>
                <w:lang w:val="en-AU"/>
              </w:rPr>
            </w:pPr>
          </w:p>
        </w:tc>
      </w:tr>
      <w:tr w:rsidR="005E73A0" w:rsidRPr="003B3268" w14:paraId="2CDC916D" w14:textId="5D620CB2" w:rsidTr="00FE36FE">
        <w:trPr>
          <w:trHeight w:hRule="exact" w:val="276"/>
        </w:trPr>
        <w:tc>
          <w:tcPr>
            <w:tcW w:w="1652" w:type="dxa"/>
            <w:tcBorders>
              <w:top w:val="nil"/>
              <w:left w:val="single" w:sz="4" w:space="0" w:color="auto"/>
              <w:bottom w:val="single" w:sz="7" w:space="0" w:color="000000"/>
              <w:right w:val="nil"/>
            </w:tcBorders>
          </w:tcPr>
          <w:p w14:paraId="21A7F280" w14:textId="7B5D4E27" w:rsidR="006D21C6" w:rsidRPr="00C85CED" w:rsidRDefault="006D21C6" w:rsidP="00FE36FE">
            <w:pPr>
              <w:pStyle w:val="TableParagraph"/>
              <w:ind w:left="367"/>
              <w:rPr>
                <w:rFonts w:ascii="Arial" w:eastAsia="Times New Roman" w:hAnsi="Arial" w:cs="Arial"/>
                <w:sz w:val="20"/>
                <w:szCs w:val="20"/>
              </w:rPr>
            </w:pPr>
            <w:r w:rsidRPr="00C85CED">
              <w:rPr>
                <w:rFonts w:ascii="Arial" w:hAnsi="Arial" w:cs="Arial"/>
                <w:spacing w:val="-1"/>
                <w:sz w:val="20"/>
                <w:szCs w:val="20"/>
              </w:rPr>
              <w:t>Week</w:t>
            </w:r>
            <w:r w:rsidRPr="00C85CED">
              <w:rPr>
                <w:rFonts w:ascii="Arial" w:hAnsi="Arial" w:cs="Arial"/>
                <w:spacing w:val="-8"/>
                <w:sz w:val="20"/>
                <w:szCs w:val="20"/>
              </w:rPr>
              <w:t xml:space="preserve"> </w:t>
            </w:r>
            <w:r w:rsidRPr="00C85CED">
              <w:rPr>
                <w:rFonts w:ascii="Arial" w:hAnsi="Arial" w:cs="Arial"/>
                <w:spacing w:val="-1"/>
                <w:sz w:val="20"/>
                <w:szCs w:val="20"/>
              </w:rPr>
              <w:t>16</w:t>
            </w:r>
          </w:p>
        </w:tc>
        <w:tc>
          <w:tcPr>
            <w:tcW w:w="1167" w:type="dxa"/>
            <w:tcBorders>
              <w:top w:val="nil"/>
              <w:left w:val="nil"/>
              <w:bottom w:val="single" w:sz="7" w:space="0" w:color="000000"/>
              <w:right w:val="single" w:sz="4" w:space="0" w:color="auto"/>
            </w:tcBorders>
            <w:vAlign w:val="center"/>
          </w:tcPr>
          <w:p w14:paraId="430EE693" w14:textId="479E454F" w:rsidR="006D21C6" w:rsidRPr="00C85CED" w:rsidRDefault="006D21C6" w:rsidP="00FE36FE">
            <w:pPr>
              <w:pStyle w:val="TableParagraph"/>
              <w:ind w:left="63"/>
              <w:jc w:val="center"/>
              <w:rPr>
                <w:rFonts w:ascii="Arial" w:eastAsia="Times New Roman" w:hAnsi="Arial" w:cs="Arial"/>
                <w:sz w:val="20"/>
                <w:szCs w:val="20"/>
              </w:rPr>
            </w:pPr>
            <w:r w:rsidRPr="00C85CED">
              <w:rPr>
                <w:rFonts w:ascii="Arial" w:hAnsi="Arial" w:cs="Arial"/>
                <w:sz w:val="20"/>
                <w:szCs w:val="20"/>
              </w:rPr>
              <w:t>6</w:t>
            </w:r>
            <w:r w:rsidRPr="00C85CED">
              <w:rPr>
                <w:rFonts w:ascii="Arial" w:hAnsi="Arial" w:cs="Arial"/>
                <w:spacing w:val="-8"/>
                <w:sz w:val="20"/>
                <w:szCs w:val="20"/>
              </w:rPr>
              <w:t xml:space="preserve"> </w:t>
            </w:r>
            <w:r w:rsidRPr="00C85CED">
              <w:rPr>
                <w:rFonts w:ascii="Arial" w:hAnsi="Arial" w:cs="Arial"/>
                <w:sz w:val="20"/>
                <w:szCs w:val="20"/>
              </w:rPr>
              <w:t>(14.0)</w:t>
            </w:r>
          </w:p>
        </w:tc>
        <w:tc>
          <w:tcPr>
            <w:tcW w:w="1335" w:type="dxa"/>
            <w:tcBorders>
              <w:top w:val="nil"/>
              <w:left w:val="single" w:sz="4" w:space="0" w:color="auto"/>
              <w:bottom w:val="single" w:sz="7" w:space="0" w:color="000000"/>
              <w:right w:val="single" w:sz="4" w:space="0" w:color="auto"/>
            </w:tcBorders>
            <w:vAlign w:val="center"/>
          </w:tcPr>
          <w:p w14:paraId="2DB07995" w14:textId="5414EF1C" w:rsidR="006D21C6" w:rsidRPr="00C85CED" w:rsidRDefault="006D21C6" w:rsidP="00FE36FE">
            <w:pPr>
              <w:pStyle w:val="TableParagraph"/>
              <w:ind w:left="234"/>
              <w:jc w:val="center"/>
              <w:rPr>
                <w:rFonts w:ascii="Arial" w:eastAsia="Times New Roman" w:hAnsi="Arial" w:cs="Arial"/>
                <w:sz w:val="20"/>
                <w:szCs w:val="20"/>
              </w:rPr>
            </w:pPr>
            <w:r w:rsidRPr="00C85CED">
              <w:rPr>
                <w:rFonts w:ascii="Arial" w:hAnsi="Arial" w:cs="Arial"/>
                <w:sz w:val="20"/>
                <w:szCs w:val="20"/>
              </w:rPr>
              <w:t>66</w:t>
            </w:r>
            <w:r w:rsidRPr="00C85CED">
              <w:rPr>
                <w:rFonts w:ascii="Arial" w:hAnsi="Arial" w:cs="Arial"/>
                <w:spacing w:val="-8"/>
                <w:sz w:val="20"/>
                <w:szCs w:val="20"/>
              </w:rPr>
              <w:t xml:space="preserve"> </w:t>
            </w:r>
            <w:r w:rsidRPr="00C85CED">
              <w:rPr>
                <w:rFonts w:ascii="Arial" w:hAnsi="Arial" w:cs="Arial"/>
                <w:spacing w:val="-1"/>
                <w:sz w:val="20"/>
                <w:szCs w:val="20"/>
              </w:rPr>
              <w:t>(73.3)</w:t>
            </w:r>
            <w:r w:rsidR="0032218F" w:rsidRPr="00C85CED">
              <w:rPr>
                <w:rFonts w:ascii="Arial" w:hAnsi="Arial" w:cs="Arial"/>
                <w:spacing w:val="-1"/>
                <w:sz w:val="20"/>
                <w:szCs w:val="20"/>
                <w:vertAlign w:val="superscript"/>
              </w:rPr>
              <w:t>e</w:t>
            </w:r>
          </w:p>
        </w:tc>
        <w:tc>
          <w:tcPr>
            <w:tcW w:w="1383" w:type="dxa"/>
            <w:tcBorders>
              <w:top w:val="nil"/>
              <w:left w:val="single" w:sz="4" w:space="0" w:color="auto"/>
              <w:bottom w:val="single" w:sz="7" w:space="0" w:color="000000"/>
              <w:right w:val="single" w:sz="4" w:space="0" w:color="auto"/>
            </w:tcBorders>
            <w:vAlign w:val="center"/>
          </w:tcPr>
          <w:p w14:paraId="66351D59" w14:textId="26A0EF9F" w:rsidR="006D21C6" w:rsidRPr="00C85CED" w:rsidRDefault="006D21C6" w:rsidP="00FE36FE">
            <w:pPr>
              <w:pStyle w:val="TableParagraph"/>
              <w:ind w:left="264"/>
              <w:jc w:val="center"/>
              <w:rPr>
                <w:rFonts w:ascii="Arial" w:eastAsia="Times New Roman" w:hAnsi="Arial" w:cs="Arial"/>
                <w:sz w:val="20"/>
                <w:szCs w:val="20"/>
              </w:rPr>
            </w:pPr>
            <w:r w:rsidRPr="00C85CED">
              <w:rPr>
                <w:rFonts w:ascii="Arial" w:hAnsi="Arial" w:cs="Arial"/>
                <w:sz w:val="20"/>
                <w:szCs w:val="20"/>
              </w:rPr>
              <w:t>53</w:t>
            </w:r>
            <w:r w:rsidRPr="00C85CED">
              <w:rPr>
                <w:rFonts w:ascii="Arial" w:hAnsi="Arial" w:cs="Arial"/>
                <w:spacing w:val="-8"/>
                <w:sz w:val="20"/>
                <w:szCs w:val="20"/>
              </w:rPr>
              <w:t xml:space="preserve"> </w:t>
            </w:r>
            <w:r w:rsidRPr="00C85CED">
              <w:rPr>
                <w:rFonts w:ascii="Arial" w:hAnsi="Arial" w:cs="Arial"/>
                <w:spacing w:val="-1"/>
                <w:sz w:val="20"/>
                <w:szCs w:val="20"/>
              </w:rPr>
              <w:t>(55.8)</w:t>
            </w:r>
            <w:r w:rsidR="0032218F" w:rsidRPr="00C85CED">
              <w:rPr>
                <w:rFonts w:ascii="Arial" w:hAnsi="Arial" w:cs="Arial"/>
                <w:spacing w:val="-1"/>
                <w:sz w:val="20"/>
                <w:szCs w:val="20"/>
                <w:vertAlign w:val="superscript"/>
              </w:rPr>
              <w:t>d</w:t>
            </w:r>
          </w:p>
        </w:tc>
        <w:tc>
          <w:tcPr>
            <w:tcW w:w="1037" w:type="dxa"/>
            <w:tcBorders>
              <w:top w:val="nil"/>
              <w:left w:val="single" w:sz="4" w:space="0" w:color="auto"/>
              <w:bottom w:val="single" w:sz="7" w:space="0" w:color="000000"/>
              <w:right w:val="single" w:sz="4" w:space="0" w:color="auto"/>
            </w:tcBorders>
          </w:tcPr>
          <w:p w14:paraId="1EB3BF78" w14:textId="0CDC67B8" w:rsidR="006D21C6" w:rsidRPr="00C85CED" w:rsidRDefault="006D21C6" w:rsidP="00FE36FE">
            <w:pPr>
              <w:pStyle w:val="TableParagraph"/>
              <w:ind w:left="189"/>
              <w:rPr>
                <w:rFonts w:ascii="Arial" w:eastAsia="Times New Roman" w:hAnsi="Arial" w:cs="Arial"/>
                <w:sz w:val="20"/>
                <w:szCs w:val="20"/>
              </w:rPr>
            </w:pPr>
            <w:r w:rsidRPr="00C85CED">
              <w:rPr>
                <w:rFonts w:ascii="Arial" w:hAnsi="Arial" w:cs="Arial"/>
                <w:sz w:val="20"/>
                <w:szCs w:val="20"/>
              </w:rPr>
              <w:t>9</w:t>
            </w:r>
            <w:r w:rsidRPr="00C85CED">
              <w:rPr>
                <w:rFonts w:ascii="Arial" w:hAnsi="Arial" w:cs="Arial"/>
                <w:spacing w:val="-8"/>
                <w:sz w:val="20"/>
                <w:szCs w:val="20"/>
              </w:rPr>
              <w:t xml:space="preserve"> </w:t>
            </w:r>
            <w:r w:rsidRPr="00C85CED">
              <w:rPr>
                <w:rFonts w:ascii="Arial" w:hAnsi="Arial" w:cs="Arial"/>
                <w:sz w:val="20"/>
                <w:szCs w:val="20"/>
              </w:rPr>
              <w:t>(14.3)</w:t>
            </w:r>
          </w:p>
        </w:tc>
        <w:tc>
          <w:tcPr>
            <w:tcW w:w="1334" w:type="dxa"/>
            <w:tcBorders>
              <w:top w:val="nil"/>
              <w:left w:val="single" w:sz="4" w:space="0" w:color="auto"/>
              <w:bottom w:val="single" w:sz="7" w:space="0" w:color="000000"/>
              <w:right w:val="single" w:sz="4" w:space="0" w:color="auto"/>
            </w:tcBorders>
          </w:tcPr>
          <w:p w14:paraId="70C513CA" w14:textId="26461027" w:rsidR="006D21C6" w:rsidRPr="00C85CED" w:rsidRDefault="006D21C6" w:rsidP="00FE36FE">
            <w:pPr>
              <w:pStyle w:val="TableParagraph"/>
              <w:ind w:left="240"/>
              <w:rPr>
                <w:rFonts w:ascii="Arial" w:eastAsia="Times New Roman" w:hAnsi="Arial" w:cs="Arial"/>
                <w:sz w:val="20"/>
                <w:szCs w:val="20"/>
              </w:rPr>
            </w:pPr>
            <w:r w:rsidRPr="00C85CED">
              <w:rPr>
                <w:rFonts w:ascii="Arial" w:hAnsi="Arial" w:cs="Arial"/>
                <w:sz w:val="20"/>
                <w:szCs w:val="20"/>
              </w:rPr>
              <w:t>88</w:t>
            </w:r>
            <w:r w:rsidRPr="00C85CED">
              <w:rPr>
                <w:rFonts w:ascii="Arial" w:hAnsi="Arial" w:cs="Arial"/>
                <w:spacing w:val="-8"/>
                <w:sz w:val="20"/>
                <w:szCs w:val="20"/>
              </w:rPr>
              <w:t xml:space="preserve"> </w:t>
            </w:r>
            <w:r w:rsidRPr="00C85CED">
              <w:rPr>
                <w:rFonts w:ascii="Arial" w:hAnsi="Arial" w:cs="Arial"/>
                <w:spacing w:val="-1"/>
                <w:sz w:val="20"/>
                <w:szCs w:val="20"/>
              </w:rPr>
              <w:t>(77.2)</w:t>
            </w:r>
            <w:r w:rsidR="0032218F" w:rsidRPr="00C85CED">
              <w:rPr>
                <w:rFonts w:ascii="Arial" w:hAnsi="Arial" w:cs="Arial"/>
                <w:spacing w:val="-1"/>
                <w:sz w:val="20"/>
                <w:szCs w:val="20"/>
                <w:vertAlign w:val="superscript"/>
              </w:rPr>
              <w:t>e</w:t>
            </w:r>
          </w:p>
        </w:tc>
        <w:tc>
          <w:tcPr>
            <w:tcW w:w="1352" w:type="dxa"/>
            <w:tcBorders>
              <w:top w:val="nil"/>
              <w:left w:val="single" w:sz="4" w:space="0" w:color="auto"/>
              <w:bottom w:val="single" w:sz="7" w:space="0" w:color="000000"/>
              <w:right w:val="single" w:sz="4" w:space="0" w:color="auto"/>
            </w:tcBorders>
          </w:tcPr>
          <w:p w14:paraId="53952B3C" w14:textId="5D8BF5D0" w:rsidR="006D21C6" w:rsidRPr="00C85CED" w:rsidRDefault="006D21C6" w:rsidP="00FE36FE">
            <w:pPr>
              <w:pStyle w:val="TableParagraph"/>
              <w:ind w:left="264"/>
              <w:rPr>
                <w:rFonts w:ascii="Arial" w:eastAsia="Times New Roman" w:hAnsi="Arial" w:cs="Arial"/>
                <w:sz w:val="20"/>
                <w:szCs w:val="20"/>
              </w:rPr>
            </w:pPr>
            <w:r w:rsidRPr="00C85CED">
              <w:rPr>
                <w:rFonts w:ascii="Arial" w:hAnsi="Arial" w:cs="Arial"/>
                <w:sz w:val="20"/>
                <w:szCs w:val="20"/>
              </w:rPr>
              <w:t>40</w:t>
            </w:r>
            <w:r w:rsidRPr="00C85CED">
              <w:rPr>
                <w:rFonts w:ascii="Arial" w:hAnsi="Arial" w:cs="Arial"/>
                <w:spacing w:val="-8"/>
                <w:sz w:val="20"/>
                <w:szCs w:val="20"/>
              </w:rPr>
              <w:t xml:space="preserve"> </w:t>
            </w:r>
            <w:r w:rsidRPr="00C85CED">
              <w:rPr>
                <w:rFonts w:ascii="Arial" w:hAnsi="Arial" w:cs="Arial"/>
                <w:spacing w:val="-1"/>
                <w:sz w:val="20"/>
                <w:szCs w:val="20"/>
              </w:rPr>
              <w:t>(71.4)</w:t>
            </w:r>
            <w:r w:rsidR="0032218F" w:rsidRPr="00C85CED">
              <w:rPr>
                <w:rFonts w:ascii="Arial" w:hAnsi="Arial" w:cs="Arial"/>
                <w:spacing w:val="-1"/>
                <w:sz w:val="20"/>
                <w:szCs w:val="20"/>
                <w:vertAlign w:val="superscript"/>
              </w:rPr>
              <w:t>d</w:t>
            </w:r>
          </w:p>
        </w:tc>
      </w:tr>
      <w:tr w:rsidR="005E73A0" w:rsidRPr="003B3268" w14:paraId="190A993C" w14:textId="737D103A" w:rsidTr="00FE36FE">
        <w:trPr>
          <w:trHeight w:hRule="exact" w:val="253"/>
        </w:trPr>
        <w:tc>
          <w:tcPr>
            <w:tcW w:w="1652" w:type="dxa"/>
            <w:tcBorders>
              <w:top w:val="single" w:sz="7" w:space="0" w:color="000000"/>
              <w:left w:val="single" w:sz="4" w:space="0" w:color="auto"/>
              <w:bottom w:val="nil"/>
              <w:right w:val="nil"/>
            </w:tcBorders>
          </w:tcPr>
          <w:p w14:paraId="08D8BA7D" w14:textId="4F527B9B" w:rsidR="006D21C6" w:rsidRPr="00C85CED" w:rsidRDefault="006D21C6" w:rsidP="00FE36FE">
            <w:pPr>
              <w:pStyle w:val="TableParagraph"/>
              <w:ind w:left="99"/>
              <w:rPr>
                <w:rFonts w:ascii="Arial" w:eastAsia="Times New Roman" w:hAnsi="Arial" w:cs="Arial"/>
                <w:sz w:val="20"/>
                <w:szCs w:val="20"/>
              </w:rPr>
            </w:pPr>
            <w:r w:rsidRPr="00C85CED">
              <w:rPr>
                <w:rFonts w:ascii="Arial" w:hAnsi="Arial" w:cs="Arial"/>
                <w:b/>
                <w:spacing w:val="-1"/>
                <w:sz w:val="20"/>
                <w:szCs w:val="20"/>
              </w:rPr>
              <w:t>f-PGA</w:t>
            </w:r>
            <w:r w:rsidRPr="00C85CED">
              <w:rPr>
                <w:rFonts w:ascii="Arial" w:hAnsi="Arial" w:cs="Arial"/>
                <w:b/>
                <w:spacing w:val="-8"/>
                <w:sz w:val="20"/>
                <w:szCs w:val="20"/>
              </w:rPr>
              <w:t xml:space="preserve"> </w:t>
            </w:r>
            <w:r w:rsidRPr="00C85CED">
              <w:rPr>
                <w:rFonts w:ascii="Arial" w:hAnsi="Arial" w:cs="Arial"/>
                <w:b/>
                <w:spacing w:val="-1"/>
                <w:sz w:val="20"/>
                <w:szCs w:val="20"/>
              </w:rPr>
              <w:t>(N)</w:t>
            </w:r>
            <w:r w:rsidR="0032218F" w:rsidRPr="00C85CED">
              <w:rPr>
                <w:rFonts w:ascii="Arial" w:hAnsi="Arial" w:cs="Arial"/>
                <w:b/>
                <w:spacing w:val="-1"/>
                <w:sz w:val="20"/>
                <w:szCs w:val="20"/>
                <w:vertAlign w:val="superscript"/>
              </w:rPr>
              <w:t>a</w:t>
            </w:r>
          </w:p>
        </w:tc>
        <w:tc>
          <w:tcPr>
            <w:tcW w:w="1167" w:type="dxa"/>
            <w:tcBorders>
              <w:top w:val="single" w:sz="7" w:space="0" w:color="000000"/>
              <w:left w:val="nil"/>
              <w:bottom w:val="nil"/>
              <w:right w:val="single" w:sz="4" w:space="0" w:color="auto"/>
            </w:tcBorders>
            <w:vAlign w:val="center"/>
          </w:tcPr>
          <w:p w14:paraId="7D7710C4" w14:textId="46499CDC" w:rsidR="006D21C6" w:rsidRPr="00C85CED" w:rsidRDefault="006D21C6" w:rsidP="00FE36FE">
            <w:pPr>
              <w:pStyle w:val="TableParagraph"/>
              <w:ind w:left="266"/>
              <w:jc w:val="center"/>
              <w:rPr>
                <w:rFonts w:ascii="Arial" w:eastAsia="Times New Roman" w:hAnsi="Arial" w:cs="Arial"/>
                <w:sz w:val="20"/>
                <w:szCs w:val="20"/>
              </w:rPr>
            </w:pPr>
            <w:r w:rsidRPr="00C85CED">
              <w:rPr>
                <w:rFonts w:ascii="Arial" w:hAnsi="Arial" w:cs="Arial"/>
                <w:sz w:val="20"/>
                <w:szCs w:val="20"/>
              </w:rPr>
              <w:t>88</w:t>
            </w:r>
          </w:p>
        </w:tc>
        <w:tc>
          <w:tcPr>
            <w:tcW w:w="1335" w:type="dxa"/>
            <w:tcBorders>
              <w:top w:val="single" w:sz="7" w:space="0" w:color="000000"/>
              <w:left w:val="single" w:sz="4" w:space="0" w:color="auto"/>
              <w:bottom w:val="nil"/>
              <w:right w:val="single" w:sz="4" w:space="0" w:color="auto"/>
            </w:tcBorders>
            <w:vAlign w:val="center"/>
          </w:tcPr>
          <w:p w14:paraId="5BCB3AB8" w14:textId="360879C7" w:rsidR="006D21C6" w:rsidRPr="00C85CED" w:rsidRDefault="006D21C6" w:rsidP="00FE36FE">
            <w:pPr>
              <w:pStyle w:val="TableParagraph"/>
              <w:ind w:right="3"/>
              <w:jc w:val="center"/>
              <w:rPr>
                <w:rFonts w:ascii="Arial" w:eastAsia="Times New Roman" w:hAnsi="Arial" w:cs="Arial"/>
                <w:sz w:val="20"/>
                <w:szCs w:val="20"/>
              </w:rPr>
            </w:pPr>
            <w:r w:rsidRPr="00C85CED">
              <w:rPr>
                <w:rFonts w:ascii="Arial" w:hAnsi="Arial" w:cs="Arial"/>
                <w:sz w:val="20"/>
                <w:szCs w:val="20"/>
              </w:rPr>
              <w:t>174</w:t>
            </w:r>
          </w:p>
        </w:tc>
        <w:tc>
          <w:tcPr>
            <w:tcW w:w="1383" w:type="dxa"/>
            <w:tcBorders>
              <w:top w:val="single" w:sz="7" w:space="0" w:color="000000"/>
              <w:left w:val="single" w:sz="4" w:space="0" w:color="auto"/>
              <w:bottom w:val="nil"/>
              <w:right w:val="single" w:sz="4" w:space="0" w:color="auto"/>
            </w:tcBorders>
            <w:vAlign w:val="center"/>
          </w:tcPr>
          <w:p w14:paraId="1E988714" w14:textId="41DA60C2" w:rsidR="006D21C6" w:rsidRPr="00C85CED" w:rsidRDefault="006D21C6" w:rsidP="00FE36FE">
            <w:pPr>
              <w:pStyle w:val="TableParagraph"/>
              <w:ind w:left="4"/>
              <w:jc w:val="center"/>
              <w:rPr>
                <w:rFonts w:ascii="Arial" w:eastAsia="Times New Roman" w:hAnsi="Arial" w:cs="Arial"/>
                <w:sz w:val="20"/>
                <w:szCs w:val="20"/>
              </w:rPr>
            </w:pPr>
            <w:r w:rsidRPr="00C85CED">
              <w:rPr>
                <w:rFonts w:ascii="Arial" w:hAnsi="Arial" w:cs="Arial"/>
                <w:sz w:val="20"/>
                <w:szCs w:val="20"/>
              </w:rPr>
              <w:t>173</w:t>
            </w:r>
          </w:p>
        </w:tc>
        <w:tc>
          <w:tcPr>
            <w:tcW w:w="1037" w:type="dxa"/>
            <w:tcBorders>
              <w:top w:val="single" w:sz="7" w:space="0" w:color="000000"/>
              <w:left w:val="single" w:sz="4" w:space="0" w:color="auto"/>
              <w:bottom w:val="nil"/>
              <w:right w:val="single" w:sz="4" w:space="0" w:color="auto"/>
            </w:tcBorders>
          </w:tcPr>
          <w:p w14:paraId="5C82C2C3" w14:textId="41CD78C9" w:rsidR="006D21C6" w:rsidRPr="00C85CED" w:rsidRDefault="006D21C6" w:rsidP="00FE36FE">
            <w:pPr>
              <w:pStyle w:val="TableParagraph"/>
              <w:jc w:val="center"/>
              <w:rPr>
                <w:rFonts w:ascii="Arial" w:eastAsia="Times New Roman" w:hAnsi="Arial" w:cs="Arial"/>
                <w:sz w:val="20"/>
                <w:szCs w:val="20"/>
              </w:rPr>
            </w:pPr>
            <w:r w:rsidRPr="00C85CED">
              <w:rPr>
                <w:rFonts w:ascii="Arial" w:hAnsi="Arial" w:cs="Arial"/>
                <w:spacing w:val="-1"/>
                <w:sz w:val="20"/>
                <w:szCs w:val="20"/>
              </w:rPr>
              <w:t>123</w:t>
            </w:r>
          </w:p>
        </w:tc>
        <w:tc>
          <w:tcPr>
            <w:tcW w:w="1334" w:type="dxa"/>
            <w:tcBorders>
              <w:top w:val="single" w:sz="7" w:space="0" w:color="000000"/>
              <w:left w:val="single" w:sz="4" w:space="0" w:color="auto"/>
              <w:bottom w:val="nil"/>
              <w:right w:val="single" w:sz="4" w:space="0" w:color="auto"/>
            </w:tcBorders>
          </w:tcPr>
          <w:p w14:paraId="1F768B08" w14:textId="3D5A270B" w:rsidR="006D21C6" w:rsidRPr="00C85CED" w:rsidRDefault="006D21C6" w:rsidP="00FE36FE">
            <w:pPr>
              <w:pStyle w:val="TableParagraph"/>
              <w:ind w:right="36"/>
              <w:jc w:val="center"/>
              <w:rPr>
                <w:rFonts w:ascii="Arial" w:eastAsia="Times New Roman" w:hAnsi="Arial" w:cs="Arial"/>
                <w:sz w:val="20"/>
                <w:szCs w:val="20"/>
              </w:rPr>
            </w:pPr>
            <w:r w:rsidRPr="00C85CED">
              <w:rPr>
                <w:rFonts w:ascii="Arial" w:hAnsi="Arial" w:cs="Arial"/>
                <w:spacing w:val="-1"/>
                <w:sz w:val="20"/>
                <w:szCs w:val="20"/>
              </w:rPr>
              <w:t>246</w:t>
            </w:r>
          </w:p>
        </w:tc>
        <w:tc>
          <w:tcPr>
            <w:tcW w:w="1352" w:type="dxa"/>
            <w:tcBorders>
              <w:top w:val="single" w:sz="7" w:space="0" w:color="000000"/>
              <w:left w:val="single" w:sz="4" w:space="0" w:color="auto"/>
              <w:bottom w:val="nil"/>
              <w:right w:val="single" w:sz="4" w:space="0" w:color="auto"/>
            </w:tcBorders>
          </w:tcPr>
          <w:p w14:paraId="21C083BB" w14:textId="6ACA71CF" w:rsidR="006D21C6" w:rsidRPr="00C85CED" w:rsidRDefault="006D21C6" w:rsidP="00FE36FE">
            <w:pPr>
              <w:pStyle w:val="TableParagraph"/>
              <w:ind w:left="34"/>
              <w:jc w:val="center"/>
              <w:rPr>
                <w:rFonts w:ascii="Arial" w:eastAsia="Times New Roman" w:hAnsi="Arial" w:cs="Arial"/>
                <w:sz w:val="20"/>
                <w:szCs w:val="20"/>
              </w:rPr>
            </w:pPr>
            <w:r w:rsidRPr="00C85CED">
              <w:rPr>
                <w:rFonts w:ascii="Arial" w:hAnsi="Arial" w:cs="Arial"/>
                <w:spacing w:val="-1"/>
                <w:sz w:val="20"/>
                <w:szCs w:val="20"/>
              </w:rPr>
              <w:t>124</w:t>
            </w:r>
          </w:p>
        </w:tc>
      </w:tr>
      <w:tr w:rsidR="005E73A0" w:rsidRPr="003B3268" w14:paraId="4E62B4AE" w14:textId="25AF2CCC" w:rsidTr="00FE36FE">
        <w:trPr>
          <w:trHeight w:hRule="exact" w:val="257"/>
        </w:trPr>
        <w:tc>
          <w:tcPr>
            <w:tcW w:w="1652" w:type="dxa"/>
            <w:tcBorders>
              <w:top w:val="nil"/>
              <w:left w:val="single" w:sz="4" w:space="0" w:color="auto"/>
              <w:bottom w:val="nil"/>
              <w:right w:val="nil"/>
            </w:tcBorders>
          </w:tcPr>
          <w:p w14:paraId="64410689" w14:textId="44B75111" w:rsidR="006D21C6" w:rsidRPr="00C85CED" w:rsidRDefault="006D21C6" w:rsidP="00FE36FE">
            <w:pPr>
              <w:pStyle w:val="TableParagraph"/>
              <w:ind w:left="99"/>
              <w:rPr>
                <w:rFonts w:ascii="Arial" w:eastAsia="Times New Roman" w:hAnsi="Arial" w:cs="Arial"/>
                <w:sz w:val="20"/>
                <w:szCs w:val="20"/>
              </w:rPr>
            </w:pPr>
            <w:proofErr w:type="gramStart"/>
            <w:r w:rsidRPr="00C85CED">
              <w:rPr>
                <w:rFonts w:ascii="Arial" w:hAnsi="Arial" w:cs="Arial"/>
                <w:spacing w:val="-1"/>
                <w:sz w:val="20"/>
                <w:szCs w:val="20"/>
              </w:rPr>
              <w:t>f-PGA</w:t>
            </w:r>
            <w:proofErr w:type="gramEnd"/>
            <w:r w:rsidRPr="00C85CED">
              <w:rPr>
                <w:rFonts w:ascii="Arial" w:hAnsi="Arial" w:cs="Arial"/>
                <w:spacing w:val="-5"/>
                <w:sz w:val="20"/>
                <w:szCs w:val="20"/>
              </w:rPr>
              <w:t xml:space="preserve"> </w:t>
            </w:r>
            <w:r w:rsidRPr="00C85CED">
              <w:rPr>
                <w:rFonts w:ascii="Arial" w:hAnsi="Arial" w:cs="Arial"/>
                <w:sz w:val="20"/>
                <w:szCs w:val="20"/>
              </w:rPr>
              <w:t>0/1,</w:t>
            </w:r>
            <w:r w:rsidRPr="00C85CED">
              <w:rPr>
                <w:rFonts w:ascii="Arial" w:hAnsi="Arial" w:cs="Arial"/>
                <w:spacing w:val="-6"/>
                <w:sz w:val="20"/>
                <w:szCs w:val="20"/>
              </w:rPr>
              <w:t xml:space="preserve"> </w:t>
            </w:r>
            <w:r w:rsidRPr="00C85CED">
              <w:rPr>
                <w:rFonts w:ascii="Arial" w:hAnsi="Arial" w:cs="Arial"/>
                <w:sz w:val="20"/>
                <w:szCs w:val="20"/>
              </w:rPr>
              <w:t>n</w:t>
            </w:r>
            <w:r w:rsidRPr="00C85CED">
              <w:rPr>
                <w:rFonts w:ascii="Arial" w:hAnsi="Arial" w:cs="Arial"/>
                <w:spacing w:val="-5"/>
                <w:sz w:val="20"/>
                <w:szCs w:val="20"/>
              </w:rPr>
              <w:t xml:space="preserve"> </w:t>
            </w:r>
            <w:r w:rsidRPr="00C85CED">
              <w:rPr>
                <w:rFonts w:ascii="Arial" w:hAnsi="Arial" w:cs="Arial"/>
                <w:sz w:val="20"/>
                <w:szCs w:val="20"/>
              </w:rPr>
              <w:t>(%)</w:t>
            </w:r>
          </w:p>
        </w:tc>
        <w:tc>
          <w:tcPr>
            <w:tcW w:w="1167" w:type="dxa"/>
            <w:tcBorders>
              <w:top w:val="nil"/>
              <w:left w:val="nil"/>
              <w:bottom w:val="nil"/>
              <w:right w:val="single" w:sz="4" w:space="0" w:color="auto"/>
            </w:tcBorders>
            <w:vAlign w:val="center"/>
          </w:tcPr>
          <w:p w14:paraId="2DA4A8C9" w14:textId="47ADC7B3" w:rsidR="006D21C6" w:rsidRPr="003B3268" w:rsidRDefault="006D21C6" w:rsidP="00FE36FE">
            <w:pPr>
              <w:spacing w:after="0"/>
              <w:jc w:val="left"/>
              <w:rPr>
                <w:rFonts w:cs="Arial"/>
                <w:sz w:val="20"/>
                <w:szCs w:val="20"/>
                <w:lang w:val="en-AU"/>
              </w:rPr>
            </w:pPr>
          </w:p>
        </w:tc>
        <w:tc>
          <w:tcPr>
            <w:tcW w:w="1335" w:type="dxa"/>
            <w:tcBorders>
              <w:top w:val="nil"/>
              <w:left w:val="single" w:sz="4" w:space="0" w:color="auto"/>
              <w:bottom w:val="nil"/>
              <w:right w:val="single" w:sz="4" w:space="0" w:color="auto"/>
            </w:tcBorders>
            <w:vAlign w:val="center"/>
          </w:tcPr>
          <w:p w14:paraId="20EBF9E4" w14:textId="70D305A7" w:rsidR="006D21C6" w:rsidRPr="003B3268" w:rsidRDefault="006D21C6" w:rsidP="00FE36FE">
            <w:pPr>
              <w:spacing w:after="0"/>
              <w:jc w:val="center"/>
              <w:rPr>
                <w:rFonts w:cs="Arial"/>
                <w:sz w:val="20"/>
                <w:szCs w:val="20"/>
                <w:lang w:val="en-AU"/>
              </w:rPr>
            </w:pPr>
          </w:p>
        </w:tc>
        <w:tc>
          <w:tcPr>
            <w:tcW w:w="1383" w:type="dxa"/>
            <w:tcBorders>
              <w:top w:val="nil"/>
              <w:left w:val="single" w:sz="4" w:space="0" w:color="auto"/>
              <w:bottom w:val="nil"/>
              <w:right w:val="single" w:sz="4" w:space="0" w:color="auto"/>
            </w:tcBorders>
            <w:vAlign w:val="center"/>
          </w:tcPr>
          <w:p w14:paraId="17DE75A0" w14:textId="6A8CB986" w:rsidR="006D21C6" w:rsidRPr="003B3268" w:rsidRDefault="006D21C6" w:rsidP="00FE36FE">
            <w:pPr>
              <w:spacing w:after="0"/>
              <w:jc w:val="center"/>
              <w:rPr>
                <w:rFonts w:cs="Arial"/>
                <w:sz w:val="20"/>
                <w:szCs w:val="20"/>
                <w:lang w:val="en-AU"/>
              </w:rPr>
            </w:pPr>
          </w:p>
        </w:tc>
        <w:tc>
          <w:tcPr>
            <w:tcW w:w="1037" w:type="dxa"/>
            <w:tcBorders>
              <w:top w:val="nil"/>
              <w:left w:val="single" w:sz="4" w:space="0" w:color="auto"/>
              <w:bottom w:val="nil"/>
              <w:right w:val="single" w:sz="4" w:space="0" w:color="auto"/>
            </w:tcBorders>
          </w:tcPr>
          <w:p w14:paraId="4C532DC7" w14:textId="33B62C36" w:rsidR="006D21C6" w:rsidRPr="003B3268" w:rsidRDefault="006D21C6" w:rsidP="00FE36FE">
            <w:pPr>
              <w:spacing w:after="0"/>
              <w:rPr>
                <w:rFonts w:cs="Arial"/>
                <w:sz w:val="20"/>
                <w:szCs w:val="20"/>
                <w:lang w:val="en-AU"/>
              </w:rPr>
            </w:pPr>
          </w:p>
        </w:tc>
        <w:tc>
          <w:tcPr>
            <w:tcW w:w="1334" w:type="dxa"/>
            <w:tcBorders>
              <w:top w:val="nil"/>
              <w:left w:val="single" w:sz="4" w:space="0" w:color="auto"/>
              <w:bottom w:val="nil"/>
              <w:right w:val="single" w:sz="4" w:space="0" w:color="auto"/>
            </w:tcBorders>
          </w:tcPr>
          <w:p w14:paraId="2E0FFD0B" w14:textId="6ECAE7FC" w:rsidR="006D21C6" w:rsidRPr="003B3268" w:rsidRDefault="006D21C6" w:rsidP="00FE36FE">
            <w:pPr>
              <w:spacing w:after="0"/>
              <w:rPr>
                <w:rFonts w:cs="Arial"/>
                <w:sz w:val="20"/>
                <w:szCs w:val="20"/>
                <w:lang w:val="en-AU"/>
              </w:rPr>
            </w:pPr>
          </w:p>
        </w:tc>
        <w:tc>
          <w:tcPr>
            <w:tcW w:w="1352" w:type="dxa"/>
            <w:tcBorders>
              <w:top w:val="nil"/>
              <w:left w:val="single" w:sz="4" w:space="0" w:color="auto"/>
              <w:bottom w:val="nil"/>
              <w:right w:val="single" w:sz="4" w:space="0" w:color="auto"/>
            </w:tcBorders>
          </w:tcPr>
          <w:p w14:paraId="366B48FE" w14:textId="79329C9D" w:rsidR="006D21C6" w:rsidRPr="003B3268" w:rsidRDefault="006D21C6" w:rsidP="00FE36FE">
            <w:pPr>
              <w:spacing w:after="0"/>
              <w:rPr>
                <w:rFonts w:cs="Arial"/>
                <w:sz w:val="20"/>
                <w:szCs w:val="20"/>
                <w:lang w:val="en-AU"/>
              </w:rPr>
            </w:pPr>
          </w:p>
        </w:tc>
      </w:tr>
      <w:tr w:rsidR="00995B57" w:rsidRPr="003B3268" w14:paraId="156C0DB8" w14:textId="271FAEC3" w:rsidTr="00FE36FE">
        <w:trPr>
          <w:trHeight w:hRule="exact" w:val="274"/>
        </w:trPr>
        <w:tc>
          <w:tcPr>
            <w:tcW w:w="1652" w:type="dxa"/>
            <w:tcBorders>
              <w:top w:val="nil"/>
              <w:left w:val="single" w:sz="4" w:space="0" w:color="auto"/>
              <w:bottom w:val="single" w:sz="4" w:space="0" w:color="auto"/>
              <w:right w:val="nil"/>
            </w:tcBorders>
            <w:vAlign w:val="center"/>
          </w:tcPr>
          <w:p w14:paraId="2F540F5E" w14:textId="695EA4F7" w:rsidR="006D21C6" w:rsidRPr="00C85CED" w:rsidRDefault="006D21C6" w:rsidP="00FE36FE">
            <w:pPr>
              <w:pStyle w:val="TableParagraph"/>
              <w:ind w:left="13"/>
              <w:jc w:val="center"/>
              <w:rPr>
                <w:rFonts w:ascii="Arial" w:eastAsia="Times New Roman" w:hAnsi="Arial" w:cs="Arial"/>
                <w:sz w:val="20"/>
                <w:szCs w:val="20"/>
              </w:rPr>
            </w:pPr>
            <w:r w:rsidRPr="00C85CED">
              <w:rPr>
                <w:rFonts w:ascii="Arial" w:hAnsi="Arial" w:cs="Arial"/>
                <w:spacing w:val="-1"/>
                <w:sz w:val="20"/>
                <w:szCs w:val="20"/>
              </w:rPr>
              <w:t>Week</w:t>
            </w:r>
            <w:r w:rsidRPr="00C85CED">
              <w:rPr>
                <w:rFonts w:ascii="Arial" w:hAnsi="Arial" w:cs="Arial"/>
                <w:spacing w:val="-8"/>
                <w:sz w:val="20"/>
                <w:szCs w:val="20"/>
              </w:rPr>
              <w:t xml:space="preserve"> </w:t>
            </w:r>
            <w:r w:rsidRPr="00C85CED">
              <w:rPr>
                <w:rFonts w:ascii="Arial" w:hAnsi="Arial" w:cs="Arial"/>
                <w:spacing w:val="-1"/>
                <w:sz w:val="20"/>
                <w:szCs w:val="20"/>
              </w:rPr>
              <w:t>16</w:t>
            </w:r>
          </w:p>
        </w:tc>
        <w:tc>
          <w:tcPr>
            <w:tcW w:w="1167" w:type="dxa"/>
            <w:tcBorders>
              <w:top w:val="nil"/>
              <w:left w:val="nil"/>
              <w:bottom w:val="single" w:sz="4" w:space="0" w:color="auto"/>
              <w:right w:val="single" w:sz="4" w:space="0" w:color="auto"/>
            </w:tcBorders>
            <w:vAlign w:val="center"/>
          </w:tcPr>
          <w:p w14:paraId="46DE519B" w14:textId="4384F019" w:rsidR="006D21C6" w:rsidRPr="00C85CED" w:rsidRDefault="006D21C6" w:rsidP="00FE36FE">
            <w:pPr>
              <w:pStyle w:val="TableParagraph"/>
              <w:ind w:left="15"/>
              <w:jc w:val="center"/>
              <w:rPr>
                <w:rFonts w:ascii="Arial" w:eastAsia="Times New Roman" w:hAnsi="Arial" w:cs="Arial"/>
                <w:sz w:val="20"/>
                <w:szCs w:val="20"/>
              </w:rPr>
            </w:pPr>
            <w:r w:rsidRPr="00C85CED">
              <w:rPr>
                <w:rFonts w:ascii="Arial" w:hAnsi="Arial" w:cs="Arial"/>
                <w:sz w:val="20"/>
                <w:szCs w:val="20"/>
              </w:rPr>
              <w:t>14</w:t>
            </w:r>
            <w:r w:rsidRPr="00C85CED">
              <w:rPr>
                <w:rFonts w:ascii="Arial" w:hAnsi="Arial" w:cs="Arial"/>
                <w:spacing w:val="-8"/>
                <w:sz w:val="20"/>
                <w:szCs w:val="20"/>
              </w:rPr>
              <w:t xml:space="preserve"> </w:t>
            </w:r>
            <w:r w:rsidRPr="00C85CED">
              <w:rPr>
                <w:rFonts w:ascii="Arial" w:hAnsi="Arial" w:cs="Arial"/>
                <w:spacing w:val="-1"/>
                <w:sz w:val="20"/>
                <w:szCs w:val="20"/>
              </w:rPr>
              <w:t>(15.9)</w:t>
            </w:r>
          </w:p>
        </w:tc>
        <w:tc>
          <w:tcPr>
            <w:tcW w:w="1335" w:type="dxa"/>
            <w:tcBorders>
              <w:top w:val="nil"/>
              <w:left w:val="single" w:sz="4" w:space="0" w:color="auto"/>
              <w:bottom w:val="single" w:sz="4" w:space="0" w:color="auto"/>
              <w:right w:val="single" w:sz="4" w:space="0" w:color="auto"/>
            </w:tcBorders>
            <w:vAlign w:val="center"/>
          </w:tcPr>
          <w:p w14:paraId="59ED7396" w14:textId="7ADDB0D2" w:rsidR="006D21C6" w:rsidRPr="00C85CED" w:rsidRDefault="006D21C6" w:rsidP="00FE36FE">
            <w:pPr>
              <w:pStyle w:val="TableParagraph"/>
              <w:ind w:left="233"/>
              <w:jc w:val="center"/>
              <w:rPr>
                <w:rFonts w:ascii="Arial" w:eastAsia="Times New Roman" w:hAnsi="Arial" w:cs="Arial"/>
                <w:sz w:val="20"/>
                <w:szCs w:val="20"/>
              </w:rPr>
            </w:pPr>
            <w:r w:rsidRPr="00C85CED">
              <w:rPr>
                <w:rFonts w:ascii="Arial" w:hAnsi="Arial" w:cs="Arial"/>
                <w:sz w:val="20"/>
                <w:szCs w:val="20"/>
              </w:rPr>
              <w:t>68</w:t>
            </w:r>
            <w:r w:rsidRPr="00C85CED">
              <w:rPr>
                <w:rFonts w:ascii="Arial" w:hAnsi="Arial" w:cs="Arial"/>
                <w:spacing w:val="-8"/>
                <w:sz w:val="20"/>
                <w:szCs w:val="20"/>
              </w:rPr>
              <w:t xml:space="preserve"> </w:t>
            </w:r>
            <w:r w:rsidRPr="00C85CED">
              <w:rPr>
                <w:rFonts w:ascii="Arial" w:hAnsi="Arial" w:cs="Arial"/>
                <w:spacing w:val="-1"/>
                <w:sz w:val="20"/>
                <w:szCs w:val="20"/>
              </w:rPr>
              <w:t>(39.1)</w:t>
            </w:r>
            <w:r w:rsidR="0032218F" w:rsidRPr="00C85CED">
              <w:rPr>
                <w:rFonts w:ascii="Arial" w:hAnsi="Arial" w:cs="Arial"/>
                <w:spacing w:val="-1"/>
                <w:sz w:val="20"/>
                <w:szCs w:val="20"/>
                <w:vertAlign w:val="superscript"/>
              </w:rPr>
              <w:t>e</w:t>
            </w:r>
          </w:p>
        </w:tc>
        <w:tc>
          <w:tcPr>
            <w:tcW w:w="1383" w:type="dxa"/>
            <w:tcBorders>
              <w:top w:val="nil"/>
              <w:left w:val="single" w:sz="4" w:space="0" w:color="auto"/>
              <w:bottom w:val="single" w:sz="4" w:space="0" w:color="auto"/>
              <w:right w:val="single" w:sz="4" w:space="0" w:color="auto"/>
            </w:tcBorders>
            <w:vAlign w:val="center"/>
          </w:tcPr>
          <w:p w14:paraId="057817E3" w14:textId="2D4E67BF" w:rsidR="006D21C6" w:rsidRPr="00C85CED" w:rsidRDefault="006D21C6" w:rsidP="00FE36FE">
            <w:pPr>
              <w:pStyle w:val="TableParagraph"/>
              <w:ind w:left="264"/>
              <w:jc w:val="center"/>
              <w:rPr>
                <w:rFonts w:ascii="Arial" w:eastAsia="Times New Roman" w:hAnsi="Arial" w:cs="Arial"/>
                <w:sz w:val="20"/>
                <w:szCs w:val="20"/>
              </w:rPr>
            </w:pPr>
            <w:r w:rsidRPr="00C85CED">
              <w:rPr>
                <w:rFonts w:ascii="Arial" w:hAnsi="Arial" w:cs="Arial"/>
                <w:sz w:val="20"/>
                <w:szCs w:val="20"/>
              </w:rPr>
              <w:t>88</w:t>
            </w:r>
            <w:r w:rsidRPr="00C85CED">
              <w:rPr>
                <w:rFonts w:ascii="Arial" w:hAnsi="Arial" w:cs="Arial"/>
                <w:spacing w:val="-8"/>
                <w:sz w:val="20"/>
                <w:szCs w:val="20"/>
              </w:rPr>
              <w:t xml:space="preserve"> </w:t>
            </w:r>
            <w:r w:rsidRPr="00C85CED">
              <w:rPr>
                <w:rFonts w:ascii="Arial" w:hAnsi="Arial" w:cs="Arial"/>
                <w:spacing w:val="-1"/>
                <w:sz w:val="20"/>
                <w:szCs w:val="20"/>
              </w:rPr>
              <w:t>(50.9)</w:t>
            </w:r>
            <w:r w:rsidR="0032218F" w:rsidRPr="00C85CED">
              <w:rPr>
                <w:rFonts w:ascii="Arial" w:hAnsi="Arial" w:cs="Arial"/>
                <w:spacing w:val="-1"/>
                <w:sz w:val="20"/>
                <w:szCs w:val="20"/>
                <w:vertAlign w:val="superscript"/>
              </w:rPr>
              <w:t>d</w:t>
            </w:r>
          </w:p>
        </w:tc>
        <w:tc>
          <w:tcPr>
            <w:tcW w:w="1037" w:type="dxa"/>
            <w:tcBorders>
              <w:top w:val="nil"/>
              <w:left w:val="single" w:sz="4" w:space="0" w:color="auto"/>
              <w:bottom w:val="single" w:sz="4" w:space="0" w:color="auto"/>
              <w:right w:val="single" w:sz="4" w:space="0" w:color="auto"/>
            </w:tcBorders>
            <w:vAlign w:val="center"/>
          </w:tcPr>
          <w:p w14:paraId="6B39237F" w14:textId="04B8040E" w:rsidR="006D21C6" w:rsidRPr="00C85CED" w:rsidRDefault="006D21C6" w:rsidP="00FE36FE">
            <w:pPr>
              <w:pStyle w:val="TableParagraph"/>
              <w:ind w:left="141"/>
              <w:jc w:val="center"/>
              <w:rPr>
                <w:rFonts w:ascii="Arial" w:eastAsia="Times New Roman" w:hAnsi="Arial" w:cs="Arial"/>
                <w:sz w:val="20"/>
                <w:szCs w:val="20"/>
              </w:rPr>
            </w:pPr>
            <w:r w:rsidRPr="00C85CED">
              <w:rPr>
                <w:rFonts w:ascii="Arial" w:hAnsi="Arial" w:cs="Arial"/>
                <w:sz w:val="20"/>
                <w:szCs w:val="20"/>
              </w:rPr>
              <w:t>18</w:t>
            </w:r>
            <w:r w:rsidRPr="00C85CED">
              <w:rPr>
                <w:rFonts w:ascii="Arial" w:hAnsi="Arial" w:cs="Arial"/>
                <w:spacing w:val="-8"/>
                <w:sz w:val="20"/>
                <w:szCs w:val="20"/>
              </w:rPr>
              <w:t xml:space="preserve"> </w:t>
            </w:r>
            <w:r w:rsidRPr="00C85CED">
              <w:rPr>
                <w:rFonts w:ascii="Arial" w:hAnsi="Arial" w:cs="Arial"/>
                <w:spacing w:val="-1"/>
                <w:sz w:val="20"/>
                <w:szCs w:val="20"/>
              </w:rPr>
              <w:t>(14.6)</w:t>
            </w:r>
          </w:p>
        </w:tc>
        <w:tc>
          <w:tcPr>
            <w:tcW w:w="1334" w:type="dxa"/>
            <w:tcBorders>
              <w:top w:val="nil"/>
              <w:left w:val="single" w:sz="4" w:space="0" w:color="auto"/>
              <w:bottom w:val="single" w:sz="4" w:space="0" w:color="auto"/>
              <w:right w:val="single" w:sz="4" w:space="0" w:color="auto"/>
            </w:tcBorders>
            <w:vAlign w:val="center"/>
          </w:tcPr>
          <w:p w14:paraId="0A13BCA5" w14:textId="5437DC92" w:rsidR="006D21C6" w:rsidRPr="00C85CED" w:rsidRDefault="006D21C6" w:rsidP="00FE36FE">
            <w:pPr>
              <w:pStyle w:val="TableParagraph"/>
              <w:ind w:left="192"/>
              <w:jc w:val="center"/>
              <w:rPr>
                <w:rFonts w:ascii="Arial" w:eastAsia="Times New Roman" w:hAnsi="Arial" w:cs="Arial"/>
                <w:sz w:val="20"/>
                <w:szCs w:val="20"/>
              </w:rPr>
            </w:pPr>
            <w:r w:rsidRPr="00C85CED">
              <w:rPr>
                <w:rFonts w:ascii="Arial" w:hAnsi="Arial" w:cs="Arial"/>
                <w:spacing w:val="-1"/>
                <w:sz w:val="20"/>
                <w:szCs w:val="20"/>
              </w:rPr>
              <w:t>128</w:t>
            </w:r>
            <w:r w:rsidRPr="00C85CED">
              <w:rPr>
                <w:rFonts w:ascii="Arial" w:hAnsi="Arial" w:cs="Arial"/>
                <w:spacing w:val="-8"/>
                <w:sz w:val="20"/>
                <w:szCs w:val="20"/>
              </w:rPr>
              <w:t xml:space="preserve"> </w:t>
            </w:r>
            <w:r w:rsidRPr="00C85CED">
              <w:rPr>
                <w:rFonts w:ascii="Arial" w:hAnsi="Arial" w:cs="Arial"/>
                <w:spacing w:val="-1"/>
                <w:sz w:val="20"/>
                <w:szCs w:val="20"/>
              </w:rPr>
              <w:t>(52.0)</w:t>
            </w:r>
            <w:r w:rsidR="0032218F" w:rsidRPr="00C85CED">
              <w:rPr>
                <w:rFonts w:ascii="Arial" w:hAnsi="Arial" w:cs="Arial"/>
                <w:spacing w:val="-1"/>
                <w:sz w:val="20"/>
                <w:szCs w:val="20"/>
                <w:vertAlign w:val="superscript"/>
              </w:rPr>
              <w:t>e</w:t>
            </w:r>
          </w:p>
        </w:tc>
        <w:tc>
          <w:tcPr>
            <w:tcW w:w="1352" w:type="dxa"/>
            <w:tcBorders>
              <w:top w:val="nil"/>
              <w:left w:val="single" w:sz="4" w:space="0" w:color="auto"/>
              <w:bottom w:val="single" w:sz="4" w:space="0" w:color="auto"/>
              <w:right w:val="single" w:sz="4" w:space="0" w:color="auto"/>
            </w:tcBorders>
            <w:vAlign w:val="center"/>
          </w:tcPr>
          <w:p w14:paraId="3238C302" w14:textId="16C88EEC" w:rsidR="006D21C6" w:rsidRPr="00C85CED" w:rsidRDefault="006D21C6" w:rsidP="00FE36FE">
            <w:pPr>
              <w:pStyle w:val="TableParagraph"/>
              <w:ind w:left="264"/>
              <w:jc w:val="center"/>
              <w:rPr>
                <w:rFonts w:ascii="Arial" w:eastAsia="Times New Roman" w:hAnsi="Arial" w:cs="Arial"/>
                <w:sz w:val="20"/>
                <w:szCs w:val="20"/>
              </w:rPr>
            </w:pPr>
            <w:r w:rsidRPr="00C85CED">
              <w:rPr>
                <w:rFonts w:ascii="Arial" w:hAnsi="Arial" w:cs="Arial"/>
                <w:sz w:val="20"/>
                <w:szCs w:val="20"/>
              </w:rPr>
              <w:t>74</w:t>
            </w:r>
            <w:r w:rsidRPr="00C85CED">
              <w:rPr>
                <w:rFonts w:ascii="Arial" w:hAnsi="Arial" w:cs="Arial"/>
                <w:spacing w:val="-8"/>
                <w:sz w:val="20"/>
                <w:szCs w:val="20"/>
              </w:rPr>
              <w:t xml:space="preserve"> </w:t>
            </w:r>
            <w:r w:rsidRPr="00C85CED">
              <w:rPr>
                <w:rFonts w:ascii="Arial" w:hAnsi="Arial" w:cs="Arial"/>
                <w:spacing w:val="-1"/>
                <w:sz w:val="20"/>
                <w:szCs w:val="20"/>
              </w:rPr>
              <w:t>(59.7)</w:t>
            </w:r>
            <w:r w:rsidR="0032218F" w:rsidRPr="00C85CED">
              <w:rPr>
                <w:rFonts w:ascii="Arial" w:hAnsi="Arial" w:cs="Arial"/>
                <w:spacing w:val="-1"/>
                <w:sz w:val="20"/>
                <w:szCs w:val="20"/>
                <w:vertAlign w:val="superscript"/>
              </w:rPr>
              <w:t>d</w:t>
            </w:r>
          </w:p>
        </w:tc>
      </w:tr>
      <w:tr w:rsidR="005E73A0" w:rsidRPr="003B3268" w14:paraId="3481DFF1" w14:textId="0CCFF06A" w:rsidTr="00FE36FE">
        <w:trPr>
          <w:trHeight w:hRule="exact" w:val="254"/>
        </w:trPr>
        <w:tc>
          <w:tcPr>
            <w:tcW w:w="1652" w:type="dxa"/>
            <w:tcBorders>
              <w:top w:val="single" w:sz="4" w:space="0" w:color="auto"/>
              <w:left w:val="single" w:sz="4" w:space="0" w:color="auto"/>
              <w:right w:val="nil"/>
            </w:tcBorders>
          </w:tcPr>
          <w:p w14:paraId="364C12E4" w14:textId="130ED0C5" w:rsidR="006D21C6" w:rsidRPr="00C85CED" w:rsidRDefault="006D21C6" w:rsidP="00FE36FE">
            <w:pPr>
              <w:pStyle w:val="TableParagraph"/>
              <w:ind w:left="99"/>
              <w:rPr>
                <w:rFonts w:ascii="Arial" w:hAnsi="Arial" w:cs="Arial"/>
                <w:b/>
                <w:spacing w:val="-1"/>
                <w:sz w:val="20"/>
                <w:szCs w:val="20"/>
              </w:rPr>
            </w:pPr>
            <w:r w:rsidRPr="00C85CED">
              <w:rPr>
                <w:rFonts w:ascii="Arial" w:hAnsi="Arial" w:cs="Arial"/>
                <w:b/>
                <w:spacing w:val="-1"/>
                <w:sz w:val="20"/>
                <w:szCs w:val="20"/>
              </w:rPr>
              <w:t>NAPSI</w:t>
            </w:r>
            <w:r w:rsidRPr="00C85CED">
              <w:rPr>
                <w:rFonts w:ascii="Arial" w:hAnsi="Arial" w:cs="Arial"/>
                <w:b/>
                <w:spacing w:val="-9"/>
                <w:sz w:val="20"/>
                <w:szCs w:val="20"/>
              </w:rPr>
              <w:t xml:space="preserve"> </w:t>
            </w:r>
            <w:r w:rsidRPr="00C85CED">
              <w:rPr>
                <w:rFonts w:ascii="Arial" w:hAnsi="Arial" w:cs="Arial"/>
                <w:b/>
                <w:spacing w:val="-1"/>
                <w:sz w:val="20"/>
                <w:szCs w:val="20"/>
              </w:rPr>
              <w:t>(N)</w:t>
            </w:r>
            <w:r w:rsidRPr="00C85CED">
              <w:rPr>
                <w:rFonts w:ascii="Arial" w:hAnsi="Arial" w:cs="Arial"/>
                <w:b/>
                <w:spacing w:val="-1"/>
                <w:sz w:val="20"/>
                <w:szCs w:val="20"/>
                <w:vertAlign w:val="superscript"/>
              </w:rPr>
              <w:t>a</w:t>
            </w:r>
          </w:p>
        </w:tc>
        <w:tc>
          <w:tcPr>
            <w:tcW w:w="1167" w:type="dxa"/>
            <w:tcBorders>
              <w:top w:val="single" w:sz="4" w:space="0" w:color="auto"/>
              <w:left w:val="nil"/>
              <w:right w:val="single" w:sz="4" w:space="0" w:color="auto"/>
            </w:tcBorders>
            <w:vAlign w:val="center"/>
          </w:tcPr>
          <w:p w14:paraId="1F7D8CA5" w14:textId="5368A40A" w:rsidR="006D21C6" w:rsidRPr="00C85CED" w:rsidRDefault="006D21C6" w:rsidP="00FE36FE">
            <w:pPr>
              <w:pStyle w:val="TableParagraph"/>
              <w:ind w:left="99"/>
              <w:jc w:val="center"/>
              <w:rPr>
                <w:rFonts w:ascii="Arial" w:eastAsia="Times New Roman" w:hAnsi="Arial" w:cs="Arial"/>
                <w:sz w:val="20"/>
                <w:szCs w:val="20"/>
              </w:rPr>
            </w:pPr>
            <w:r w:rsidRPr="00C85CED">
              <w:rPr>
                <w:rFonts w:ascii="Arial" w:hAnsi="Arial" w:cs="Arial"/>
                <w:sz w:val="20"/>
                <w:szCs w:val="20"/>
              </w:rPr>
              <w:t>99</w:t>
            </w:r>
          </w:p>
        </w:tc>
        <w:tc>
          <w:tcPr>
            <w:tcW w:w="1335" w:type="dxa"/>
            <w:tcBorders>
              <w:top w:val="single" w:sz="4" w:space="0" w:color="auto"/>
              <w:left w:val="single" w:sz="4" w:space="0" w:color="auto"/>
              <w:right w:val="single" w:sz="4" w:space="0" w:color="auto"/>
            </w:tcBorders>
            <w:vAlign w:val="center"/>
          </w:tcPr>
          <w:p w14:paraId="2E896B49" w14:textId="2B6BE542" w:rsidR="006D21C6" w:rsidRPr="00C85CED" w:rsidRDefault="006D21C6" w:rsidP="00FE36FE">
            <w:pPr>
              <w:pStyle w:val="TableParagraph"/>
              <w:ind w:left="99" w:right="3"/>
              <w:jc w:val="center"/>
              <w:rPr>
                <w:rFonts w:ascii="Arial" w:eastAsia="Times New Roman" w:hAnsi="Arial" w:cs="Arial"/>
                <w:sz w:val="20"/>
                <w:szCs w:val="20"/>
              </w:rPr>
            </w:pPr>
            <w:r w:rsidRPr="00C85CED">
              <w:rPr>
                <w:rFonts w:ascii="Arial" w:hAnsi="Arial" w:cs="Arial"/>
                <w:sz w:val="20"/>
                <w:szCs w:val="20"/>
              </w:rPr>
              <w:t>194</w:t>
            </w:r>
          </w:p>
        </w:tc>
        <w:tc>
          <w:tcPr>
            <w:tcW w:w="1383" w:type="dxa"/>
            <w:tcBorders>
              <w:top w:val="single" w:sz="4" w:space="0" w:color="auto"/>
              <w:left w:val="single" w:sz="4" w:space="0" w:color="auto"/>
              <w:right w:val="single" w:sz="4" w:space="0" w:color="auto"/>
            </w:tcBorders>
            <w:vAlign w:val="center"/>
          </w:tcPr>
          <w:p w14:paraId="68E5A516" w14:textId="6C812264" w:rsidR="006D21C6" w:rsidRPr="00C85CED" w:rsidRDefault="006D21C6" w:rsidP="00FE36FE">
            <w:pPr>
              <w:pStyle w:val="TableParagraph"/>
              <w:ind w:left="4"/>
              <w:jc w:val="center"/>
              <w:rPr>
                <w:rFonts w:ascii="Arial" w:eastAsia="Times New Roman" w:hAnsi="Arial" w:cs="Arial"/>
                <w:sz w:val="20"/>
                <w:szCs w:val="20"/>
              </w:rPr>
            </w:pPr>
            <w:r w:rsidRPr="00C85CED">
              <w:rPr>
                <w:rFonts w:ascii="Arial" w:hAnsi="Arial" w:cs="Arial"/>
                <w:sz w:val="20"/>
                <w:szCs w:val="20"/>
              </w:rPr>
              <w:t>191</w:t>
            </w:r>
          </w:p>
        </w:tc>
        <w:tc>
          <w:tcPr>
            <w:tcW w:w="1037" w:type="dxa"/>
            <w:tcBorders>
              <w:top w:val="single" w:sz="4" w:space="0" w:color="auto"/>
              <w:left w:val="single" w:sz="4" w:space="0" w:color="auto"/>
              <w:right w:val="single" w:sz="4" w:space="0" w:color="auto"/>
            </w:tcBorders>
          </w:tcPr>
          <w:p w14:paraId="4CFB2777" w14:textId="7D20DFF7" w:rsidR="006D21C6" w:rsidRPr="00C85CED" w:rsidRDefault="006D21C6" w:rsidP="00FE36FE">
            <w:pPr>
              <w:pStyle w:val="TableParagraph"/>
              <w:ind w:right="1"/>
              <w:jc w:val="center"/>
              <w:rPr>
                <w:rFonts w:ascii="Arial" w:eastAsia="Times New Roman" w:hAnsi="Arial" w:cs="Arial"/>
                <w:sz w:val="20"/>
                <w:szCs w:val="20"/>
              </w:rPr>
            </w:pPr>
            <w:r w:rsidRPr="00C85CED">
              <w:rPr>
                <w:rFonts w:ascii="Arial" w:hAnsi="Arial" w:cs="Arial"/>
                <w:spacing w:val="-1"/>
                <w:sz w:val="20"/>
                <w:szCs w:val="20"/>
              </w:rPr>
              <w:t>140</w:t>
            </w:r>
          </w:p>
        </w:tc>
        <w:tc>
          <w:tcPr>
            <w:tcW w:w="1334" w:type="dxa"/>
            <w:tcBorders>
              <w:top w:val="single" w:sz="4" w:space="0" w:color="auto"/>
              <w:left w:val="single" w:sz="4" w:space="0" w:color="auto"/>
              <w:right w:val="single" w:sz="4" w:space="0" w:color="auto"/>
            </w:tcBorders>
          </w:tcPr>
          <w:p w14:paraId="5A25DE57" w14:textId="4D932CBF" w:rsidR="006D21C6" w:rsidRPr="00C85CED" w:rsidRDefault="006D21C6" w:rsidP="00FE36FE">
            <w:pPr>
              <w:pStyle w:val="TableParagraph"/>
              <w:ind w:right="36"/>
              <w:jc w:val="center"/>
              <w:rPr>
                <w:rFonts w:ascii="Arial" w:eastAsia="Times New Roman" w:hAnsi="Arial" w:cs="Arial"/>
                <w:sz w:val="20"/>
                <w:szCs w:val="20"/>
              </w:rPr>
            </w:pPr>
            <w:r w:rsidRPr="00C85CED">
              <w:rPr>
                <w:rFonts w:ascii="Arial" w:hAnsi="Arial" w:cs="Arial"/>
                <w:spacing w:val="-1"/>
                <w:sz w:val="20"/>
                <w:szCs w:val="20"/>
              </w:rPr>
              <w:t>280</w:t>
            </w:r>
          </w:p>
        </w:tc>
        <w:tc>
          <w:tcPr>
            <w:tcW w:w="1352" w:type="dxa"/>
            <w:tcBorders>
              <w:top w:val="single" w:sz="4" w:space="0" w:color="auto"/>
              <w:left w:val="single" w:sz="4" w:space="0" w:color="auto"/>
              <w:right w:val="single" w:sz="4" w:space="0" w:color="auto"/>
            </w:tcBorders>
          </w:tcPr>
          <w:p w14:paraId="79CF8ED6" w14:textId="046E0C06" w:rsidR="006D21C6" w:rsidRPr="00C85CED" w:rsidRDefault="006D21C6" w:rsidP="00FE36FE">
            <w:pPr>
              <w:pStyle w:val="TableParagraph"/>
              <w:ind w:left="34"/>
              <w:jc w:val="center"/>
              <w:rPr>
                <w:rFonts w:ascii="Arial" w:eastAsia="Times New Roman" w:hAnsi="Arial" w:cs="Arial"/>
                <w:sz w:val="20"/>
                <w:szCs w:val="20"/>
              </w:rPr>
            </w:pPr>
            <w:r w:rsidRPr="00C85CED">
              <w:rPr>
                <w:rFonts w:ascii="Arial" w:hAnsi="Arial" w:cs="Arial"/>
                <w:spacing w:val="-1"/>
                <w:sz w:val="20"/>
                <w:szCs w:val="20"/>
              </w:rPr>
              <w:t>140</w:t>
            </w:r>
          </w:p>
        </w:tc>
      </w:tr>
      <w:tr w:rsidR="00995B57" w:rsidRPr="003B3268" w14:paraId="27418B2A" w14:textId="0FFED38C" w:rsidTr="00FE36FE">
        <w:trPr>
          <w:trHeight w:hRule="exact" w:val="254"/>
        </w:trPr>
        <w:tc>
          <w:tcPr>
            <w:tcW w:w="4154" w:type="dxa"/>
            <w:gridSpan w:val="3"/>
            <w:tcBorders>
              <w:left w:val="single" w:sz="4" w:space="0" w:color="auto"/>
              <w:right w:val="single" w:sz="4" w:space="0" w:color="auto"/>
            </w:tcBorders>
            <w:vAlign w:val="center"/>
          </w:tcPr>
          <w:p w14:paraId="1EB683FB" w14:textId="72307680" w:rsidR="00995B57" w:rsidRPr="003B3268" w:rsidRDefault="00995B57" w:rsidP="00FE36FE">
            <w:pPr>
              <w:spacing w:after="0"/>
              <w:ind w:left="99"/>
              <w:jc w:val="left"/>
              <w:rPr>
                <w:rFonts w:cs="Arial"/>
                <w:spacing w:val="-1"/>
                <w:sz w:val="20"/>
                <w:szCs w:val="20"/>
                <w:lang w:val="en-AU"/>
              </w:rPr>
            </w:pPr>
            <w:r w:rsidRPr="003B3268">
              <w:rPr>
                <w:rFonts w:cs="Arial"/>
                <w:spacing w:val="-1"/>
                <w:sz w:val="20"/>
                <w:szCs w:val="20"/>
                <w:lang w:val="en-AU"/>
              </w:rPr>
              <w:t>Percent</w:t>
            </w:r>
            <w:r w:rsidRPr="003B3268">
              <w:rPr>
                <w:rFonts w:cs="Arial"/>
                <w:spacing w:val="-10"/>
                <w:sz w:val="20"/>
                <w:szCs w:val="20"/>
                <w:lang w:val="en-AU"/>
              </w:rPr>
              <w:t xml:space="preserve"> </w:t>
            </w:r>
            <w:r w:rsidRPr="003B3268">
              <w:rPr>
                <w:rFonts w:cs="Arial"/>
                <w:spacing w:val="-1"/>
                <w:sz w:val="20"/>
                <w:szCs w:val="20"/>
                <w:lang w:val="en-AU"/>
              </w:rPr>
              <w:t>Improvement,</w:t>
            </w:r>
            <w:r w:rsidRPr="003B3268">
              <w:rPr>
                <w:rFonts w:cs="Arial"/>
                <w:spacing w:val="-11"/>
                <w:sz w:val="20"/>
                <w:szCs w:val="20"/>
                <w:lang w:val="en-AU"/>
              </w:rPr>
              <w:t xml:space="preserve"> </w:t>
            </w:r>
            <w:r w:rsidRPr="003B3268">
              <w:rPr>
                <w:rFonts w:cs="Arial"/>
                <w:spacing w:val="-1"/>
                <w:sz w:val="20"/>
                <w:szCs w:val="20"/>
                <w:lang w:val="en-AU"/>
              </w:rPr>
              <w:t>mean</w:t>
            </w:r>
            <w:r w:rsidRPr="003B3268">
              <w:rPr>
                <w:rFonts w:cs="Arial"/>
                <w:spacing w:val="-9"/>
                <w:sz w:val="20"/>
                <w:szCs w:val="20"/>
                <w:lang w:val="en-AU"/>
              </w:rPr>
              <w:t xml:space="preserve"> </w:t>
            </w:r>
            <w:r w:rsidRPr="003B3268">
              <w:rPr>
                <w:rFonts w:cs="Arial"/>
                <w:spacing w:val="-1"/>
                <w:sz w:val="20"/>
                <w:szCs w:val="20"/>
                <w:lang w:val="en-AU"/>
              </w:rPr>
              <w:t>(SD)</w:t>
            </w:r>
          </w:p>
        </w:tc>
        <w:tc>
          <w:tcPr>
            <w:tcW w:w="1383" w:type="dxa"/>
            <w:tcBorders>
              <w:left w:val="single" w:sz="4" w:space="0" w:color="auto"/>
              <w:right w:val="single" w:sz="4" w:space="0" w:color="auto"/>
            </w:tcBorders>
            <w:vAlign w:val="center"/>
          </w:tcPr>
          <w:p w14:paraId="5AF1E722" w14:textId="483F0D74" w:rsidR="00995B57" w:rsidRPr="00C85CED" w:rsidRDefault="00995B57" w:rsidP="00FE36FE">
            <w:pPr>
              <w:pStyle w:val="TableParagraph"/>
              <w:ind w:left="4"/>
              <w:jc w:val="center"/>
              <w:rPr>
                <w:rFonts w:ascii="Arial" w:hAnsi="Arial" w:cs="Arial"/>
                <w:sz w:val="20"/>
                <w:szCs w:val="20"/>
              </w:rPr>
            </w:pPr>
          </w:p>
        </w:tc>
        <w:tc>
          <w:tcPr>
            <w:tcW w:w="1037" w:type="dxa"/>
            <w:tcBorders>
              <w:left w:val="single" w:sz="4" w:space="0" w:color="auto"/>
              <w:right w:val="single" w:sz="4" w:space="0" w:color="auto"/>
            </w:tcBorders>
          </w:tcPr>
          <w:p w14:paraId="0D3CF0FA" w14:textId="35F3E5D8" w:rsidR="00995B57" w:rsidRPr="00C85CED" w:rsidRDefault="00995B57" w:rsidP="00FE36FE">
            <w:pPr>
              <w:pStyle w:val="TableParagraph"/>
              <w:ind w:right="1"/>
              <w:jc w:val="center"/>
              <w:rPr>
                <w:rFonts w:ascii="Arial" w:hAnsi="Arial" w:cs="Arial"/>
                <w:spacing w:val="-1"/>
                <w:sz w:val="20"/>
                <w:szCs w:val="20"/>
              </w:rPr>
            </w:pPr>
          </w:p>
        </w:tc>
        <w:tc>
          <w:tcPr>
            <w:tcW w:w="1334" w:type="dxa"/>
            <w:tcBorders>
              <w:left w:val="single" w:sz="4" w:space="0" w:color="auto"/>
              <w:right w:val="single" w:sz="4" w:space="0" w:color="auto"/>
            </w:tcBorders>
          </w:tcPr>
          <w:p w14:paraId="75F55054" w14:textId="68C56CFA" w:rsidR="00995B57" w:rsidRPr="00C85CED" w:rsidRDefault="00995B57" w:rsidP="00FE36FE">
            <w:pPr>
              <w:pStyle w:val="TableParagraph"/>
              <w:ind w:right="36"/>
              <w:jc w:val="center"/>
              <w:rPr>
                <w:rFonts w:ascii="Arial" w:hAnsi="Arial" w:cs="Arial"/>
                <w:spacing w:val="-1"/>
                <w:sz w:val="20"/>
                <w:szCs w:val="20"/>
              </w:rPr>
            </w:pPr>
          </w:p>
        </w:tc>
        <w:tc>
          <w:tcPr>
            <w:tcW w:w="1352" w:type="dxa"/>
            <w:tcBorders>
              <w:left w:val="single" w:sz="4" w:space="0" w:color="auto"/>
              <w:right w:val="single" w:sz="4" w:space="0" w:color="auto"/>
            </w:tcBorders>
          </w:tcPr>
          <w:p w14:paraId="5F17987B" w14:textId="78F2A708" w:rsidR="00995B57" w:rsidRPr="00C85CED" w:rsidRDefault="00995B57" w:rsidP="00FE36FE">
            <w:pPr>
              <w:pStyle w:val="TableParagraph"/>
              <w:ind w:left="34"/>
              <w:jc w:val="center"/>
              <w:rPr>
                <w:rFonts w:ascii="Arial" w:hAnsi="Arial" w:cs="Arial"/>
                <w:spacing w:val="-1"/>
                <w:sz w:val="20"/>
                <w:szCs w:val="20"/>
              </w:rPr>
            </w:pPr>
          </w:p>
        </w:tc>
      </w:tr>
      <w:tr w:rsidR="0032218F" w:rsidRPr="003B3268" w14:paraId="2A9FEF0D" w14:textId="7E952833" w:rsidTr="00FE36FE">
        <w:trPr>
          <w:trHeight w:hRule="exact" w:val="254"/>
        </w:trPr>
        <w:tc>
          <w:tcPr>
            <w:tcW w:w="1652" w:type="dxa"/>
            <w:tcBorders>
              <w:left w:val="single" w:sz="4" w:space="0" w:color="auto"/>
              <w:bottom w:val="single" w:sz="4" w:space="0" w:color="auto"/>
            </w:tcBorders>
            <w:vAlign w:val="center"/>
          </w:tcPr>
          <w:p w14:paraId="7B24878D" w14:textId="0C46E8F0" w:rsidR="006D21C6" w:rsidRPr="00C85CED" w:rsidRDefault="00995B57" w:rsidP="00FE36FE">
            <w:pPr>
              <w:pStyle w:val="TableParagraph"/>
              <w:ind w:left="99"/>
              <w:jc w:val="center"/>
              <w:rPr>
                <w:rFonts w:ascii="Arial" w:hAnsi="Arial" w:cs="Arial"/>
                <w:b/>
                <w:spacing w:val="-1"/>
                <w:sz w:val="20"/>
                <w:szCs w:val="20"/>
              </w:rPr>
            </w:pPr>
            <w:r w:rsidRPr="00C85CED">
              <w:rPr>
                <w:rFonts w:ascii="Arial" w:hAnsi="Arial" w:cs="Arial"/>
                <w:spacing w:val="-1"/>
                <w:sz w:val="20"/>
                <w:szCs w:val="20"/>
              </w:rPr>
              <w:t>Week</w:t>
            </w:r>
            <w:r w:rsidRPr="00C85CED">
              <w:rPr>
                <w:rFonts w:ascii="Arial" w:hAnsi="Arial" w:cs="Arial"/>
                <w:spacing w:val="-8"/>
                <w:sz w:val="20"/>
                <w:szCs w:val="20"/>
              </w:rPr>
              <w:t xml:space="preserve"> </w:t>
            </w:r>
            <w:r w:rsidRPr="00C85CED">
              <w:rPr>
                <w:rFonts w:ascii="Arial" w:hAnsi="Arial" w:cs="Arial"/>
                <w:spacing w:val="-1"/>
                <w:sz w:val="20"/>
                <w:szCs w:val="20"/>
              </w:rPr>
              <w:t>16</w:t>
            </w:r>
          </w:p>
        </w:tc>
        <w:tc>
          <w:tcPr>
            <w:tcW w:w="1167" w:type="dxa"/>
            <w:tcBorders>
              <w:bottom w:val="single" w:sz="4" w:space="0" w:color="auto"/>
              <w:right w:val="single" w:sz="4" w:space="0" w:color="auto"/>
            </w:tcBorders>
            <w:vAlign w:val="center"/>
          </w:tcPr>
          <w:p w14:paraId="43711CB1" w14:textId="4F6CDC63" w:rsidR="006D21C6" w:rsidRPr="00C85CED" w:rsidRDefault="00995B57" w:rsidP="00FE36FE">
            <w:pPr>
              <w:pStyle w:val="TableParagraph"/>
              <w:jc w:val="center"/>
              <w:rPr>
                <w:rFonts w:ascii="Arial" w:hAnsi="Arial" w:cs="Arial"/>
                <w:sz w:val="20"/>
                <w:szCs w:val="20"/>
              </w:rPr>
            </w:pPr>
            <w:r w:rsidRPr="00C85CED">
              <w:rPr>
                <w:rFonts w:ascii="Arial" w:hAnsi="Arial" w:cs="Arial"/>
                <w:sz w:val="20"/>
                <w:szCs w:val="20"/>
              </w:rPr>
              <w:t>-0.9</w:t>
            </w:r>
            <w:r w:rsidRPr="00C85CED">
              <w:rPr>
                <w:rFonts w:ascii="Arial" w:hAnsi="Arial" w:cs="Arial"/>
                <w:spacing w:val="-9"/>
                <w:sz w:val="20"/>
                <w:szCs w:val="20"/>
              </w:rPr>
              <w:t xml:space="preserve"> </w:t>
            </w:r>
            <w:r w:rsidRPr="00C85CED">
              <w:rPr>
                <w:rFonts w:ascii="Arial" w:hAnsi="Arial" w:cs="Arial"/>
                <w:spacing w:val="-1"/>
                <w:sz w:val="20"/>
                <w:szCs w:val="20"/>
              </w:rPr>
              <w:t>(57.9)</w:t>
            </w:r>
          </w:p>
        </w:tc>
        <w:tc>
          <w:tcPr>
            <w:tcW w:w="1335" w:type="dxa"/>
            <w:tcBorders>
              <w:left w:val="single" w:sz="4" w:space="0" w:color="auto"/>
              <w:bottom w:val="single" w:sz="4" w:space="0" w:color="auto"/>
              <w:right w:val="single" w:sz="4" w:space="0" w:color="auto"/>
            </w:tcBorders>
            <w:vAlign w:val="center"/>
          </w:tcPr>
          <w:p w14:paraId="65667E80" w14:textId="35F7DDCD" w:rsidR="006D21C6" w:rsidRPr="00C85CED" w:rsidRDefault="00995B57" w:rsidP="00FE36FE">
            <w:pPr>
              <w:pStyle w:val="TableParagraph"/>
              <w:ind w:right="3"/>
              <w:jc w:val="center"/>
              <w:rPr>
                <w:rFonts w:ascii="Arial" w:hAnsi="Arial" w:cs="Arial"/>
                <w:sz w:val="20"/>
                <w:szCs w:val="20"/>
              </w:rPr>
            </w:pPr>
            <w:r w:rsidRPr="00C85CED">
              <w:rPr>
                <w:rFonts w:ascii="Arial" w:hAnsi="Arial" w:cs="Arial"/>
                <w:sz w:val="20"/>
                <w:szCs w:val="20"/>
              </w:rPr>
              <w:t>34.4</w:t>
            </w:r>
            <w:r w:rsidRPr="00C85CED">
              <w:rPr>
                <w:rFonts w:ascii="Arial" w:hAnsi="Arial" w:cs="Arial"/>
                <w:spacing w:val="-9"/>
                <w:sz w:val="20"/>
                <w:szCs w:val="20"/>
              </w:rPr>
              <w:t xml:space="preserve"> </w:t>
            </w:r>
            <w:r w:rsidRPr="00C85CED">
              <w:rPr>
                <w:rFonts w:ascii="Arial" w:hAnsi="Arial" w:cs="Arial"/>
                <w:spacing w:val="-1"/>
                <w:sz w:val="20"/>
                <w:szCs w:val="20"/>
              </w:rPr>
              <w:t>(42.4)</w:t>
            </w:r>
            <w:r w:rsidR="0032218F" w:rsidRPr="00C85CED">
              <w:rPr>
                <w:rFonts w:ascii="Arial" w:hAnsi="Arial" w:cs="Arial"/>
                <w:spacing w:val="-1"/>
                <w:sz w:val="20"/>
                <w:szCs w:val="20"/>
                <w:vertAlign w:val="superscript"/>
              </w:rPr>
              <w:t>e</w:t>
            </w:r>
          </w:p>
        </w:tc>
        <w:tc>
          <w:tcPr>
            <w:tcW w:w="1383" w:type="dxa"/>
            <w:tcBorders>
              <w:left w:val="single" w:sz="4" w:space="0" w:color="auto"/>
              <w:bottom w:val="single" w:sz="4" w:space="0" w:color="auto"/>
              <w:right w:val="single" w:sz="4" w:space="0" w:color="auto"/>
            </w:tcBorders>
            <w:vAlign w:val="center"/>
          </w:tcPr>
          <w:p w14:paraId="280FEA4A" w14:textId="382E671D" w:rsidR="006D21C6" w:rsidRPr="00C85CED" w:rsidRDefault="00995B57" w:rsidP="00FE36FE">
            <w:pPr>
              <w:pStyle w:val="TableParagraph"/>
              <w:ind w:left="4"/>
              <w:jc w:val="center"/>
              <w:rPr>
                <w:rFonts w:ascii="Arial" w:hAnsi="Arial" w:cs="Arial"/>
                <w:sz w:val="20"/>
                <w:szCs w:val="20"/>
              </w:rPr>
            </w:pPr>
            <w:r w:rsidRPr="00C85CED">
              <w:rPr>
                <w:rFonts w:ascii="Arial" w:hAnsi="Arial" w:cs="Arial"/>
                <w:sz w:val="20"/>
                <w:szCs w:val="20"/>
              </w:rPr>
              <w:t>38.0</w:t>
            </w:r>
            <w:r w:rsidRPr="00C85CED">
              <w:rPr>
                <w:rFonts w:ascii="Arial" w:hAnsi="Arial" w:cs="Arial"/>
                <w:spacing w:val="-8"/>
                <w:sz w:val="20"/>
                <w:szCs w:val="20"/>
              </w:rPr>
              <w:t xml:space="preserve"> </w:t>
            </w:r>
            <w:r w:rsidRPr="00C85CED">
              <w:rPr>
                <w:rFonts w:ascii="Arial" w:hAnsi="Arial" w:cs="Arial"/>
                <w:spacing w:val="-1"/>
                <w:sz w:val="20"/>
                <w:szCs w:val="20"/>
              </w:rPr>
              <w:t>(53.9)</w:t>
            </w:r>
            <w:r w:rsidR="0032218F" w:rsidRPr="00C85CED">
              <w:rPr>
                <w:rFonts w:ascii="Arial" w:hAnsi="Arial" w:cs="Arial"/>
                <w:spacing w:val="-1"/>
                <w:sz w:val="20"/>
                <w:szCs w:val="20"/>
                <w:vertAlign w:val="superscript"/>
              </w:rPr>
              <w:t>d</w:t>
            </w:r>
          </w:p>
        </w:tc>
        <w:tc>
          <w:tcPr>
            <w:tcW w:w="1037" w:type="dxa"/>
            <w:tcBorders>
              <w:left w:val="single" w:sz="4" w:space="0" w:color="auto"/>
              <w:bottom w:val="single" w:sz="4" w:space="0" w:color="auto"/>
              <w:right w:val="single" w:sz="4" w:space="0" w:color="auto"/>
            </w:tcBorders>
            <w:vAlign w:val="center"/>
          </w:tcPr>
          <w:p w14:paraId="059BE10B" w14:textId="6038F89D" w:rsidR="006D21C6" w:rsidRPr="00C85CED" w:rsidRDefault="00995B57" w:rsidP="00FE36FE">
            <w:pPr>
              <w:pStyle w:val="TableParagraph"/>
              <w:ind w:right="1"/>
              <w:jc w:val="center"/>
              <w:rPr>
                <w:rFonts w:ascii="Arial" w:hAnsi="Arial" w:cs="Arial"/>
                <w:spacing w:val="-1"/>
                <w:sz w:val="20"/>
                <w:szCs w:val="20"/>
              </w:rPr>
            </w:pPr>
            <w:r w:rsidRPr="00C85CED">
              <w:rPr>
                <w:rFonts w:ascii="Arial" w:hAnsi="Arial" w:cs="Arial"/>
                <w:sz w:val="20"/>
                <w:szCs w:val="20"/>
              </w:rPr>
              <w:t>1.8</w:t>
            </w:r>
            <w:r w:rsidRPr="00C85CED">
              <w:rPr>
                <w:rFonts w:ascii="Arial" w:hAnsi="Arial" w:cs="Arial"/>
                <w:spacing w:val="-8"/>
                <w:sz w:val="20"/>
                <w:szCs w:val="20"/>
              </w:rPr>
              <w:t xml:space="preserve"> </w:t>
            </w:r>
            <w:r w:rsidRPr="00C85CED">
              <w:rPr>
                <w:rFonts w:ascii="Arial" w:hAnsi="Arial" w:cs="Arial"/>
                <w:spacing w:val="-1"/>
                <w:sz w:val="20"/>
                <w:szCs w:val="20"/>
              </w:rPr>
              <w:t>(53.8)</w:t>
            </w:r>
          </w:p>
        </w:tc>
        <w:tc>
          <w:tcPr>
            <w:tcW w:w="1334" w:type="dxa"/>
            <w:tcBorders>
              <w:left w:val="single" w:sz="4" w:space="0" w:color="auto"/>
              <w:bottom w:val="single" w:sz="4" w:space="0" w:color="auto"/>
              <w:right w:val="single" w:sz="4" w:space="0" w:color="auto"/>
            </w:tcBorders>
            <w:vAlign w:val="center"/>
          </w:tcPr>
          <w:p w14:paraId="48151366" w14:textId="04B1B6C6" w:rsidR="006D21C6" w:rsidRPr="00C85CED" w:rsidRDefault="00995B57" w:rsidP="00FE36FE">
            <w:pPr>
              <w:pStyle w:val="TableParagraph"/>
              <w:ind w:right="36"/>
              <w:jc w:val="center"/>
              <w:rPr>
                <w:rFonts w:ascii="Arial" w:hAnsi="Arial" w:cs="Arial"/>
                <w:spacing w:val="-1"/>
                <w:sz w:val="20"/>
                <w:szCs w:val="20"/>
              </w:rPr>
            </w:pPr>
            <w:r w:rsidRPr="00C85CED">
              <w:rPr>
                <w:rFonts w:ascii="Arial" w:hAnsi="Arial" w:cs="Arial"/>
                <w:spacing w:val="-1"/>
                <w:sz w:val="20"/>
                <w:szCs w:val="20"/>
              </w:rPr>
              <w:t>39.6</w:t>
            </w:r>
            <w:r w:rsidRPr="00C85CED">
              <w:rPr>
                <w:rFonts w:ascii="Arial" w:hAnsi="Arial" w:cs="Arial"/>
                <w:spacing w:val="-8"/>
                <w:sz w:val="20"/>
                <w:szCs w:val="20"/>
              </w:rPr>
              <w:t xml:space="preserve"> </w:t>
            </w:r>
            <w:r w:rsidRPr="00C85CED">
              <w:rPr>
                <w:rFonts w:ascii="Arial" w:hAnsi="Arial" w:cs="Arial"/>
                <w:spacing w:val="-1"/>
                <w:sz w:val="20"/>
                <w:szCs w:val="20"/>
              </w:rPr>
              <w:t>(45.6)</w:t>
            </w:r>
            <w:r w:rsidR="0032218F" w:rsidRPr="00C85CED">
              <w:rPr>
                <w:rFonts w:ascii="Arial" w:hAnsi="Arial" w:cs="Arial"/>
                <w:spacing w:val="-1"/>
                <w:sz w:val="20"/>
                <w:szCs w:val="20"/>
                <w:vertAlign w:val="superscript"/>
              </w:rPr>
              <w:t>e</w:t>
            </w:r>
          </w:p>
        </w:tc>
        <w:tc>
          <w:tcPr>
            <w:tcW w:w="1352" w:type="dxa"/>
            <w:tcBorders>
              <w:left w:val="single" w:sz="4" w:space="0" w:color="auto"/>
              <w:bottom w:val="single" w:sz="4" w:space="0" w:color="auto"/>
              <w:right w:val="single" w:sz="4" w:space="0" w:color="auto"/>
            </w:tcBorders>
            <w:vAlign w:val="center"/>
          </w:tcPr>
          <w:p w14:paraId="6B9616EE" w14:textId="34BE2B70" w:rsidR="006D21C6" w:rsidRPr="00C85CED" w:rsidRDefault="00995B57" w:rsidP="00FE36FE">
            <w:pPr>
              <w:pStyle w:val="TableParagraph"/>
              <w:ind w:left="34"/>
              <w:jc w:val="center"/>
              <w:rPr>
                <w:rFonts w:ascii="Arial" w:hAnsi="Arial" w:cs="Arial"/>
                <w:spacing w:val="-1"/>
                <w:sz w:val="20"/>
                <w:szCs w:val="20"/>
              </w:rPr>
            </w:pPr>
            <w:r w:rsidRPr="00C85CED">
              <w:rPr>
                <w:rFonts w:ascii="Arial" w:hAnsi="Arial" w:cs="Arial"/>
                <w:sz w:val="20"/>
                <w:szCs w:val="20"/>
              </w:rPr>
              <w:t>46.9</w:t>
            </w:r>
            <w:r w:rsidRPr="00C85CED">
              <w:rPr>
                <w:rFonts w:ascii="Arial" w:hAnsi="Arial" w:cs="Arial"/>
                <w:spacing w:val="-10"/>
                <w:sz w:val="20"/>
                <w:szCs w:val="20"/>
              </w:rPr>
              <w:t xml:space="preserve"> </w:t>
            </w:r>
            <w:r w:rsidRPr="00C85CED">
              <w:rPr>
                <w:rFonts w:ascii="Arial" w:hAnsi="Arial" w:cs="Arial"/>
                <w:spacing w:val="-1"/>
                <w:sz w:val="20"/>
                <w:szCs w:val="20"/>
              </w:rPr>
              <w:t>(48.1)</w:t>
            </w:r>
            <w:r w:rsidR="0032218F" w:rsidRPr="00C85CED">
              <w:rPr>
                <w:rFonts w:ascii="Arial" w:hAnsi="Arial" w:cs="Arial"/>
                <w:spacing w:val="-1"/>
                <w:sz w:val="20"/>
                <w:szCs w:val="20"/>
                <w:vertAlign w:val="superscript"/>
              </w:rPr>
              <w:t>d</w:t>
            </w:r>
          </w:p>
        </w:tc>
      </w:tr>
    </w:tbl>
    <w:p w14:paraId="02539F5D" w14:textId="78489621" w:rsidR="00BB22F6" w:rsidRPr="003B3268" w:rsidRDefault="00995B57" w:rsidP="002248F8">
      <w:pPr>
        <w:tabs>
          <w:tab w:val="left" w:pos="508"/>
        </w:tabs>
        <w:spacing w:after="0"/>
        <w:ind w:left="238"/>
        <w:rPr>
          <w:rFonts w:eastAsia="Times New Roman" w:cs="Arial"/>
          <w:position w:val="9"/>
          <w:sz w:val="18"/>
          <w:szCs w:val="18"/>
          <w:lang w:val="en-AU"/>
        </w:rPr>
      </w:pPr>
      <w:proofErr w:type="spellStart"/>
      <w:proofErr w:type="gramStart"/>
      <w:r w:rsidRPr="003B3268">
        <w:rPr>
          <w:rFonts w:eastAsia="Times New Roman" w:cs="Arial"/>
          <w:position w:val="9"/>
          <w:sz w:val="18"/>
          <w:szCs w:val="18"/>
          <w:vertAlign w:val="superscript"/>
          <w:lang w:val="en-AU"/>
        </w:rPr>
        <w:t>a</w:t>
      </w:r>
      <w:proofErr w:type="spellEnd"/>
      <w:proofErr w:type="gramEnd"/>
      <w:r w:rsidRPr="003B3268">
        <w:rPr>
          <w:rFonts w:eastAsia="Times New Roman" w:cs="Arial"/>
          <w:position w:val="9"/>
          <w:sz w:val="18"/>
          <w:szCs w:val="18"/>
          <w:lang w:val="en-AU"/>
        </w:rPr>
        <w:tab/>
        <w:t xml:space="preserve">Includes only subjects with </w:t>
      </w:r>
      <w:proofErr w:type="spellStart"/>
      <w:r w:rsidRPr="003B3268">
        <w:rPr>
          <w:rFonts w:eastAsia="Times New Roman" w:cs="Arial"/>
          <w:position w:val="9"/>
          <w:sz w:val="18"/>
          <w:szCs w:val="18"/>
          <w:lang w:val="en-AU"/>
        </w:rPr>
        <w:t>ss</w:t>
      </w:r>
      <w:proofErr w:type="spellEnd"/>
      <w:r w:rsidRPr="003B3268">
        <w:rPr>
          <w:rFonts w:eastAsia="Times New Roman" w:cs="Arial"/>
          <w:position w:val="9"/>
          <w:sz w:val="18"/>
          <w:szCs w:val="18"/>
          <w:lang w:val="en-AU"/>
        </w:rPr>
        <w:t xml:space="preserve">-IGA, f-PGA, </w:t>
      </w:r>
      <w:proofErr w:type="spellStart"/>
      <w:r w:rsidRPr="003B3268">
        <w:rPr>
          <w:rFonts w:eastAsia="Times New Roman" w:cs="Arial"/>
          <w:position w:val="9"/>
          <w:sz w:val="18"/>
          <w:szCs w:val="18"/>
          <w:lang w:val="en-AU"/>
        </w:rPr>
        <w:t>hf</w:t>
      </w:r>
      <w:proofErr w:type="spellEnd"/>
      <w:r w:rsidRPr="003B3268">
        <w:rPr>
          <w:rFonts w:eastAsia="Times New Roman" w:cs="Arial"/>
          <w:position w:val="9"/>
          <w:sz w:val="18"/>
          <w:szCs w:val="18"/>
          <w:lang w:val="en-AU"/>
        </w:rPr>
        <w:t>-PGA score ≥ 2 at baseline or baseline NAPSI score &gt; 0.</w:t>
      </w:r>
    </w:p>
    <w:p w14:paraId="476F08AD" w14:textId="4B251252" w:rsidR="00995B57" w:rsidRPr="003B3268" w:rsidRDefault="00995B57" w:rsidP="002248F8">
      <w:pPr>
        <w:tabs>
          <w:tab w:val="left" w:pos="508"/>
        </w:tabs>
        <w:spacing w:after="0"/>
        <w:ind w:left="238"/>
        <w:rPr>
          <w:rFonts w:eastAsia="Times New Roman" w:cs="Arial"/>
          <w:sz w:val="18"/>
          <w:szCs w:val="18"/>
          <w:lang w:val="en-AU"/>
        </w:rPr>
      </w:pPr>
      <w:proofErr w:type="gramStart"/>
      <w:r w:rsidRPr="003B3268">
        <w:rPr>
          <w:rFonts w:eastAsia="Times New Roman" w:cs="Arial"/>
          <w:spacing w:val="-1"/>
          <w:sz w:val="18"/>
          <w:szCs w:val="18"/>
          <w:vertAlign w:val="superscript"/>
          <w:lang w:val="en-AU"/>
        </w:rPr>
        <w:t>b</w:t>
      </w:r>
      <w:proofErr w:type="gramEnd"/>
      <w:r w:rsidRPr="003B3268">
        <w:rPr>
          <w:rFonts w:eastAsia="Times New Roman" w:cs="Arial"/>
          <w:spacing w:val="-1"/>
          <w:sz w:val="18"/>
          <w:szCs w:val="18"/>
          <w:lang w:val="en-AU"/>
        </w:rPr>
        <w:tab/>
        <w:t>Includes</w:t>
      </w:r>
      <w:r w:rsidRPr="003B3268">
        <w:rPr>
          <w:rFonts w:eastAsia="Times New Roman" w:cs="Arial"/>
          <w:spacing w:val="-7"/>
          <w:sz w:val="18"/>
          <w:szCs w:val="18"/>
          <w:lang w:val="en-AU"/>
        </w:rPr>
        <w:t xml:space="preserve"> </w:t>
      </w:r>
      <w:r w:rsidRPr="003B3268">
        <w:rPr>
          <w:rFonts w:eastAsia="Times New Roman" w:cs="Arial"/>
          <w:spacing w:val="-1"/>
          <w:sz w:val="18"/>
          <w:szCs w:val="18"/>
          <w:lang w:val="en-AU"/>
        </w:rPr>
        <w:t>only</w:t>
      </w:r>
      <w:r w:rsidRPr="003B3268">
        <w:rPr>
          <w:rFonts w:eastAsia="Times New Roman" w:cs="Arial"/>
          <w:spacing w:val="-6"/>
          <w:sz w:val="18"/>
          <w:szCs w:val="18"/>
          <w:lang w:val="en-AU"/>
        </w:rPr>
        <w:t xml:space="preserve"> </w:t>
      </w:r>
      <w:r w:rsidRPr="003B3268">
        <w:rPr>
          <w:rFonts w:eastAsia="Times New Roman" w:cs="Arial"/>
          <w:spacing w:val="-1"/>
          <w:sz w:val="18"/>
          <w:szCs w:val="18"/>
          <w:lang w:val="en-AU"/>
        </w:rPr>
        <w:t>subjects</w:t>
      </w:r>
      <w:r w:rsidRPr="003B3268">
        <w:rPr>
          <w:rFonts w:eastAsia="Times New Roman" w:cs="Arial"/>
          <w:spacing w:val="-7"/>
          <w:sz w:val="18"/>
          <w:szCs w:val="18"/>
          <w:lang w:val="en-AU"/>
        </w:rPr>
        <w:t xml:space="preserve"> </w:t>
      </w:r>
      <w:r w:rsidRPr="003B3268">
        <w:rPr>
          <w:rFonts w:eastAsia="Times New Roman" w:cs="Arial"/>
          <w:spacing w:val="-1"/>
          <w:sz w:val="18"/>
          <w:szCs w:val="18"/>
          <w:lang w:val="en-AU"/>
        </w:rPr>
        <w:t>achieving</w:t>
      </w:r>
      <w:r w:rsidRPr="003B3268">
        <w:rPr>
          <w:rFonts w:eastAsia="Times New Roman" w:cs="Arial"/>
          <w:spacing w:val="-4"/>
          <w:sz w:val="18"/>
          <w:szCs w:val="18"/>
          <w:lang w:val="en-AU"/>
        </w:rPr>
        <w:t xml:space="preserve"> </w:t>
      </w:r>
      <w:r w:rsidRPr="003B3268">
        <w:rPr>
          <w:rFonts w:eastAsia="Times New Roman" w:cs="Arial"/>
          <w:sz w:val="18"/>
          <w:szCs w:val="18"/>
          <w:lang w:val="en-AU"/>
        </w:rPr>
        <w:t>≥</w:t>
      </w:r>
      <w:r w:rsidRPr="003B3268">
        <w:rPr>
          <w:rFonts w:eastAsia="Times New Roman" w:cs="Arial"/>
          <w:spacing w:val="-7"/>
          <w:sz w:val="18"/>
          <w:szCs w:val="18"/>
          <w:lang w:val="en-AU"/>
        </w:rPr>
        <w:t xml:space="preserve"> </w:t>
      </w:r>
      <w:r w:rsidRPr="003B3268">
        <w:rPr>
          <w:rFonts w:eastAsia="Times New Roman" w:cs="Arial"/>
          <w:spacing w:val="-1"/>
          <w:sz w:val="18"/>
          <w:szCs w:val="18"/>
          <w:lang w:val="en-AU"/>
        </w:rPr>
        <w:t>2-grade</w:t>
      </w:r>
      <w:r w:rsidRPr="003B3268">
        <w:rPr>
          <w:rFonts w:eastAsia="Times New Roman" w:cs="Arial"/>
          <w:spacing w:val="-6"/>
          <w:sz w:val="18"/>
          <w:szCs w:val="18"/>
          <w:lang w:val="en-AU"/>
        </w:rPr>
        <w:t xml:space="preserve"> </w:t>
      </w:r>
      <w:r w:rsidRPr="003B3268">
        <w:rPr>
          <w:rFonts w:eastAsia="Times New Roman" w:cs="Arial"/>
          <w:spacing w:val="-1"/>
          <w:sz w:val="18"/>
          <w:szCs w:val="18"/>
          <w:lang w:val="en-AU"/>
        </w:rPr>
        <w:t>improvement</w:t>
      </w:r>
      <w:r w:rsidRPr="003B3268">
        <w:rPr>
          <w:rFonts w:eastAsia="Times New Roman" w:cs="Arial"/>
          <w:spacing w:val="-5"/>
          <w:sz w:val="18"/>
          <w:szCs w:val="18"/>
          <w:lang w:val="en-AU"/>
        </w:rPr>
        <w:t xml:space="preserve"> </w:t>
      </w:r>
      <w:r w:rsidRPr="003B3268">
        <w:rPr>
          <w:rFonts w:eastAsia="Times New Roman" w:cs="Arial"/>
          <w:spacing w:val="-1"/>
          <w:sz w:val="18"/>
          <w:szCs w:val="18"/>
          <w:lang w:val="en-AU"/>
        </w:rPr>
        <w:t>from</w:t>
      </w:r>
      <w:r w:rsidRPr="003B3268">
        <w:rPr>
          <w:rFonts w:eastAsia="Times New Roman" w:cs="Arial"/>
          <w:spacing w:val="-7"/>
          <w:sz w:val="18"/>
          <w:szCs w:val="18"/>
          <w:lang w:val="en-AU"/>
        </w:rPr>
        <w:t xml:space="preserve"> </w:t>
      </w:r>
      <w:r w:rsidRPr="003B3268">
        <w:rPr>
          <w:rFonts w:eastAsia="Times New Roman" w:cs="Arial"/>
          <w:spacing w:val="-1"/>
          <w:sz w:val="18"/>
          <w:szCs w:val="18"/>
          <w:lang w:val="en-AU"/>
        </w:rPr>
        <w:t>baseline</w:t>
      </w:r>
      <w:r w:rsidRPr="003B3268">
        <w:rPr>
          <w:rFonts w:eastAsia="Times New Roman" w:cs="Arial"/>
          <w:spacing w:val="-4"/>
          <w:sz w:val="18"/>
          <w:szCs w:val="18"/>
          <w:lang w:val="en-AU"/>
        </w:rPr>
        <w:t xml:space="preserve"> </w:t>
      </w:r>
      <w:r w:rsidRPr="003B3268">
        <w:rPr>
          <w:rFonts w:eastAsia="Times New Roman" w:cs="Arial"/>
          <w:spacing w:val="-1"/>
          <w:sz w:val="18"/>
          <w:szCs w:val="18"/>
          <w:lang w:val="en-AU"/>
        </w:rPr>
        <w:t>in</w:t>
      </w:r>
      <w:r w:rsidRPr="003B3268">
        <w:rPr>
          <w:rFonts w:eastAsia="Times New Roman" w:cs="Arial"/>
          <w:spacing w:val="-5"/>
          <w:sz w:val="18"/>
          <w:szCs w:val="18"/>
          <w:lang w:val="en-AU"/>
        </w:rPr>
        <w:t xml:space="preserve"> </w:t>
      </w:r>
      <w:proofErr w:type="spellStart"/>
      <w:r w:rsidRPr="003B3268">
        <w:rPr>
          <w:rFonts w:eastAsia="Times New Roman" w:cs="Arial"/>
          <w:spacing w:val="-1"/>
          <w:sz w:val="18"/>
          <w:szCs w:val="18"/>
          <w:lang w:val="en-AU"/>
        </w:rPr>
        <w:t>ss</w:t>
      </w:r>
      <w:proofErr w:type="spellEnd"/>
      <w:r w:rsidRPr="003B3268">
        <w:rPr>
          <w:rFonts w:eastAsia="Times New Roman" w:cs="Arial"/>
          <w:spacing w:val="-1"/>
          <w:sz w:val="18"/>
          <w:szCs w:val="18"/>
          <w:lang w:val="en-AU"/>
        </w:rPr>
        <w:t>-IGA</w:t>
      </w:r>
      <w:r w:rsidRPr="003B3268">
        <w:rPr>
          <w:rFonts w:eastAsia="Times New Roman" w:cs="Arial"/>
          <w:spacing w:val="-6"/>
          <w:sz w:val="18"/>
          <w:szCs w:val="18"/>
          <w:lang w:val="en-AU"/>
        </w:rPr>
        <w:t xml:space="preserve"> </w:t>
      </w:r>
      <w:r w:rsidRPr="003B3268">
        <w:rPr>
          <w:rFonts w:eastAsia="Times New Roman" w:cs="Arial"/>
          <w:spacing w:val="-1"/>
          <w:sz w:val="18"/>
          <w:szCs w:val="18"/>
          <w:lang w:val="en-AU"/>
        </w:rPr>
        <w:t>and/or</w:t>
      </w:r>
      <w:r w:rsidRPr="003B3268">
        <w:rPr>
          <w:rFonts w:eastAsia="Times New Roman" w:cs="Arial"/>
          <w:spacing w:val="-6"/>
          <w:sz w:val="18"/>
          <w:szCs w:val="18"/>
          <w:lang w:val="en-AU"/>
        </w:rPr>
        <w:t xml:space="preserve"> </w:t>
      </w:r>
      <w:proofErr w:type="spellStart"/>
      <w:r w:rsidRPr="003B3268">
        <w:rPr>
          <w:rFonts w:eastAsia="Times New Roman" w:cs="Arial"/>
          <w:spacing w:val="-1"/>
          <w:sz w:val="18"/>
          <w:szCs w:val="18"/>
          <w:lang w:val="en-AU"/>
        </w:rPr>
        <w:t>hf</w:t>
      </w:r>
      <w:proofErr w:type="spellEnd"/>
      <w:r w:rsidRPr="003B3268">
        <w:rPr>
          <w:rFonts w:eastAsia="Times New Roman" w:cs="Arial"/>
          <w:spacing w:val="-1"/>
          <w:sz w:val="18"/>
          <w:szCs w:val="18"/>
          <w:lang w:val="en-AU"/>
        </w:rPr>
        <w:t>-PGA.</w:t>
      </w:r>
    </w:p>
    <w:p w14:paraId="09ACB223" w14:textId="4761A1F8" w:rsidR="00995B57" w:rsidRPr="003B3268" w:rsidRDefault="00995B57" w:rsidP="002248F8">
      <w:pPr>
        <w:tabs>
          <w:tab w:val="left" w:pos="508"/>
        </w:tabs>
        <w:spacing w:after="0"/>
        <w:ind w:left="238"/>
        <w:rPr>
          <w:rFonts w:eastAsia="Times New Roman" w:cs="Arial"/>
          <w:sz w:val="18"/>
          <w:szCs w:val="18"/>
          <w:lang w:val="en-AU"/>
        </w:rPr>
      </w:pPr>
      <w:proofErr w:type="gramStart"/>
      <w:r w:rsidRPr="003B3268">
        <w:rPr>
          <w:rFonts w:cs="Arial"/>
          <w:sz w:val="18"/>
          <w:szCs w:val="18"/>
          <w:vertAlign w:val="superscript"/>
          <w:lang w:val="en-AU"/>
        </w:rPr>
        <w:t>c</w:t>
      </w:r>
      <w:proofErr w:type="gramEnd"/>
      <w:r w:rsidRPr="003B3268">
        <w:rPr>
          <w:rFonts w:cs="Arial"/>
          <w:sz w:val="18"/>
          <w:szCs w:val="18"/>
          <w:lang w:val="en-AU"/>
        </w:rPr>
        <w:tab/>
        <w:t>p</w:t>
      </w:r>
      <w:r w:rsidRPr="003B3268">
        <w:rPr>
          <w:rFonts w:cs="Arial"/>
          <w:spacing w:val="-6"/>
          <w:sz w:val="18"/>
          <w:szCs w:val="18"/>
          <w:lang w:val="en-AU"/>
        </w:rPr>
        <w:t xml:space="preserve"> </w:t>
      </w:r>
      <w:r w:rsidRPr="003B3268">
        <w:rPr>
          <w:rFonts w:cs="Arial"/>
          <w:sz w:val="18"/>
          <w:szCs w:val="18"/>
          <w:lang w:val="en-AU"/>
        </w:rPr>
        <w:t>&lt;</w:t>
      </w:r>
      <w:r w:rsidRPr="003B3268">
        <w:rPr>
          <w:rFonts w:cs="Arial"/>
          <w:spacing w:val="-5"/>
          <w:sz w:val="18"/>
          <w:szCs w:val="18"/>
          <w:lang w:val="en-AU"/>
        </w:rPr>
        <w:t xml:space="preserve"> </w:t>
      </w:r>
      <w:r w:rsidRPr="003B3268">
        <w:rPr>
          <w:rFonts w:cs="Arial"/>
          <w:spacing w:val="-1"/>
          <w:sz w:val="18"/>
          <w:szCs w:val="18"/>
          <w:lang w:val="en-AU"/>
        </w:rPr>
        <w:t>0.001</w:t>
      </w:r>
      <w:r w:rsidRPr="003B3268">
        <w:rPr>
          <w:rFonts w:cs="Arial"/>
          <w:spacing w:val="-4"/>
          <w:sz w:val="18"/>
          <w:szCs w:val="18"/>
          <w:lang w:val="en-AU"/>
        </w:rPr>
        <w:t xml:space="preserve"> </w:t>
      </w:r>
      <w:r w:rsidRPr="003B3268">
        <w:rPr>
          <w:rFonts w:cs="Arial"/>
          <w:spacing w:val="-1"/>
          <w:sz w:val="18"/>
          <w:szCs w:val="18"/>
          <w:lang w:val="en-AU"/>
        </w:rPr>
        <w:t>for</w:t>
      </w:r>
      <w:r w:rsidRPr="003B3268">
        <w:rPr>
          <w:rFonts w:cs="Arial"/>
          <w:spacing w:val="-6"/>
          <w:sz w:val="18"/>
          <w:szCs w:val="18"/>
          <w:lang w:val="en-AU"/>
        </w:rPr>
        <w:t xml:space="preserve"> </w:t>
      </w:r>
      <w:r w:rsidRPr="003B3268">
        <w:rPr>
          <w:rFonts w:cs="Arial"/>
          <w:spacing w:val="-1"/>
          <w:sz w:val="18"/>
          <w:szCs w:val="18"/>
          <w:lang w:val="en-AU"/>
        </w:rPr>
        <w:t>comparison</w:t>
      </w:r>
      <w:r w:rsidRPr="003B3268">
        <w:rPr>
          <w:rFonts w:cs="Arial"/>
          <w:spacing w:val="-5"/>
          <w:sz w:val="18"/>
          <w:szCs w:val="18"/>
          <w:lang w:val="en-AU"/>
        </w:rPr>
        <w:t xml:space="preserve"> </w:t>
      </w:r>
      <w:r w:rsidRPr="003B3268">
        <w:rPr>
          <w:rFonts w:cs="Arial"/>
          <w:spacing w:val="-1"/>
          <w:sz w:val="18"/>
          <w:szCs w:val="18"/>
          <w:lang w:val="en-AU"/>
        </w:rPr>
        <w:t>between</w:t>
      </w:r>
      <w:r w:rsidRPr="003B3268">
        <w:rPr>
          <w:rFonts w:cs="Arial"/>
          <w:spacing w:val="-7"/>
          <w:sz w:val="18"/>
          <w:szCs w:val="18"/>
          <w:lang w:val="en-AU"/>
        </w:rPr>
        <w:t xml:space="preserve"> </w:t>
      </w:r>
      <w:proofErr w:type="spellStart"/>
      <w:r w:rsidRPr="003B3268">
        <w:rPr>
          <w:rFonts w:cs="Arial"/>
          <w:spacing w:val="-1"/>
          <w:sz w:val="18"/>
          <w:szCs w:val="18"/>
          <w:lang w:val="en-AU"/>
        </w:rPr>
        <w:t>guselkumab</w:t>
      </w:r>
      <w:proofErr w:type="spellEnd"/>
      <w:r w:rsidRPr="003B3268">
        <w:rPr>
          <w:rFonts w:cs="Arial"/>
          <w:spacing w:val="-6"/>
          <w:sz w:val="18"/>
          <w:szCs w:val="18"/>
          <w:lang w:val="en-AU"/>
        </w:rPr>
        <w:t xml:space="preserve"> </w:t>
      </w:r>
      <w:r w:rsidRPr="003B3268">
        <w:rPr>
          <w:rFonts w:cs="Arial"/>
          <w:sz w:val="18"/>
          <w:szCs w:val="18"/>
          <w:lang w:val="en-AU"/>
        </w:rPr>
        <w:t>and</w:t>
      </w:r>
      <w:r w:rsidRPr="003B3268">
        <w:rPr>
          <w:rFonts w:cs="Arial"/>
          <w:spacing w:val="-6"/>
          <w:sz w:val="18"/>
          <w:szCs w:val="18"/>
          <w:lang w:val="en-AU"/>
        </w:rPr>
        <w:t xml:space="preserve"> </w:t>
      </w:r>
      <w:r w:rsidRPr="003B3268">
        <w:rPr>
          <w:rFonts w:cs="Arial"/>
          <w:spacing w:val="-1"/>
          <w:sz w:val="18"/>
          <w:szCs w:val="18"/>
          <w:lang w:val="en-AU"/>
        </w:rPr>
        <w:t>placebo</w:t>
      </w:r>
      <w:r w:rsidRPr="003B3268">
        <w:rPr>
          <w:rFonts w:cs="Arial"/>
          <w:spacing w:val="-6"/>
          <w:sz w:val="18"/>
          <w:szCs w:val="18"/>
          <w:lang w:val="en-AU"/>
        </w:rPr>
        <w:t xml:space="preserve"> </w:t>
      </w:r>
      <w:r w:rsidRPr="003B3268">
        <w:rPr>
          <w:rFonts w:cs="Arial"/>
          <w:spacing w:val="-1"/>
          <w:sz w:val="18"/>
          <w:szCs w:val="18"/>
          <w:lang w:val="en-AU"/>
        </w:rPr>
        <w:t>for</w:t>
      </w:r>
      <w:r w:rsidRPr="003B3268">
        <w:rPr>
          <w:rFonts w:cs="Arial"/>
          <w:spacing w:val="-5"/>
          <w:sz w:val="18"/>
          <w:szCs w:val="18"/>
          <w:lang w:val="en-AU"/>
        </w:rPr>
        <w:t xml:space="preserve"> </w:t>
      </w:r>
      <w:r w:rsidRPr="003B3268">
        <w:rPr>
          <w:rFonts w:cs="Arial"/>
          <w:spacing w:val="-1"/>
          <w:sz w:val="18"/>
          <w:szCs w:val="18"/>
          <w:lang w:val="en-AU"/>
        </w:rPr>
        <w:t>the</w:t>
      </w:r>
      <w:r w:rsidRPr="003B3268">
        <w:rPr>
          <w:rFonts w:cs="Arial"/>
          <w:spacing w:val="-4"/>
          <w:sz w:val="18"/>
          <w:szCs w:val="18"/>
          <w:lang w:val="en-AU"/>
        </w:rPr>
        <w:t xml:space="preserve"> </w:t>
      </w:r>
      <w:r w:rsidRPr="003B3268">
        <w:rPr>
          <w:rFonts w:cs="Arial"/>
          <w:spacing w:val="-1"/>
          <w:sz w:val="18"/>
          <w:szCs w:val="18"/>
          <w:lang w:val="en-AU"/>
        </w:rPr>
        <w:t>major</w:t>
      </w:r>
      <w:r w:rsidRPr="003B3268">
        <w:rPr>
          <w:rFonts w:cs="Arial"/>
          <w:spacing w:val="-5"/>
          <w:sz w:val="18"/>
          <w:szCs w:val="18"/>
          <w:lang w:val="en-AU"/>
        </w:rPr>
        <w:t xml:space="preserve"> </w:t>
      </w:r>
      <w:r w:rsidRPr="003B3268">
        <w:rPr>
          <w:rFonts w:cs="Arial"/>
          <w:spacing w:val="-1"/>
          <w:sz w:val="18"/>
          <w:szCs w:val="18"/>
          <w:lang w:val="en-AU"/>
        </w:rPr>
        <w:t>secondary</w:t>
      </w:r>
      <w:r w:rsidRPr="003B3268">
        <w:rPr>
          <w:rFonts w:cs="Arial"/>
          <w:spacing w:val="-6"/>
          <w:sz w:val="18"/>
          <w:szCs w:val="18"/>
          <w:lang w:val="en-AU"/>
        </w:rPr>
        <w:t xml:space="preserve"> </w:t>
      </w:r>
      <w:r w:rsidRPr="003B3268">
        <w:rPr>
          <w:rFonts w:cs="Arial"/>
          <w:spacing w:val="-1"/>
          <w:sz w:val="18"/>
          <w:szCs w:val="18"/>
          <w:lang w:val="en-AU"/>
        </w:rPr>
        <w:t>endpoint.</w:t>
      </w:r>
    </w:p>
    <w:p w14:paraId="413AA1A9" w14:textId="72EB8BC7" w:rsidR="00995B57" w:rsidRPr="003B3268" w:rsidRDefault="00995B57" w:rsidP="002248F8">
      <w:pPr>
        <w:tabs>
          <w:tab w:val="left" w:pos="508"/>
        </w:tabs>
        <w:spacing w:after="0"/>
        <w:ind w:left="238"/>
        <w:rPr>
          <w:rFonts w:eastAsia="Times New Roman" w:cs="Arial"/>
          <w:sz w:val="18"/>
          <w:szCs w:val="18"/>
          <w:lang w:val="en-AU"/>
        </w:rPr>
      </w:pPr>
      <w:proofErr w:type="gramStart"/>
      <w:r w:rsidRPr="003B3268">
        <w:rPr>
          <w:rFonts w:cs="Arial"/>
          <w:spacing w:val="-1"/>
          <w:sz w:val="18"/>
          <w:szCs w:val="18"/>
          <w:vertAlign w:val="superscript"/>
          <w:lang w:val="en-AU"/>
        </w:rPr>
        <w:t>d</w:t>
      </w:r>
      <w:proofErr w:type="gramEnd"/>
      <w:r w:rsidRPr="003B3268">
        <w:rPr>
          <w:rFonts w:cs="Arial"/>
          <w:spacing w:val="-1"/>
          <w:sz w:val="18"/>
          <w:szCs w:val="18"/>
          <w:lang w:val="en-AU"/>
        </w:rPr>
        <w:tab/>
        <w:t>comparisons</w:t>
      </w:r>
      <w:r w:rsidRPr="003B3268">
        <w:rPr>
          <w:rFonts w:cs="Arial"/>
          <w:spacing w:val="-9"/>
          <w:sz w:val="18"/>
          <w:szCs w:val="18"/>
          <w:lang w:val="en-AU"/>
        </w:rPr>
        <w:t xml:space="preserve"> </w:t>
      </w:r>
      <w:r w:rsidRPr="003B3268">
        <w:rPr>
          <w:rFonts w:cs="Arial"/>
          <w:spacing w:val="-1"/>
          <w:sz w:val="18"/>
          <w:szCs w:val="18"/>
          <w:lang w:val="en-AU"/>
        </w:rPr>
        <w:t>between</w:t>
      </w:r>
      <w:r w:rsidRPr="003B3268">
        <w:rPr>
          <w:rFonts w:cs="Arial"/>
          <w:spacing w:val="-8"/>
          <w:sz w:val="18"/>
          <w:szCs w:val="18"/>
          <w:lang w:val="en-AU"/>
        </w:rPr>
        <w:t xml:space="preserve"> </w:t>
      </w:r>
      <w:proofErr w:type="spellStart"/>
      <w:r w:rsidRPr="003B3268">
        <w:rPr>
          <w:rFonts w:cs="Arial"/>
          <w:spacing w:val="-1"/>
          <w:sz w:val="18"/>
          <w:szCs w:val="18"/>
          <w:lang w:val="en-AU"/>
        </w:rPr>
        <w:t>guselkumab</w:t>
      </w:r>
      <w:proofErr w:type="spellEnd"/>
      <w:r w:rsidRPr="003B3268">
        <w:rPr>
          <w:rFonts w:cs="Arial"/>
          <w:spacing w:val="-6"/>
          <w:sz w:val="18"/>
          <w:szCs w:val="18"/>
          <w:lang w:val="en-AU"/>
        </w:rPr>
        <w:t xml:space="preserve"> </w:t>
      </w:r>
      <w:r w:rsidRPr="003B3268">
        <w:rPr>
          <w:rFonts w:cs="Arial"/>
          <w:spacing w:val="-1"/>
          <w:sz w:val="18"/>
          <w:szCs w:val="18"/>
          <w:lang w:val="en-AU"/>
        </w:rPr>
        <w:t>and</w:t>
      </w:r>
      <w:r w:rsidRPr="003B3268">
        <w:rPr>
          <w:rFonts w:cs="Arial"/>
          <w:spacing w:val="-9"/>
          <w:sz w:val="18"/>
          <w:szCs w:val="18"/>
          <w:lang w:val="en-AU"/>
        </w:rPr>
        <w:t xml:space="preserve"> </w:t>
      </w:r>
      <w:r w:rsidRPr="003B3268">
        <w:rPr>
          <w:rFonts w:cs="Arial"/>
          <w:spacing w:val="-1"/>
          <w:sz w:val="18"/>
          <w:szCs w:val="18"/>
          <w:lang w:val="en-AU"/>
        </w:rPr>
        <w:t>adalimumab</w:t>
      </w:r>
      <w:r w:rsidRPr="003B3268">
        <w:rPr>
          <w:rFonts w:cs="Arial"/>
          <w:spacing w:val="-8"/>
          <w:sz w:val="18"/>
          <w:szCs w:val="18"/>
          <w:lang w:val="en-AU"/>
        </w:rPr>
        <w:t xml:space="preserve"> </w:t>
      </w:r>
      <w:r w:rsidRPr="003B3268">
        <w:rPr>
          <w:rFonts w:cs="Arial"/>
          <w:sz w:val="18"/>
          <w:szCs w:val="18"/>
          <w:lang w:val="en-AU"/>
        </w:rPr>
        <w:t>were</w:t>
      </w:r>
      <w:r w:rsidRPr="003B3268">
        <w:rPr>
          <w:rFonts w:cs="Arial"/>
          <w:spacing w:val="-7"/>
          <w:sz w:val="18"/>
          <w:szCs w:val="18"/>
          <w:lang w:val="en-AU"/>
        </w:rPr>
        <w:t xml:space="preserve"> </w:t>
      </w:r>
      <w:r w:rsidRPr="003B3268">
        <w:rPr>
          <w:rFonts w:cs="Arial"/>
          <w:spacing w:val="-1"/>
          <w:sz w:val="18"/>
          <w:szCs w:val="18"/>
          <w:lang w:val="en-AU"/>
        </w:rPr>
        <w:t>not</w:t>
      </w:r>
      <w:r w:rsidRPr="003B3268">
        <w:rPr>
          <w:rFonts w:cs="Arial"/>
          <w:spacing w:val="-9"/>
          <w:sz w:val="18"/>
          <w:szCs w:val="18"/>
          <w:lang w:val="en-AU"/>
        </w:rPr>
        <w:t xml:space="preserve"> </w:t>
      </w:r>
      <w:r w:rsidRPr="003B3268">
        <w:rPr>
          <w:rFonts w:cs="Arial"/>
          <w:spacing w:val="-1"/>
          <w:sz w:val="18"/>
          <w:szCs w:val="18"/>
          <w:lang w:val="en-AU"/>
        </w:rPr>
        <w:t>performed.</w:t>
      </w:r>
    </w:p>
    <w:p w14:paraId="0158AC09" w14:textId="02D66FBA" w:rsidR="00995B57" w:rsidRDefault="00995B57" w:rsidP="002248F8">
      <w:pPr>
        <w:tabs>
          <w:tab w:val="left" w:pos="508"/>
        </w:tabs>
        <w:spacing w:after="0"/>
        <w:ind w:left="238"/>
        <w:rPr>
          <w:rFonts w:cs="Arial"/>
          <w:spacing w:val="-1"/>
          <w:sz w:val="18"/>
          <w:szCs w:val="18"/>
          <w:lang w:val="en-AU"/>
        </w:rPr>
      </w:pPr>
      <w:proofErr w:type="gramStart"/>
      <w:r w:rsidRPr="003B3268">
        <w:rPr>
          <w:rFonts w:cs="Arial"/>
          <w:sz w:val="18"/>
          <w:szCs w:val="18"/>
          <w:vertAlign w:val="superscript"/>
          <w:lang w:val="en-AU"/>
        </w:rPr>
        <w:t>e</w:t>
      </w:r>
      <w:proofErr w:type="gramEnd"/>
      <w:r w:rsidRPr="003B3268">
        <w:rPr>
          <w:rFonts w:cs="Arial"/>
          <w:sz w:val="18"/>
          <w:szCs w:val="18"/>
          <w:lang w:val="en-AU"/>
        </w:rPr>
        <w:tab/>
        <w:t>p</w:t>
      </w:r>
      <w:r w:rsidRPr="003B3268">
        <w:rPr>
          <w:rFonts w:cs="Arial"/>
          <w:spacing w:val="-6"/>
          <w:sz w:val="18"/>
          <w:szCs w:val="18"/>
          <w:lang w:val="en-AU"/>
        </w:rPr>
        <w:t xml:space="preserve"> </w:t>
      </w:r>
      <w:r w:rsidRPr="003B3268">
        <w:rPr>
          <w:rFonts w:cs="Arial"/>
          <w:sz w:val="18"/>
          <w:szCs w:val="18"/>
          <w:lang w:val="en-AU"/>
        </w:rPr>
        <w:t>&lt;</w:t>
      </w:r>
      <w:r w:rsidRPr="003B3268">
        <w:rPr>
          <w:rFonts w:cs="Arial"/>
          <w:spacing w:val="-6"/>
          <w:sz w:val="18"/>
          <w:szCs w:val="18"/>
          <w:lang w:val="en-AU"/>
        </w:rPr>
        <w:t xml:space="preserve"> </w:t>
      </w:r>
      <w:r w:rsidRPr="003B3268">
        <w:rPr>
          <w:rFonts w:cs="Arial"/>
          <w:spacing w:val="-1"/>
          <w:sz w:val="18"/>
          <w:szCs w:val="18"/>
          <w:lang w:val="en-AU"/>
        </w:rPr>
        <w:t>0.001</w:t>
      </w:r>
      <w:r w:rsidRPr="003B3268">
        <w:rPr>
          <w:rFonts w:cs="Arial"/>
          <w:spacing w:val="-4"/>
          <w:sz w:val="18"/>
          <w:szCs w:val="18"/>
          <w:lang w:val="en-AU"/>
        </w:rPr>
        <w:t xml:space="preserve"> </w:t>
      </w:r>
      <w:r w:rsidRPr="003B3268">
        <w:rPr>
          <w:rFonts w:cs="Arial"/>
          <w:spacing w:val="-1"/>
          <w:sz w:val="18"/>
          <w:szCs w:val="18"/>
          <w:lang w:val="en-AU"/>
        </w:rPr>
        <w:t>for</w:t>
      </w:r>
      <w:r w:rsidRPr="003B3268">
        <w:rPr>
          <w:rFonts w:cs="Arial"/>
          <w:spacing w:val="-6"/>
          <w:sz w:val="18"/>
          <w:szCs w:val="18"/>
          <w:lang w:val="en-AU"/>
        </w:rPr>
        <w:t xml:space="preserve"> </w:t>
      </w:r>
      <w:r w:rsidRPr="003B3268">
        <w:rPr>
          <w:rFonts w:cs="Arial"/>
          <w:spacing w:val="-1"/>
          <w:sz w:val="18"/>
          <w:szCs w:val="18"/>
          <w:lang w:val="en-AU"/>
        </w:rPr>
        <w:t>comparison</w:t>
      </w:r>
      <w:r w:rsidRPr="003B3268">
        <w:rPr>
          <w:rFonts w:cs="Arial"/>
          <w:spacing w:val="-5"/>
          <w:sz w:val="18"/>
          <w:szCs w:val="18"/>
          <w:lang w:val="en-AU"/>
        </w:rPr>
        <w:t xml:space="preserve"> </w:t>
      </w:r>
      <w:r w:rsidRPr="003B3268">
        <w:rPr>
          <w:rFonts w:cs="Arial"/>
          <w:spacing w:val="-1"/>
          <w:sz w:val="18"/>
          <w:szCs w:val="18"/>
          <w:lang w:val="en-AU"/>
        </w:rPr>
        <w:t>between</w:t>
      </w:r>
      <w:r w:rsidRPr="003B3268">
        <w:rPr>
          <w:rFonts w:cs="Arial"/>
          <w:spacing w:val="-7"/>
          <w:sz w:val="18"/>
          <w:szCs w:val="18"/>
          <w:lang w:val="en-AU"/>
        </w:rPr>
        <w:t xml:space="preserve"> </w:t>
      </w:r>
      <w:proofErr w:type="spellStart"/>
      <w:r w:rsidRPr="003B3268">
        <w:rPr>
          <w:rFonts w:cs="Arial"/>
          <w:spacing w:val="-1"/>
          <w:sz w:val="18"/>
          <w:szCs w:val="18"/>
          <w:lang w:val="en-AU"/>
        </w:rPr>
        <w:t>guselkumab</w:t>
      </w:r>
      <w:proofErr w:type="spellEnd"/>
      <w:r w:rsidRPr="003B3268">
        <w:rPr>
          <w:rFonts w:cs="Arial"/>
          <w:spacing w:val="-6"/>
          <w:sz w:val="18"/>
          <w:szCs w:val="18"/>
          <w:lang w:val="en-AU"/>
        </w:rPr>
        <w:t xml:space="preserve"> </w:t>
      </w:r>
      <w:r w:rsidRPr="003B3268">
        <w:rPr>
          <w:rFonts w:cs="Arial"/>
          <w:sz w:val="18"/>
          <w:szCs w:val="18"/>
          <w:lang w:val="en-AU"/>
        </w:rPr>
        <w:t>and</w:t>
      </w:r>
      <w:r w:rsidRPr="003B3268">
        <w:rPr>
          <w:rFonts w:cs="Arial"/>
          <w:spacing w:val="-7"/>
          <w:sz w:val="18"/>
          <w:szCs w:val="18"/>
          <w:lang w:val="en-AU"/>
        </w:rPr>
        <w:t xml:space="preserve"> </w:t>
      </w:r>
      <w:r w:rsidRPr="003B3268">
        <w:rPr>
          <w:rFonts w:cs="Arial"/>
          <w:spacing w:val="-1"/>
          <w:sz w:val="18"/>
          <w:szCs w:val="18"/>
          <w:lang w:val="en-AU"/>
        </w:rPr>
        <w:t>placebo.</w:t>
      </w:r>
    </w:p>
    <w:p w14:paraId="52ADF377" w14:textId="77777777" w:rsidR="00BB22F6" w:rsidRPr="00BA50A7" w:rsidRDefault="00BB22F6" w:rsidP="00545494">
      <w:pPr>
        <w:pStyle w:val="Heading4"/>
        <w:rPr>
          <w:rFonts w:eastAsiaTheme="minorHAnsi" w:cstheme="minorBidi"/>
          <w:i/>
          <w:iCs w:val="0"/>
          <w:u w:val="single"/>
          <w:lang w:val="en-AU"/>
        </w:rPr>
      </w:pPr>
      <w:r w:rsidRPr="00BA50A7">
        <w:rPr>
          <w:rFonts w:eastAsiaTheme="minorHAnsi" w:cstheme="minorBidi"/>
          <w:i/>
          <w:iCs w:val="0"/>
          <w:u w:val="single"/>
          <w:lang w:val="en-AU"/>
        </w:rPr>
        <w:t>Health-related quality of life / Patient reported outcomes</w:t>
      </w:r>
    </w:p>
    <w:p w14:paraId="58014C08" w14:textId="58FF0073" w:rsidR="000E70DC" w:rsidRDefault="000E70DC" w:rsidP="00BB22F6">
      <w:pPr>
        <w:rPr>
          <w:lang w:val="en-AU"/>
        </w:rPr>
      </w:pPr>
      <w:r>
        <w:t xml:space="preserve">Greater improvements in symptoms of psoriasis (itch, pain, </w:t>
      </w:r>
      <w:proofErr w:type="gramStart"/>
      <w:r>
        <w:t>stinging</w:t>
      </w:r>
      <w:proofErr w:type="gramEnd"/>
      <w:r>
        <w:t>, burning and skin tightness) at Week 16 in TREMFYA compared to placebo were observed in both trials based on the Psoriasis Symptoms and Signs Diary (PSSD). Greater proportions of subjects on TREMFYA compared to adalimumab achieved a PSSD symptom score of 0 (symptom-free) at Week 24 in both trials.</w:t>
      </w:r>
      <w:r>
        <w:rPr>
          <w:lang w:val="en-AU"/>
        </w:rPr>
        <w:t xml:space="preserve"> </w:t>
      </w:r>
    </w:p>
    <w:p w14:paraId="316EA512" w14:textId="77777777" w:rsidR="00BB22F6" w:rsidRPr="00BA50A7" w:rsidRDefault="00BB22F6" w:rsidP="00545494">
      <w:pPr>
        <w:pStyle w:val="Heading4"/>
        <w:rPr>
          <w:rFonts w:eastAsiaTheme="minorHAnsi" w:cstheme="minorBidi"/>
          <w:i/>
          <w:iCs w:val="0"/>
          <w:u w:val="single"/>
          <w:lang w:val="en-AU"/>
        </w:rPr>
      </w:pPr>
      <w:r w:rsidRPr="00BA50A7">
        <w:rPr>
          <w:rFonts w:eastAsiaTheme="minorHAnsi" w:cstheme="minorBidi"/>
          <w:i/>
          <w:iCs w:val="0"/>
          <w:u w:val="single"/>
          <w:lang w:val="en-AU"/>
        </w:rPr>
        <w:t>NAVIGATE</w:t>
      </w:r>
    </w:p>
    <w:p w14:paraId="7CBF7CB3" w14:textId="4BD3A054" w:rsidR="00BB22F6" w:rsidRPr="003B3268" w:rsidRDefault="00BB22F6" w:rsidP="00545494">
      <w:pPr>
        <w:rPr>
          <w:lang w:val="en-AU"/>
        </w:rPr>
      </w:pPr>
      <w:r w:rsidRPr="003B3268">
        <w:rPr>
          <w:w w:val="105"/>
          <w:lang w:val="en-AU"/>
        </w:rPr>
        <w:t>The</w:t>
      </w:r>
      <w:r w:rsidRPr="003B3268">
        <w:rPr>
          <w:spacing w:val="-13"/>
          <w:w w:val="105"/>
          <w:lang w:val="en-AU"/>
        </w:rPr>
        <w:t xml:space="preserve"> </w:t>
      </w:r>
      <w:r w:rsidRPr="003B3268">
        <w:rPr>
          <w:w w:val="105"/>
          <w:lang w:val="en-AU"/>
        </w:rPr>
        <w:t>NAVIGATE</w:t>
      </w:r>
      <w:r w:rsidRPr="003B3268">
        <w:rPr>
          <w:spacing w:val="-12"/>
          <w:w w:val="105"/>
          <w:lang w:val="en-AU"/>
        </w:rPr>
        <w:t xml:space="preserve"> </w:t>
      </w:r>
      <w:r w:rsidRPr="003B3268">
        <w:rPr>
          <w:w w:val="105"/>
          <w:lang w:val="en-AU"/>
        </w:rPr>
        <w:t>study</w:t>
      </w:r>
      <w:r w:rsidRPr="003B3268">
        <w:rPr>
          <w:spacing w:val="-9"/>
          <w:w w:val="105"/>
          <w:lang w:val="en-AU"/>
        </w:rPr>
        <w:t xml:space="preserve"> </w:t>
      </w:r>
      <w:r w:rsidRPr="003B3268">
        <w:rPr>
          <w:w w:val="105"/>
          <w:lang w:val="en-AU"/>
        </w:rPr>
        <w:t>examined</w:t>
      </w:r>
      <w:r w:rsidRPr="003B3268">
        <w:rPr>
          <w:spacing w:val="-12"/>
          <w:w w:val="105"/>
          <w:lang w:val="en-AU"/>
        </w:rPr>
        <w:t xml:space="preserve"> </w:t>
      </w:r>
      <w:r w:rsidRPr="003B3268">
        <w:rPr>
          <w:w w:val="105"/>
          <w:lang w:val="en-AU"/>
        </w:rPr>
        <w:t>the</w:t>
      </w:r>
      <w:r w:rsidRPr="003B3268">
        <w:rPr>
          <w:spacing w:val="-11"/>
          <w:w w:val="105"/>
          <w:lang w:val="en-AU"/>
        </w:rPr>
        <w:t xml:space="preserve"> </w:t>
      </w:r>
      <w:r w:rsidRPr="003B3268">
        <w:rPr>
          <w:w w:val="105"/>
          <w:lang w:val="en-AU"/>
        </w:rPr>
        <w:t>efficacy</w:t>
      </w:r>
      <w:r w:rsidRPr="003B3268">
        <w:rPr>
          <w:spacing w:val="-10"/>
          <w:w w:val="105"/>
          <w:lang w:val="en-AU"/>
        </w:rPr>
        <w:t xml:space="preserve"> </w:t>
      </w:r>
      <w:r w:rsidRPr="003B3268">
        <w:rPr>
          <w:w w:val="105"/>
          <w:lang w:val="en-AU"/>
        </w:rPr>
        <w:t>of</w:t>
      </w:r>
      <w:r w:rsidRPr="003B3268">
        <w:rPr>
          <w:spacing w:val="-12"/>
          <w:w w:val="105"/>
          <w:lang w:val="en-AU"/>
        </w:rPr>
        <w:t xml:space="preserve"> </w:t>
      </w:r>
      <w:proofErr w:type="spellStart"/>
      <w:r w:rsidRPr="003B3268">
        <w:rPr>
          <w:w w:val="105"/>
          <w:lang w:val="en-AU"/>
        </w:rPr>
        <w:t>guselkumab</w:t>
      </w:r>
      <w:proofErr w:type="spellEnd"/>
      <w:r w:rsidRPr="003B3268">
        <w:rPr>
          <w:spacing w:val="-12"/>
          <w:w w:val="105"/>
          <w:lang w:val="en-AU"/>
        </w:rPr>
        <w:t xml:space="preserve"> </w:t>
      </w:r>
      <w:r w:rsidRPr="003B3268">
        <w:rPr>
          <w:w w:val="105"/>
          <w:lang w:val="en-AU"/>
        </w:rPr>
        <w:t>in</w:t>
      </w:r>
      <w:r w:rsidRPr="003B3268">
        <w:rPr>
          <w:spacing w:val="-13"/>
          <w:w w:val="105"/>
          <w:lang w:val="en-AU"/>
        </w:rPr>
        <w:t xml:space="preserve"> </w:t>
      </w:r>
      <w:r w:rsidRPr="003B3268">
        <w:rPr>
          <w:w w:val="105"/>
          <w:lang w:val="en-AU"/>
        </w:rPr>
        <w:t>patients</w:t>
      </w:r>
      <w:r w:rsidRPr="003B3268">
        <w:rPr>
          <w:spacing w:val="-12"/>
          <w:w w:val="105"/>
          <w:lang w:val="en-AU"/>
        </w:rPr>
        <w:t xml:space="preserve"> </w:t>
      </w:r>
      <w:r w:rsidRPr="003B3268">
        <w:rPr>
          <w:w w:val="105"/>
          <w:lang w:val="en-AU"/>
        </w:rPr>
        <w:t>who</w:t>
      </w:r>
      <w:r w:rsidRPr="003B3268">
        <w:rPr>
          <w:spacing w:val="-11"/>
          <w:w w:val="105"/>
          <w:lang w:val="en-AU"/>
        </w:rPr>
        <w:t xml:space="preserve"> </w:t>
      </w:r>
      <w:r w:rsidRPr="003B3268">
        <w:rPr>
          <w:w w:val="105"/>
          <w:lang w:val="en-AU"/>
        </w:rPr>
        <w:t>had</w:t>
      </w:r>
      <w:r w:rsidRPr="003B3268">
        <w:rPr>
          <w:spacing w:val="-13"/>
          <w:w w:val="105"/>
          <w:lang w:val="en-AU"/>
        </w:rPr>
        <w:t xml:space="preserve"> </w:t>
      </w:r>
      <w:r w:rsidRPr="003B3268">
        <w:rPr>
          <w:w w:val="105"/>
          <w:lang w:val="en-AU"/>
        </w:rPr>
        <w:t>an</w:t>
      </w:r>
      <w:r w:rsidRPr="003B3268">
        <w:rPr>
          <w:spacing w:val="-12"/>
          <w:w w:val="105"/>
          <w:lang w:val="en-AU"/>
        </w:rPr>
        <w:t xml:space="preserve"> </w:t>
      </w:r>
      <w:r w:rsidRPr="003B3268">
        <w:rPr>
          <w:w w:val="105"/>
          <w:lang w:val="en-AU"/>
        </w:rPr>
        <w:t>inadequate</w:t>
      </w:r>
      <w:r w:rsidRPr="003B3268">
        <w:rPr>
          <w:spacing w:val="67"/>
          <w:w w:val="103"/>
          <w:lang w:val="en-AU"/>
        </w:rPr>
        <w:t xml:space="preserve"> </w:t>
      </w:r>
      <w:r w:rsidRPr="003B3268">
        <w:rPr>
          <w:w w:val="105"/>
          <w:lang w:val="en-AU"/>
        </w:rPr>
        <w:t>response</w:t>
      </w:r>
      <w:r w:rsidRPr="003B3268">
        <w:rPr>
          <w:spacing w:val="-10"/>
          <w:w w:val="105"/>
          <w:lang w:val="en-AU"/>
        </w:rPr>
        <w:t xml:space="preserve"> </w:t>
      </w:r>
      <w:r w:rsidRPr="003B3268">
        <w:rPr>
          <w:w w:val="105"/>
          <w:lang w:val="en-AU"/>
        </w:rPr>
        <w:t>(i.e.,</w:t>
      </w:r>
      <w:r w:rsidRPr="003B3268">
        <w:rPr>
          <w:spacing w:val="-10"/>
          <w:w w:val="105"/>
          <w:lang w:val="en-AU"/>
        </w:rPr>
        <w:t xml:space="preserve"> </w:t>
      </w:r>
      <w:r w:rsidRPr="003B3268">
        <w:rPr>
          <w:w w:val="105"/>
          <w:lang w:val="en-AU"/>
        </w:rPr>
        <w:t>who</w:t>
      </w:r>
      <w:r w:rsidRPr="003B3268">
        <w:rPr>
          <w:spacing w:val="-9"/>
          <w:w w:val="105"/>
          <w:lang w:val="en-AU"/>
        </w:rPr>
        <w:t xml:space="preserve"> </w:t>
      </w:r>
      <w:r w:rsidRPr="003B3268">
        <w:rPr>
          <w:w w:val="105"/>
          <w:lang w:val="en-AU"/>
        </w:rPr>
        <w:t>had</w:t>
      </w:r>
      <w:r w:rsidRPr="003B3268">
        <w:rPr>
          <w:spacing w:val="-10"/>
          <w:w w:val="105"/>
          <w:lang w:val="en-AU"/>
        </w:rPr>
        <w:t xml:space="preserve"> </w:t>
      </w:r>
      <w:r w:rsidRPr="003B3268">
        <w:rPr>
          <w:w w:val="105"/>
          <w:lang w:val="en-AU"/>
        </w:rPr>
        <w:t>not</w:t>
      </w:r>
      <w:r w:rsidRPr="003B3268">
        <w:rPr>
          <w:spacing w:val="-8"/>
          <w:w w:val="105"/>
          <w:lang w:val="en-AU"/>
        </w:rPr>
        <w:t xml:space="preserve"> </w:t>
      </w:r>
      <w:r w:rsidRPr="003B3268">
        <w:rPr>
          <w:w w:val="105"/>
          <w:lang w:val="en-AU"/>
        </w:rPr>
        <w:t>achieved</w:t>
      </w:r>
      <w:r w:rsidRPr="003B3268">
        <w:rPr>
          <w:spacing w:val="-9"/>
          <w:w w:val="105"/>
          <w:lang w:val="en-AU"/>
        </w:rPr>
        <w:t xml:space="preserve"> </w:t>
      </w:r>
      <w:r w:rsidRPr="003B3268">
        <w:rPr>
          <w:w w:val="105"/>
          <w:lang w:val="en-AU"/>
        </w:rPr>
        <w:t>a</w:t>
      </w:r>
      <w:r w:rsidRPr="003B3268">
        <w:rPr>
          <w:spacing w:val="-10"/>
          <w:w w:val="105"/>
          <w:lang w:val="en-AU"/>
        </w:rPr>
        <w:t xml:space="preserve"> </w:t>
      </w:r>
      <w:r w:rsidRPr="003B3268">
        <w:rPr>
          <w:w w:val="105"/>
          <w:lang w:val="en-AU"/>
        </w:rPr>
        <w:t>‘cleared’</w:t>
      </w:r>
      <w:r w:rsidRPr="003B3268">
        <w:rPr>
          <w:spacing w:val="-8"/>
          <w:w w:val="105"/>
          <w:lang w:val="en-AU"/>
        </w:rPr>
        <w:t xml:space="preserve"> </w:t>
      </w:r>
      <w:r w:rsidRPr="003B3268">
        <w:rPr>
          <w:w w:val="105"/>
          <w:lang w:val="en-AU"/>
        </w:rPr>
        <w:t>or</w:t>
      </w:r>
      <w:r w:rsidRPr="003B3268">
        <w:rPr>
          <w:spacing w:val="-9"/>
          <w:w w:val="105"/>
          <w:lang w:val="en-AU"/>
        </w:rPr>
        <w:t xml:space="preserve"> </w:t>
      </w:r>
      <w:r w:rsidRPr="003B3268">
        <w:rPr>
          <w:w w:val="105"/>
          <w:lang w:val="en-AU"/>
        </w:rPr>
        <w:t>‘minimal’</w:t>
      </w:r>
      <w:r w:rsidRPr="003B3268">
        <w:rPr>
          <w:spacing w:val="-8"/>
          <w:w w:val="105"/>
          <w:lang w:val="en-AU"/>
        </w:rPr>
        <w:t xml:space="preserve"> </w:t>
      </w:r>
      <w:r w:rsidRPr="003B3268">
        <w:rPr>
          <w:w w:val="105"/>
          <w:lang w:val="en-AU"/>
        </w:rPr>
        <w:t>response</w:t>
      </w:r>
      <w:r w:rsidRPr="003B3268">
        <w:rPr>
          <w:spacing w:val="-9"/>
          <w:w w:val="105"/>
          <w:lang w:val="en-AU"/>
        </w:rPr>
        <w:t xml:space="preserve"> </w:t>
      </w:r>
      <w:r w:rsidRPr="003B3268">
        <w:rPr>
          <w:w w:val="105"/>
          <w:lang w:val="en-AU"/>
        </w:rPr>
        <w:t>defined</w:t>
      </w:r>
      <w:r w:rsidRPr="003B3268">
        <w:rPr>
          <w:spacing w:val="-9"/>
          <w:w w:val="105"/>
          <w:lang w:val="en-AU"/>
        </w:rPr>
        <w:t xml:space="preserve"> </w:t>
      </w:r>
      <w:r w:rsidRPr="003B3268">
        <w:rPr>
          <w:w w:val="105"/>
          <w:lang w:val="en-AU"/>
        </w:rPr>
        <w:t>as</w:t>
      </w:r>
      <w:r w:rsidRPr="003B3268">
        <w:rPr>
          <w:spacing w:val="-8"/>
          <w:w w:val="105"/>
          <w:lang w:val="en-AU"/>
        </w:rPr>
        <w:t xml:space="preserve"> </w:t>
      </w:r>
      <w:r w:rsidRPr="003B3268">
        <w:rPr>
          <w:w w:val="105"/>
          <w:lang w:val="en-AU"/>
        </w:rPr>
        <w:t>IGA</w:t>
      </w:r>
      <w:r w:rsidRPr="003B3268">
        <w:rPr>
          <w:spacing w:val="-9"/>
          <w:w w:val="105"/>
          <w:lang w:val="en-AU"/>
        </w:rPr>
        <w:t xml:space="preserve"> </w:t>
      </w:r>
      <w:r w:rsidRPr="003B3268">
        <w:rPr>
          <w:rFonts w:cs="Times New Roman"/>
          <w:w w:val="105"/>
          <w:lang w:val="en-AU"/>
        </w:rPr>
        <w:t>≥</w:t>
      </w:r>
      <w:r w:rsidRPr="003B3268">
        <w:rPr>
          <w:rFonts w:cs="Times New Roman"/>
          <w:spacing w:val="-8"/>
          <w:w w:val="105"/>
          <w:lang w:val="en-AU"/>
        </w:rPr>
        <w:t xml:space="preserve"> </w:t>
      </w:r>
      <w:r w:rsidRPr="003B3268">
        <w:rPr>
          <w:w w:val="105"/>
          <w:lang w:val="en-AU"/>
        </w:rPr>
        <w:t>2)</w:t>
      </w:r>
      <w:r w:rsidRPr="003B3268">
        <w:rPr>
          <w:spacing w:val="-9"/>
          <w:w w:val="105"/>
          <w:lang w:val="en-AU"/>
        </w:rPr>
        <w:t xml:space="preserve"> </w:t>
      </w:r>
      <w:r w:rsidRPr="003B3268">
        <w:rPr>
          <w:w w:val="105"/>
          <w:lang w:val="en-AU"/>
        </w:rPr>
        <w:t>to</w:t>
      </w:r>
      <w:r w:rsidRPr="003B3268">
        <w:rPr>
          <w:spacing w:val="51"/>
          <w:w w:val="103"/>
          <w:lang w:val="en-AU"/>
        </w:rPr>
        <w:t xml:space="preserve"> </w:t>
      </w:r>
      <w:proofErr w:type="spellStart"/>
      <w:r w:rsidRPr="003B3268">
        <w:rPr>
          <w:w w:val="105"/>
          <w:lang w:val="en-AU"/>
        </w:rPr>
        <w:t>ustekinumab</w:t>
      </w:r>
      <w:proofErr w:type="spellEnd"/>
      <w:r w:rsidRPr="003B3268">
        <w:rPr>
          <w:spacing w:val="-13"/>
          <w:w w:val="105"/>
          <w:lang w:val="en-AU"/>
        </w:rPr>
        <w:t xml:space="preserve"> </w:t>
      </w:r>
      <w:r w:rsidRPr="003B3268">
        <w:rPr>
          <w:w w:val="105"/>
          <w:lang w:val="en-AU"/>
        </w:rPr>
        <w:t>at</w:t>
      </w:r>
      <w:r w:rsidRPr="003B3268">
        <w:rPr>
          <w:spacing w:val="-10"/>
          <w:w w:val="105"/>
          <w:lang w:val="en-AU"/>
        </w:rPr>
        <w:t xml:space="preserve"> </w:t>
      </w:r>
      <w:r w:rsidRPr="003B3268">
        <w:rPr>
          <w:w w:val="105"/>
          <w:lang w:val="en-AU"/>
        </w:rPr>
        <w:t>Week</w:t>
      </w:r>
      <w:r w:rsidRPr="003B3268">
        <w:rPr>
          <w:spacing w:val="-12"/>
          <w:w w:val="105"/>
          <w:lang w:val="en-AU"/>
        </w:rPr>
        <w:t xml:space="preserve"> </w:t>
      </w:r>
      <w:r w:rsidRPr="003B3268">
        <w:rPr>
          <w:w w:val="105"/>
          <w:lang w:val="en-AU"/>
        </w:rPr>
        <w:t>16.</w:t>
      </w:r>
      <w:r w:rsidRPr="003B3268">
        <w:rPr>
          <w:spacing w:val="-10"/>
          <w:w w:val="105"/>
          <w:lang w:val="en-AU"/>
        </w:rPr>
        <w:t xml:space="preserve"> </w:t>
      </w:r>
      <w:r w:rsidRPr="003B3268">
        <w:rPr>
          <w:w w:val="105"/>
          <w:lang w:val="en-AU"/>
        </w:rPr>
        <w:t>All</w:t>
      </w:r>
      <w:r w:rsidRPr="003B3268">
        <w:rPr>
          <w:spacing w:val="-12"/>
          <w:w w:val="105"/>
          <w:lang w:val="en-AU"/>
        </w:rPr>
        <w:t xml:space="preserve"> </w:t>
      </w:r>
      <w:r w:rsidRPr="003B3268">
        <w:rPr>
          <w:w w:val="105"/>
          <w:lang w:val="en-AU"/>
        </w:rPr>
        <w:t>patients</w:t>
      </w:r>
      <w:r w:rsidRPr="003B3268">
        <w:rPr>
          <w:spacing w:val="-12"/>
          <w:w w:val="105"/>
          <w:lang w:val="en-AU"/>
        </w:rPr>
        <w:t xml:space="preserve"> </w:t>
      </w:r>
      <w:r w:rsidRPr="003B3268">
        <w:rPr>
          <w:w w:val="105"/>
          <w:lang w:val="en-AU"/>
        </w:rPr>
        <w:t>(N=871)</w:t>
      </w:r>
      <w:r w:rsidRPr="003B3268">
        <w:rPr>
          <w:spacing w:val="-12"/>
          <w:w w:val="105"/>
          <w:lang w:val="en-AU"/>
        </w:rPr>
        <w:t xml:space="preserve"> </w:t>
      </w:r>
      <w:r w:rsidRPr="003B3268">
        <w:rPr>
          <w:w w:val="105"/>
          <w:lang w:val="en-AU"/>
        </w:rPr>
        <w:t>received</w:t>
      </w:r>
      <w:r w:rsidRPr="003B3268">
        <w:rPr>
          <w:spacing w:val="-12"/>
          <w:w w:val="105"/>
          <w:lang w:val="en-AU"/>
        </w:rPr>
        <w:t xml:space="preserve"> </w:t>
      </w:r>
      <w:r w:rsidRPr="003B3268">
        <w:rPr>
          <w:w w:val="105"/>
          <w:lang w:val="en-AU"/>
        </w:rPr>
        <w:t>open-label</w:t>
      </w:r>
      <w:r w:rsidRPr="003B3268">
        <w:rPr>
          <w:spacing w:val="-12"/>
          <w:w w:val="105"/>
          <w:lang w:val="en-AU"/>
        </w:rPr>
        <w:t xml:space="preserve"> </w:t>
      </w:r>
      <w:proofErr w:type="spellStart"/>
      <w:r w:rsidRPr="003B3268">
        <w:rPr>
          <w:w w:val="105"/>
          <w:lang w:val="en-AU"/>
        </w:rPr>
        <w:t>ustekinumab</w:t>
      </w:r>
      <w:proofErr w:type="spellEnd"/>
      <w:r w:rsidRPr="003B3268">
        <w:rPr>
          <w:spacing w:val="-13"/>
          <w:w w:val="105"/>
          <w:lang w:val="en-AU"/>
        </w:rPr>
        <w:t xml:space="preserve"> </w:t>
      </w:r>
      <w:r w:rsidRPr="003B3268">
        <w:rPr>
          <w:w w:val="105"/>
          <w:lang w:val="en-AU"/>
        </w:rPr>
        <w:t>(45</w:t>
      </w:r>
      <w:r w:rsidRPr="003B3268">
        <w:rPr>
          <w:spacing w:val="-10"/>
          <w:w w:val="105"/>
          <w:lang w:val="en-AU"/>
        </w:rPr>
        <w:t xml:space="preserve"> </w:t>
      </w:r>
      <w:r w:rsidRPr="003B3268">
        <w:rPr>
          <w:w w:val="105"/>
          <w:lang w:val="en-AU"/>
        </w:rPr>
        <w:t>mg</w:t>
      </w:r>
      <w:r w:rsidRPr="003B3268">
        <w:rPr>
          <w:spacing w:val="-12"/>
          <w:w w:val="105"/>
          <w:lang w:val="en-AU"/>
        </w:rPr>
        <w:t xml:space="preserve"> </w:t>
      </w:r>
      <w:r w:rsidRPr="003B3268">
        <w:rPr>
          <w:rFonts w:cs="Times New Roman"/>
          <w:w w:val="105"/>
          <w:lang w:val="en-AU"/>
        </w:rPr>
        <w:t>≤</w:t>
      </w:r>
      <w:r w:rsidRPr="003B3268">
        <w:rPr>
          <w:w w:val="105"/>
          <w:lang w:val="en-AU"/>
        </w:rPr>
        <w:t>100</w:t>
      </w:r>
      <w:r w:rsidRPr="003B3268">
        <w:rPr>
          <w:spacing w:val="-13"/>
          <w:w w:val="105"/>
          <w:lang w:val="en-AU"/>
        </w:rPr>
        <w:t xml:space="preserve"> </w:t>
      </w:r>
      <w:r w:rsidRPr="003B3268">
        <w:rPr>
          <w:w w:val="105"/>
          <w:lang w:val="en-AU"/>
        </w:rPr>
        <w:t>kg</w:t>
      </w:r>
      <w:r w:rsidRPr="003B3268">
        <w:rPr>
          <w:spacing w:val="-12"/>
          <w:w w:val="105"/>
          <w:lang w:val="en-AU"/>
        </w:rPr>
        <w:t xml:space="preserve"> </w:t>
      </w:r>
      <w:r w:rsidRPr="003B3268">
        <w:rPr>
          <w:w w:val="105"/>
          <w:lang w:val="en-AU"/>
        </w:rPr>
        <w:t>and</w:t>
      </w:r>
      <w:r w:rsidRPr="003B3268">
        <w:rPr>
          <w:spacing w:val="52"/>
          <w:w w:val="103"/>
          <w:lang w:val="en-AU"/>
        </w:rPr>
        <w:t xml:space="preserve"> </w:t>
      </w:r>
      <w:r w:rsidRPr="003B3268">
        <w:rPr>
          <w:w w:val="105"/>
          <w:lang w:val="en-AU"/>
        </w:rPr>
        <w:t>90</w:t>
      </w:r>
      <w:r w:rsidRPr="003B3268">
        <w:rPr>
          <w:spacing w:val="-6"/>
          <w:w w:val="105"/>
          <w:lang w:val="en-AU"/>
        </w:rPr>
        <w:t xml:space="preserve"> </w:t>
      </w:r>
      <w:r w:rsidRPr="003B3268">
        <w:rPr>
          <w:w w:val="105"/>
          <w:lang w:val="en-AU"/>
        </w:rPr>
        <w:t>mg</w:t>
      </w:r>
      <w:r w:rsidRPr="003B3268">
        <w:rPr>
          <w:spacing w:val="-7"/>
          <w:w w:val="105"/>
          <w:lang w:val="en-AU"/>
        </w:rPr>
        <w:t xml:space="preserve"> </w:t>
      </w:r>
      <w:r w:rsidRPr="003B3268">
        <w:rPr>
          <w:w w:val="105"/>
          <w:lang w:val="en-AU"/>
        </w:rPr>
        <w:t>&gt;100</w:t>
      </w:r>
      <w:r w:rsidRPr="003B3268">
        <w:rPr>
          <w:spacing w:val="-9"/>
          <w:w w:val="105"/>
          <w:lang w:val="en-AU"/>
        </w:rPr>
        <w:t xml:space="preserve"> </w:t>
      </w:r>
      <w:r w:rsidRPr="003B3268">
        <w:rPr>
          <w:w w:val="105"/>
          <w:lang w:val="en-AU"/>
        </w:rPr>
        <w:t>kg)</w:t>
      </w:r>
      <w:r w:rsidRPr="003B3268">
        <w:rPr>
          <w:spacing w:val="-7"/>
          <w:w w:val="105"/>
          <w:lang w:val="en-AU"/>
        </w:rPr>
        <w:t xml:space="preserve"> </w:t>
      </w:r>
      <w:r w:rsidRPr="003B3268">
        <w:rPr>
          <w:w w:val="105"/>
          <w:lang w:val="en-AU"/>
        </w:rPr>
        <w:t>at</w:t>
      </w:r>
      <w:r w:rsidRPr="003B3268">
        <w:rPr>
          <w:spacing w:val="-6"/>
          <w:w w:val="105"/>
          <w:lang w:val="en-AU"/>
        </w:rPr>
        <w:t xml:space="preserve"> </w:t>
      </w:r>
      <w:r w:rsidRPr="003B3268">
        <w:rPr>
          <w:w w:val="105"/>
          <w:lang w:val="en-AU"/>
        </w:rPr>
        <w:t>Weeks</w:t>
      </w:r>
      <w:r w:rsidRPr="003B3268">
        <w:rPr>
          <w:spacing w:val="-7"/>
          <w:w w:val="105"/>
          <w:lang w:val="en-AU"/>
        </w:rPr>
        <w:t xml:space="preserve"> </w:t>
      </w:r>
      <w:r w:rsidRPr="003B3268">
        <w:rPr>
          <w:w w:val="105"/>
          <w:lang w:val="en-AU"/>
        </w:rPr>
        <w:t>0</w:t>
      </w:r>
      <w:r w:rsidRPr="003B3268">
        <w:rPr>
          <w:spacing w:val="-8"/>
          <w:w w:val="105"/>
          <w:lang w:val="en-AU"/>
        </w:rPr>
        <w:t xml:space="preserve"> </w:t>
      </w:r>
      <w:r w:rsidRPr="003B3268">
        <w:rPr>
          <w:w w:val="105"/>
          <w:lang w:val="en-AU"/>
        </w:rPr>
        <w:t>and</w:t>
      </w:r>
      <w:r w:rsidRPr="003B3268">
        <w:rPr>
          <w:spacing w:val="-8"/>
          <w:w w:val="105"/>
          <w:lang w:val="en-AU"/>
        </w:rPr>
        <w:t xml:space="preserve"> </w:t>
      </w:r>
      <w:r w:rsidRPr="003B3268">
        <w:rPr>
          <w:w w:val="105"/>
          <w:lang w:val="en-AU"/>
        </w:rPr>
        <w:t>4.</w:t>
      </w:r>
      <w:r w:rsidRPr="003B3268">
        <w:rPr>
          <w:spacing w:val="-8"/>
          <w:w w:val="105"/>
          <w:lang w:val="en-AU"/>
        </w:rPr>
        <w:t xml:space="preserve"> </w:t>
      </w:r>
      <w:r w:rsidRPr="003B3268">
        <w:rPr>
          <w:w w:val="105"/>
          <w:lang w:val="en-AU"/>
        </w:rPr>
        <w:t>At</w:t>
      </w:r>
      <w:r w:rsidRPr="003B3268">
        <w:rPr>
          <w:spacing w:val="-6"/>
          <w:w w:val="105"/>
          <w:lang w:val="en-AU"/>
        </w:rPr>
        <w:t xml:space="preserve"> </w:t>
      </w:r>
      <w:r w:rsidRPr="003B3268">
        <w:rPr>
          <w:w w:val="105"/>
          <w:lang w:val="en-AU"/>
        </w:rPr>
        <w:t>Week</w:t>
      </w:r>
      <w:r w:rsidRPr="003B3268">
        <w:rPr>
          <w:spacing w:val="-8"/>
          <w:w w:val="105"/>
          <w:lang w:val="en-AU"/>
        </w:rPr>
        <w:t xml:space="preserve"> </w:t>
      </w:r>
      <w:r w:rsidRPr="003B3268">
        <w:rPr>
          <w:w w:val="105"/>
          <w:lang w:val="en-AU"/>
        </w:rPr>
        <w:t>16,</w:t>
      </w:r>
      <w:r w:rsidRPr="003B3268">
        <w:rPr>
          <w:spacing w:val="-8"/>
          <w:w w:val="105"/>
          <w:lang w:val="en-AU"/>
        </w:rPr>
        <w:t xml:space="preserve"> </w:t>
      </w:r>
      <w:r w:rsidRPr="003B3268">
        <w:rPr>
          <w:w w:val="105"/>
          <w:lang w:val="en-AU"/>
        </w:rPr>
        <w:t>268</w:t>
      </w:r>
      <w:r w:rsidRPr="003B3268">
        <w:rPr>
          <w:spacing w:val="-8"/>
          <w:w w:val="105"/>
          <w:lang w:val="en-AU"/>
        </w:rPr>
        <w:t xml:space="preserve"> </w:t>
      </w:r>
      <w:r w:rsidRPr="003B3268">
        <w:rPr>
          <w:w w:val="105"/>
          <w:lang w:val="en-AU"/>
        </w:rPr>
        <w:t>patients</w:t>
      </w:r>
      <w:r w:rsidRPr="003B3268">
        <w:rPr>
          <w:spacing w:val="-8"/>
          <w:w w:val="105"/>
          <w:lang w:val="en-AU"/>
        </w:rPr>
        <w:t xml:space="preserve"> </w:t>
      </w:r>
      <w:r w:rsidRPr="003B3268">
        <w:rPr>
          <w:w w:val="105"/>
          <w:lang w:val="en-AU"/>
        </w:rPr>
        <w:t>with</w:t>
      </w:r>
      <w:r w:rsidRPr="003B3268">
        <w:rPr>
          <w:spacing w:val="-7"/>
          <w:w w:val="105"/>
          <w:lang w:val="en-AU"/>
        </w:rPr>
        <w:t xml:space="preserve"> </w:t>
      </w:r>
      <w:r w:rsidRPr="003B3268">
        <w:rPr>
          <w:w w:val="105"/>
          <w:lang w:val="en-AU"/>
        </w:rPr>
        <w:t>an</w:t>
      </w:r>
      <w:r w:rsidRPr="003B3268">
        <w:rPr>
          <w:spacing w:val="-8"/>
          <w:w w:val="105"/>
          <w:lang w:val="en-AU"/>
        </w:rPr>
        <w:t xml:space="preserve"> </w:t>
      </w:r>
      <w:r w:rsidRPr="003B3268">
        <w:rPr>
          <w:w w:val="105"/>
          <w:lang w:val="en-AU"/>
        </w:rPr>
        <w:t>IGA</w:t>
      </w:r>
      <w:r w:rsidRPr="003B3268">
        <w:rPr>
          <w:spacing w:val="-6"/>
          <w:w w:val="105"/>
          <w:lang w:val="en-AU"/>
        </w:rPr>
        <w:t xml:space="preserve"> </w:t>
      </w:r>
      <w:r w:rsidRPr="003B3268">
        <w:rPr>
          <w:rFonts w:cs="Times New Roman"/>
          <w:w w:val="105"/>
          <w:lang w:val="en-AU"/>
        </w:rPr>
        <w:t>≥</w:t>
      </w:r>
      <w:r w:rsidRPr="003B3268">
        <w:rPr>
          <w:rFonts w:cs="Times New Roman"/>
          <w:spacing w:val="-8"/>
          <w:w w:val="105"/>
          <w:lang w:val="en-AU"/>
        </w:rPr>
        <w:t xml:space="preserve"> </w:t>
      </w:r>
      <w:r w:rsidRPr="003B3268">
        <w:rPr>
          <w:w w:val="105"/>
          <w:lang w:val="en-AU"/>
        </w:rPr>
        <w:t>2</w:t>
      </w:r>
      <w:r w:rsidRPr="003B3268">
        <w:rPr>
          <w:spacing w:val="-8"/>
          <w:w w:val="105"/>
          <w:lang w:val="en-AU"/>
        </w:rPr>
        <w:t xml:space="preserve"> </w:t>
      </w:r>
      <w:r w:rsidRPr="003B3268">
        <w:rPr>
          <w:w w:val="105"/>
          <w:lang w:val="en-AU"/>
        </w:rPr>
        <w:t>score</w:t>
      </w:r>
      <w:r w:rsidRPr="003B3268">
        <w:rPr>
          <w:spacing w:val="-7"/>
          <w:w w:val="105"/>
          <w:lang w:val="en-AU"/>
        </w:rPr>
        <w:t xml:space="preserve"> </w:t>
      </w:r>
      <w:r w:rsidRPr="003B3268">
        <w:rPr>
          <w:w w:val="105"/>
          <w:lang w:val="en-AU"/>
        </w:rPr>
        <w:t>were</w:t>
      </w:r>
      <w:r w:rsidRPr="003B3268">
        <w:rPr>
          <w:spacing w:val="-8"/>
          <w:w w:val="105"/>
          <w:lang w:val="en-AU"/>
        </w:rPr>
        <w:t xml:space="preserve"> </w:t>
      </w:r>
      <w:r w:rsidRPr="003B3268">
        <w:rPr>
          <w:w w:val="105"/>
          <w:lang w:val="en-AU"/>
        </w:rPr>
        <w:t>randomised</w:t>
      </w:r>
      <w:r w:rsidRPr="003B3268">
        <w:rPr>
          <w:spacing w:val="21"/>
          <w:w w:val="103"/>
          <w:lang w:val="en-AU"/>
        </w:rPr>
        <w:t xml:space="preserve"> </w:t>
      </w:r>
      <w:r w:rsidRPr="003B3268">
        <w:rPr>
          <w:w w:val="105"/>
          <w:lang w:val="en-AU"/>
        </w:rPr>
        <w:t>to</w:t>
      </w:r>
      <w:r w:rsidRPr="003B3268">
        <w:rPr>
          <w:spacing w:val="-14"/>
          <w:w w:val="105"/>
          <w:lang w:val="en-AU"/>
        </w:rPr>
        <w:t xml:space="preserve"> </w:t>
      </w:r>
      <w:r w:rsidRPr="003B3268">
        <w:rPr>
          <w:w w:val="105"/>
          <w:lang w:val="en-AU"/>
        </w:rPr>
        <w:t>either</w:t>
      </w:r>
      <w:r w:rsidRPr="003B3268">
        <w:rPr>
          <w:spacing w:val="-14"/>
          <w:w w:val="105"/>
          <w:lang w:val="en-AU"/>
        </w:rPr>
        <w:t xml:space="preserve"> </w:t>
      </w:r>
      <w:r w:rsidRPr="003B3268">
        <w:rPr>
          <w:w w:val="105"/>
          <w:lang w:val="en-AU"/>
        </w:rPr>
        <w:t>continue</w:t>
      </w:r>
      <w:r w:rsidRPr="003B3268">
        <w:rPr>
          <w:spacing w:val="-14"/>
          <w:w w:val="105"/>
          <w:lang w:val="en-AU"/>
        </w:rPr>
        <w:t xml:space="preserve"> </w:t>
      </w:r>
      <w:proofErr w:type="spellStart"/>
      <w:r w:rsidRPr="003B3268">
        <w:rPr>
          <w:w w:val="105"/>
          <w:lang w:val="en-AU"/>
        </w:rPr>
        <w:t>ustekinumab</w:t>
      </w:r>
      <w:proofErr w:type="spellEnd"/>
      <w:r w:rsidRPr="003B3268">
        <w:rPr>
          <w:spacing w:val="-13"/>
          <w:w w:val="105"/>
          <w:lang w:val="en-AU"/>
        </w:rPr>
        <w:t xml:space="preserve"> </w:t>
      </w:r>
      <w:r w:rsidRPr="003B3268">
        <w:rPr>
          <w:w w:val="105"/>
          <w:lang w:val="en-AU"/>
        </w:rPr>
        <w:t>treatment</w:t>
      </w:r>
      <w:r w:rsidRPr="003B3268">
        <w:rPr>
          <w:spacing w:val="-13"/>
          <w:w w:val="105"/>
          <w:lang w:val="en-AU"/>
        </w:rPr>
        <w:t xml:space="preserve"> </w:t>
      </w:r>
      <w:r w:rsidRPr="003B3268">
        <w:rPr>
          <w:w w:val="105"/>
          <w:lang w:val="en-AU"/>
        </w:rPr>
        <w:t>(N=133)</w:t>
      </w:r>
      <w:r w:rsidRPr="003B3268">
        <w:rPr>
          <w:spacing w:val="-14"/>
          <w:w w:val="105"/>
          <w:lang w:val="en-AU"/>
        </w:rPr>
        <w:t xml:space="preserve"> </w:t>
      </w:r>
      <w:r w:rsidRPr="003B3268">
        <w:rPr>
          <w:w w:val="105"/>
          <w:lang w:val="en-AU"/>
        </w:rPr>
        <w:t>q12w,</w:t>
      </w:r>
      <w:r w:rsidRPr="003B3268">
        <w:rPr>
          <w:spacing w:val="-14"/>
          <w:w w:val="105"/>
          <w:lang w:val="en-AU"/>
        </w:rPr>
        <w:t xml:space="preserve"> </w:t>
      </w:r>
      <w:r w:rsidRPr="003B3268">
        <w:rPr>
          <w:w w:val="105"/>
          <w:lang w:val="en-AU"/>
        </w:rPr>
        <w:t>or</w:t>
      </w:r>
      <w:r w:rsidRPr="003B3268">
        <w:rPr>
          <w:spacing w:val="-12"/>
          <w:w w:val="105"/>
          <w:lang w:val="en-AU"/>
        </w:rPr>
        <w:t xml:space="preserve"> </w:t>
      </w:r>
      <w:r w:rsidRPr="003B3268">
        <w:rPr>
          <w:w w:val="105"/>
          <w:lang w:val="en-AU"/>
        </w:rPr>
        <w:t>to</w:t>
      </w:r>
      <w:r w:rsidRPr="003B3268">
        <w:rPr>
          <w:spacing w:val="-15"/>
          <w:w w:val="105"/>
          <w:lang w:val="en-AU"/>
        </w:rPr>
        <w:t xml:space="preserve"> </w:t>
      </w:r>
      <w:r w:rsidRPr="003B3268">
        <w:rPr>
          <w:w w:val="105"/>
          <w:lang w:val="en-AU"/>
        </w:rPr>
        <w:t>initiate</w:t>
      </w:r>
      <w:r w:rsidRPr="003B3268">
        <w:rPr>
          <w:spacing w:val="-13"/>
          <w:w w:val="105"/>
          <w:lang w:val="en-AU"/>
        </w:rPr>
        <w:t xml:space="preserve"> </w:t>
      </w:r>
      <w:proofErr w:type="spellStart"/>
      <w:r w:rsidRPr="003B3268">
        <w:rPr>
          <w:w w:val="105"/>
          <w:lang w:val="en-AU"/>
        </w:rPr>
        <w:t>guselkumab</w:t>
      </w:r>
      <w:proofErr w:type="spellEnd"/>
      <w:r w:rsidRPr="003B3268">
        <w:rPr>
          <w:spacing w:val="-15"/>
          <w:w w:val="105"/>
          <w:lang w:val="en-AU"/>
        </w:rPr>
        <w:t xml:space="preserve"> </w:t>
      </w:r>
      <w:r w:rsidRPr="003B3268">
        <w:rPr>
          <w:w w:val="105"/>
          <w:lang w:val="en-AU"/>
        </w:rPr>
        <w:t>treatment</w:t>
      </w:r>
      <w:r w:rsidRPr="003B3268">
        <w:rPr>
          <w:spacing w:val="-13"/>
          <w:w w:val="105"/>
          <w:lang w:val="en-AU"/>
        </w:rPr>
        <w:t xml:space="preserve"> </w:t>
      </w:r>
      <w:r w:rsidRPr="003B3268">
        <w:rPr>
          <w:w w:val="105"/>
          <w:lang w:val="en-AU"/>
        </w:rPr>
        <w:t>(N=135)</w:t>
      </w:r>
      <w:r w:rsidRPr="003B3268">
        <w:rPr>
          <w:spacing w:val="45"/>
          <w:w w:val="103"/>
          <w:lang w:val="en-AU"/>
        </w:rPr>
        <w:t xml:space="preserve"> </w:t>
      </w:r>
      <w:r w:rsidRPr="003B3268">
        <w:rPr>
          <w:w w:val="105"/>
          <w:lang w:val="en-AU"/>
        </w:rPr>
        <w:t>at</w:t>
      </w:r>
      <w:r w:rsidRPr="003B3268">
        <w:rPr>
          <w:spacing w:val="-12"/>
          <w:w w:val="105"/>
          <w:lang w:val="en-AU"/>
        </w:rPr>
        <w:t xml:space="preserve"> </w:t>
      </w:r>
      <w:r w:rsidRPr="003B3268">
        <w:rPr>
          <w:w w:val="105"/>
          <w:lang w:val="en-AU"/>
        </w:rPr>
        <w:t>Weeks</w:t>
      </w:r>
      <w:r w:rsidRPr="003B3268">
        <w:rPr>
          <w:spacing w:val="-12"/>
          <w:w w:val="105"/>
          <w:lang w:val="en-AU"/>
        </w:rPr>
        <w:t xml:space="preserve"> </w:t>
      </w:r>
      <w:r w:rsidRPr="003B3268">
        <w:rPr>
          <w:w w:val="105"/>
          <w:lang w:val="en-AU"/>
        </w:rPr>
        <w:t>16,</w:t>
      </w:r>
      <w:r w:rsidRPr="003B3268">
        <w:rPr>
          <w:spacing w:val="-10"/>
          <w:w w:val="105"/>
          <w:lang w:val="en-AU"/>
        </w:rPr>
        <w:t xml:space="preserve"> </w:t>
      </w:r>
      <w:r w:rsidRPr="003B3268">
        <w:rPr>
          <w:w w:val="105"/>
          <w:lang w:val="en-AU"/>
        </w:rPr>
        <w:t>20,</w:t>
      </w:r>
      <w:r w:rsidRPr="003B3268">
        <w:rPr>
          <w:spacing w:val="-12"/>
          <w:w w:val="105"/>
          <w:lang w:val="en-AU"/>
        </w:rPr>
        <w:t xml:space="preserve"> </w:t>
      </w:r>
      <w:r w:rsidRPr="003B3268">
        <w:rPr>
          <w:w w:val="105"/>
          <w:lang w:val="en-AU"/>
        </w:rPr>
        <w:t>and</w:t>
      </w:r>
      <w:r w:rsidRPr="003B3268">
        <w:rPr>
          <w:spacing w:val="-12"/>
          <w:w w:val="105"/>
          <w:lang w:val="en-AU"/>
        </w:rPr>
        <w:t xml:space="preserve"> </w:t>
      </w:r>
      <w:r w:rsidRPr="003B3268">
        <w:rPr>
          <w:w w:val="105"/>
          <w:lang w:val="en-AU"/>
        </w:rPr>
        <w:t>q8w</w:t>
      </w:r>
      <w:r w:rsidRPr="003B3268">
        <w:rPr>
          <w:spacing w:val="-11"/>
          <w:w w:val="105"/>
          <w:lang w:val="en-AU"/>
        </w:rPr>
        <w:t xml:space="preserve"> </w:t>
      </w:r>
      <w:r w:rsidRPr="003B3268">
        <w:rPr>
          <w:w w:val="105"/>
          <w:lang w:val="en-AU"/>
        </w:rPr>
        <w:t>thereafter.</w:t>
      </w:r>
      <w:r w:rsidRPr="003B3268">
        <w:rPr>
          <w:spacing w:val="-11"/>
          <w:w w:val="105"/>
          <w:lang w:val="en-AU"/>
        </w:rPr>
        <w:t xml:space="preserve"> </w:t>
      </w:r>
      <w:r w:rsidRPr="003B3268">
        <w:rPr>
          <w:w w:val="105"/>
          <w:lang w:val="en-AU"/>
        </w:rPr>
        <w:t>Baseline</w:t>
      </w:r>
      <w:r w:rsidRPr="003B3268">
        <w:rPr>
          <w:spacing w:val="-12"/>
          <w:w w:val="105"/>
          <w:lang w:val="en-AU"/>
        </w:rPr>
        <w:t xml:space="preserve"> </w:t>
      </w:r>
      <w:r w:rsidRPr="003B3268">
        <w:rPr>
          <w:w w:val="105"/>
          <w:lang w:val="en-AU"/>
        </w:rPr>
        <w:t>characteristics</w:t>
      </w:r>
      <w:r w:rsidRPr="003B3268">
        <w:rPr>
          <w:spacing w:val="-12"/>
          <w:w w:val="105"/>
          <w:lang w:val="en-AU"/>
        </w:rPr>
        <w:t xml:space="preserve"> </w:t>
      </w:r>
      <w:r w:rsidRPr="003B3268">
        <w:rPr>
          <w:w w:val="105"/>
          <w:lang w:val="en-AU"/>
        </w:rPr>
        <w:t>for</w:t>
      </w:r>
      <w:r w:rsidRPr="003B3268">
        <w:rPr>
          <w:spacing w:val="-12"/>
          <w:w w:val="105"/>
          <w:lang w:val="en-AU"/>
        </w:rPr>
        <w:t xml:space="preserve"> </w:t>
      </w:r>
      <w:r w:rsidRPr="003B3268">
        <w:rPr>
          <w:w w:val="105"/>
          <w:lang w:val="en-AU"/>
        </w:rPr>
        <w:t>randomi</w:t>
      </w:r>
      <w:r w:rsidR="002248F8" w:rsidRPr="003B3268">
        <w:rPr>
          <w:w w:val="105"/>
          <w:lang w:val="en-AU"/>
        </w:rPr>
        <w:t>s</w:t>
      </w:r>
      <w:r w:rsidRPr="003B3268">
        <w:rPr>
          <w:w w:val="105"/>
          <w:lang w:val="en-AU"/>
        </w:rPr>
        <w:t>ed</w:t>
      </w:r>
      <w:r w:rsidRPr="003B3268">
        <w:rPr>
          <w:spacing w:val="-12"/>
          <w:w w:val="105"/>
          <w:lang w:val="en-AU"/>
        </w:rPr>
        <w:t xml:space="preserve"> </w:t>
      </w:r>
      <w:r w:rsidRPr="003B3268">
        <w:rPr>
          <w:w w:val="105"/>
          <w:lang w:val="en-AU"/>
        </w:rPr>
        <w:t>subjects</w:t>
      </w:r>
      <w:r w:rsidRPr="003B3268">
        <w:rPr>
          <w:spacing w:val="-11"/>
          <w:w w:val="105"/>
          <w:lang w:val="en-AU"/>
        </w:rPr>
        <w:t xml:space="preserve"> </w:t>
      </w:r>
      <w:r w:rsidRPr="003B3268">
        <w:rPr>
          <w:w w:val="105"/>
          <w:lang w:val="en-AU"/>
        </w:rPr>
        <w:t>were</w:t>
      </w:r>
      <w:r w:rsidRPr="003B3268">
        <w:rPr>
          <w:spacing w:val="-10"/>
          <w:w w:val="105"/>
          <w:lang w:val="en-AU"/>
        </w:rPr>
        <w:t xml:space="preserve"> </w:t>
      </w:r>
      <w:r w:rsidRPr="003B3268">
        <w:rPr>
          <w:w w:val="105"/>
          <w:lang w:val="en-AU"/>
        </w:rPr>
        <w:t>similar</w:t>
      </w:r>
      <w:r w:rsidRPr="003B3268">
        <w:rPr>
          <w:spacing w:val="-12"/>
          <w:w w:val="105"/>
          <w:lang w:val="en-AU"/>
        </w:rPr>
        <w:t xml:space="preserve"> </w:t>
      </w:r>
      <w:r w:rsidRPr="003B3268">
        <w:rPr>
          <w:w w:val="105"/>
          <w:lang w:val="en-AU"/>
        </w:rPr>
        <w:t>to</w:t>
      </w:r>
      <w:r w:rsidRPr="003B3268">
        <w:rPr>
          <w:spacing w:val="67"/>
          <w:w w:val="103"/>
          <w:lang w:val="en-AU"/>
        </w:rPr>
        <w:t xml:space="preserve"> </w:t>
      </w:r>
      <w:r w:rsidRPr="003B3268">
        <w:rPr>
          <w:w w:val="105"/>
          <w:lang w:val="en-AU"/>
        </w:rPr>
        <w:t>those</w:t>
      </w:r>
      <w:r w:rsidRPr="003B3268">
        <w:rPr>
          <w:spacing w:val="-11"/>
          <w:w w:val="105"/>
          <w:lang w:val="en-AU"/>
        </w:rPr>
        <w:t xml:space="preserve"> </w:t>
      </w:r>
      <w:r w:rsidRPr="003B3268">
        <w:rPr>
          <w:w w:val="105"/>
          <w:lang w:val="en-AU"/>
        </w:rPr>
        <w:t>observed</w:t>
      </w:r>
      <w:r w:rsidRPr="003B3268">
        <w:rPr>
          <w:spacing w:val="-9"/>
          <w:w w:val="105"/>
          <w:lang w:val="en-AU"/>
        </w:rPr>
        <w:t xml:space="preserve"> </w:t>
      </w:r>
      <w:r w:rsidRPr="003B3268">
        <w:rPr>
          <w:w w:val="105"/>
          <w:lang w:val="en-AU"/>
        </w:rPr>
        <w:t>in</w:t>
      </w:r>
      <w:r w:rsidRPr="003B3268">
        <w:rPr>
          <w:spacing w:val="-10"/>
          <w:w w:val="105"/>
          <w:lang w:val="en-AU"/>
        </w:rPr>
        <w:t xml:space="preserve"> </w:t>
      </w:r>
      <w:r w:rsidRPr="003B3268">
        <w:rPr>
          <w:w w:val="105"/>
          <w:lang w:val="en-AU"/>
        </w:rPr>
        <w:t>VOYAGE</w:t>
      </w:r>
      <w:r w:rsidRPr="003B3268">
        <w:rPr>
          <w:spacing w:val="-10"/>
          <w:w w:val="105"/>
          <w:lang w:val="en-AU"/>
        </w:rPr>
        <w:t xml:space="preserve"> </w:t>
      </w:r>
      <w:r w:rsidRPr="003B3268">
        <w:rPr>
          <w:w w:val="105"/>
          <w:lang w:val="en-AU"/>
        </w:rPr>
        <w:t>1</w:t>
      </w:r>
      <w:r w:rsidRPr="003B3268">
        <w:rPr>
          <w:spacing w:val="-10"/>
          <w:w w:val="105"/>
          <w:lang w:val="en-AU"/>
        </w:rPr>
        <w:t xml:space="preserve"> </w:t>
      </w:r>
      <w:r w:rsidRPr="003B3268">
        <w:rPr>
          <w:w w:val="105"/>
          <w:lang w:val="en-AU"/>
        </w:rPr>
        <w:t>and</w:t>
      </w:r>
      <w:r w:rsidRPr="003B3268">
        <w:rPr>
          <w:spacing w:val="-9"/>
          <w:w w:val="105"/>
          <w:lang w:val="en-AU"/>
        </w:rPr>
        <w:t xml:space="preserve"> </w:t>
      </w:r>
      <w:r w:rsidRPr="003B3268">
        <w:rPr>
          <w:w w:val="105"/>
          <w:lang w:val="en-AU"/>
        </w:rPr>
        <w:t>2.</w:t>
      </w:r>
    </w:p>
    <w:p w14:paraId="2525848B" w14:textId="0A4931DC" w:rsidR="00BB22F6" w:rsidRPr="003B3268" w:rsidRDefault="00BB22F6" w:rsidP="00545494">
      <w:pPr>
        <w:rPr>
          <w:lang w:val="en-AU"/>
        </w:rPr>
      </w:pPr>
      <w:r w:rsidRPr="003B3268">
        <w:rPr>
          <w:w w:val="105"/>
          <w:lang w:val="en-AU"/>
        </w:rPr>
        <w:t>After</w:t>
      </w:r>
      <w:r w:rsidRPr="003B3268">
        <w:rPr>
          <w:spacing w:val="-14"/>
          <w:w w:val="105"/>
          <w:lang w:val="en-AU"/>
        </w:rPr>
        <w:t xml:space="preserve"> </w:t>
      </w:r>
      <w:r w:rsidRPr="003B3268">
        <w:rPr>
          <w:w w:val="105"/>
          <w:lang w:val="en-AU"/>
        </w:rPr>
        <w:t>randomi</w:t>
      </w:r>
      <w:r w:rsidR="002248F8" w:rsidRPr="003B3268">
        <w:rPr>
          <w:w w:val="105"/>
          <w:lang w:val="en-AU"/>
        </w:rPr>
        <w:t>s</w:t>
      </w:r>
      <w:r w:rsidRPr="003B3268">
        <w:rPr>
          <w:w w:val="105"/>
          <w:lang w:val="en-AU"/>
        </w:rPr>
        <w:t>ation,</w:t>
      </w:r>
      <w:r w:rsidRPr="003B3268">
        <w:rPr>
          <w:spacing w:val="-13"/>
          <w:w w:val="105"/>
          <w:lang w:val="en-AU"/>
        </w:rPr>
        <w:t xml:space="preserve"> </w:t>
      </w:r>
      <w:r w:rsidRPr="003B3268">
        <w:rPr>
          <w:w w:val="105"/>
          <w:lang w:val="en-AU"/>
        </w:rPr>
        <w:t>the</w:t>
      </w:r>
      <w:r w:rsidRPr="003B3268">
        <w:rPr>
          <w:spacing w:val="-14"/>
          <w:w w:val="105"/>
          <w:lang w:val="en-AU"/>
        </w:rPr>
        <w:t xml:space="preserve"> </w:t>
      </w:r>
      <w:r w:rsidRPr="003B3268">
        <w:rPr>
          <w:w w:val="105"/>
          <w:lang w:val="en-AU"/>
        </w:rPr>
        <w:t>primary</w:t>
      </w:r>
      <w:r w:rsidRPr="003B3268">
        <w:rPr>
          <w:spacing w:val="-12"/>
          <w:w w:val="105"/>
          <w:lang w:val="en-AU"/>
        </w:rPr>
        <w:t xml:space="preserve"> </w:t>
      </w:r>
      <w:r w:rsidRPr="003B3268">
        <w:rPr>
          <w:w w:val="105"/>
          <w:lang w:val="en-AU"/>
        </w:rPr>
        <w:t>endpoint</w:t>
      </w:r>
      <w:r w:rsidRPr="003B3268">
        <w:rPr>
          <w:spacing w:val="-14"/>
          <w:w w:val="105"/>
          <w:lang w:val="en-AU"/>
        </w:rPr>
        <w:t xml:space="preserve"> </w:t>
      </w:r>
      <w:r w:rsidRPr="003B3268">
        <w:rPr>
          <w:w w:val="105"/>
          <w:lang w:val="en-AU"/>
        </w:rPr>
        <w:t>was</w:t>
      </w:r>
      <w:r w:rsidRPr="003B3268">
        <w:rPr>
          <w:spacing w:val="-13"/>
          <w:w w:val="105"/>
          <w:lang w:val="en-AU"/>
        </w:rPr>
        <w:t xml:space="preserve"> </w:t>
      </w:r>
      <w:r w:rsidRPr="003B3268">
        <w:rPr>
          <w:w w:val="105"/>
          <w:lang w:val="en-AU"/>
        </w:rPr>
        <w:t>the</w:t>
      </w:r>
      <w:r w:rsidRPr="003B3268">
        <w:rPr>
          <w:spacing w:val="-12"/>
          <w:w w:val="105"/>
          <w:lang w:val="en-AU"/>
        </w:rPr>
        <w:t xml:space="preserve"> </w:t>
      </w:r>
      <w:r w:rsidRPr="003B3268">
        <w:rPr>
          <w:w w:val="105"/>
          <w:lang w:val="en-AU"/>
        </w:rPr>
        <w:t>number</w:t>
      </w:r>
      <w:r w:rsidRPr="003B3268">
        <w:rPr>
          <w:spacing w:val="-13"/>
          <w:w w:val="105"/>
          <w:lang w:val="en-AU"/>
        </w:rPr>
        <w:t xml:space="preserve"> </w:t>
      </w:r>
      <w:r w:rsidRPr="003B3268">
        <w:rPr>
          <w:w w:val="105"/>
          <w:lang w:val="en-AU"/>
        </w:rPr>
        <w:t>of</w:t>
      </w:r>
      <w:r w:rsidRPr="003B3268">
        <w:rPr>
          <w:spacing w:val="-13"/>
          <w:w w:val="105"/>
          <w:lang w:val="en-AU"/>
        </w:rPr>
        <w:t xml:space="preserve"> </w:t>
      </w:r>
      <w:r w:rsidRPr="003B3268">
        <w:rPr>
          <w:w w:val="105"/>
          <w:lang w:val="en-AU"/>
        </w:rPr>
        <w:t>post-randomisation</w:t>
      </w:r>
      <w:r w:rsidRPr="003B3268">
        <w:rPr>
          <w:spacing w:val="-15"/>
          <w:w w:val="105"/>
          <w:lang w:val="en-AU"/>
        </w:rPr>
        <w:t xml:space="preserve"> </w:t>
      </w:r>
      <w:r w:rsidRPr="003B3268">
        <w:rPr>
          <w:w w:val="105"/>
          <w:lang w:val="en-AU"/>
        </w:rPr>
        <w:t>visits</w:t>
      </w:r>
      <w:r w:rsidRPr="003B3268">
        <w:rPr>
          <w:spacing w:val="-14"/>
          <w:w w:val="105"/>
          <w:lang w:val="en-AU"/>
        </w:rPr>
        <w:t xml:space="preserve"> </w:t>
      </w:r>
      <w:r w:rsidRPr="003B3268">
        <w:rPr>
          <w:w w:val="105"/>
          <w:lang w:val="en-AU"/>
        </w:rPr>
        <w:t>between</w:t>
      </w:r>
      <w:r w:rsidRPr="003B3268">
        <w:rPr>
          <w:spacing w:val="69"/>
          <w:w w:val="103"/>
          <w:lang w:val="en-AU"/>
        </w:rPr>
        <w:t xml:space="preserve"> </w:t>
      </w:r>
      <w:r w:rsidRPr="003B3268">
        <w:rPr>
          <w:w w:val="105"/>
          <w:lang w:val="en-AU"/>
        </w:rPr>
        <w:t>Weeks</w:t>
      </w:r>
      <w:r w:rsidRPr="003B3268">
        <w:rPr>
          <w:spacing w:val="-10"/>
          <w:w w:val="105"/>
          <w:lang w:val="en-AU"/>
        </w:rPr>
        <w:t xml:space="preserve"> </w:t>
      </w:r>
      <w:r w:rsidRPr="003B3268">
        <w:rPr>
          <w:w w:val="105"/>
          <w:lang w:val="en-AU"/>
        </w:rPr>
        <w:t>12</w:t>
      </w:r>
      <w:r w:rsidRPr="003B3268">
        <w:rPr>
          <w:spacing w:val="-9"/>
          <w:w w:val="105"/>
          <w:lang w:val="en-AU"/>
        </w:rPr>
        <w:t xml:space="preserve"> </w:t>
      </w:r>
      <w:r w:rsidRPr="003B3268">
        <w:rPr>
          <w:w w:val="105"/>
          <w:lang w:val="en-AU"/>
        </w:rPr>
        <w:t>and</w:t>
      </w:r>
      <w:r w:rsidRPr="003B3268">
        <w:rPr>
          <w:spacing w:val="-11"/>
          <w:w w:val="105"/>
          <w:lang w:val="en-AU"/>
        </w:rPr>
        <w:t xml:space="preserve"> </w:t>
      </w:r>
      <w:r w:rsidRPr="003B3268">
        <w:rPr>
          <w:w w:val="105"/>
          <w:lang w:val="en-AU"/>
        </w:rPr>
        <w:t>24</w:t>
      </w:r>
      <w:r w:rsidRPr="003B3268">
        <w:rPr>
          <w:spacing w:val="-9"/>
          <w:w w:val="105"/>
          <w:lang w:val="en-AU"/>
        </w:rPr>
        <w:t xml:space="preserve"> </w:t>
      </w:r>
      <w:r w:rsidRPr="003B3268">
        <w:rPr>
          <w:w w:val="105"/>
          <w:lang w:val="en-AU"/>
        </w:rPr>
        <w:t>at</w:t>
      </w:r>
      <w:r w:rsidRPr="003B3268">
        <w:rPr>
          <w:spacing w:val="-9"/>
          <w:w w:val="105"/>
          <w:lang w:val="en-AU"/>
        </w:rPr>
        <w:t xml:space="preserve"> </w:t>
      </w:r>
      <w:r w:rsidRPr="003B3268">
        <w:rPr>
          <w:w w:val="105"/>
          <w:lang w:val="en-AU"/>
        </w:rPr>
        <w:t>which</w:t>
      </w:r>
      <w:r w:rsidRPr="003B3268">
        <w:rPr>
          <w:spacing w:val="-9"/>
          <w:w w:val="105"/>
          <w:lang w:val="en-AU"/>
        </w:rPr>
        <w:t xml:space="preserve"> </w:t>
      </w:r>
      <w:r w:rsidRPr="003B3268">
        <w:rPr>
          <w:w w:val="105"/>
          <w:lang w:val="en-AU"/>
        </w:rPr>
        <w:t>patients</w:t>
      </w:r>
      <w:r w:rsidRPr="003B3268">
        <w:rPr>
          <w:spacing w:val="-10"/>
          <w:w w:val="105"/>
          <w:lang w:val="en-AU"/>
        </w:rPr>
        <w:t xml:space="preserve"> </w:t>
      </w:r>
      <w:r w:rsidRPr="003B3268">
        <w:rPr>
          <w:w w:val="105"/>
          <w:lang w:val="en-AU"/>
        </w:rPr>
        <w:t>achieved</w:t>
      </w:r>
      <w:r w:rsidRPr="003B3268">
        <w:rPr>
          <w:spacing w:val="-10"/>
          <w:w w:val="105"/>
          <w:lang w:val="en-AU"/>
        </w:rPr>
        <w:t xml:space="preserve"> </w:t>
      </w:r>
      <w:r w:rsidRPr="003B3268">
        <w:rPr>
          <w:spacing w:val="1"/>
          <w:w w:val="105"/>
          <w:lang w:val="en-AU"/>
        </w:rPr>
        <w:t>an</w:t>
      </w:r>
      <w:r w:rsidRPr="003B3268">
        <w:rPr>
          <w:spacing w:val="-10"/>
          <w:w w:val="105"/>
          <w:lang w:val="en-AU"/>
        </w:rPr>
        <w:t xml:space="preserve"> </w:t>
      </w:r>
      <w:r w:rsidRPr="003B3268">
        <w:rPr>
          <w:w w:val="105"/>
          <w:lang w:val="en-AU"/>
        </w:rPr>
        <w:t>IGA</w:t>
      </w:r>
      <w:r w:rsidRPr="003B3268">
        <w:rPr>
          <w:spacing w:val="-9"/>
          <w:w w:val="105"/>
          <w:lang w:val="en-AU"/>
        </w:rPr>
        <w:t xml:space="preserve"> </w:t>
      </w:r>
      <w:r w:rsidRPr="003B3268">
        <w:rPr>
          <w:w w:val="105"/>
          <w:lang w:val="en-AU"/>
        </w:rPr>
        <w:t>score</w:t>
      </w:r>
      <w:r w:rsidRPr="003B3268">
        <w:rPr>
          <w:spacing w:val="-8"/>
          <w:w w:val="105"/>
          <w:lang w:val="en-AU"/>
        </w:rPr>
        <w:t xml:space="preserve"> </w:t>
      </w:r>
      <w:r w:rsidRPr="003B3268">
        <w:rPr>
          <w:w w:val="105"/>
          <w:lang w:val="en-AU"/>
        </w:rPr>
        <w:t>0/1</w:t>
      </w:r>
      <w:r w:rsidRPr="003B3268">
        <w:rPr>
          <w:spacing w:val="-9"/>
          <w:w w:val="105"/>
          <w:lang w:val="en-AU"/>
        </w:rPr>
        <w:t xml:space="preserve"> </w:t>
      </w:r>
      <w:r w:rsidRPr="003B3268">
        <w:rPr>
          <w:w w:val="105"/>
          <w:lang w:val="en-AU"/>
        </w:rPr>
        <w:t>and</w:t>
      </w:r>
      <w:r w:rsidRPr="003B3268">
        <w:rPr>
          <w:spacing w:val="-9"/>
          <w:w w:val="105"/>
          <w:lang w:val="en-AU"/>
        </w:rPr>
        <w:t xml:space="preserve"> </w:t>
      </w:r>
      <w:r w:rsidRPr="003B3268">
        <w:rPr>
          <w:w w:val="105"/>
          <w:lang w:val="en-AU"/>
        </w:rPr>
        <w:t>had</w:t>
      </w:r>
      <w:r w:rsidRPr="003B3268">
        <w:rPr>
          <w:spacing w:val="-9"/>
          <w:w w:val="105"/>
          <w:lang w:val="en-AU"/>
        </w:rPr>
        <w:t xml:space="preserve"> </w:t>
      </w:r>
      <w:r w:rsidRPr="003B3268">
        <w:rPr>
          <w:rFonts w:cs="Times New Roman"/>
          <w:w w:val="105"/>
          <w:lang w:val="en-AU"/>
        </w:rPr>
        <w:t>≥</w:t>
      </w:r>
      <w:r w:rsidRPr="003B3268">
        <w:rPr>
          <w:rFonts w:cs="Times New Roman"/>
          <w:spacing w:val="-8"/>
          <w:w w:val="105"/>
          <w:lang w:val="en-AU"/>
        </w:rPr>
        <w:t xml:space="preserve"> </w:t>
      </w:r>
      <w:r w:rsidRPr="003B3268">
        <w:rPr>
          <w:w w:val="105"/>
          <w:lang w:val="en-AU"/>
        </w:rPr>
        <w:t>2</w:t>
      </w:r>
      <w:r w:rsidRPr="003B3268">
        <w:rPr>
          <w:spacing w:val="-10"/>
          <w:w w:val="105"/>
          <w:lang w:val="en-AU"/>
        </w:rPr>
        <w:t xml:space="preserve"> </w:t>
      </w:r>
      <w:r w:rsidRPr="003B3268">
        <w:rPr>
          <w:w w:val="105"/>
          <w:lang w:val="en-AU"/>
        </w:rPr>
        <w:t>grade</w:t>
      </w:r>
      <w:r w:rsidRPr="003B3268">
        <w:rPr>
          <w:spacing w:val="-7"/>
          <w:w w:val="105"/>
          <w:lang w:val="en-AU"/>
        </w:rPr>
        <w:t xml:space="preserve"> </w:t>
      </w:r>
      <w:r w:rsidRPr="003B3268">
        <w:rPr>
          <w:w w:val="105"/>
          <w:lang w:val="en-AU"/>
        </w:rPr>
        <w:t>improvement.</w:t>
      </w:r>
      <w:r w:rsidRPr="003B3268">
        <w:rPr>
          <w:spacing w:val="48"/>
          <w:w w:val="103"/>
          <w:lang w:val="en-AU"/>
        </w:rPr>
        <w:t xml:space="preserve"> </w:t>
      </w:r>
      <w:r w:rsidRPr="003B3268">
        <w:rPr>
          <w:w w:val="105"/>
          <w:lang w:val="en-AU"/>
        </w:rPr>
        <w:t>Patients</w:t>
      </w:r>
      <w:r w:rsidRPr="003B3268">
        <w:rPr>
          <w:spacing w:val="-11"/>
          <w:w w:val="105"/>
          <w:lang w:val="en-AU"/>
        </w:rPr>
        <w:t xml:space="preserve"> </w:t>
      </w:r>
      <w:r w:rsidRPr="003B3268">
        <w:rPr>
          <w:w w:val="105"/>
          <w:lang w:val="en-AU"/>
        </w:rPr>
        <w:t>were</w:t>
      </w:r>
      <w:r w:rsidRPr="003B3268">
        <w:rPr>
          <w:spacing w:val="-8"/>
          <w:w w:val="105"/>
          <w:lang w:val="en-AU"/>
        </w:rPr>
        <w:t xml:space="preserve"> </w:t>
      </w:r>
      <w:r w:rsidRPr="003B3268">
        <w:rPr>
          <w:w w:val="105"/>
          <w:lang w:val="en-AU"/>
        </w:rPr>
        <w:t>examined</w:t>
      </w:r>
      <w:r w:rsidRPr="003B3268">
        <w:rPr>
          <w:spacing w:val="-9"/>
          <w:w w:val="105"/>
          <w:lang w:val="en-AU"/>
        </w:rPr>
        <w:t xml:space="preserve"> </w:t>
      </w:r>
      <w:r w:rsidRPr="003B3268">
        <w:rPr>
          <w:w w:val="105"/>
          <w:lang w:val="en-AU"/>
        </w:rPr>
        <w:t>at</w:t>
      </w:r>
      <w:r w:rsidRPr="003B3268">
        <w:rPr>
          <w:spacing w:val="-11"/>
          <w:w w:val="105"/>
          <w:lang w:val="en-AU"/>
        </w:rPr>
        <w:t xml:space="preserve"> </w:t>
      </w:r>
      <w:r w:rsidRPr="003B3268">
        <w:rPr>
          <w:w w:val="105"/>
          <w:lang w:val="en-AU"/>
        </w:rPr>
        <w:t>four</w:t>
      </w:r>
      <w:r w:rsidR="008061AD">
        <w:rPr>
          <w:spacing w:val="-7"/>
          <w:w w:val="105"/>
          <w:lang w:val="en-AU"/>
        </w:rPr>
        <w:t>-</w:t>
      </w:r>
      <w:r w:rsidRPr="003B3268">
        <w:rPr>
          <w:w w:val="105"/>
          <w:lang w:val="en-AU"/>
        </w:rPr>
        <w:t>week</w:t>
      </w:r>
      <w:r w:rsidRPr="003B3268">
        <w:rPr>
          <w:spacing w:val="-10"/>
          <w:w w:val="105"/>
          <w:lang w:val="en-AU"/>
        </w:rPr>
        <w:t xml:space="preserve"> </w:t>
      </w:r>
      <w:r w:rsidRPr="003B3268">
        <w:rPr>
          <w:w w:val="105"/>
          <w:lang w:val="en-AU"/>
        </w:rPr>
        <w:t>intervals</w:t>
      </w:r>
      <w:r w:rsidRPr="003B3268">
        <w:rPr>
          <w:spacing w:val="-12"/>
          <w:w w:val="105"/>
          <w:lang w:val="en-AU"/>
        </w:rPr>
        <w:t xml:space="preserve"> </w:t>
      </w:r>
      <w:r w:rsidRPr="003B3268">
        <w:rPr>
          <w:w w:val="105"/>
          <w:lang w:val="en-AU"/>
        </w:rPr>
        <w:t>for</w:t>
      </w:r>
      <w:r w:rsidRPr="003B3268">
        <w:rPr>
          <w:spacing w:val="-8"/>
          <w:w w:val="105"/>
          <w:lang w:val="en-AU"/>
        </w:rPr>
        <w:t xml:space="preserve"> </w:t>
      </w:r>
      <w:r w:rsidRPr="003B3268">
        <w:rPr>
          <w:w w:val="105"/>
          <w:lang w:val="en-AU"/>
        </w:rPr>
        <w:t>a</w:t>
      </w:r>
      <w:r w:rsidRPr="003B3268">
        <w:rPr>
          <w:spacing w:val="-9"/>
          <w:w w:val="105"/>
          <w:lang w:val="en-AU"/>
        </w:rPr>
        <w:t xml:space="preserve"> </w:t>
      </w:r>
      <w:r w:rsidRPr="003B3268">
        <w:rPr>
          <w:w w:val="105"/>
          <w:lang w:val="en-AU"/>
        </w:rPr>
        <w:t>total</w:t>
      </w:r>
      <w:r w:rsidRPr="003B3268">
        <w:rPr>
          <w:spacing w:val="-11"/>
          <w:w w:val="105"/>
          <w:lang w:val="en-AU"/>
        </w:rPr>
        <w:t xml:space="preserve"> </w:t>
      </w:r>
      <w:r w:rsidRPr="003B3268">
        <w:rPr>
          <w:w w:val="105"/>
          <w:lang w:val="en-AU"/>
        </w:rPr>
        <w:t>of</w:t>
      </w:r>
      <w:r w:rsidRPr="003B3268">
        <w:rPr>
          <w:spacing w:val="-9"/>
          <w:w w:val="105"/>
          <w:lang w:val="en-AU"/>
        </w:rPr>
        <w:t xml:space="preserve"> </w:t>
      </w:r>
      <w:r w:rsidRPr="003B3268">
        <w:rPr>
          <w:w w:val="105"/>
          <w:lang w:val="en-AU"/>
        </w:rPr>
        <w:t>four</w:t>
      </w:r>
      <w:r w:rsidRPr="003B3268">
        <w:rPr>
          <w:spacing w:val="-8"/>
          <w:w w:val="105"/>
          <w:lang w:val="en-AU"/>
        </w:rPr>
        <w:t xml:space="preserve"> </w:t>
      </w:r>
      <w:r w:rsidRPr="003B3268">
        <w:rPr>
          <w:w w:val="105"/>
          <w:lang w:val="en-AU"/>
        </w:rPr>
        <w:t>visits.</w:t>
      </w:r>
      <w:r w:rsidRPr="003B3268">
        <w:rPr>
          <w:spacing w:val="-10"/>
          <w:w w:val="105"/>
          <w:lang w:val="en-AU"/>
        </w:rPr>
        <w:t xml:space="preserve"> </w:t>
      </w:r>
      <w:r w:rsidRPr="003B3268">
        <w:rPr>
          <w:w w:val="105"/>
          <w:lang w:val="en-AU"/>
        </w:rPr>
        <w:t>Among</w:t>
      </w:r>
      <w:r w:rsidRPr="003B3268">
        <w:rPr>
          <w:spacing w:val="-10"/>
          <w:w w:val="105"/>
          <w:lang w:val="en-AU"/>
        </w:rPr>
        <w:t xml:space="preserve"> </w:t>
      </w:r>
      <w:r w:rsidRPr="003B3268">
        <w:rPr>
          <w:w w:val="105"/>
          <w:lang w:val="en-AU"/>
        </w:rPr>
        <w:t>patients</w:t>
      </w:r>
      <w:r w:rsidRPr="003B3268">
        <w:rPr>
          <w:spacing w:val="-10"/>
          <w:w w:val="105"/>
          <w:lang w:val="en-AU"/>
        </w:rPr>
        <w:t xml:space="preserve"> </w:t>
      </w:r>
      <w:r w:rsidRPr="003B3268">
        <w:rPr>
          <w:w w:val="105"/>
          <w:lang w:val="en-AU"/>
        </w:rPr>
        <w:t>who</w:t>
      </w:r>
      <w:r w:rsidRPr="003B3268">
        <w:rPr>
          <w:spacing w:val="29"/>
          <w:w w:val="103"/>
          <w:lang w:val="en-AU"/>
        </w:rPr>
        <w:t xml:space="preserve"> </w:t>
      </w:r>
      <w:r w:rsidRPr="003B3268">
        <w:rPr>
          <w:w w:val="105"/>
          <w:lang w:val="en-AU"/>
        </w:rPr>
        <w:t>inadequately</w:t>
      </w:r>
      <w:r w:rsidRPr="003B3268">
        <w:rPr>
          <w:spacing w:val="-14"/>
          <w:w w:val="105"/>
          <w:lang w:val="en-AU"/>
        </w:rPr>
        <w:t xml:space="preserve"> </w:t>
      </w:r>
      <w:r w:rsidRPr="003B3268">
        <w:rPr>
          <w:w w:val="105"/>
          <w:lang w:val="en-AU"/>
        </w:rPr>
        <w:t>responded</w:t>
      </w:r>
      <w:r w:rsidRPr="003B3268">
        <w:rPr>
          <w:spacing w:val="-15"/>
          <w:w w:val="105"/>
          <w:lang w:val="en-AU"/>
        </w:rPr>
        <w:t xml:space="preserve"> </w:t>
      </w:r>
      <w:r w:rsidRPr="003B3268">
        <w:rPr>
          <w:w w:val="105"/>
          <w:lang w:val="en-AU"/>
        </w:rPr>
        <w:t>to</w:t>
      </w:r>
      <w:r w:rsidRPr="003B3268">
        <w:rPr>
          <w:spacing w:val="-14"/>
          <w:w w:val="105"/>
          <w:lang w:val="en-AU"/>
        </w:rPr>
        <w:t xml:space="preserve"> </w:t>
      </w:r>
      <w:proofErr w:type="spellStart"/>
      <w:r w:rsidRPr="003B3268">
        <w:rPr>
          <w:w w:val="105"/>
          <w:lang w:val="en-AU"/>
        </w:rPr>
        <w:t>ustekinumab</w:t>
      </w:r>
      <w:proofErr w:type="spellEnd"/>
      <w:r w:rsidRPr="003B3268">
        <w:rPr>
          <w:spacing w:val="-14"/>
          <w:w w:val="105"/>
          <w:lang w:val="en-AU"/>
        </w:rPr>
        <w:t xml:space="preserve"> </w:t>
      </w:r>
      <w:r w:rsidRPr="003B3268">
        <w:rPr>
          <w:w w:val="105"/>
          <w:lang w:val="en-AU"/>
        </w:rPr>
        <w:t>at</w:t>
      </w:r>
      <w:r w:rsidRPr="003B3268">
        <w:rPr>
          <w:spacing w:val="-14"/>
          <w:w w:val="105"/>
          <w:lang w:val="en-AU"/>
        </w:rPr>
        <w:t xml:space="preserve"> </w:t>
      </w:r>
      <w:r w:rsidRPr="003B3268">
        <w:rPr>
          <w:w w:val="105"/>
          <w:lang w:val="en-AU"/>
        </w:rPr>
        <w:t>the</w:t>
      </w:r>
      <w:r w:rsidRPr="003B3268">
        <w:rPr>
          <w:spacing w:val="-15"/>
          <w:w w:val="105"/>
          <w:lang w:val="en-AU"/>
        </w:rPr>
        <w:t xml:space="preserve"> </w:t>
      </w:r>
      <w:r w:rsidRPr="003B3268">
        <w:rPr>
          <w:w w:val="105"/>
          <w:lang w:val="en-AU"/>
        </w:rPr>
        <w:t>time</w:t>
      </w:r>
      <w:r w:rsidRPr="003B3268">
        <w:rPr>
          <w:spacing w:val="-14"/>
          <w:w w:val="105"/>
          <w:lang w:val="en-AU"/>
        </w:rPr>
        <w:t xml:space="preserve"> </w:t>
      </w:r>
      <w:r w:rsidRPr="003B3268">
        <w:rPr>
          <w:w w:val="105"/>
          <w:lang w:val="en-AU"/>
        </w:rPr>
        <w:t>of</w:t>
      </w:r>
      <w:r w:rsidRPr="003B3268">
        <w:rPr>
          <w:spacing w:val="-13"/>
          <w:w w:val="105"/>
          <w:lang w:val="en-AU"/>
        </w:rPr>
        <w:t xml:space="preserve"> </w:t>
      </w:r>
      <w:r w:rsidRPr="003B3268">
        <w:rPr>
          <w:w w:val="105"/>
          <w:lang w:val="en-AU"/>
        </w:rPr>
        <w:t>randomisation,</w:t>
      </w:r>
      <w:r w:rsidRPr="003B3268">
        <w:rPr>
          <w:spacing w:val="-14"/>
          <w:w w:val="105"/>
          <w:lang w:val="en-AU"/>
        </w:rPr>
        <w:t xml:space="preserve"> </w:t>
      </w:r>
      <w:r w:rsidRPr="003B3268">
        <w:rPr>
          <w:w w:val="105"/>
          <w:lang w:val="en-AU"/>
        </w:rPr>
        <w:t>significantly</w:t>
      </w:r>
      <w:r w:rsidRPr="003B3268">
        <w:rPr>
          <w:spacing w:val="-12"/>
          <w:w w:val="105"/>
          <w:lang w:val="en-AU"/>
        </w:rPr>
        <w:t xml:space="preserve"> </w:t>
      </w:r>
      <w:r w:rsidRPr="003B3268">
        <w:rPr>
          <w:w w:val="105"/>
          <w:lang w:val="en-AU"/>
        </w:rPr>
        <w:t>greater</w:t>
      </w:r>
      <w:r w:rsidRPr="003B3268">
        <w:rPr>
          <w:spacing w:val="57"/>
          <w:w w:val="103"/>
          <w:lang w:val="en-AU"/>
        </w:rPr>
        <w:t xml:space="preserve"> </w:t>
      </w:r>
      <w:r w:rsidRPr="003B3268">
        <w:rPr>
          <w:w w:val="105"/>
          <w:lang w:val="en-AU"/>
        </w:rPr>
        <w:t>improvement</w:t>
      </w:r>
      <w:r w:rsidRPr="003B3268">
        <w:rPr>
          <w:spacing w:val="-13"/>
          <w:w w:val="105"/>
          <w:lang w:val="en-AU"/>
        </w:rPr>
        <w:t xml:space="preserve"> </w:t>
      </w:r>
      <w:r w:rsidRPr="003B3268">
        <w:rPr>
          <w:w w:val="105"/>
          <w:lang w:val="en-AU"/>
        </w:rPr>
        <w:t>of</w:t>
      </w:r>
      <w:r w:rsidRPr="003B3268">
        <w:rPr>
          <w:spacing w:val="-13"/>
          <w:w w:val="105"/>
          <w:lang w:val="en-AU"/>
        </w:rPr>
        <w:t xml:space="preserve"> </w:t>
      </w:r>
      <w:r w:rsidRPr="003B3268">
        <w:rPr>
          <w:w w:val="105"/>
          <w:lang w:val="en-AU"/>
        </w:rPr>
        <w:t>efficacy</w:t>
      </w:r>
      <w:r w:rsidRPr="003B3268">
        <w:rPr>
          <w:spacing w:val="-10"/>
          <w:w w:val="105"/>
          <w:lang w:val="en-AU"/>
        </w:rPr>
        <w:t xml:space="preserve"> </w:t>
      </w:r>
      <w:r w:rsidRPr="003B3268">
        <w:rPr>
          <w:w w:val="105"/>
          <w:lang w:val="en-AU"/>
        </w:rPr>
        <w:t>was</w:t>
      </w:r>
      <w:r w:rsidRPr="003B3268">
        <w:rPr>
          <w:spacing w:val="-12"/>
          <w:w w:val="105"/>
          <w:lang w:val="en-AU"/>
        </w:rPr>
        <w:t xml:space="preserve"> </w:t>
      </w:r>
      <w:r w:rsidRPr="003B3268">
        <w:rPr>
          <w:w w:val="105"/>
          <w:lang w:val="en-AU"/>
        </w:rPr>
        <w:t>observed</w:t>
      </w:r>
      <w:r w:rsidRPr="003B3268">
        <w:rPr>
          <w:spacing w:val="-13"/>
          <w:w w:val="105"/>
          <w:lang w:val="en-AU"/>
        </w:rPr>
        <w:t xml:space="preserve"> </w:t>
      </w:r>
      <w:r w:rsidRPr="003B3268">
        <w:rPr>
          <w:w w:val="105"/>
          <w:lang w:val="en-AU"/>
        </w:rPr>
        <w:t>in</w:t>
      </w:r>
      <w:r w:rsidRPr="003B3268">
        <w:rPr>
          <w:spacing w:val="-12"/>
          <w:w w:val="105"/>
          <w:lang w:val="en-AU"/>
        </w:rPr>
        <w:t xml:space="preserve"> </w:t>
      </w:r>
      <w:r w:rsidRPr="003B3268">
        <w:rPr>
          <w:w w:val="105"/>
          <w:lang w:val="en-AU"/>
        </w:rPr>
        <w:t>patients</w:t>
      </w:r>
      <w:r w:rsidRPr="003B3268">
        <w:rPr>
          <w:spacing w:val="-11"/>
          <w:w w:val="105"/>
          <w:lang w:val="en-AU"/>
        </w:rPr>
        <w:t xml:space="preserve"> </w:t>
      </w:r>
      <w:r w:rsidRPr="003B3268">
        <w:rPr>
          <w:w w:val="105"/>
          <w:lang w:val="en-AU"/>
        </w:rPr>
        <w:t>who</w:t>
      </w:r>
      <w:r w:rsidRPr="003B3268">
        <w:rPr>
          <w:spacing w:val="-13"/>
          <w:w w:val="105"/>
          <w:lang w:val="en-AU"/>
        </w:rPr>
        <w:t xml:space="preserve"> </w:t>
      </w:r>
      <w:r w:rsidRPr="003B3268">
        <w:rPr>
          <w:w w:val="105"/>
          <w:lang w:val="en-AU"/>
        </w:rPr>
        <w:t>switched</w:t>
      </w:r>
      <w:r w:rsidRPr="003B3268">
        <w:rPr>
          <w:spacing w:val="-13"/>
          <w:w w:val="105"/>
          <w:lang w:val="en-AU"/>
        </w:rPr>
        <w:t xml:space="preserve"> </w:t>
      </w:r>
      <w:r w:rsidRPr="003B3268">
        <w:rPr>
          <w:w w:val="105"/>
          <w:lang w:val="en-AU"/>
        </w:rPr>
        <w:t>to</w:t>
      </w:r>
      <w:r w:rsidRPr="003B3268">
        <w:rPr>
          <w:spacing w:val="-13"/>
          <w:w w:val="105"/>
          <w:lang w:val="en-AU"/>
        </w:rPr>
        <w:t xml:space="preserve"> </w:t>
      </w:r>
      <w:proofErr w:type="spellStart"/>
      <w:r w:rsidRPr="003B3268">
        <w:rPr>
          <w:w w:val="105"/>
          <w:lang w:val="en-AU"/>
        </w:rPr>
        <w:t>guselkumab</w:t>
      </w:r>
      <w:proofErr w:type="spellEnd"/>
      <w:r w:rsidRPr="003B3268">
        <w:rPr>
          <w:spacing w:val="-14"/>
          <w:w w:val="105"/>
          <w:lang w:val="en-AU"/>
        </w:rPr>
        <w:t xml:space="preserve"> </w:t>
      </w:r>
      <w:r w:rsidRPr="003B3268">
        <w:rPr>
          <w:w w:val="105"/>
          <w:lang w:val="en-AU"/>
        </w:rPr>
        <w:t>treatment</w:t>
      </w:r>
      <w:r w:rsidRPr="003B3268">
        <w:rPr>
          <w:spacing w:val="-11"/>
          <w:w w:val="105"/>
          <w:lang w:val="en-AU"/>
        </w:rPr>
        <w:t xml:space="preserve"> </w:t>
      </w:r>
      <w:r w:rsidRPr="003B3268">
        <w:rPr>
          <w:w w:val="105"/>
          <w:lang w:val="en-AU"/>
        </w:rPr>
        <w:t>compared</w:t>
      </w:r>
      <w:r w:rsidRPr="003B3268">
        <w:rPr>
          <w:spacing w:val="-13"/>
          <w:w w:val="105"/>
          <w:lang w:val="en-AU"/>
        </w:rPr>
        <w:t xml:space="preserve"> </w:t>
      </w:r>
      <w:r w:rsidRPr="003B3268">
        <w:rPr>
          <w:spacing w:val="1"/>
          <w:w w:val="105"/>
          <w:lang w:val="en-AU"/>
        </w:rPr>
        <w:t>to</w:t>
      </w:r>
      <w:r w:rsidRPr="003B3268">
        <w:rPr>
          <w:spacing w:val="94"/>
          <w:w w:val="103"/>
          <w:lang w:val="en-AU"/>
        </w:rPr>
        <w:t xml:space="preserve"> </w:t>
      </w:r>
      <w:r w:rsidRPr="003B3268">
        <w:rPr>
          <w:w w:val="105"/>
          <w:lang w:val="en-AU"/>
        </w:rPr>
        <w:t>patients</w:t>
      </w:r>
      <w:r w:rsidRPr="003B3268">
        <w:rPr>
          <w:spacing w:val="-15"/>
          <w:w w:val="105"/>
          <w:lang w:val="en-AU"/>
        </w:rPr>
        <w:t xml:space="preserve"> </w:t>
      </w:r>
      <w:r w:rsidRPr="003B3268">
        <w:rPr>
          <w:w w:val="105"/>
          <w:lang w:val="en-AU"/>
        </w:rPr>
        <w:t>who</w:t>
      </w:r>
      <w:r w:rsidRPr="003B3268">
        <w:rPr>
          <w:spacing w:val="-13"/>
          <w:w w:val="105"/>
          <w:lang w:val="en-AU"/>
        </w:rPr>
        <w:t xml:space="preserve"> </w:t>
      </w:r>
      <w:r w:rsidRPr="003B3268">
        <w:rPr>
          <w:w w:val="105"/>
          <w:lang w:val="en-AU"/>
        </w:rPr>
        <w:t>continued</w:t>
      </w:r>
      <w:r w:rsidRPr="003B3268">
        <w:rPr>
          <w:spacing w:val="-14"/>
          <w:w w:val="105"/>
          <w:lang w:val="en-AU"/>
        </w:rPr>
        <w:t xml:space="preserve"> </w:t>
      </w:r>
      <w:proofErr w:type="spellStart"/>
      <w:r w:rsidRPr="003B3268">
        <w:rPr>
          <w:w w:val="105"/>
          <w:lang w:val="en-AU"/>
        </w:rPr>
        <w:t>ustekinumab</w:t>
      </w:r>
      <w:proofErr w:type="spellEnd"/>
      <w:r w:rsidRPr="003B3268">
        <w:rPr>
          <w:spacing w:val="-14"/>
          <w:w w:val="105"/>
          <w:lang w:val="en-AU"/>
        </w:rPr>
        <w:t xml:space="preserve"> </w:t>
      </w:r>
      <w:r w:rsidRPr="003B3268">
        <w:rPr>
          <w:w w:val="105"/>
          <w:lang w:val="en-AU"/>
        </w:rPr>
        <w:t>treatment.</w:t>
      </w:r>
      <w:r w:rsidRPr="003B3268">
        <w:rPr>
          <w:spacing w:val="-14"/>
          <w:w w:val="105"/>
          <w:lang w:val="en-AU"/>
        </w:rPr>
        <w:t xml:space="preserve"> </w:t>
      </w:r>
      <w:r w:rsidRPr="003B3268">
        <w:rPr>
          <w:w w:val="105"/>
          <w:lang w:val="en-AU"/>
        </w:rPr>
        <w:t>Between</w:t>
      </w:r>
      <w:r w:rsidRPr="003B3268">
        <w:rPr>
          <w:spacing w:val="-13"/>
          <w:w w:val="105"/>
          <w:lang w:val="en-AU"/>
        </w:rPr>
        <w:t xml:space="preserve"> </w:t>
      </w:r>
      <w:r w:rsidRPr="003B3268">
        <w:rPr>
          <w:w w:val="105"/>
          <w:lang w:val="en-AU"/>
        </w:rPr>
        <w:t>12</w:t>
      </w:r>
      <w:r w:rsidRPr="003B3268">
        <w:rPr>
          <w:spacing w:val="-14"/>
          <w:w w:val="105"/>
          <w:lang w:val="en-AU"/>
        </w:rPr>
        <w:t xml:space="preserve"> </w:t>
      </w:r>
      <w:r w:rsidRPr="003B3268">
        <w:rPr>
          <w:w w:val="105"/>
          <w:lang w:val="en-AU"/>
        </w:rPr>
        <w:t>and</w:t>
      </w:r>
      <w:r w:rsidRPr="003B3268">
        <w:rPr>
          <w:spacing w:val="-14"/>
          <w:w w:val="105"/>
          <w:lang w:val="en-AU"/>
        </w:rPr>
        <w:t xml:space="preserve"> </w:t>
      </w:r>
      <w:r w:rsidRPr="003B3268">
        <w:rPr>
          <w:w w:val="105"/>
          <w:lang w:val="en-AU"/>
        </w:rPr>
        <w:t>24</w:t>
      </w:r>
      <w:r w:rsidRPr="003B3268">
        <w:rPr>
          <w:spacing w:val="-13"/>
          <w:w w:val="105"/>
          <w:lang w:val="en-AU"/>
        </w:rPr>
        <w:t xml:space="preserve"> </w:t>
      </w:r>
      <w:r w:rsidRPr="003B3268">
        <w:rPr>
          <w:w w:val="105"/>
          <w:lang w:val="en-AU"/>
        </w:rPr>
        <w:t>weeks</w:t>
      </w:r>
      <w:r w:rsidRPr="003B3268">
        <w:rPr>
          <w:spacing w:val="-13"/>
          <w:w w:val="105"/>
          <w:lang w:val="en-AU"/>
        </w:rPr>
        <w:t xml:space="preserve"> </w:t>
      </w:r>
      <w:r w:rsidRPr="003B3268">
        <w:rPr>
          <w:w w:val="105"/>
          <w:lang w:val="en-AU"/>
        </w:rPr>
        <w:t>after</w:t>
      </w:r>
      <w:r w:rsidRPr="003B3268">
        <w:rPr>
          <w:spacing w:val="-15"/>
          <w:w w:val="105"/>
          <w:lang w:val="en-AU"/>
        </w:rPr>
        <w:t xml:space="preserve"> </w:t>
      </w:r>
      <w:r w:rsidRPr="003B3268">
        <w:rPr>
          <w:w w:val="105"/>
          <w:lang w:val="en-AU"/>
        </w:rPr>
        <w:t>randomisation,</w:t>
      </w:r>
      <w:r w:rsidRPr="003B3268">
        <w:rPr>
          <w:spacing w:val="48"/>
          <w:w w:val="103"/>
          <w:lang w:val="en-AU"/>
        </w:rPr>
        <w:t xml:space="preserve"> </w:t>
      </w:r>
      <w:proofErr w:type="spellStart"/>
      <w:r w:rsidRPr="003B3268">
        <w:rPr>
          <w:w w:val="105"/>
          <w:lang w:val="en-AU"/>
        </w:rPr>
        <w:t>guselkumab</w:t>
      </w:r>
      <w:proofErr w:type="spellEnd"/>
      <w:r w:rsidRPr="003B3268">
        <w:rPr>
          <w:spacing w:val="-11"/>
          <w:w w:val="105"/>
          <w:lang w:val="en-AU"/>
        </w:rPr>
        <w:t xml:space="preserve"> </w:t>
      </w:r>
      <w:r w:rsidRPr="003B3268">
        <w:rPr>
          <w:w w:val="105"/>
          <w:lang w:val="en-AU"/>
        </w:rPr>
        <w:t>patients</w:t>
      </w:r>
      <w:r w:rsidRPr="003B3268">
        <w:rPr>
          <w:spacing w:val="-10"/>
          <w:w w:val="105"/>
          <w:lang w:val="en-AU"/>
        </w:rPr>
        <w:t xml:space="preserve"> </w:t>
      </w:r>
      <w:r w:rsidRPr="003B3268">
        <w:rPr>
          <w:w w:val="105"/>
          <w:lang w:val="en-AU"/>
        </w:rPr>
        <w:t>achieved</w:t>
      </w:r>
      <w:r w:rsidRPr="003B3268">
        <w:rPr>
          <w:spacing w:val="-11"/>
          <w:w w:val="105"/>
          <w:lang w:val="en-AU"/>
        </w:rPr>
        <w:t xml:space="preserve"> </w:t>
      </w:r>
      <w:r w:rsidRPr="003B3268">
        <w:rPr>
          <w:w w:val="105"/>
          <w:lang w:val="en-AU"/>
        </w:rPr>
        <w:t>an</w:t>
      </w:r>
      <w:r w:rsidRPr="003B3268">
        <w:rPr>
          <w:spacing w:val="-10"/>
          <w:w w:val="105"/>
          <w:lang w:val="en-AU"/>
        </w:rPr>
        <w:t xml:space="preserve"> </w:t>
      </w:r>
      <w:r w:rsidRPr="003B3268">
        <w:rPr>
          <w:w w:val="105"/>
          <w:lang w:val="en-AU"/>
        </w:rPr>
        <w:t>IGA</w:t>
      </w:r>
      <w:r w:rsidRPr="003B3268">
        <w:rPr>
          <w:spacing w:val="-11"/>
          <w:w w:val="105"/>
          <w:lang w:val="en-AU"/>
        </w:rPr>
        <w:t xml:space="preserve"> </w:t>
      </w:r>
      <w:r w:rsidRPr="003B3268">
        <w:rPr>
          <w:w w:val="105"/>
          <w:lang w:val="en-AU"/>
        </w:rPr>
        <w:t>score</w:t>
      </w:r>
      <w:r w:rsidRPr="003B3268">
        <w:rPr>
          <w:spacing w:val="-9"/>
          <w:w w:val="105"/>
          <w:lang w:val="en-AU"/>
        </w:rPr>
        <w:t xml:space="preserve"> </w:t>
      </w:r>
      <w:r w:rsidRPr="003B3268">
        <w:rPr>
          <w:w w:val="105"/>
          <w:lang w:val="en-AU"/>
        </w:rPr>
        <w:t>0/1</w:t>
      </w:r>
      <w:r w:rsidRPr="003B3268">
        <w:rPr>
          <w:spacing w:val="-10"/>
          <w:w w:val="105"/>
          <w:lang w:val="en-AU"/>
        </w:rPr>
        <w:t xml:space="preserve"> </w:t>
      </w:r>
      <w:r w:rsidRPr="003B3268">
        <w:rPr>
          <w:w w:val="105"/>
          <w:lang w:val="en-AU"/>
        </w:rPr>
        <w:t>with</w:t>
      </w:r>
      <w:r w:rsidRPr="003B3268">
        <w:rPr>
          <w:spacing w:val="-10"/>
          <w:w w:val="105"/>
          <w:lang w:val="en-AU"/>
        </w:rPr>
        <w:t xml:space="preserve"> </w:t>
      </w:r>
      <w:r w:rsidRPr="003B3268">
        <w:rPr>
          <w:rFonts w:cs="Times New Roman"/>
          <w:w w:val="105"/>
          <w:lang w:val="en-AU"/>
        </w:rPr>
        <w:t>≥</w:t>
      </w:r>
      <w:r w:rsidRPr="003B3268">
        <w:rPr>
          <w:rFonts w:cs="Times New Roman"/>
          <w:spacing w:val="-11"/>
          <w:w w:val="105"/>
          <w:lang w:val="en-AU"/>
        </w:rPr>
        <w:t xml:space="preserve"> </w:t>
      </w:r>
      <w:r w:rsidRPr="003B3268">
        <w:rPr>
          <w:w w:val="105"/>
          <w:lang w:val="en-AU"/>
        </w:rPr>
        <w:t>2</w:t>
      </w:r>
      <w:r w:rsidRPr="003B3268">
        <w:rPr>
          <w:spacing w:val="-10"/>
          <w:w w:val="105"/>
          <w:lang w:val="en-AU"/>
        </w:rPr>
        <w:t xml:space="preserve"> </w:t>
      </w:r>
      <w:r w:rsidRPr="003B3268">
        <w:rPr>
          <w:w w:val="105"/>
          <w:lang w:val="en-AU"/>
        </w:rPr>
        <w:t>grade</w:t>
      </w:r>
      <w:r w:rsidRPr="003B3268">
        <w:rPr>
          <w:spacing w:val="-9"/>
          <w:w w:val="105"/>
          <w:lang w:val="en-AU"/>
        </w:rPr>
        <w:t xml:space="preserve"> </w:t>
      </w:r>
      <w:r w:rsidRPr="003B3268">
        <w:rPr>
          <w:w w:val="105"/>
          <w:lang w:val="en-AU"/>
        </w:rPr>
        <w:t>improvement</w:t>
      </w:r>
      <w:r w:rsidRPr="003B3268">
        <w:rPr>
          <w:spacing w:val="-10"/>
          <w:w w:val="105"/>
          <w:lang w:val="en-AU"/>
        </w:rPr>
        <w:t xml:space="preserve"> </w:t>
      </w:r>
      <w:r w:rsidRPr="003B3268">
        <w:rPr>
          <w:w w:val="105"/>
          <w:lang w:val="en-AU"/>
        </w:rPr>
        <w:t>twice</w:t>
      </w:r>
      <w:r w:rsidRPr="003B3268">
        <w:rPr>
          <w:spacing w:val="-10"/>
          <w:w w:val="105"/>
          <w:lang w:val="en-AU"/>
        </w:rPr>
        <w:t xml:space="preserve"> </w:t>
      </w:r>
      <w:r w:rsidRPr="003B3268">
        <w:rPr>
          <w:w w:val="105"/>
          <w:lang w:val="en-AU"/>
        </w:rPr>
        <w:t>as</w:t>
      </w:r>
      <w:r w:rsidRPr="003B3268">
        <w:rPr>
          <w:spacing w:val="-10"/>
          <w:w w:val="105"/>
          <w:lang w:val="en-AU"/>
        </w:rPr>
        <w:t xml:space="preserve"> </w:t>
      </w:r>
      <w:r w:rsidRPr="003B3268">
        <w:rPr>
          <w:w w:val="105"/>
          <w:lang w:val="en-AU"/>
        </w:rPr>
        <w:t>often</w:t>
      </w:r>
      <w:r w:rsidRPr="003B3268">
        <w:rPr>
          <w:spacing w:val="-9"/>
          <w:w w:val="105"/>
          <w:lang w:val="en-AU"/>
        </w:rPr>
        <w:t xml:space="preserve"> </w:t>
      </w:r>
      <w:r w:rsidRPr="003B3268">
        <w:rPr>
          <w:w w:val="105"/>
          <w:lang w:val="en-AU"/>
        </w:rPr>
        <w:t>as</w:t>
      </w:r>
      <w:r w:rsidRPr="003B3268">
        <w:rPr>
          <w:spacing w:val="59"/>
          <w:w w:val="103"/>
          <w:lang w:val="en-AU"/>
        </w:rPr>
        <w:t xml:space="preserve"> </w:t>
      </w:r>
      <w:proofErr w:type="spellStart"/>
      <w:r w:rsidRPr="003B3268">
        <w:rPr>
          <w:w w:val="105"/>
          <w:lang w:val="en-AU"/>
        </w:rPr>
        <w:t>ustekinumab</w:t>
      </w:r>
      <w:proofErr w:type="spellEnd"/>
      <w:r w:rsidRPr="003B3268">
        <w:rPr>
          <w:spacing w:val="-12"/>
          <w:w w:val="105"/>
          <w:lang w:val="en-AU"/>
        </w:rPr>
        <w:t xml:space="preserve"> </w:t>
      </w:r>
      <w:r w:rsidRPr="003B3268">
        <w:rPr>
          <w:w w:val="105"/>
          <w:lang w:val="en-AU"/>
        </w:rPr>
        <w:t>patients</w:t>
      </w:r>
      <w:r w:rsidRPr="003B3268">
        <w:rPr>
          <w:spacing w:val="-11"/>
          <w:w w:val="105"/>
          <w:lang w:val="en-AU"/>
        </w:rPr>
        <w:t xml:space="preserve"> </w:t>
      </w:r>
      <w:r w:rsidRPr="003B3268">
        <w:rPr>
          <w:w w:val="105"/>
          <w:lang w:val="en-AU"/>
        </w:rPr>
        <w:t>(mean</w:t>
      </w:r>
      <w:r w:rsidRPr="003B3268">
        <w:rPr>
          <w:spacing w:val="-11"/>
          <w:w w:val="105"/>
          <w:lang w:val="en-AU"/>
        </w:rPr>
        <w:t xml:space="preserve"> </w:t>
      </w:r>
      <w:r w:rsidRPr="003B3268">
        <w:rPr>
          <w:w w:val="105"/>
          <w:lang w:val="en-AU"/>
        </w:rPr>
        <w:t>1.5</w:t>
      </w:r>
      <w:r w:rsidRPr="003B3268">
        <w:rPr>
          <w:spacing w:val="-11"/>
          <w:w w:val="105"/>
          <w:lang w:val="en-AU"/>
        </w:rPr>
        <w:t xml:space="preserve"> </w:t>
      </w:r>
      <w:r w:rsidRPr="003B3268">
        <w:rPr>
          <w:w w:val="105"/>
          <w:lang w:val="en-AU"/>
        </w:rPr>
        <w:t>vs</w:t>
      </w:r>
      <w:r w:rsidRPr="003B3268">
        <w:rPr>
          <w:spacing w:val="-11"/>
          <w:w w:val="105"/>
          <w:lang w:val="en-AU"/>
        </w:rPr>
        <w:t xml:space="preserve"> </w:t>
      </w:r>
      <w:r w:rsidRPr="003B3268">
        <w:rPr>
          <w:w w:val="105"/>
          <w:lang w:val="en-AU"/>
        </w:rPr>
        <w:t>0.7</w:t>
      </w:r>
      <w:r w:rsidRPr="003B3268">
        <w:rPr>
          <w:spacing w:val="-10"/>
          <w:w w:val="105"/>
          <w:lang w:val="en-AU"/>
        </w:rPr>
        <w:t xml:space="preserve"> </w:t>
      </w:r>
      <w:r w:rsidRPr="003B3268">
        <w:rPr>
          <w:w w:val="105"/>
          <w:lang w:val="en-AU"/>
        </w:rPr>
        <w:t>visits,</w:t>
      </w:r>
      <w:r w:rsidRPr="003B3268">
        <w:rPr>
          <w:spacing w:val="-11"/>
          <w:w w:val="105"/>
          <w:lang w:val="en-AU"/>
        </w:rPr>
        <w:t xml:space="preserve"> </w:t>
      </w:r>
      <w:r w:rsidRPr="003B3268">
        <w:rPr>
          <w:w w:val="105"/>
          <w:lang w:val="en-AU"/>
        </w:rPr>
        <w:t>respectively,</w:t>
      </w:r>
      <w:r w:rsidRPr="003B3268">
        <w:rPr>
          <w:spacing w:val="-10"/>
          <w:w w:val="105"/>
          <w:lang w:val="en-AU"/>
        </w:rPr>
        <w:t xml:space="preserve"> </w:t>
      </w:r>
      <w:r w:rsidRPr="003B3268">
        <w:rPr>
          <w:w w:val="105"/>
          <w:lang w:val="en-AU"/>
        </w:rPr>
        <w:t>p</w:t>
      </w:r>
      <w:r w:rsidRPr="003B3268">
        <w:rPr>
          <w:spacing w:val="-11"/>
          <w:w w:val="105"/>
          <w:lang w:val="en-AU"/>
        </w:rPr>
        <w:t xml:space="preserve"> </w:t>
      </w:r>
      <w:r w:rsidRPr="003B3268">
        <w:rPr>
          <w:w w:val="105"/>
          <w:lang w:val="en-AU"/>
        </w:rPr>
        <w:t>&lt;</w:t>
      </w:r>
      <w:r w:rsidRPr="003B3268">
        <w:rPr>
          <w:spacing w:val="-12"/>
          <w:w w:val="105"/>
          <w:lang w:val="en-AU"/>
        </w:rPr>
        <w:t xml:space="preserve"> </w:t>
      </w:r>
      <w:r w:rsidRPr="003B3268">
        <w:rPr>
          <w:w w:val="105"/>
          <w:lang w:val="en-AU"/>
        </w:rPr>
        <w:t>0.001).</w:t>
      </w:r>
      <w:r w:rsidRPr="003B3268">
        <w:rPr>
          <w:spacing w:val="-10"/>
          <w:w w:val="105"/>
          <w:lang w:val="en-AU"/>
        </w:rPr>
        <w:t xml:space="preserve"> </w:t>
      </w:r>
      <w:r w:rsidRPr="003B3268">
        <w:rPr>
          <w:w w:val="105"/>
          <w:lang w:val="en-AU"/>
        </w:rPr>
        <w:t>Additionally,</w:t>
      </w:r>
      <w:r w:rsidRPr="003B3268">
        <w:rPr>
          <w:spacing w:val="-11"/>
          <w:w w:val="105"/>
          <w:lang w:val="en-AU"/>
        </w:rPr>
        <w:t xml:space="preserve"> </w:t>
      </w:r>
      <w:r w:rsidRPr="003B3268">
        <w:rPr>
          <w:w w:val="105"/>
          <w:lang w:val="en-AU"/>
        </w:rPr>
        <w:t>at</w:t>
      </w:r>
      <w:r w:rsidRPr="003B3268">
        <w:rPr>
          <w:spacing w:val="-11"/>
          <w:w w:val="105"/>
          <w:lang w:val="en-AU"/>
        </w:rPr>
        <w:t xml:space="preserve"> </w:t>
      </w:r>
      <w:r w:rsidRPr="003B3268">
        <w:rPr>
          <w:w w:val="105"/>
          <w:lang w:val="en-AU"/>
        </w:rPr>
        <w:t>12</w:t>
      </w:r>
      <w:r w:rsidRPr="003B3268">
        <w:rPr>
          <w:spacing w:val="-11"/>
          <w:w w:val="105"/>
          <w:lang w:val="en-AU"/>
        </w:rPr>
        <w:t xml:space="preserve"> </w:t>
      </w:r>
      <w:r w:rsidRPr="003B3268">
        <w:rPr>
          <w:w w:val="105"/>
          <w:lang w:val="en-AU"/>
        </w:rPr>
        <w:t>weeks</w:t>
      </w:r>
      <w:r w:rsidRPr="003B3268">
        <w:rPr>
          <w:spacing w:val="-11"/>
          <w:w w:val="105"/>
          <w:lang w:val="en-AU"/>
        </w:rPr>
        <w:t xml:space="preserve"> </w:t>
      </w:r>
      <w:r w:rsidRPr="003B3268">
        <w:rPr>
          <w:w w:val="105"/>
          <w:lang w:val="en-AU"/>
        </w:rPr>
        <w:t>after</w:t>
      </w:r>
      <w:r w:rsidRPr="003B3268">
        <w:rPr>
          <w:spacing w:val="36"/>
          <w:w w:val="103"/>
          <w:lang w:val="en-AU"/>
        </w:rPr>
        <w:t xml:space="preserve"> </w:t>
      </w:r>
      <w:r w:rsidRPr="003B3268">
        <w:rPr>
          <w:w w:val="105"/>
          <w:lang w:val="en-AU"/>
        </w:rPr>
        <w:t>randomisation</w:t>
      </w:r>
      <w:r w:rsidRPr="003B3268">
        <w:rPr>
          <w:spacing w:val="-16"/>
          <w:w w:val="105"/>
          <w:lang w:val="en-AU"/>
        </w:rPr>
        <w:t xml:space="preserve"> </w:t>
      </w:r>
      <w:r w:rsidRPr="003B3268">
        <w:rPr>
          <w:w w:val="105"/>
          <w:lang w:val="en-AU"/>
        </w:rPr>
        <w:t>a</w:t>
      </w:r>
      <w:r w:rsidRPr="003B3268">
        <w:rPr>
          <w:spacing w:val="-15"/>
          <w:w w:val="105"/>
          <w:lang w:val="en-AU"/>
        </w:rPr>
        <w:t xml:space="preserve"> </w:t>
      </w:r>
      <w:r w:rsidRPr="003B3268">
        <w:rPr>
          <w:w w:val="105"/>
          <w:lang w:val="en-AU"/>
        </w:rPr>
        <w:t>higher</w:t>
      </w:r>
      <w:r w:rsidRPr="003B3268">
        <w:rPr>
          <w:spacing w:val="-14"/>
          <w:w w:val="105"/>
          <w:lang w:val="en-AU"/>
        </w:rPr>
        <w:t xml:space="preserve"> </w:t>
      </w:r>
      <w:r w:rsidRPr="003B3268">
        <w:rPr>
          <w:w w:val="105"/>
          <w:lang w:val="en-AU"/>
        </w:rPr>
        <w:t>proportion</w:t>
      </w:r>
      <w:r w:rsidRPr="003B3268">
        <w:rPr>
          <w:spacing w:val="-16"/>
          <w:w w:val="105"/>
          <w:lang w:val="en-AU"/>
        </w:rPr>
        <w:t xml:space="preserve"> </w:t>
      </w:r>
      <w:r w:rsidRPr="003B3268">
        <w:rPr>
          <w:w w:val="105"/>
          <w:lang w:val="en-AU"/>
        </w:rPr>
        <w:t>of</w:t>
      </w:r>
      <w:r w:rsidRPr="003B3268">
        <w:rPr>
          <w:spacing w:val="-13"/>
          <w:w w:val="105"/>
          <w:lang w:val="en-AU"/>
        </w:rPr>
        <w:t xml:space="preserve"> </w:t>
      </w:r>
      <w:proofErr w:type="spellStart"/>
      <w:r w:rsidRPr="003B3268">
        <w:rPr>
          <w:w w:val="105"/>
          <w:lang w:val="en-AU"/>
        </w:rPr>
        <w:t>guselkumab</w:t>
      </w:r>
      <w:proofErr w:type="spellEnd"/>
      <w:r w:rsidRPr="003B3268">
        <w:rPr>
          <w:spacing w:val="-16"/>
          <w:w w:val="105"/>
          <w:lang w:val="en-AU"/>
        </w:rPr>
        <w:t xml:space="preserve"> </w:t>
      </w:r>
      <w:r w:rsidRPr="003B3268">
        <w:rPr>
          <w:w w:val="105"/>
          <w:lang w:val="en-AU"/>
        </w:rPr>
        <w:t>patients</w:t>
      </w:r>
      <w:r w:rsidRPr="003B3268">
        <w:rPr>
          <w:spacing w:val="-14"/>
          <w:w w:val="105"/>
          <w:lang w:val="en-AU"/>
        </w:rPr>
        <w:t xml:space="preserve"> </w:t>
      </w:r>
      <w:r w:rsidRPr="003B3268">
        <w:rPr>
          <w:w w:val="105"/>
          <w:lang w:val="en-AU"/>
        </w:rPr>
        <w:t>compared</w:t>
      </w:r>
      <w:r w:rsidRPr="003B3268">
        <w:rPr>
          <w:spacing w:val="-16"/>
          <w:w w:val="105"/>
          <w:lang w:val="en-AU"/>
        </w:rPr>
        <w:t xml:space="preserve"> </w:t>
      </w:r>
      <w:r w:rsidRPr="003B3268">
        <w:rPr>
          <w:w w:val="105"/>
          <w:lang w:val="en-AU"/>
        </w:rPr>
        <w:t>to</w:t>
      </w:r>
      <w:r w:rsidRPr="003B3268">
        <w:rPr>
          <w:spacing w:val="-15"/>
          <w:w w:val="105"/>
          <w:lang w:val="en-AU"/>
        </w:rPr>
        <w:t xml:space="preserve"> </w:t>
      </w:r>
      <w:proofErr w:type="spellStart"/>
      <w:r w:rsidRPr="003B3268">
        <w:rPr>
          <w:w w:val="105"/>
          <w:lang w:val="en-AU"/>
        </w:rPr>
        <w:t>ustekinumab</w:t>
      </w:r>
      <w:proofErr w:type="spellEnd"/>
      <w:r w:rsidRPr="003B3268">
        <w:rPr>
          <w:spacing w:val="-14"/>
          <w:w w:val="105"/>
          <w:lang w:val="en-AU"/>
        </w:rPr>
        <w:t xml:space="preserve"> </w:t>
      </w:r>
      <w:r w:rsidRPr="003B3268">
        <w:rPr>
          <w:w w:val="105"/>
          <w:lang w:val="en-AU"/>
        </w:rPr>
        <w:t>patients</w:t>
      </w:r>
      <w:r w:rsidRPr="003B3268">
        <w:rPr>
          <w:spacing w:val="-15"/>
          <w:w w:val="105"/>
          <w:lang w:val="en-AU"/>
        </w:rPr>
        <w:t xml:space="preserve"> </w:t>
      </w:r>
      <w:r w:rsidRPr="003B3268">
        <w:rPr>
          <w:w w:val="105"/>
          <w:lang w:val="en-AU"/>
        </w:rPr>
        <w:t>achieved</w:t>
      </w:r>
      <w:r w:rsidRPr="003B3268">
        <w:rPr>
          <w:spacing w:val="56"/>
          <w:w w:val="103"/>
          <w:lang w:val="en-AU"/>
        </w:rPr>
        <w:t xml:space="preserve"> </w:t>
      </w:r>
      <w:r w:rsidRPr="003B3268">
        <w:rPr>
          <w:w w:val="105"/>
          <w:lang w:val="en-AU"/>
        </w:rPr>
        <w:t>an</w:t>
      </w:r>
      <w:r w:rsidRPr="003B3268">
        <w:rPr>
          <w:spacing w:val="-10"/>
          <w:w w:val="105"/>
          <w:lang w:val="en-AU"/>
        </w:rPr>
        <w:t xml:space="preserve"> </w:t>
      </w:r>
      <w:r w:rsidRPr="003B3268">
        <w:rPr>
          <w:w w:val="105"/>
          <w:lang w:val="en-AU"/>
        </w:rPr>
        <w:t>IGA</w:t>
      </w:r>
      <w:r w:rsidRPr="003B3268">
        <w:rPr>
          <w:spacing w:val="-8"/>
          <w:w w:val="105"/>
          <w:lang w:val="en-AU"/>
        </w:rPr>
        <w:t xml:space="preserve"> </w:t>
      </w:r>
      <w:r w:rsidRPr="003B3268">
        <w:rPr>
          <w:w w:val="105"/>
          <w:lang w:val="en-AU"/>
        </w:rPr>
        <w:t>score</w:t>
      </w:r>
      <w:r w:rsidRPr="003B3268">
        <w:rPr>
          <w:spacing w:val="-8"/>
          <w:w w:val="105"/>
          <w:lang w:val="en-AU"/>
        </w:rPr>
        <w:t xml:space="preserve"> </w:t>
      </w:r>
      <w:r w:rsidRPr="003B3268">
        <w:rPr>
          <w:w w:val="105"/>
          <w:lang w:val="en-AU"/>
        </w:rPr>
        <w:t>0/1</w:t>
      </w:r>
      <w:r w:rsidRPr="003B3268">
        <w:rPr>
          <w:spacing w:val="-9"/>
          <w:w w:val="105"/>
          <w:lang w:val="en-AU"/>
        </w:rPr>
        <w:t xml:space="preserve"> </w:t>
      </w:r>
      <w:r w:rsidRPr="003B3268">
        <w:rPr>
          <w:w w:val="105"/>
          <w:lang w:val="en-AU"/>
        </w:rPr>
        <w:t>and</w:t>
      </w:r>
      <w:r w:rsidRPr="003B3268">
        <w:rPr>
          <w:spacing w:val="-9"/>
          <w:w w:val="105"/>
          <w:lang w:val="en-AU"/>
        </w:rPr>
        <w:t xml:space="preserve"> </w:t>
      </w:r>
      <w:r w:rsidRPr="003B3268">
        <w:rPr>
          <w:rFonts w:cs="Times New Roman"/>
          <w:w w:val="105"/>
          <w:lang w:val="en-AU"/>
        </w:rPr>
        <w:t>≥</w:t>
      </w:r>
      <w:r w:rsidRPr="003B3268">
        <w:rPr>
          <w:rFonts w:cs="Times New Roman"/>
          <w:spacing w:val="-8"/>
          <w:w w:val="105"/>
          <w:lang w:val="en-AU"/>
        </w:rPr>
        <w:t xml:space="preserve"> </w:t>
      </w:r>
      <w:r w:rsidRPr="003B3268">
        <w:rPr>
          <w:w w:val="105"/>
          <w:lang w:val="en-AU"/>
        </w:rPr>
        <w:t>2</w:t>
      </w:r>
      <w:r w:rsidRPr="003B3268">
        <w:rPr>
          <w:spacing w:val="-9"/>
          <w:w w:val="105"/>
          <w:lang w:val="en-AU"/>
        </w:rPr>
        <w:t xml:space="preserve"> </w:t>
      </w:r>
      <w:r w:rsidRPr="003B3268">
        <w:rPr>
          <w:w w:val="105"/>
          <w:lang w:val="en-AU"/>
        </w:rPr>
        <w:t>grade</w:t>
      </w:r>
      <w:r w:rsidRPr="003B3268">
        <w:rPr>
          <w:spacing w:val="-9"/>
          <w:w w:val="105"/>
          <w:lang w:val="en-AU"/>
        </w:rPr>
        <w:t xml:space="preserve"> </w:t>
      </w:r>
      <w:r w:rsidRPr="003B3268">
        <w:rPr>
          <w:w w:val="105"/>
          <w:lang w:val="en-AU"/>
        </w:rPr>
        <w:t>improvement</w:t>
      </w:r>
      <w:r w:rsidRPr="003B3268">
        <w:rPr>
          <w:spacing w:val="-9"/>
          <w:w w:val="105"/>
          <w:lang w:val="en-AU"/>
        </w:rPr>
        <w:t xml:space="preserve"> </w:t>
      </w:r>
      <w:r w:rsidRPr="003B3268">
        <w:rPr>
          <w:w w:val="105"/>
          <w:lang w:val="en-AU"/>
        </w:rPr>
        <w:t>(31.1%</w:t>
      </w:r>
      <w:r w:rsidRPr="003B3268">
        <w:rPr>
          <w:spacing w:val="-8"/>
          <w:w w:val="105"/>
          <w:lang w:val="en-AU"/>
        </w:rPr>
        <w:t xml:space="preserve"> </w:t>
      </w:r>
      <w:r w:rsidRPr="003B3268">
        <w:rPr>
          <w:w w:val="105"/>
          <w:lang w:val="en-AU"/>
        </w:rPr>
        <w:t>vs.</w:t>
      </w:r>
      <w:r w:rsidRPr="003B3268">
        <w:rPr>
          <w:spacing w:val="-9"/>
          <w:w w:val="105"/>
          <w:lang w:val="en-AU"/>
        </w:rPr>
        <w:t xml:space="preserve"> </w:t>
      </w:r>
      <w:r w:rsidRPr="003B3268">
        <w:rPr>
          <w:w w:val="105"/>
          <w:lang w:val="en-AU"/>
        </w:rPr>
        <w:t>14.3%,</w:t>
      </w:r>
      <w:r w:rsidRPr="003B3268">
        <w:rPr>
          <w:spacing w:val="-8"/>
          <w:w w:val="105"/>
          <w:lang w:val="en-AU"/>
        </w:rPr>
        <w:t xml:space="preserve"> </w:t>
      </w:r>
      <w:r w:rsidRPr="003B3268">
        <w:rPr>
          <w:w w:val="105"/>
          <w:lang w:val="en-AU"/>
        </w:rPr>
        <w:t>respectively;</w:t>
      </w:r>
      <w:r w:rsidRPr="003B3268">
        <w:rPr>
          <w:spacing w:val="-8"/>
          <w:w w:val="105"/>
          <w:lang w:val="en-AU"/>
        </w:rPr>
        <w:t xml:space="preserve"> </w:t>
      </w:r>
      <w:r w:rsidRPr="003B3268">
        <w:rPr>
          <w:w w:val="105"/>
          <w:lang w:val="en-AU"/>
        </w:rPr>
        <w:t>p</w:t>
      </w:r>
      <w:r w:rsidRPr="003B3268">
        <w:rPr>
          <w:spacing w:val="-8"/>
          <w:w w:val="105"/>
          <w:lang w:val="en-AU"/>
        </w:rPr>
        <w:t xml:space="preserve"> </w:t>
      </w:r>
      <w:r w:rsidRPr="003B3268">
        <w:rPr>
          <w:w w:val="105"/>
          <w:lang w:val="en-AU"/>
        </w:rPr>
        <w:t>=</w:t>
      </w:r>
      <w:r w:rsidRPr="003B3268">
        <w:rPr>
          <w:spacing w:val="-9"/>
          <w:w w:val="105"/>
          <w:lang w:val="en-AU"/>
        </w:rPr>
        <w:t xml:space="preserve"> </w:t>
      </w:r>
      <w:r w:rsidRPr="003B3268">
        <w:rPr>
          <w:w w:val="105"/>
          <w:lang w:val="en-AU"/>
        </w:rPr>
        <w:t>0.001)</w:t>
      </w:r>
      <w:r w:rsidRPr="003B3268">
        <w:rPr>
          <w:spacing w:val="-8"/>
          <w:w w:val="105"/>
          <w:lang w:val="en-AU"/>
        </w:rPr>
        <w:t xml:space="preserve"> </w:t>
      </w:r>
      <w:r w:rsidRPr="003B3268">
        <w:rPr>
          <w:w w:val="105"/>
          <w:lang w:val="en-AU"/>
        </w:rPr>
        <w:t>and</w:t>
      </w:r>
      <w:r w:rsidRPr="003B3268">
        <w:rPr>
          <w:spacing w:val="-8"/>
          <w:w w:val="105"/>
          <w:lang w:val="en-AU"/>
        </w:rPr>
        <w:t xml:space="preserve"> </w:t>
      </w:r>
      <w:r w:rsidRPr="003B3268">
        <w:rPr>
          <w:w w:val="105"/>
          <w:lang w:val="en-AU"/>
        </w:rPr>
        <w:t>a</w:t>
      </w:r>
      <w:r w:rsidRPr="003B3268">
        <w:rPr>
          <w:lang w:val="en-AU"/>
        </w:rPr>
        <w:t xml:space="preserve"> </w:t>
      </w:r>
      <w:r w:rsidRPr="003B3268">
        <w:rPr>
          <w:w w:val="105"/>
          <w:lang w:val="en-AU"/>
        </w:rPr>
        <w:t>PASI</w:t>
      </w:r>
      <w:r w:rsidRPr="003B3268">
        <w:rPr>
          <w:spacing w:val="-12"/>
          <w:w w:val="105"/>
          <w:lang w:val="en-AU"/>
        </w:rPr>
        <w:t xml:space="preserve"> </w:t>
      </w:r>
      <w:r w:rsidRPr="003B3268">
        <w:rPr>
          <w:w w:val="105"/>
          <w:lang w:val="en-AU"/>
        </w:rPr>
        <w:t>90</w:t>
      </w:r>
      <w:r w:rsidRPr="003B3268">
        <w:rPr>
          <w:spacing w:val="-11"/>
          <w:w w:val="105"/>
          <w:lang w:val="en-AU"/>
        </w:rPr>
        <w:t xml:space="preserve"> </w:t>
      </w:r>
      <w:r w:rsidRPr="003B3268">
        <w:rPr>
          <w:w w:val="105"/>
          <w:lang w:val="en-AU"/>
        </w:rPr>
        <w:t>response</w:t>
      </w:r>
      <w:r w:rsidRPr="003B3268">
        <w:rPr>
          <w:spacing w:val="-12"/>
          <w:w w:val="105"/>
          <w:lang w:val="en-AU"/>
        </w:rPr>
        <w:t xml:space="preserve"> </w:t>
      </w:r>
      <w:r w:rsidRPr="003B3268">
        <w:rPr>
          <w:w w:val="105"/>
          <w:lang w:val="en-AU"/>
        </w:rPr>
        <w:t>(48%</w:t>
      </w:r>
      <w:r w:rsidRPr="003B3268">
        <w:rPr>
          <w:spacing w:val="-11"/>
          <w:w w:val="105"/>
          <w:lang w:val="en-AU"/>
        </w:rPr>
        <w:t xml:space="preserve"> </w:t>
      </w:r>
      <w:r w:rsidRPr="003B3268">
        <w:rPr>
          <w:w w:val="105"/>
          <w:lang w:val="en-AU"/>
        </w:rPr>
        <w:t>vs</w:t>
      </w:r>
      <w:r w:rsidRPr="003B3268">
        <w:rPr>
          <w:spacing w:val="-11"/>
          <w:w w:val="105"/>
          <w:lang w:val="en-AU"/>
        </w:rPr>
        <w:t xml:space="preserve"> </w:t>
      </w:r>
      <w:r w:rsidRPr="003B3268">
        <w:rPr>
          <w:w w:val="105"/>
          <w:lang w:val="en-AU"/>
        </w:rPr>
        <w:t>23%,</w:t>
      </w:r>
      <w:r w:rsidRPr="003B3268">
        <w:rPr>
          <w:spacing w:val="-11"/>
          <w:w w:val="105"/>
          <w:lang w:val="en-AU"/>
        </w:rPr>
        <w:t xml:space="preserve"> </w:t>
      </w:r>
      <w:r w:rsidRPr="003B3268">
        <w:rPr>
          <w:w w:val="105"/>
          <w:lang w:val="en-AU"/>
        </w:rPr>
        <w:t>respectively,</w:t>
      </w:r>
      <w:r w:rsidRPr="003B3268">
        <w:rPr>
          <w:spacing w:val="-12"/>
          <w:w w:val="105"/>
          <w:lang w:val="en-AU"/>
        </w:rPr>
        <w:t xml:space="preserve"> </w:t>
      </w:r>
      <w:r w:rsidRPr="003B3268">
        <w:rPr>
          <w:w w:val="105"/>
          <w:lang w:val="en-AU"/>
        </w:rPr>
        <w:t>p</w:t>
      </w:r>
      <w:r w:rsidRPr="003B3268">
        <w:rPr>
          <w:spacing w:val="-11"/>
          <w:w w:val="105"/>
          <w:lang w:val="en-AU"/>
        </w:rPr>
        <w:t xml:space="preserve"> </w:t>
      </w:r>
      <w:r w:rsidRPr="003B3268">
        <w:rPr>
          <w:w w:val="105"/>
          <w:lang w:val="en-AU"/>
        </w:rPr>
        <w:t>&lt;</w:t>
      </w:r>
      <w:r w:rsidRPr="003B3268">
        <w:rPr>
          <w:spacing w:val="-12"/>
          <w:w w:val="105"/>
          <w:lang w:val="en-AU"/>
        </w:rPr>
        <w:t xml:space="preserve"> </w:t>
      </w:r>
      <w:r w:rsidRPr="003B3268">
        <w:rPr>
          <w:w w:val="105"/>
          <w:lang w:val="en-AU"/>
        </w:rPr>
        <w:t>0.001).</w:t>
      </w:r>
      <w:r w:rsidRPr="003B3268">
        <w:rPr>
          <w:spacing w:val="-10"/>
          <w:w w:val="105"/>
          <w:lang w:val="en-AU"/>
        </w:rPr>
        <w:t xml:space="preserve"> </w:t>
      </w:r>
      <w:r w:rsidRPr="003B3268">
        <w:rPr>
          <w:w w:val="105"/>
          <w:lang w:val="en-AU"/>
        </w:rPr>
        <w:t>Differences</w:t>
      </w:r>
      <w:r w:rsidRPr="003B3268">
        <w:rPr>
          <w:spacing w:val="-11"/>
          <w:w w:val="105"/>
          <w:lang w:val="en-AU"/>
        </w:rPr>
        <w:t xml:space="preserve"> </w:t>
      </w:r>
      <w:r w:rsidRPr="003B3268">
        <w:rPr>
          <w:w w:val="105"/>
          <w:lang w:val="en-AU"/>
        </w:rPr>
        <w:t>in</w:t>
      </w:r>
      <w:r w:rsidRPr="003B3268">
        <w:rPr>
          <w:spacing w:val="-11"/>
          <w:w w:val="105"/>
          <w:lang w:val="en-AU"/>
        </w:rPr>
        <w:t xml:space="preserve"> </w:t>
      </w:r>
      <w:r w:rsidRPr="003B3268">
        <w:rPr>
          <w:w w:val="105"/>
          <w:lang w:val="en-AU"/>
        </w:rPr>
        <w:t>response</w:t>
      </w:r>
      <w:r w:rsidRPr="003B3268">
        <w:rPr>
          <w:spacing w:val="-11"/>
          <w:w w:val="105"/>
          <w:lang w:val="en-AU"/>
        </w:rPr>
        <w:t xml:space="preserve"> </w:t>
      </w:r>
      <w:r w:rsidRPr="003B3268">
        <w:rPr>
          <w:w w:val="105"/>
          <w:lang w:val="en-AU"/>
        </w:rPr>
        <w:t>rates</w:t>
      </w:r>
      <w:r w:rsidRPr="003B3268">
        <w:rPr>
          <w:spacing w:val="-11"/>
          <w:w w:val="105"/>
          <w:lang w:val="en-AU"/>
        </w:rPr>
        <w:t xml:space="preserve"> </w:t>
      </w:r>
      <w:r w:rsidRPr="003B3268">
        <w:rPr>
          <w:w w:val="105"/>
          <w:lang w:val="en-AU"/>
        </w:rPr>
        <w:t>between</w:t>
      </w:r>
      <w:r w:rsidRPr="003B3268">
        <w:rPr>
          <w:spacing w:val="56"/>
          <w:w w:val="103"/>
          <w:lang w:val="en-AU"/>
        </w:rPr>
        <w:t xml:space="preserve"> </w:t>
      </w:r>
      <w:proofErr w:type="spellStart"/>
      <w:r w:rsidRPr="003B3268">
        <w:rPr>
          <w:w w:val="105"/>
          <w:lang w:val="en-AU"/>
        </w:rPr>
        <w:t>guselkumab</w:t>
      </w:r>
      <w:proofErr w:type="spellEnd"/>
      <w:r w:rsidRPr="003B3268">
        <w:rPr>
          <w:spacing w:val="-13"/>
          <w:w w:val="105"/>
          <w:lang w:val="en-AU"/>
        </w:rPr>
        <w:t xml:space="preserve"> </w:t>
      </w:r>
      <w:r w:rsidRPr="003B3268">
        <w:rPr>
          <w:w w:val="105"/>
          <w:lang w:val="en-AU"/>
        </w:rPr>
        <w:t>and</w:t>
      </w:r>
      <w:r w:rsidRPr="003B3268">
        <w:rPr>
          <w:spacing w:val="-10"/>
          <w:w w:val="105"/>
          <w:lang w:val="en-AU"/>
        </w:rPr>
        <w:t xml:space="preserve"> </w:t>
      </w:r>
      <w:proofErr w:type="spellStart"/>
      <w:r w:rsidRPr="003B3268">
        <w:rPr>
          <w:w w:val="105"/>
          <w:lang w:val="en-AU"/>
        </w:rPr>
        <w:t>ustekinumab</w:t>
      </w:r>
      <w:proofErr w:type="spellEnd"/>
      <w:r w:rsidRPr="003B3268">
        <w:rPr>
          <w:spacing w:val="-12"/>
          <w:w w:val="105"/>
          <w:lang w:val="en-AU"/>
        </w:rPr>
        <w:t xml:space="preserve"> </w:t>
      </w:r>
      <w:r w:rsidRPr="003B3268">
        <w:rPr>
          <w:w w:val="105"/>
          <w:lang w:val="en-AU"/>
        </w:rPr>
        <w:t>treated</w:t>
      </w:r>
      <w:r w:rsidRPr="003B3268">
        <w:rPr>
          <w:spacing w:val="-12"/>
          <w:w w:val="105"/>
          <w:lang w:val="en-AU"/>
        </w:rPr>
        <w:t xml:space="preserve"> </w:t>
      </w:r>
      <w:r w:rsidRPr="003B3268">
        <w:rPr>
          <w:w w:val="105"/>
          <w:lang w:val="en-AU"/>
        </w:rPr>
        <w:t>patients</w:t>
      </w:r>
      <w:r w:rsidRPr="003B3268">
        <w:rPr>
          <w:spacing w:val="-12"/>
          <w:w w:val="105"/>
          <w:lang w:val="en-AU"/>
        </w:rPr>
        <w:t xml:space="preserve"> </w:t>
      </w:r>
      <w:r w:rsidR="00455655">
        <w:rPr>
          <w:w w:val="105"/>
          <w:lang w:val="en-AU"/>
        </w:rPr>
        <w:t>start to become apparent</w:t>
      </w:r>
      <w:r w:rsidRPr="003B3268">
        <w:rPr>
          <w:spacing w:val="-11"/>
          <w:w w:val="105"/>
          <w:lang w:val="en-AU"/>
        </w:rPr>
        <w:t xml:space="preserve"> </w:t>
      </w:r>
      <w:r w:rsidR="00455655">
        <w:rPr>
          <w:w w:val="105"/>
          <w:lang w:val="en-AU"/>
        </w:rPr>
        <w:t>at</w:t>
      </w:r>
      <w:r w:rsidRPr="003B3268">
        <w:rPr>
          <w:spacing w:val="-11"/>
          <w:w w:val="105"/>
          <w:lang w:val="en-AU"/>
        </w:rPr>
        <w:t xml:space="preserve"> </w:t>
      </w:r>
      <w:r w:rsidRPr="003B3268">
        <w:rPr>
          <w:w w:val="105"/>
          <w:lang w:val="en-AU"/>
        </w:rPr>
        <w:t>4</w:t>
      </w:r>
      <w:r w:rsidRPr="003B3268">
        <w:rPr>
          <w:spacing w:val="-11"/>
          <w:w w:val="105"/>
          <w:lang w:val="en-AU"/>
        </w:rPr>
        <w:t xml:space="preserve"> </w:t>
      </w:r>
      <w:r w:rsidRPr="003B3268">
        <w:rPr>
          <w:w w:val="105"/>
          <w:lang w:val="en-AU"/>
        </w:rPr>
        <w:t>weeks</w:t>
      </w:r>
      <w:r w:rsidRPr="003B3268">
        <w:rPr>
          <w:spacing w:val="-12"/>
          <w:w w:val="105"/>
          <w:lang w:val="en-AU"/>
        </w:rPr>
        <w:t xml:space="preserve"> </w:t>
      </w:r>
      <w:r w:rsidRPr="003B3268">
        <w:rPr>
          <w:w w:val="105"/>
          <w:lang w:val="en-AU"/>
        </w:rPr>
        <w:t>after</w:t>
      </w:r>
      <w:r w:rsidRPr="003B3268">
        <w:rPr>
          <w:spacing w:val="-11"/>
          <w:w w:val="105"/>
          <w:lang w:val="en-AU"/>
        </w:rPr>
        <w:t xml:space="preserve"> </w:t>
      </w:r>
      <w:r w:rsidRPr="003B3268">
        <w:rPr>
          <w:w w:val="105"/>
          <w:lang w:val="en-AU"/>
        </w:rPr>
        <w:t>randomisation</w:t>
      </w:r>
      <w:r w:rsidRPr="003B3268">
        <w:rPr>
          <w:spacing w:val="100"/>
          <w:w w:val="103"/>
          <w:lang w:val="en-AU"/>
        </w:rPr>
        <w:t xml:space="preserve"> </w:t>
      </w:r>
      <w:r w:rsidRPr="003B3268">
        <w:rPr>
          <w:w w:val="105"/>
          <w:lang w:val="en-AU"/>
        </w:rPr>
        <w:t>(11.1%</w:t>
      </w:r>
      <w:r w:rsidRPr="003B3268">
        <w:rPr>
          <w:spacing w:val="-12"/>
          <w:w w:val="105"/>
          <w:lang w:val="en-AU"/>
        </w:rPr>
        <w:t xml:space="preserve"> </w:t>
      </w:r>
      <w:r w:rsidRPr="003B3268">
        <w:rPr>
          <w:w w:val="105"/>
          <w:lang w:val="en-AU"/>
        </w:rPr>
        <w:t>and</w:t>
      </w:r>
      <w:r w:rsidRPr="003B3268">
        <w:rPr>
          <w:spacing w:val="-12"/>
          <w:w w:val="105"/>
          <w:lang w:val="en-AU"/>
        </w:rPr>
        <w:t xml:space="preserve"> </w:t>
      </w:r>
      <w:r w:rsidRPr="003B3268">
        <w:rPr>
          <w:w w:val="105"/>
          <w:lang w:val="en-AU"/>
        </w:rPr>
        <w:t>9.0%,</w:t>
      </w:r>
      <w:r w:rsidRPr="003B3268">
        <w:rPr>
          <w:spacing w:val="-11"/>
          <w:w w:val="105"/>
          <w:lang w:val="en-AU"/>
        </w:rPr>
        <w:t xml:space="preserve"> </w:t>
      </w:r>
      <w:r w:rsidRPr="003B3268">
        <w:rPr>
          <w:w w:val="105"/>
          <w:lang w:val="en-AU"/>
        </w:rPr>
        <w:t>respectively)</w:t>
      </w:r>
      <w:r w:rsidRPr="003B3268">
        <w:rPr>
          <w:spacing w:val="-11"/>
          <w:w w:val="105"/>
          <w:lang w:val="en-AU"/>
        </w:rPr>
        <w:t xml:space="preserve"> </w:t>
      </w:r>
      <w:r w:rsidRPr="003B3268">
        <w:rPr>
          <w:w w:val="105"/>
          <w:lang w:val="en-AU"/>
        </w:rPr>
        <w:t>and</w:t>
      </w:r>
      <w:r w:rsidRPr="003B3268">
        <w:rPr>
          <w:spacing w:val="-11"/>
          <w:w w:val="105"/>
          <w:lang w:val="en-AU"/>
        </w:rPr>
        <w:t xml:space="preserve"> </w:t>
      </w:r>
      <w:r w:rsidRPr="003B3268">
        <w:rPr>
          <w:w w:val="105"/>
          <w:lang w:val="en-AU"/>
        </w:rPr>
        <w:t>reached</w:t>
      </w:r>
      <w:r w:rsidRPr="003B3268">
        <w:rPr>
          <w:spacing w:val="-12"/>
          <w:w w:val="105"/>
          <w:lang w:val="en-AU"/>
        </w:rPr>
        <w:t xml:space="preserve"> </w:t>
      </w:r>
      <w:r w:rsidRPr="003B3268">
        <w:rPr>
          <w:w w:val="105"/>
          <w:lang w:val="en-AU"/>
        </w:rPr>
        <w:t>a</w:t>
      </w:r>
      <w:r w:rsidRPr="003B3268">
        <w:rPr>
          <w:spacing w:val="-9"/>
          <w:w w:val="105"/>
          <w:lang w:val="en-AU"/>
        </w:rPr>
        <w:t xml:space="preserve"> </w:t>
      </w:r>
      <w:r w:rsidRPr="003B3268">
        <w:rPr>
          <w:w w:val="105"/>
          <w:lang w:val="en-AU"/>
        </w:rPr>
        <w:t>maximum</w:t>
      </w:r>
      <w:r w:rsidRPr="003B3268">
        <w:rPr>
          <w:spacing w:val="-10"/>
          <w:w w:val="105"/>
          <w:lang w:val="en-AU"/>
        </w:rPr>
        <w:t xml:space="preserve"> </w:t>
      </w:r>
      <w:r w:rsidRPr="003B3268">
        <w:rPr>
          <w:w w:val="105"/>
          <w:lang w:val="en-AU"/>
        </w:rPr>
        <w:t>24</w:t>
      </w:r>
      <w:r w:rsidRPr="003B3268">
        <w:rPr>
          <w:spacing w:val="-12"/>
          <w:w w:val="105"/>
          <w:lang w:val="en-AU"/>
        </w:rPr>
        <w:t xml:space="preserve"> </w:t>
      </w:r>
      <w:r w:rsidRPr="003B3268">
        <w:rPr>
          <w:w w:val="105"/>
          <w:lang w:val="en-AU"/>
        </w:rPr>
        <w:t>weeks</w:t>
      </w:r>
      <w:r w:rsidRPr="003B3268">
        <w:rPr>
          <w:spacing w:val="-12"/>
          <w:w w:val="105"/>
          <w:lang w:val="en-AU"/>
        </w:rPr>
        <w:t xml:space="preserve"> </w:t>
      </w:r>
      <w:r w:rsidRPr="003B3268">
        <w:rPr>
          <w:w w:val="105"/>
          <w:lang w:val="en-AU"/>
        </w:rPr>
        <w:t>after</w:t>
      </w:r>
      <w:r w:rsidRPr="003B3268">
        <w:rPr>
          <w:spacing w:val="-12"/>
          <w:w w:val="105"/>
          <w:lang w:val="en-AU"/>
        </w:rPr>
        <w:t xml:space="preserve"> </w:t>
      </w:r>
      <w:r w:rsidRPr="003B3268">
        <w:rPr>
          <w:w w:val="105"/>
          <w:lang w:val="en-AU"/>
        </w:rPr>
        <w:lastRenderedPageBreak/>
        <w:t>randomisation</w:t>
      </w:r>
      <w:r w:rsidRPr="003B3268">
        <w:rPr>
          <w:spacing w:val="-12"/>
          <w:w w:val="105"/>
          <w:lang w:val="en-AU"/>
        </w:rPr>
        <w:t xml:space="preserve"> </w:t>
      </w:r>
      <w:r w:rsidRPr="003B3268">
        <w:rPr>
          <w:w w:val="105"/>
          <w:lang w:val="en-AU"/>
        </w:rPr>
        <w:t>(see</w:t>
      </w:r>
      <w:r w:rsidRPr="003B3268">
        <w:rPr>
          <w:spacing w:val="-11"/>
          <w:w w:val="105"/>
          <w:lang w:val="en-AU"/>
        </w:rPr>
        <w:t xml:space="preserve"> </w:t>
      </w:r>
      <w:r w:rsidRPr="003B3268">
        <w:rPr>
          <w:w w:val="105"/>
          <w:lang w:val="en-AU"/>
        </w:rPr>
        <w:t>Figure</w:t>
      </w:r>
      <w:r w:rsidRPr="003B3268">
        <w:rPr>
          <w:spacing w:val="-12"/>
          <w:w w:val="105"/>
          <w:lang w:val="en-AU"/>
        </w:rPr>
        <w:t xml:space="preserve"> </w:t>
      </w:r>
      <w:r w:rsidRPr="003B3268">
        <w:rPr>
          <w:w w:val="105"/>
          <w:lang w:val="en-AU"/>
        </w:rPr>
        <w:t>2).</w:t>
      </w:r>
      <w:r w:rsidRPr="003B3268">
        <w:rPr>
          <w:spacing w:val="101"/>
          <w:w w:val="103"/>
          <w:lang w:val="en-AU"/>
        </w:rPr>
        <w:t xml:space="preserve"> </w:t>
      </w:r>
      <w:r w:rsidRPr="003B3268">
        <w:rPr>
          <w:w w:val="105"/>
          <w:lang w:val="en-AU"/>
        </w:rPr>
        <w:t>No</w:t>
      </w:r>
      <w:r w:rsidRPr="003B3268">
        <w:rPr>
          <w:spacing w:val="-12"/>
          <w:w w:val="105"/>
          <w:lang w:val="en-AU"/>
        </w:rPr>
        <w:t xml:space="preserve"> </w:t>
      </w:r>
      <w:r w:rsidRPr="003B3268">
        <w:rPr>
          <w:w w:val="105"/>
          <w:lang w:val="en-AU"/>
        </w:rPr>
        <w:t>new</w:t>
      </w:r>
      <w:r w:rsidRPr="003B3268">
        <w:rPr>
          <w:spacing w:val="-13"/>
          <w:w w:val="105"/>
          <w:lang w:val="en-AU"/>
        </w:rPr>
        <w:t xml:space="preserve"> </w:t>
      </w:r>
      <w:r w:rsidRPr="003B3268">
        <w:rPr>
          <w:w w:val="105"/>
          <w:lang w:val="en-AU"/>
        </w:rPr>
        <w:t>safety</w:t>
      </w:r>
      <w:r w:rsidRPr="003B3268">
        <w:rPr>
          <w:spacing w:val="-10"/>
          <w:w w:val="105"/>
          <w:lang w:val="en-AU"/>
        </w:rPr>
        <w:t xml:space="preserve"> </w:t>
      </w:r>
      <w:r w:rsidRPr="003B3268">
        <w:rPr>
          <w:w w:val="105"/>
          <w:lang w:val="en-AU"/>
        </w:rPr>
        <w:t>findings</w:t>
      </w:r>
      <w:r w:rsidRPr="003B3268">
        <w:rPr>
          <w:spacing w:val="-11"/>
          <w:w w:val="105"/>
          <w:lang w:val="en-AU"/>
        </w:rPr>
        <w:t xml:space="preserve"> </w:t>
      </w:r>
      <w:r w:rsidRPr="003B3268">
        <w:rPr>
          <w:w w:val="105"/>
          <w:lang w:val="en-AU"/>
        </w:rPr>
        <w:t>were</w:t>
      </w:r>
      <w:r w:rsidRPr="003B3268">
        <w:rPr>
          <w:spacing w:val="-12"/>
          <w:w w:val="105"/>
          <w:lang w:val="en-AU"/>
        </w:rPr>
        <w:t xml:space="preserve"> </w:t>
      </w:r>
      <w:r w:rsidRPr="003B3268">
        <w:rPr>
          <w:w w:val="105"/>
          <w:lang w:val="en-AU"/>
        </w:rPr>
        <w:t>observed</w:t>
      </w:r>
      <w:r w:rsidRPr="003B3268">
        <w:rPr>
          <w:spacing w:val="-13"/>
          <w:w w:val="105"/>
          <w:lang w:val="en-AU"/>
        </w:rPr>
        <w:t xml:space="preserve"> </w:t>
      </w:r>
      <w:r w:rsidRPr="003B3268">
        <w:rPr>
          <w:w w:val="105"/>
          <w:lang w:val="en-AU"/>
        </w:rPr>
        <w:t>in</w:t>
      </w:r>
      <w:r w:rsidRPr="003B3268">
        <w:rPr>
          <w:spacing w:val="-12"/>
          <w:w w:val="105"/>
          <w:lang w:val="en-AU"/>
        </w:rPr>
        <w:t xml:space="preserve"> </w:t>
      </w:r>
      <w:r w:rsidRPr="003B3268">
        <w:rPr>
          <w:w w:val="105"/>
          <w:lang w:val="en-AU"/>
        </w:rPr>
        <w:t>patients</w:t>
      </w:r>
      <w:r w:rsidRPr="003B3268">
        <w:rPr>
          <w:spacing w:val="-13"/>
          <w:w w:val="105"/>
          <w:lang w:val="en-AU"/>
        </w:rPr>
        <w:t xml:space="preserve"> </w:t>
      </w:r>
      <w:r w:rsidRPr="003B3268">
        <w:rPr>
          <w:w w:val="105"/>
          <w:lang w:val="en-AU"/>
        </w:rPr>
        <w:t>who</w:t>
      </w:r>
      <w:r w:rsidRPr="003B3268">
        <w:rPr>
          <w:spacing w:val="-12"/>
          <w:w w:val="105"/>
          <w:lang w:val="en-AU"/>
        </w:rPr>
        <w:t xml:space="preserve"> </w:t>
      </w:r>
      <w:r w:rsidRPr="003B3268">
        <w:rPr>
          <w:w w:val="105"/>
          <w:lang w:val="en-AU"/>
        </w:rPr>
        <w:t>switched</w:t>
      </w:r>
      <w:r w:rsidRPr="003B3268">
        <w:rPr>
          <w:spacing w:val="-12"/>
          <w:w w:val="105"/>
          <w:lang w:val="en-AU"/>
        </w:rPr>
        <w:t xml:space="preserve"> </w:t>
      </w:r>
      <w:r w:rsidRPr="003B3268">
        <w:rPr>
          <w:w w:val="105"/>
          <w:lang w:val="en-AU"/>
        </w:rPr>
        <w:t>from</w:t>
      </w:r>
      <w:r w:rsidRPr="003B3268">
        <w:rPr>
          <w:spacing w:val="-12"/>
          <w:w w:val="105"/>
          <w:lang w:val="en-AU"/>
        </w:rPr>
        <w:t xml:space="preserve"> </w:t>
      </w:r>
      <w:proofErr w:type="spellStart"/>
      <w:r w:rsidRPr="003B3268">
        <w:rPr>
          <w:w w:val="105"/>
          <w:lang w:val="en-AU"/>
        </w:rPr>
        <w:t>ustekinumab</w:t>
      </w:r>
      <w:proofErr w:type="spellEnd"/>
      <w:r w:rsidRPr="003B3268">
        <w:rPr>
          <w:spacing w:val="-12"/>
          <w:w w:val="105"/>
          <w:lang w:val="en-AU"/>
        </w:rPr>
        <w:t xml:space="preserve"> </w:t>
      </w:r>
      <w:r w:rsidRPr="003B3268">
        <w:rPr>
          <w:w w:val="105"/>
          <w:lang w:val="en-AU"/>
        </w:rPr>
        <w:t>to</w:t>
      </w:r>
      <w:r w:rsidRPr="003B3268">
        <w:rPr>
          <w:spacing w:val="-12"/>
          <w:w w:val="105"/>
          <w:lang w:val="en-AU"/>
        </w:rPr>
        <w:t xml:space="preserve"> </w:t>
      </w:r>
      <w:proofErr w:type="spellStart"/>
      <w:r w:rsidRPr="003B3268">
        <w:rPr>
          <w:w w:val="105"/>
          <w:lang w:val="en-AU"/>
        </w:rPr>
        <w:t>guselkumab</w:t>
      </w:r>
      <w:proofErr w:type="spellEnd"/>
      <w:r w:rsidR="00455655">
        <w:rPr>
          <w:w w:val="105"/>
          <w:lang w:val="en-AU"/>
        </w:rPr>
        <w:t>.</w:t>
      </w:r>
    </w:p>
    <w:p w14:paraId="0311334F" w14:textId="6EAF690E" w:rsidR="00DA3DBA" w:rsidRDefault="00DA3DBA" w:rsidP="0057739A">
      <w:pPr>
        <w:pStyle w:val="BodyText"/>
        <w:kinsoku w:val="0"/>
        <w:overflowPunct w:val="0"/>
        <w:spacing w:line="200" w:lineRule="atLeast"/>
        <w:ind w:left="128"/>
        <w:jc w:val="center"/>
        <w:rPr>
          <w:b/>
          <w:bCs/>
        </w:rPr>
      </w:pPr>
      <w:r w:rsidRPr="00C85CED">
        <w:rPr>
          <w:b/>
          <w:bCs/>
          <w:noProof/>
          <w:lang w:eastAsia="en-AU"/>
        </w:rPr>
        <w:drawing>
          <wp:inline distT="0" distB="0" distL="0" distR="0" wp14:anchorId="3A4C9974" wp14:editId="68646BA0">
            <wp:extent cx="4031170" cy="2867891"/>
            <wp:effectExtent l="0" t="0" r="7620" b="889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5675" cy="2871096"/>
                    </a:xfrm>
                    <a:prstGeom prst="rect">
                      <a:avLst/>
                    </a:prstGeom>
                    <a:noFill/>
                    <a:ln>
                      <a:noFill/>
                    </a:ln>
                  </pic:spPr>
                </pic:pic>
              </a:graphicData>
            </a:graphic>
          </wp:inline>
        </w:drawing>
      </w:r>
    </w:p>
    <w:p w14:paraId="5A5E2051" w14:textId="5B75A1F6" w:rsidR="006243A4" w:rsidRPr="00F9467F" w:rsidRDefault="006243A4" w:rsidP="00F9467F">
      <w:pPr>
        <w:pStyle w:val="Heading3"/>
        <w:ind w:left="1560" w:hanging="1560"/>
        <w:rPr>
          <w:rFonts w:eastAsiaTheme="minorHAnsi" w:cstheme="minorBidi"/>
          <w:szCs w:val="22"/>
          <w:lang w:val="en-AU"/>
        </w:rPr>
      </w:pPr>
      <w:r w:rsidRPr="00C85CED">
        <w:rPr>
          <w:rFonts w:eastAsiaTheme="minorHAnsi" w:cstheme="minorBidi"/>
          <w:szCs w:val="22"/>
          <w:lang w:val="en-AU"/>
        </w:rPr>
        <w:t>Figure 2:</w:t>
      </w:r>
      <w:r w:rsidRPr="00C85CED">
        <w:rPr>
          <w:rFonts w:eastAsiaTheme="minorHAnsi" w:cstheme="minorBidi"/>
          <w:szCs w:val="22"/>
          <w:lang w:val="en-AU"/>
        </w:rPr>
        <w:tab/>
        <w:t xml:space="preserve">Percent of Subjects Who Achieved an IGA Score of Cleared (0) or Minimal (1) and at least a 2-grade improvement in IGA from Week 0 Through Week 24 by Visit </w:t>
      </w:r>
      <w:proofErr w:type="gramStart"/>
      <w:r w:rsidRPr="00C85CED">
        <w:rPr>
          <w:rFonts w:eastAsiaTheme="minorHAnsi" w:cstheme="minorBidi"/>
          <w:szCs w:val="22"/>
          <w:lang w:val="en-AU"/>
        </w:rPr>
        <w:t>After</w:t>
      </w:r>
      <w:proofErr w:type="gramEnd"/>
      <w:r w:rsidRPr="00C85CED">
        <w:rPr>
          <w:rFonts w:eastAsiaTheme="minorHAnsi" w:cstheme="minorBidi"/>
          <w:szCs w:val="22"/>
          <w:lang w:val="en-AU"/>
        </w:rPr>
        <w:t xml:space="preserve"> Randomisation in NAVIGATE</w:t>
      </w:r>
    </w:p>
    <w:p w14:paraId="20AEA2A1" w14:textId="48C67C86" w:rsidR="00320CD9" w:rsidRPr="00C85CED" w:rsidRDefault="00D92B0C" w:rsidP="00285608">
      <w:pPr>
        <w:pStyle w:val="Heading2"/>
        <w:rPr>
          <w:lang w:val="en-AU"/>
        </w:rPr>
      </w:pPr>
      <w:r w:rsidRPr="00C85CED">
        <w:rPr>
          <w:lang w:val="en-AU"/>
        </w:rPr>
        <w:t>Pharmacokinetic</w:t>
      </w:r>
      <w:r w:rsidR="00927E9B">
        <w:rPr>
          <w:lang w:val="en-AU"/>
        </w:rPr>
        <w:t xml:space="preserve"> PROPERTIES</w:t>
      </w:r>
    </w:p>
    <w:p w14:paraId="66A1C08B" w14:textId="5AD8B12C" w:rsidR="00D92B0C" w:rsidRPr="00C85CED" w:rsidRDefault="00D92B0C" w:rsidP="00E821B3">
      <w:pPr>
        <w:pStyle w:val="Heading3"/>
        <w:rPr>
          <w:lang w:val="en-AU"/>
        </w:rPr>
      </w:pPr>
      <w:r w:rsidRPr="00C85CED">
        <w:rPr>
          <w:lang w:val="en-AU"/>
        </w:rPr>
        <w:t>Absorption</w:t>
      </w:r>
    </w:p>
    <w:p w14:paraId="4DE2E029" w14:textId="77777777" w:rsidR="00365A67" w:rsidRPr="00C85CED" w:rsidRDefault="00365A67" w:rsidP="00365A67">
      <w:pPr>
        <w:rPr>
          <w:lang w:val="en-AU"/>
        </w:rPr>
      </w:pPr>
      <w:r w:rsidRPr="00C85CED">
        <w:rPr>
          <w:lang w:val="en-AU"/>
        </w:rPr>
        <w:t xml:space="preserve">Following a single 100 mg subcutaneous injection in healthy subjects, </w:t>
      </w:r>
      <w:proofErr w:type="spellStart"/>
      <w:r w:rsidRPr="00C85CED">
        <w:rPr>
          <w:lang w:val="en-AU"/>
        </w:rPr>
        <w:t>guselkumab</w:t>
      </w:r>
      <w:proofErr w:type="spellEnd"/>
      <w:r w:rsidRPr="00C85CED">
        <w:rPr>
          <w:lang w:val="en-AU"/>
        </w:rPr>
        <w:t xml:space="preserve"> reached a mean (± SD) maximum serum concentration (</w:t>
      </w:r>
      <w:proofErr w:type="spellStart"/>
      <w:r w:rsidRPr="00C85CED">
        <w:rPr>
          <w:lang w:val="en-AU"/>
        </w:rPr>
        <w:t>Cmax</w:t>
      </w:r>
      <w:proofErr w:type="spellEnd"/>
      <w:r w:rsidRPr="00C85CED">
        <w:rPr>
          <w:lang w:val="en-AU"/>
        </w:rPr>
        <w:t>) of 8.09 ± 3.68 mcg/mL by approximately 5.5 days post dose.</w:t>
      </w:r>
    </w:p>
    <w:p w14:paraId="0A7B9601" w14:textId="77777777" w:rsidR="00365A67" w:rsidRPr="00C85CED" w:rsidRDefault="00365A67" w:rsidP="00365A67">
      <w:pPr>
        <w:rPr>
          <w:lang w:val="en-AU"/>
        </w:rPr>
      </w:pPr>
      <w:r w:rsidRPr="00C85CED">
        <w:rPr>
          <w:lang w:val="en-AU"/>
        </w:rPr>
        <w:t xml:space="preserve">Steady state serum </w:t>
      </w:r>
      <w:proofErr w:type="spellStart"/>
      <w:r w:rsidRPr="00C85CED">
        <w:rPr>
          <w:lang w:val="en-AU"/>
        </w:rPr>
        <w:t>guselkumab</w:t>
      </w:r>
      <w:proofErr w:type="spellEnd"/>
      <w:r w:rsidRPr="00C85CED">
        <w:rPr>
          <w:lang w:val="en-AU"/>
        </w:rPr>
        <w:t xml:space="preserve"> concentrations were achieved by Week 20 following subcutaneous administrations of 100 mg </w:t>
      </w:r>
      <w:proofErr w:type="spellStart"/>
      <w:r w:rsidRPr="00C85CED">
        <w:rPr>
          <w:lang w:val="en-AU"/>
        </w:rPr>
        <w:t>guselkumab</w:t>
      </w:r>
      <w:proofErr w:type="spellEnd"/>
      <w:r w:rsidRPr="00C85CED">
        <w:rPr>
          <w:lang w:val="en-AU"/>
        </w:rPr>
        <w:t xml:space="preserve"> at Weeks 0 and 4, and every 8 weeks thereafter. The mean (± SD) steady state trough serum </w:t>
      </w:r>
      <w:proofErr w:type="spellStart"/>
      <w:r w:rsidRPr="00C85CED">
        <w:rPr>
          <w:lang w:val="en-AU"/>
        </w:rPr>
        <w:t>guselkumab</w:t>
      </w:r>
      <w:proofErr w:type="spellEnd"/>
      <w:r w:rsidRPr="00C85CED">
        <w:rPr>
          <w:lang w:val="en-AU"/>
        </w:rPr>
        <w:t xml:space="preserve"> concentrations in two Phase 3 studies were </w:t>
      </w:r>
      <w:proofErr w:type="gramStart"/>
      <w:r w:rsidRPr="00C85CED">
        <w:rPr>
          <w:lang w:val="en-AU"/>
        </w:rPr>
        <w:t>1.15 ± 0.73 mcg/mL</w:t>
      </w:r>
      <w:proofErr w:type="gramEnd"/>
      <w:r w:rsidRPr="00C85CED">
        <w:rPr>
          <w:lang w:val="en-AU"/>
        </w:rPr>
        <w:t xml:space="preserve"> and 1.23 ± 0.84 mcg/</w:t>
      </w:r>
      <w:proofErr w:type="spellStart"/>
      <w:r w:rsidRPr="00C85CED">
        <w:rPr>
          <w:lang w:val="en-AU"/>
        </w:rPr>
        <w:t>mL.</w:t>
      </w:r>
      <w:proofErr w:type="spellEnd"/>
      <w:r w:rsidRPr="00C85CED">
        <w:rPr>
          <w:lang w:val="en-AU"/>
        </w:rPr>
        <w:t xml:space="preserve"> Serum </w:t>
      </w:r>
      <w:proofErr w:type="spellStart"/>
      <w:r w:rsidRPr="00C85CED">
        <w:rPr>
          <w:lang w:val="en-AU"/>
        </w:rPr>
        <w:t>guselkumab</w:t>
      </w:r>
      <w:proofErr w:type="spellEnd"/>
      <w:r w:rsidRPr="00C85CED">
        <w:rPr>
          <w:lang w:val="en-AU"/>
        </w:rPr>
        <w:t xml:space="preserve"> concentrations did not appear to accumulate over time when given subcutaneously every 8 weeks.</w:t>
      </w:r>
    </w:p>
    <w:p w14:paraId="4611D06E" w14:textId="3C0DCB2C" w:rsidR="00365A67" w:rsidRPr="00C85CED" w:rsidRDefault="00365A67" w:rsidP="00365A67">
      <w:pPr>
        <w:rPr>
          <w:lang w:val="en-AU"/>
        </w:rPr>
      </w:pPr>
      <w:r w:rsidRPr="00C85CED">
        <w:rPr>
          <w:lang w:val="en-AU"/>
        </w:rPr>
        <w:t xml:space="preserve">The absolute bioavailability of </w:t>
      </w:r>
      <w:proofErr w:type="spellStart"/>
      <w:r w:rsidRPr="00C85CED">
        <w:rPr>
          <w:lang w:val="en-AU"/>
        </w:rPr>
        <w:t>guselkumab</w:t>
      </w:r>
      <w:proofErr w:type="spellEnd"/>
      <w:r w:rsidRPr="00C85CED">
        <w:rPr>
          <w:lang w:val="en-AU"/>
        </w:rPr>
        <w:t xml:space="preserve"> following a single 100 mg subcutaneous injection was estimated to be approximately 49% in healthy subjects.</w:t>
      </w:r>
    </w:p>
    <w:p w14:paraId="66648E54" w14:textId="7CCEB0A5" w:rsidR="00D92B0C" w:rsidRPr="00C85CED" w:rsidRDefault="00D92B0C" w:rsidP="00FA4AE6">
      <w:pPr>
        <w:pStyle w:val="Heading3"/>
        <w:rPr>
          <w:lang w:val="en-AU"/>
        </w:rPr>
      </w:pPr>
      <w:r w:rsidRPr="00C85CED">
        <w:rPr>
          <w:lang w:val="en-AU"/>
        </w:rPr>
        <w:t>Distribution</w:t>
      </w:r>
    </w:p>
    <w:p w14:paraId="205BA61A" w14:textId="1E57C8F4" w:rsidR="00365A67" w:rsidRPr="00C85CED" w:rsidRDefault="00365A67" w:rsidP="00365A67">
      <w:pPr>
        <w:rPr>
          <w:lang w:val="en-AU"/>
        </w:rPr>
      </w:pPr>
      <w:r w:rsidRPr="00C85CED">
        <w:rPr>
          <w:lang w:val="en-AU"/>
        </w:rPr>
        <w:t>Mean volume of distribution during the terminal phase (</w:t>
      </w:r>
      <w:proofErr w:type="spellStart"/>
      <w:r w:rsidRPr="00C85CED">
        <w:rPr>
          <w:lang w:val="en-AU"/>
        </w:rPr>
        <w:t>V</w:t>
      </w:r>
      <w:r w:rsidRPr="00C932C3">
        <w:rPr>
          <w:vertAlign w:val="subscript"/>
          <w:lang w:val="en-AU"/>
        </w:rPr>
        <w:t>z</w:t>
      </w:r>
      <w:proofErr w:type="spellEnd"/>
      <w:r w:rsidRPr="00C85CED">
        <w:rPr>
          <w:lang w:val="en-AU"/>
        </w:rPr>
        <w:t>) following a single intravenous administration to healthy subjects ranged from approximately 7 to 10 L (98 to 123 mL/kg) across studies.</w:t>
      </w:r>
    </w:p>
    <w:p w14:paraId="3AB513B1" w14:textId="7C588E89" w:rsidR="00D92B0C" w:rsidRPr="00C85CED" w:rsidRDefault="00D92B0C" w:rsidP="00E821B3">
      <w:pPr>
        <w:pStyle w:val="Heading3"/>
        <w:rPr>
          <w:lang w:val="en-AU"/>
        </w:rPr>
      </w:pPr>
      <w:r w:rsidRPr="00C85CED">
        <w:rPr>
          <w:lang w:val="en-AU"/>
        </w:rPr>
        <w:t>Metabolism</w:t>
      </w:r>
    </w:p>
    <w:p w14:paraId="6C61246A" w14:textId="26D116D3" w:rsidR="00365A67" w:rsidRPr="00C85CED" w:rsidRDefault="00365A67" w:rsidP="00365A67">
      <w:pPr>
        <w:rPr>
          <w:lang w:val="en-AU"/>
        </w:rPr>
      </w:pPr>
      <w:r w:rsidRPr="00C85CED">
        <w:rPr>
          <w:lang w:val="en-AU"/>
        </w:rPr>
        <w:t xml:space="preserve">The exact pathway through which </w:t>
      </w:r>
      <w:proofErr w:type="spellStart"/>
      <w:r w:rsidRPr="00C85CED">
        <w:rPr>
          <w:lang w:val="en-AU"/>
        </w:rPr>
        <w:t>guselkumab</w:t>
      </w:r>
      <w:proofErr w:type="spellEnd"/>
      <w:r w:rsidRPr="00C85CED">
        <w:rPr>
          <w:lang w:val="en-AU"/>
        </w:rPr>
        <w:t xml:space="preserve"> is metabolised has not been characterised. As a human </w:t>
      </w:r>
      <w:r w:rsidRPr="00C85CED">
        <w:rPr>
          <w:rFonts w:eastAsia="TimesNewRoman"/>
          <w:lang w:val="en-AU"/>
        </w:rPr>
        <w:t>IgG</w:t>
      </w:r>
      <w:r w:rsidRPr="00C85CED">
        <w:rPr>
          <w:lang w:val="en-AU"/>
        </w:rPr>
        <w:t xml:space="preserve"> monoclonal antibody, </w:t>
      </w:r>
      <w:proofErr w:type="spellStart"/>
      <w:r w:rsidRPr="00C85CED">
        <w:rPr>
          <w:lang w:val="en-AU"/>
        </w:rPr>
        <w:t>guselkumab</w:t>
      </w:r>
      <w:proofErr w:type="spellEnd"/>
      <w:r w:rsidRPr="00C85CED">
        <w:rPr>
          <w:lang w:val="en-AU"/>
        </w:rPr>
        <w:t xml:space="preserve"> is expected to be degraded into small peptides and amino acids via catabolic pathways in the same manner as endogenous IgG.</w:t>
      </w:r>
    </w:p>
    <w:p w14:paraId="4FC14BB6" w14:textId="01A3F2F5" w:rsidR="00D92B0C" w:rsidRPr="00C85CED" w:rsidRDefault="0024086F" w:rsidP="00FA4AE6">
      <w:pPr>
        <w:pStyle w:val="Heading3"/>
        <w:rPr>
          <w:lang w:val="en-AU"/>
        </w:rPr>
      </w:pPr>
      <w:r>
        <w:rPr>
          <w:lang w:val="en-AU"/>
        </w:rPr>
        <w:lastRenderedPageBreak/>
        <w:t>Excretion</w:t>
      </w:r>
    </w:p>
    <w:p w14:paraId="0EEDF574" w14:textId="77777777" w:rsidR="00365A67" w:rsidRPr="00C85CED" w:rsidRDefault="00365A67" w:rsidP="00365A67">
      <w:pPr>
        <w:rPr>
          <w:lang w:val="en-AU"/>
        </w:rPr>
      </w:pPr>
      <w:r w:rsidRPr="00C85CED">
        <w:rPr>
          <w:lang w:val="en-AU"/>
        </w:rPr>
        <w:t>Mean systemic clearance (CL) following a single intravenous administration to healthy subjects ranged from 0.288 to 0.479 L/day (3.6 to 6.0 mL/day/kg) across studies.</w:t>
      </w:r>
    </w:p>
    <w:p w14:paraId="4182E683" w14:textId="1A871657" w:rsidR="00365A67" w:rsidRPr="00C85CED" w:rsidRDefault="00365A67" w:rsidP="00365A67">
      <w:pPr>
        <w:rPr>
          <w:lang w:val="en-AU"/>
        </w:rPr>
      </w:pPr>
      <w:r w:rsidRPr="00C85CED">
        <w:rPr>
          <w:lang w:val="en-AU"/>
        </w:rPr>
        <w:t>Mean half-life (T</w:t>
      </w:r>
      <w:r w:rsidRPr="007B44D1">
        <w:rPr>
          <w:vertAlign w:val="subscript"/>
          <w:lang w:val="en-AU"/>
        </w:rPr>
        <w:t>1/2</w:t>
      </w:r>
      <w:r w:rsidRPr="00C85CED">
        <w:rPr>
          <w:lang w:val="en-AU"/>
        </w:rPr>
        <w:t xml:space="preserve">) of </w:t>
      </w:r>
      <w:proofErr w:type="spellStart"/>
      <w:r w:rsidRPr="00C85CED">
        <w:rPr>
          <w:lang w:val="en-AU"/>
        </w:rPr>
        <w:t>guselkumab</w:t>
      </w:r>
      <w:proofErr w:type="spellEnd"/>
      <w:r w:rsidRPr="00C85CED">
        <w:rPr>
          <w:lang w:val="en-AU"/>
        </w:rPr>
        <w:t xml:space="preserve"> was approximately 17 days in healthy subjects and approximately 15 to 18 days in subjects with plaque psoriasis across studies.</w:t>
      </w:r>
    </w:p>
    <w:p w14:paraId="5741263C" w14:textId="77777777" w:rsidR="00365A67" w:rsidRPr="00C85CED" w:rsidRDefault="00365A67" w:rsidP="00504F4D">
      <w:pPr>
        <w:pStyle w:val="Heading3"/>
        <w:rPr>
          <w:lang w:val="en-AU"/>
        </w:rPr>
      </w:pPr>
      <w:r w:rsidRPr="00C85CED">
        <w:rPr>
          <w:lang w:val="en-AU"/>
        </w:rPr>
        <w:t>Dose Linearity</w:t>
      </w:r>
    </w:p>
    <w:p w14:paraId="25920B9F" w14:textId="77777777" w:rsidR="00365A67" w:rsidRPr="00C85CED" w:rsidRDefault="00365A67" w:rsidP="00365A67">
      <w:pPr>
        <w:rPr>
          <w:lang w:val="en-AU"/>
        </w:rPr>
      </w:pPr>
      <w:r w:rsidRPr="00C85CED">
        <w:rPr>
          <w:lang w:val="en-AU"/>
        </w:rPr>
        <w:t xml:space="preserve">The systemic exposure of </w:t>
      </w:r>
      <w:proofErr w:type="spellStart"/>
      <w:r w:rsidRPr="00C85CED">
        <w:rPr>
          <w:lang w:val="en-AU"/>
        </w:rPr>
        <w:t>guselkumab</w:t>
      </w:r>
      <w:proofErr w:type="spellEnd"/>
      <w:r w:rsidRPr="00C85CED">
        <w:rPr>
          <w:lang w:val="en-AU"/>
        </w:rPr>
        <w:t xml:space="preserve"> (</w:t>
      </w:r>
      <w:proofErr w:type="spellStart"/>
      <w:r w:rsidRPr="00C85CED">
        <w:rPr>
          <w:lang w:val="en-AU"/>
        </w:rPr>
        <w:t>Cmax</w:t>
      </w:r>
      <w:proofErr w:type="spellEnd"/>
      <w:r w:rsidRPr="00C85CED">
        <w:rPr>
          <w:lang w:val="en-AU"/>
        </w:rPr>
        <w:t xml:space="preserve"> and AUC) increased in an approximately dose-proportional manner following a single subcutaneous injection at doses ranging from 10 mg to 300 mg in healthy subjects or subjects with plaque psoriasis.</w:t>
      </w:r>
    </w:p>
    <w:p w14:paraId="6CBE0658" w14:textId="77777777" w:rsidR="00365A67" w:rsidRPr="00C85CED" w:rsidRDefault="00365A67" w:rsidP="00504F4D">
      <w:pPr>
        <w:pStyle w:val="Heading3"/>
        <w:rPr>
          <w:lang w:val="en-AU"/>
        </w:rPr>
      </w:pPr>
      <w:r w:rsidRPr="00C85CED">
        <w:rPr>
          <w:lang w:val="en-AU"/>
        </w:rPr>
        <w:t>Population Pharmacokinetic Analysis</w:t>
      </w:r>
    </w:p>
    <w:p w14:paraId="7977B0D6" w14:textId="77777777" w:rsidR="00365A67" w:rsidRPr="00C85CED" w:rsidRDefault="00365A67" w:rsidP="00365A67">
      <w:pPr>
        <w:rPr>
          <w:lang w:val="en-AU"/>
        </w:rPr>
      </w:pPr>
      <w:r w:rsidRPr="00C85CED">
        <w:rPr>
          <w:lang w:val="en-AU"/>
        </w:rPr>
        <w:t>In a population pharmacokinetic analysis, the apparent clearance (CL/F) and apparent volume of distribution (V/F) were 0.516 L/d and 13.5 L, respectively, and the T</w:t>
      </w:r>
      <w:r w:rsidRPr="007B44D1">
        <w:rPr>
          <w:vertAlign w:val="subscript"/>
          <w:lang w:val="en-AU"/>
        </w:rPr>
        <w:t>1/2</w:t>
      </w:r>
      <w:r w:rsidRPr="00C85CED">
        <w:rPr>
          <w:lang w:val="en-AU"/>
        </w:rPr>
        <w:t xml:space="preserve"> was approximately 18 days in subjects with psoriasis.</w:t>
      </w:r>
    </w:p>
    <w:p w14:paraId="3519A898" w14:textId="0F0B7DD3" w:rsidR="00365A67" w:rsidRPr="00C85CED" w:rsidRDefault="00365A67" w:rsidP="00365A67">
      <w:pPr>
        <w:rPr>
          <w:lang w:val="en-AU"/>
        </w:rPr>
      </w:pPr>
      <w:r w:rsidRPr="00C85CED">
        <w:rPr>
          <w:lang w:val="en-AU"/>
        </w:rPr>
        <w:t>In the population pharmacokinetic analysis, the effects of baseline demographics (weight, age, sex, and race), immunogenicity, baseline disease characteristics, comorbidities (past and current history of diabetes, hypertension, and hyperlipid</w:t>
      </w:r>
      <w:r w:rsidR="00147FB2" w:rsidRPr="00C85CED">
        <w:rPr>
          <w:lang w:val="en-AU"/>
        </w:rPr>
        <w:t>a</w:t>
      </w:r>
      <w:r w:rsidRPr="00C85CED">
        <w:rPr>
          <w:lang w:val="en-AU"/>
        </w:rPr>
        <w:t xml:space="preserve">emia), past use of therapeutic biologics, past use of methotrexate or cyclosporine, concomitant medications (ibuprofen, paracetamol, acetylsalicylic acid, and isoniazid), use of alcohol, or current smoking status, on pharmacokinetics of </w:t>
      </w:r>
      <w:proofErr w:type="spellStart"/>
      <w:r w:rsidRPr="00C85CED">
        <w:rPr>
          <w:lang w:val="en-AU"/>
        </w:rPr>
        <w:t>guselkumab</w:t>
      </w:r>
      <w:proofErr w:type="spellEnd"/>
      <w:r w:rsidRPr="00C85CED">
        <w:rPr>
          <w:lang w:val="en-AU"/>
        </w:rPr>
        <w:t xml:space="preserve"> was evaluated. Only the effects of body weight on CL/F and V/F were found to be significant, with a trend towards higher CL/F in heavier subjects. However, subsequent exposure-response mode</w:t>
      </w:r>
      <w:r w:rsidR="00147FB2" w:rsidRPr="00C85CED">
        <w:rPr>
          <w:lang w:val="en-AU"/>
        </w:rPr>
        <w:t>l</w:t>
      </w:r>
      <w:r w:rsidRPr="00C85CED">
        <w:rPr>
          <w:lang w:val="en-AU"/>
        </w:rPr>
        <w:t>ling analysis suggested that no dose adjustment would be warranted for body weight.</w:t>
      </w:r>
    </w:p>
    <w:p w14:paraId="4B51FEBC" w14:textId="695B0DD4" w:rsidR="007C4D70" w:rsidRDefault="00147FB2" w:rsidP="00147FB2">
      <w:pPr>
        <w:pStyle w:val="Heading3"/>
        <w:rPr>
          <w:lang w:val="en-AU"/>
        </w:rPr>
      </w:pPr>
      <w:r w:rsidRPr="00C85CED" w:rsidDel="0038100A">
        <w:t xml:space="preserve"> </w:t>
      </w:r>
      <w:r w:rsidR="007C4D70" w:rsidRPr="007C4D70">
        <w:rPr>
          <w:lang w:val="en-AU"/>
        </w:rPr>
        <w:t>Cytochrome P450 Substrates</w:t>
      </w:r>
    </w:p>
    <w:p w14:paraId="23E1E09B" w14:textId="1116C3CF" w:rsidR="007C4D70" w:rsidRPr="007C4D70" w:rsidRDefault="007C4D70" w:rsidP="007C4D70">
      <w:pPr>
        <w:rPr>
          <w:lang w:val="en-AU"/>
        </w:rPr>
      </w:pPr>
      <w:r w:rsidRPr="007C4D70">
        <w:rPr>
          <w:lang w:val="en-AU"/>
        </w:rPr>
        <w:t xml:space="preserve">The effects of </w:t>
      </w:r>
      <w:proofErr w:type="spellStart"/>
      <w:r w:rsidRPr="007C4D70">
        <w:rPr>
          <w:lang w:val="en-AU"/>
        </w:rPr>
        <w:t>guselkumab</w:t>
      </w:r>
      <w:proofErr w:type="spellEnd"/>
      <w:r w:rsidRPr="007C4D70">
        <w:rPr>
          <w:lang w:val="en-AU"/>
        </w:rPr>
        <w:t xml:space="preserve"> on the pharmacokinetics of representative probe substrates of CYP isozymes (midazolam [CYP3A4], warfarin [CYP2C9], omeprazole [CYP2C19], dextromethorphan [CYP2D6], and caffeine [CYP1A2]) were evaluated in subjects with moderate to severe plaque psoriasis. Results from this study indicate that changes in </w:t>
      </w:r>
      <w:proofErr w:type="spellStart"/>
      <w:r w:rsidRPr="007C4D70">
        <w:rPr>
          <w:lang w:val="en-AU"/>
        </w:rPr>
        <w:t>C</w:t>
      </w:r>
      <w:r w:rsidRPr="007B44D1">
        <w:rPr>
          <w:vertAlign w:val="subscript"/>
          <w:lang w:val="en-AU"/>
        </w:rPr>
        <w:t>max</w:t>
      </w:r>
      <w:proofErr w:type="spellEnd"/>
      <w:r w:rsidRPr="007C4D70">
        <w:rPr>
          <w:lang w:val="en-AU"/>
        </w:rPr>
        <w:t xml:space="preserve"> and </w:t>
      </w:r>
      <w:proofErr w:type="spellStart"/>
      <w:r w:rsidRPr="007C4D70">
        <w:rPr>
          <w:lang w:val="en-AU"/>
        </w:rPr>
        <w:t>AUC</w:t>
      </w:r>
      <w:r w:rsidRPr="007B44D1">
        <w:rPr>
          <w:vertAlign w:val="subscript"/>
          <w:lang w:val="en-AU"/>
        </w:rPr>
        <w:t>inf</w:t>
      </w:r>
      <w:proofErr w:type="spellEnd"/>
      <w:r w:rsidRPr="007C4D70">
        <w:rPr>
          <w:lang w:val="en-AU"/>
        </w:rPr>
        <w:t xml:space="preserve"> of midazolam, S-warfarin, omeprazole, dextromethorphan, and caffeine after a single dose of </w:t>
      </w:r>
      <w:proofErr w:type="spellStart"/>
      <w:r w:rsidRPr="007C4D70">
        <w:rPr>
          <w:lang w:val="en-AU"/>
        </w:rPr>
        <w:t>guselkumab</w:t>
      </w:r>
      <w:proofErr w:type="spellEnd"/>
      <w:r w:rsidRPr="007C4D70">
        <w:rPr>
          <w:lang w:val="en-AU"/>
        </w:rPr>
        <w:t xml:space="preserve"> were not clinically relevant (see </w:t>
      </w:r>
      <w:r w:rsidR="00927E9B">
        <w:rPr>
          <w:lang w:val="en-AU"/>
        </w:rPr>
        <w:t xml:space="preserve">Section </w:t>
      </w:r>
      <w:r w:rsidR="008D1BAC">
        <w:rPr>
          <w:lang w:val="en-AU"/>
        </w:rPr>
        <w:t xml:space="preserve">4.5 </w:t>
      </w:r>
      <w:r w:rsidR="00927E9B">
        <w:rPr>
          <w:lang w:val="en-AU"/>
        </w:rPr>
        <w:t>Interactions with Other Medicines</w:t>
      </w:r>
      <w:r w:rsidR="008806FA" w:rsidRPr="008806FA">
        <w:rPr>
          <w:lang w:val="en-AU"/>
        </w:rPr>
        <w:t xml:space="preserve"> </w:t>
      </w:r>
      <w:r w:rsidR="008806FA" w:rsidRPr="00C85CED">
        <w:rPr>
          <w:lang w:val="en-AU"/>
        </w:rPr>
        <w:t xml:space="preserve">and Other Forms </w:t>
      </w:r>
      <w:r w:rsidR="008806FA">
        <w:rPr>
          <w:lang w:val="en-AU"/>
        </w:rPr>
        <w:t>o</w:t>
      </w:r>
      <w:r w:rsidR="008806FA" w:rsidRPr="00C85CED">
        <w:rPr>
          <w:lang w:val="en-AU"/>
        </w:rPr>
        <w:t>f Interactions</w:t>
      </w:r>
      <w:r w:rsidRPr="007C4D70">
        <w:rPr>
          <w:lang w:val="en-AU"/>
        </w:rPr>
        <w:t>).</w:t>
      </w:r>
    </w:p>
    <w:p w14:paraId="3A59DC1A" w14:textId="2B72684F" w:rsidR="007C4D70" w:rsidRPr="007C4D70" w:rsidRDefault="007C4D70" w:rsidP="00BA50A7">
      <w:pPr>
        <w:rPr>
          <w:lang w:val="en-AU"/>
        </w:rPr>
      </w:pPr>
      <w:r w:rsidRPr="007C4D70">
        <w:rPr>
          <w:lang w:val="en-AU"/>
        </w:rPr>
        <w:t xml:space="preserve">There is no need for dose adjustment when co-administering </w:t>
      </w:r>
      <w:proofErr w:type="spellStart"/>
      <w:r w:rsidRPr="007C4D70">
        <w:rPr>
          <w:lang w:val="en-AU"/>
        </w:rPr>
        <w:t>guselkumab</w:t>
      </w:r>
      <w:proofErr w:type="spellEnd"/>
      <w:r w:rsidRPr="007C4D70">
        <w:rPr>
          <w:lang w:val="en-AU"/>
        </w:rPr>
        <w:t xml:space="preserve"> and CYP450 substrates.</w:t>
      </w:r>
    </w:p>
    <w:p w14:paraId="147B4DCD" w14:textId="625E00CF" w:rsidR="00365A67" w:rsidRPr="00C85CED" w:rsidRDefault="00365A67" w:rsidP="00147FB2">
      <w:pPr>
        <w:pStyle w:val="Heading3"/>
        <w:rPr>
          <w:lang w:val="en-AU"/>
        </w:rPr>
      </w:pPr>
      <w:r w:rsidRPr="00C85CED">
        <w:rPr>
          <w:lang w:val="en-AU"/>
        </w:rPr>
        <w:t>SPECIAL POPULATIONS</w:t>
      </w:r>
    </w:p>
    <w:p w14:paraId="7A289F77" w14:textId="77777777" w:rsidR="00365A67" w:rsidRPr="00C85CED" w:rsidRDefault="00365A67" w:rsidP="00147FB2">
      <w:pPr>
        <w:pStyle w:val="Heading3"/>
        <w:rPr>
          <w:lang w:val="en-AU"/>
        </w:rPr>
      </w:pPr>
      <w:r w:rsidRPr="00C85CED">
        <w:rPr>
          <w:lang w:val="en-AU"/>
        </w:rPr>
        <w:t>Elderly Patients (&gt;65 years of age and older)</w:t>
      </w:r>
    </w:p>
    <w:p w14:paraId="10847418" w14:textId="77777777" w:rsidR="00365A67" w:rsidRPr="00C85CED" w:rsidRDefault="00365A67" w:rsidP="00365A67">
      <w:pPr>
        <w:rPr>
          <w:lang w:val="en-AU"/>
        </w:rPr>
      </w:pPr>
      <w:r w:rsidRPr="00C85CED">
        <w:rPr>
          <w:lang w:val="en-AU"/>
        </w:rPr>
        <w:t xml:space="preserve">Of the 1384 plaque psoriasis subjects exposed to TREMFYA and included in the population pharmacokinetic analysis, 70 subjects were 65 years of age or older, including 4 subjects who were 75 years of age or older. Population pharmacokinetic analyses indicated there were no apparent changes in CL/F estimate in </w:t>
      </w:r>
      <w:proofErr w:type="gramStart"/>
      <w:r w:rsidRPr="00C85CED">
        <w:rPr>
          <w:lang w:val="en-AU"/>
        </w:rPr>
        <w:t>subjects</w:t>
      </w:r>
      <w:proofErr w:type="gramEnd"/>
      <w:r w:rsidRPr="00C85CED">
        <w:rPr>
          <w:lang w:val="en-AU"/>
        </w:rPr>
        <w:t xml:space="preserve"> ≥ 65 years of age compared to subjects &lt; 65 years of age, suggesting no dose adjustment is needed for elderly patients.</w:t>
      </w:r>
    </w:p>
    <w:p w14:paraId="27F0EB17" w14:textId="77777777" w:rsidR="00365A67" w:rsidRPr="00C85CED" w:rsidRDefault="00365A67" w:rsidP="00147FB2">
      <w:pPr>
        <w:pStyle w:val="Heading3"/>
        <w:rPr>
          <w:lang w:val="en-AU"/>
        </w:rPr>
      </w:pPr>
      <w:r w:rsidRPr="00C85CED">
        <w:rPr>
          <w:lang w:val="en-AU"/>
        </w:rPr>
        <w:t>Patients with Renal or Hepatic Impairment</w:t>
      </w:r>
    </w:p>
    <w:p w14:paraId="661B3AEF" w14:textId="77777777" w:rsidR="00365A67" w:rsidRPr="00C85CED" w:rsidRDefault="00365A67" w:rsidP="00365A67">
      <w:pPr>
        <w:rPr>
          <w:lang w:val="en-AU"/>
        </w:rPr>
      </w:pPr>
      <w:r w:rsidRPr="00C85CED">
        <w:rPr>
          <w:lang w:val="en-AU"/>
        </w:rPr>
        <w:t xml:space="preserve">No specific studies have been conducted to determine the effect of renal or hepatic impairment on the pharmacokinetics of </w:t>
      </w:r>
      <w:proofErr w:type="spellStart"/>
      <w:r w:rsidRPr="00C85CED">
        <w:rPr>
          <w:lang w:val="en-AU"/>
        </w:rPr>
        <w:t>guselkumab</w:t>
      </w:r>
      <w:proofErr w:type="spellEnd"/>
      <w:r w:rsidRPr="00C85CED">
        <w:rPr>
          <w:lang w:val="en-AU"/>
        </w:rPr>
        <w:t>.</w:t>
      </w:r>
    </w:p>
    <w:p w14:paraId="4B70B563" w14:textId="43D1CE6F" w:rsidR="00365A67" w:rsidRPr="00C85CED" w:rsidRDefault="00365A67" w:rsidP="00365A67">
      <w:pPr>
        <w:rPr>
          <w:lang w:val="en-AU"/>
        </w:rPr>
      </w:pPr>
      <w:r w:rsidRPr="00C85CED">
        <w:rPr>
          <w:lang w:val="en-AU"/>
        </w:rPr>
        <w:lastRenderedPageBreak/>
        <w:t xml:space="preserve">Renal elimination of intact </w:t>
      </w:r>
      <w:proofErr w:type="spellStart"/>
      <w:r w:rsidRPr="00C85CED">
        <w:rPr>
          <w:lang w:val="en-AU"/>
        </w:rPr>
        <w:t>guselkumab</w:t>
      </w:r>
      <w:proofErr w:type="spellEnd"/>
      <w:r w:rsidRPr="00C85CED">
        <w:rPr>
          <w:lang w:val="en-AU"/>
        </w:rPr>
        <w:t xml:space="preserve">, an IgG </w:t>
      </w:r>
      <w:proofErr w:type="spellStart"/>
      <w:r w:rsidRPr="00C85CED">
        <w:rPr>
          <w:lang w:val="en-AU"/>
        </w:rPr>
        <w:t>mAb</w:t>
      </w:r>
      <w:proofErr w:type="spellEnd"/>
      <w:r w:rsidRPr="00C85CED">
        <w:rPr>
          <w:lang w:val="en-AU"/>
        </w:rPr>
        <w:t xml:space="preserve">, is expected to be low and of minor importance; similarly, hepatic impairment is not expected to influence clearance of </w:t>
      </w:r>
      <w:proofErr w:type="spellStart"/>
      <w:r w:rsidRPr="00C85CED">
        <w:rPr>
          <w:lang w:val="en-AU"/>
        </w:rPr>
        <w:t>guselkumab</w:t>
      </w:r>
      <w:proofErr w:type="spellEnd"/>
      <w:r w:rsidRPr="00C85CED">
        <w:rPr>
          <w:lang w:val="en-AU"/>
        </w:rPr>
        <w:t xml:space="preserve"> as IgG </w:t>
      </w:r>
      <w:proofErr w:type="spellStart"/>
      <w:r w:rsidRPr="00C85CED">
        <w:rPr>
          <w:lang w:val="en-AU"/>
        </w:rPr>
        <w:t>mAbs</w:t>
      </w:r>
      <w:proofErr w:type="spellEnd"/>
      <w:r w:rsidRPr="00C85CED">
        <w:rPr>
          <w:lang w:val="en-AU"/>
        </w:rPr>
        <w:t xml:space="preserve"> are mainly eliminated via intracellular catabolism.</w:t>
      </w:r>
    </w:p>
    <w:p w14:paraId="458259DC" w14:textId="77777777" w:rsidR="00320CD9" w:rsidRPr="00C85CED" w:rsidRDefault="00320CD9" w:rsidP="00320CD9">
      <w:pPr>
        <w:pStyle w:val="Heading2"/>
        <w:rPr>
          <w:lang w:val="en-AU"/>
        </w:rPr>
      </w:pPr>
      <w:r w:rsidRPr="00C85CED">
        <w:rPr>
          <w:lang w:val="en-AU"/>
        </w:rPr>
        <w:t>PRECLINICAL SAFETY DATA</w:t>
      </w:r>
    </w:p>
    <w:p w14:paraId="34BE3779" w14:textId="77777777" w:rsidR="00320CD9" w:rsidRPr="00C85CED" w:rsidRDefault="00320CD9" w:rsidP="00320CD9">
      <w:pPr>
        <w:pStyle w:val="Heading3"/>
        <w:rPr>
          <w:lang w:val="en-AU"/>
        </w:rPr>
      </w:pPr>
      <w:r w:rsidRPr="00C85CED">
        <w:rPr>
          <w:lang w:val="en-AU"/>
        </w:rPr>
        <w:t>Genotoxicity</w:t>
      </w:r>
    </w:p>
    <w:p w14:paraId="0062DBAD" w14:textId="77777777" w:rsidR="000854EF" w:rsidRPr="00C85CED" w:rsidRDefault="000854EF" w:rsidP="000854EF">
      <w:pPr>
        <w:rPr>
          <w:lang w:val="en-AU"/>
        </w:rPr>
      </w:pPr>
      <w:proofErr w:type="spellStart"/>
      <w:r w:rsidRPr="00C85CED">
        <w:rPr>
          <w:lang w:val="en-AU"/>
        </w:rPr>
        <w:t>Guselkumab</w:t>
      </w:r>
      <w:proofErr w:type="spellEnd"/>
      <w:r w:rsidRPr="00C85CED">
        <w:rPr>
          <w:lang w:val="en-AU"/>
        </w:rPr>
        <w:t xml:space="preserve"> has not been evaluated for genotoxic potential.</w:t>
      </w:r>
    </w:p>
    <w:p w14:paraId="6B923098" w14:textId="77777777" w:rsidR="00320CD9" w:rsidRPr="00C85CED" w:rsidRDefault="00320CD9" w:rsidP="00320CD9">
      <w:pPr>
        <w:pStyle w:val="Heading3"/>
        <w:rPr>
          <w:lang w:val="en-AU"/>
        </w:rPr>
      </w:pPr>
      <w:r w:rsidRPr="00C85CED">
        <w:rPr>
          <w:lang w:val="en-AU"/>
        </w:rPr>
        <w:t>Carcinogenicity</w:t>
      </w:r>
    </w:p>
    <w:p w14:paraId="625F32A0" w14:textId="77777777" w:rsidR="000854EF" w:rsidRPr="00C85CED" w:rsidRDefault="000854EF" w:rsidP="000854EF">
      <w:pPr>
        <w:pStyle w:val="Normaltext"/>
      </w:pPr>
      <w:proofErr w:type="spellStart"/>
      <w:r w:rsidRPr="00C85CED">
        <w:t>Guselkumab</w:t>
      </w:r>
      <w:proofErr w:type="spellEnd"/>
      <w:r w:rsidRPr="00C85CED">
        <w:t xml:space="preserve"> has not been evaluated for carcinogenic potential.</w:t>
      </w:r>
    </w:p>
    <w:p w14:paraId="792612A4" w14:textId="77777777" w:rsidR="008A13A7" w:rsidRPr="00C85CED" w:rsidRDefault="008A13A7" w:rsidP="008A13A7">
      <w:pPr>
        <w:pStyle w:val="Heading1"/>
        <w:rPr>
          <w:lang w:val="en-AU"/>
        </w:rPr>
      </w:pPr>
      <w:r w:rsidRPr="00C85CED">
        <w:rPr>
          <w:lang w:val="en-AU"/>
        </w:rPr>
        <w:t xml:space="preserve">Pharmaceutical particulars </w:t>
      </w:r>
    </w:p>
    <w:p w14:paraId="44A61AB5" w14:textId="5271781B" w:rsidR="008A13A7" w:rsidRPr="00C85CED" w:rsidRDefault="00320CD9" w:rsidP="008A13A7">
      <w:pPr>
        <w:pStyle w:val="Heading2"/>
        <w:rPr>
          <w:lang w:val="en-AU"/>
        </w:rPr>
      </w:pPr>
      <w:r w:rsidRPr="00C85CED">
        <w:rPr>
          <w:lang w:val="en-AU"/>
        </w:rPr>
        <w:t>List of excipients</w:t>
      </w:r>
    </w:p>
    <w:p w14:paraId="41EC5476" w14:textId="259145B7" w:rsidR="00D94276" w:rsidRPr="00C85CED" w:rsidRDefault="00D94276" w:rsidP="00F976FA">
      <w:pPr>
        <w:rPr>
          <w:lang w:val="en-AU"/>
        </w:rPr>
      </w:pPr>
      <w:r w:rsidRPr="00C85CED">
        <w:rPr>
          <w:lang w:val="en-AU"/>
        </w:rPr>
        <w:t>Histidine</w:t>
      </w:r>
    </w:p>
    <w:p w14:paraId="41CEA953" w14:textId="56134C34" w:rsidR="00D94276" w:rsidRPr="00C85CED" w:rsidRDefault="00D94276" w:rsidP="00F976FA">
      <w:pPr>
        <w:rPr>
          <w:lang w:val="en-AU"/>
        </w:rPr>
      </w:pPr>
      <w:r w:rsidRPr="00C85CED">
        <w:rPr>
          <w:lang w:val="en-AU"/>
        </w:rPr>
        <w:t>H</w:t>
      </w:r>
      <w:r w:rsidR="00F976FA" w:rsidRPr="00C85CED">
        <w:rPr>
          <w:lang w:val="en-AU"/>
        </w:rPr>
        <w:t>isti</w:t>
      </w:r>
      <w:r w:rsidRPr="00C85CED">
        <w:rPr>
          <w:lang w:val="en-AU"/>
        </w:rPr>
        <w:t>dine hydrochloride monohydrate</w:t>
      </w:r>
    </w:p>
    <w:p w14:paraId="3C601394" w14:textId="35693307" w:rsidR="00D94276" w:rsidRPr="00C85CED" w:rsidRDefault="00D94276" w:rsidP="00F976FA">
      <w:pPr>
        <w:rPr>
          <w:lang w:val="en-AU"/>
        </w:rPr>
      </w:pPr>
      <w:proofErr w:type="spellStart"/>
      <w:r w:rsidRPr="00C85CED">
        <w:rPr>
          <w:lang w:val="en-AU"/>
        </w:rPr>
        <w:t>Polysorbate</w:t>
      </w:r>
      <w:proofErr w:type="spellEnd"/>
      <w:r w:rsidRPr="00C85CED">
        <w:rPr>
          <w:lang w:val="en-AU"/>
        </w:rPr>
        <w:t xml:space="preserve"> 80</w:t>
      </w:r>
    </w:p>
    <w:p w14:paraId="37657CE0" w14:textId="0D7A9CF0" w:rsidR="00D94276" w:rsidRPr="00C85CED" w:rsidRDefault="00D94276" w:rsidP="00F976FA">
      <w:pPr>
        <w:rPr>
          <w:lang w:val="en-AU"/>
        </w:rPr>
      </w:pPr>
      <w:r w:rsidRPr="00C85CED">
        <w:rPr>
          <w:lang w:val="en-AU"/>
        </w:rPr>
        <w:t>Sucrose</w:t>
      </w:r>
    </w:p>
    <w:p w14:paraId="661997DF" w14:textId="70929204" w:rsidR="00F976FA" w:rsidRPr="00C85CED" w:rsidRDefault="00D94276" w:rsidP="00F976FA">
      <w:pPr>
        <w:rPr>
          <w:lang w:val="en-AU"/>
        </w:rPr>
      </w:pPr>
      <w:proofErr w:type="gramStart"/>
      <w:r w:rsidRPr="00C85CED">
        <w:rPr>
          <w:lang w:val="en-AU"/>
        </w:rPr>
        <w:t>W</w:t>
      </w:r>
      <w:r w:rsidR="00F976FA" w:rsidRPr="00C85CED">
        <w:rPr>
          <w:lang w:val="en-AU"/>
        </w:rPr>
        <w:t>ater for injection.</w:t>
      </w:r>
      <w:proofErr w:type="gramEnd"/>
    </w:p>
    <w:p w14:paraId="57356121" w14:textId="408AB24C" w:rsidR="008A13A7" w:rsidRPr="00C85CED" w:rsidRDefault="00320CD9" w:rsidP="008A13A7">
      <w:pPr>
        <w:pStyle w:val="Heading2"/>
        <w:rPr>
          <w:lang w:val="en-AU"/>
        </w:rPr>
      </w:pPr>
      <w:r w:rsidRPr="00C85CED">
        <w:rPr>
          <w:lang w:val="en-AU"/>
        </w:rPr>
        <w:t>Incompatibilities</w:t>
      </w:r>
    </w:p>
    <w:p w14:paraId="23E6E4E7" w14:textId="0B72F1A8" w:rsidR="000E60EC" w:rsidRPr="00C85CED" w:rsidRDefault="00D94276" w:rsidP="00D94276">
      <w:pPr>
        <w:rPr>
          <w:lang w:val="en-AU"/>
        </w:rPr>
      </w:pPr>
      <w:r w:rsidRPr="00C85CED">
        <w:rPr>
          <w:lang w:val="en-AU"/>
        </w:rPr>
        <w:t>In the absence of compatibility studies, this medicinal product must not be mixed with other medicinal products.</w:t>
      </w:r>
    </w:p>
    <w:p w14:paraId="056ACB58" w14:textId="62EA8503" w:rsidR="008A13A7" w:rsidRPr="00C85CED" w:rsidRDefault="00320CD9" w:rsidP="008A13A7">
      <w:pPr>
        <w:pStyle w:val="Heading2"/>
        <w:rPr>
          <w:lang w:val="en-AU"/>
        </w:rPr>
      </w:pPr>
      <w:r w:rsidRPr="00C85CED">
        <w:rPr>
          <w:lang w:val="en-AU"/>
        </w:rPr>
        <w:t>Shelf Life</w:t>
      </w:r>
    </w:p>
    <w:p w14:paraId="59FDA1AD" w14:textId="42EE52E8" w:rsidR="000E60EC" w:rsidRPr="00C85CED" w:rsidRDefault="009B7390" w:rsidP="000E60EC">
      <w:pPr>
        <w:rPr>
          <w:lang w:val="en-AU"/>
        </w:rPr>
      </w:pPr>
      <w:r w:rsidRPr="00927E9B">
        <w:rPr>
          <w:lang w:val="en-AU"/>
        </w:rPr>
        <w:t>In Australia, information on the shelf life can be found on the public summary of the Australian Register of Therapeutic Goods (ARTG). The expiry date can be found on the packaging.</w:t>
      </w:r>
    </w:p>
    <w:p w14:paraId="3ABD0DB9" w14:textId="77777777" w:rsidR="00320CD9" w:rsidRPr="00C85CED" w:rsidRDefault="00320CD9" w:rsidP="00320CD9">
      <w:pPr>
        <w:pStyle w:val="Heading2"/>
        <w:rPr>
          <w:lang w:val="en-AU"/>
        </w:rPr>
      </w:pPr>
      <w:r w:rsidRPr="00C85CED">
        <w:rPr>
          <w:lang w:val="en-AU"/>
        </w:rPr>
        <w:t>Special precautions for storage</w:t>
      </w:r>
    </w:p>
    <w:p w14:paraId="6D04E82D" w14:textId="78EF615C" w:rsidR="00D94276" w:rsidRPr="00C85CED" w:rsidRDefault="00D94276" w:rsidP="00D94276">
      <w:pPr>
        <w:pStyle w:val="BodyText1"/>
      </w:pPr>
      <w:proofErr w:type="gramStart"/>
      <w:r w:rsidRPr="00C85CED">
        <w:t>Store in a refrigerator (2°C – 8°C).</w:t>
      </w:r>
      <w:proofErr w:type="gramEnd"/>
      <w:r w:rsidRPr="00C85CED">
        <w:t xml:space="preserve"> Do not freeze.</w:t>
      </w:r>
      <w:r w:rsidR="0090511B" w:rsidRPr="00C85CED">
        <w:t xml:space="preserve"> Do not shake.</w:t>
      </w:r>
    </w:p>
    <w:p w14:paraId="61D74357" w14:textId="257223EC" w:rsidR="00320CD9" w:rsidRPr="00C85CED" w:rsidRDefault="00D94276" w:rsidP="00D94276">
      <w:pPr>
        <w:pStyle w:val="BodyText1"/>
      </w:pPr>
      <w:r w:rsidRPr="00C85CED">
        <w:t xml:space="preserve">Keep the pre-filled syringe </w:t>
      </w:r>
      <w:r w:rsidR="00155EA6" w:rsidRPr="00155EA6">
        <w:t>in original carton until time of use in order to protect from light</w:t>
      </w:r>
      <w:r w:rsidRPr="00C85CED">
        <w:t>.</w:t>
      </w:r>
    </w:p>
    <w:p w14:paraId="1A3F562C" w14:textId="77777777" w:rsidR="00320CD9" w:rsidRPr="00C85CED" w:rsidRDefault="00320CD9" w:rsidP="00320CD9">
      <w:pPr>
        <w:pStyle w:val="Heading2"/>
        <w:rPr>
          <w:lang w:val="en-AU"/>
        </w:rPr>
      </w:pPr>
      <w:r w:rsidRPr="00C85CED">
        <w:rPr>
          <w:lang w:val="en-AU"/>
        </w:rPr>
        <w:t>Nature and contents of container</w:t>
      </w:r>
    </w:p>
    <w:p w14:paraId="57F057D9" w14:textId="411521C6" w:rsidR="0090511B" w:rsidRPr="00C85CED" w:rsidRDefault="0090511B" w:rsidP="0090511B">
      <w:pPr>
        <w:rPr>
          <w:lang w:val="en-AU"/>
        </w:rPr>
      </w:pPr>
      <w:bookmarkStart w:id="1" w:name="_Hlk502927545"/>
      <w:r w:rsidRPr="00C85CED">
        <w:rPr>
          <w:lang w:val="en-AU"/>
        </w:rPr>
        <w:t>TREMFYA is supplied as a single-use sterile solution in a pre-filled 1mL glass syringe with a fixed 27G, half inch needle assembled in a passive needle guard delivery system.</w:t>
      </w:r>
    </w:p>
    <w:p w14:paraId="1B514F7D" w14:textId="1366DA91" w:rsidR="0090511B" w:rsidRPr="00C85CED" w:rsidRDefault="0090511B" w:rsidP="0090511B">
      <w:pPr>
        <w:rPr>
          <w:lang w:val="en-AU"/>
        </w:rPr>
      </w:pPr>
      <w:r w:rsidRPr="00C85CED">
        <w:rPr>
          <w:lang w:val="en-AU"/>
        </w:rPr>
        <w:t>TREMFYA is available in cartons containing 1 pre-filled syringe.</w:t>
      </w:r>
    </w:p>
    <w:p w14:paraId="6BDBB128" w14:textId="51174654" w:rsidR="0090511B" w:rsidRPr="00C85CED" w:rsidRDefault="0090511B" w:rsidP="0090511B">
      <w:pPr>
        <w:rPr>
          <w:lang w:val="en-AU"/>
        </w:rPr>
      </w:pPr>
      <w:r w:rsidRPr="00C85CED">
        <w:rPr>
          <w:lang w:val="en-AU"/>
        </w:rPr>
        <w:t>TREMFYA does not contain preservatives.</w:t>
      </w:r>
    </w:p>
    <w:p w14:paraId="3EB2588C" w14:textId="77777777" w:rsidR="00320CD9" w:rsidRPr="00C85CED" w:rsidRDefault="00320CD9" w:rsidP="00320CD9">
      <w:pPr>
        <w:pStyle w:val="Heading2"/>
        <w:rPr>
          <w:lang w:val="en-AU"/>
        </w:rPr>
      </w:pPr>
      <w:bookmarkStart w:id="2" w:name="_Ref471299056"/>
      <w:bookmarkStart w:id="3" w:name="_Hlk502927584"/>
      <w:bookmarkEnd w:id="1"/>
      <w:r w:rsidRPr="00C85CED">
        <w:rPr>
          <w:lang w:val="en-AU"/>
        </w:rPr>
        <w:t xml:space="preserve">Special precautions for disposal </w:t>
      </w:r>
      <w:bookmarkEnd w:id="2"/>
    </w:p>
    <w:p w14:paraId="5AFBC235" w14:textId="5FCF64ED" w:rsidR="00320CD9" w:rsidRPr="00C85CED" w:rsidRDefault="003628F3" w:rsidP="003628F3">
      <w:pPr>
        <w:rPr>
          <w:lang w:val="en-AU"/>
        </w:rPr>
      </w:pPr>
      <w:r w:rsidRPr="003B3268">
        <w:rPr>
          <w:lang w:val="en-AU"/>
        </w:rPr>
        <w:t>In Australia, any unused medicine or waste material should be disposed of by taking to your local pharmacy.</w:t>
      </w:r>
    </w:p>
    <w:bookmarkEnd w:id="3"/>
    <w:p w14:paraId="075652CF" w14:textId="77777777" w:rsidR="00320CD9" w:rsidRPr="00C85CED" w:rsidRDefault="00320CD9" w:rsidP="00320CD9">
      <w:pPr>
        <w:pStyle w:val="Heading2"/>
        <w:rPr>
          <w:lang w:val="en-AU"/>
        </w:rPr>
      </w:pPr>
      <w:r w:rsidRPr="00C85CED">
        <w:rPr>
          <w:lang w:val="en-AU"/>
        </w:rPr>
        <w:lastRenderedPageBreak/>
        <w:t>Physicochemical properties</w:t>
      </w:r>
    </w:p>
    <w:p w14:paraId="15B383BA" w14:textId="77777777" w:rsidR="00320CD9" w:rsidRPr="00C85CED" w:rsidRDefault="00320CD9" w:rsidP="00320CD9">
      <w:pPr>
        <w:pStyle w:val="Heading3"/>
        <w:rPr>
          <w:lang w:val="en-AU"/>
        </w:rPr>
      </w:pPr>
      <w:bookmarkStart w:id="4" w:name="_Hlk502927676"/>
      <w:r w:rsidRPr="00C85CED">
        <w:rPr>
          <w:lang w:val="en-AU"/>
        </w:rPr>
        <w:t>Chemical structure:</w:t>
      </w:r>
      <w:bookmarkEnd w:id="4"/>
    </w:p>
    <w:p w14:paraId="22D136B6" w14:textId="77777777" w:rsidR="00320CD9" w:rsidRPr="00C85CED" w:rsidRDefault="00320CD9" w:rsidP="00320CD9">
      <w:pPr>
        <w:pStyle w:val="BodyText1"/>
        <w:tabs>
          <w:tab w:val="left" w:pos="2268"/>
        </w:tabs>
        <w:jc w:val="center"/>
      </w:pPr>
      <w:r w:rsidRPr="00C85CED">
        <w:rPr>
          <w:noProof/>
          <w:lang w:eastAsia="en-AU"/>
        </w:rPr>
        <w:drawing>
          <wp:inline distT="0" distB="0" distL="0" distR="0" wp14:anchorId="24AFC607" wp14:editId="064CAE8C">
            <wp:extent cx="2808884" cy="256285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09529" cy="2563439"/>
                    </a:xfrm>
                    <a:prstGeom prst="rect">
                      <a:avLst/>
                    </a:prstGeom>
                  </pic:spPr>
                </pic:pic>
              </a:graphicData>
            </a:graphic>
          </wp:inline>
        </w:drawing>
      </w:r>
    </w:p>
    <w:p w14:paraId="4F2CAA2D" w14:textId="09AC3F0E" w:rsidR="00320CD9" w:rsidRPr="00C85CED" w:rsidRDefault="00320CD9" w:rsidP="00320CD9">
      <w:pPr>
        <w:pStyle w:val="Normaltext"/>
        <w:spacing w:after="120"/>
        <w:jc w:val="center"/>
        <w:rPr>
          <w:b/>
        </w:rPr>
      </w:pPr>
      <w:proofErr w:type="gramStart"/>
      <w:r w:rsidRPr="00C85CED">
        <w:rPr>
          <w:b/>
        </w:rPr>
        <w:t xml:space="preserve">Figure </w:t>
      </w:r>
      <w:r w:rsidR="0024086F">
        <w:rPr>
          <w:b/>
        </w:rPr>
        <w:t>3</w:t>
      </w:r>
      <w:r w:rsidRPr="00C85CED">
        <w:rPr>
          <w:b/>
        </w:rPr>
        <w:t>.</w:t>
      </w:r>
      <w:proofErr w:type="gramEnd"/>
      <w:r w:rsidRPr="00C85CED">
        <w:rPr>
          <w:b/>
        </w:rPr>
        <w:tab/>
        <w:t xml:space="preserve">General structure of </w:t>
      </w:r>
      <w:proofErr w:type="spellStart"/>
      <w:r w:rsidRPr="00C85CED">
        <w:rPr>
          <w:b/>
        </w:rPr>
        <w:t>guselkumab</w:t>
      </w:r>
      <w:proofErr w:type="spellEnd"/>
    </w:p>
    <w:p w14:paraId="7F8953D0" w14:textId="77777777" w:rsidR="00320CD9" w:rsidRPr="00C85CED" w:rsidRDefault="00320CD9" w:rsidP="00320CD9">
      <w:pPr>
        <w:pStyle w:val="Normaltext"/>
        <w:spacing w:after="120"/>
        <w:jc w:val="left"/>
        <w:rPr>
          <w:rFonts w:eastAsiaTheme="minorHAnsi" w:cstheme="minorBidi"/>
          <w:szCs w:val="22"/>
          <w:lang w:eastAsia="en-US"/>
        </w:rPr>
      </w:pPr>
      <w:r w:rsidRPr="007A74AA">
        <w:rPr>
          <w:rFonts w:eastAsiaTheme="majorEastAsia" w:cstheme="majorBidi"/>
          <w:b/>
          <w:lang w:eastAsia="en-US"/>
        </w:rPr>
        <w:t>CAS No.:</w:t>
      </w:r>
      <w:r w:rsidRPr="00C85CED">
        <w:rPr>
          <w:rFonts w:eastAsiaTheme="minorHAnsi" w:cstheme="minorBidi"/>
          <w:szCs w:val="22"/>
          <w:lang w:eastAsia="en-US"/>
        </w:rPr>
        <w:t xml:space="preserve"> 1350289-85-8</w:t>
      </w:r>
    </w:p>
    <w:p w14:paraId="5261601A" w14:textId="60639C28" w:rsidR="00BA1291" w:rsidRPr="00C85CED" w:rsidRDefault="007A74AA" w:rsidP="007A74AA">
      <w:pPr>
        <w:pStyle w:val="Heading1"/>
        <w:rPr>
          <w:lang w:val="en-AU"/>
        </w:rPr>
      </w:pPr>
      <w:r w:rsidRPr="007A74AA">
        <w:rPr>
          <w:lang w:val="en-AU"/>
        </w:rPr>
        <w:t>Medicine</w:t>
      </w:r>
      <w:r w:rsidRPr="007A74AA" w:rsidDel="007A74AA">
        <w:rPr>
          <w:lang w:val="en-AU"/>
        </w:rPr>
        <w:t xml:space="preserve"> </w:t>
      </w:r>
      <w:r w:rsidR="00BA1291" w:rsidRPr="00C85CED">
        <w:rPr>
          <w:lang w:val="en-AU"/>
        </w:rPr>
        <w:t>Schedule</w:t>
      </w:r>
      <w:r>
        <w:rPr>
          <w:lang w:val="en-AU"/>
        </w:rPr>
        <w:t xml:space="preserve"> (POISON STANDARD)</w:t>
      </w:r>
    </w:p>
    <w:p w14:paraId="7CB0A3ED" w14:textId="686AA6C3" w:rsidR="00BA1291" w:rsidRPr="00C85CED" w:rsidRDefault="00BA1291" w:rsidP="00BA1291">
      <w:pPr>
        <w:rPr>
          <w:lang w:val="en-AU"/>
        </w:rPr>
      </w:pPr>
      <w:r w:rsidRPr="00C85CED">
        <w:rPr>
          <w:lang w:val="en-AU"/>
        </w:rPr>
        <w:t>S4</w:t>
      </w:r>
      <w:r w:rsidR="003D6E5E" w:rsidRPr="00C85CED">
        <w:rPr>
          <w:lang w:val="en-AU"/>
        </w:rPr>
        <w:t xml:space="preserve"> – Prescription Only Medicine</w:t>
      </w:r>
    </w:p>
    <w:p w14:paraId="1F8DBD2D" w14:textId="5E8C66D2" w:rsidR="00D92B0C" w:rsidRPr="00C85CED" w:rsidRDefault="00D92B0C" w:rsidP="00D92B0C">
      <w:pPr>
        <w:pStyle w:val="Heading1"/>
        <w:rPr>
          <w:lang w:val="en-AU"/>
        </w:rPr>
      </w:pPr>
      <w:r w:rsidRPr="00C85CED">
        <w:rPr>
          <w:lang w:val="en-AU"/>
        </w:rPr>
        <w:t>Sponsor</w:t>
      </w:r>
    </w:p>
    <w:p w14:paraId="2747B7F2" w14:textId="40E1F0E7" w:rsidR="00796519" w:rsidRPr="00C85CED" w:rsidRDefault="00BA1291" w:rsidP="00BA1291">
      <w:pPr>
        <w:jc w:val="left"/>
        <w:rPr>
          <w:lang w:val="en-AU"/>
        </w:rPr>
      </w:pPr>
      <w:r w:rsidRPr="00C85CED">
        <w:rPr>
          <w:lang w:val="en-AU"/>
        </w:rPr>
        <w:t>JANSSEN-CILAG Pty Ltd</w:t>
      </w:r>
      <w:r w:rsidRPr="00C85CED">
        <w:rPr>
          <w:lang w:val="en-AU"/>
        </w:rPr>
        <w:br/>
        <w:t>1-5 Khartoum Rd</w:t>
      </w:r>
      <w:r w:rsidRPr="00C85CED">
        <w:rPr>
          <w:lang w:val="en-AU"/>
        </w:rPr>
        <w:br/>
        <w:t>Macquarie Park NSW 2113 Australia</w:t>
      </w:r>
    </w:p>
    <w:p w14:paraId="43B7CC99" w14:textId="77777777" w:rsidR="00D92B0C" w:rsidRPr="00C85CED" w:rsidRDefault="00D92B0C" w:rsidP="00D92B0C">
      <w:pPr>
        <w:pStyle w:val="Heading1"/>
        <w:rPr>
          <w:lang w:val="en-AU"/>
        </w:rPr>
      </w:pPr>
      <w:r w:rsidRPr="00C85CED">
        <w:rPr>
          <w:lang w:val="en-AU"/>
        </w:rPr>
        <w:t xml:space="preserve">Date of first </w:t>
      </w:r>
      <w:r w:rsidR="003D6E5E" w:rsidRPr="00C85CED">
        <w:rPr>
          <w:lang w:val="en-AU"/>
        </w:rPr>
        <w:t>APPROVAL</w:t>
      </w:r>
    </w:p>
    <w:p w14:paraId="7D30E12B" w14:textId="678D893F" w:rsidR="00D92B0C" w:rsidRPr="00C85CED" w:rsidRDefault="008061AD" w:rsidP="00D92B0C">
      <w:pPr>
        <w:rPr>
          <w:lang w:val="en-AU"/>
        </w:rPr>
      </w:pPr>
      <w:r>
        <w:rPr>
          <w:lang w:val="en-AU"/>
        </w:rPr>
        <w:t>15 March 201</w:t>
      </w:r>
      <w:r w:rsidR="006D46B8">
        <w:rPr>
          <w:lang w:val="en-AU"/>
        </w:rPr>
        <w:t>8</w:t>
      </w:r>
    </w:p>
    <w:p w14:paraId="573B3BC9" w14:textId="77777777" w:rsidR="00D92B0C" w:rsidRPr="00C85CED" w:rsidRDefault="00D92B0C" w:rsidP="00D92B0C">
      <w:pPr>
        <w:pStyle w:val="Heading1"/>
        <w:rPr>
          <w:lang w:val="en-AU"/>
        </w:rPr>
      </w:pPr>
      <w:r w:rsidRPr="00C85CED">
        <w:rPr>
          <w:lang w:val="en-AU"/>
        </w:rPr>
        <w:t xml:space="preserve">Date of </w:t>
      </w:r>
      <w:r w:rsidR="003D6E5E" w:rsidRPr="00C85CED">
        <w:rPr>
          <w:lang w:val="en-AU"/>
        </w:rPr>
        <w:t>REVISION</w:t>
      </w:r>
    </w:p>
    <w:p w14:paraId="16716FF4" w14:textId="6C89F5EC" w:rsidR="00D92B0C" w:rsidRPr="00C85CED" w:rsidRDefault="008061AD" w:rsidP="00D92B0C">
      <w:pPr>
        <w:rPr>
          <w:lang w:val="en-AU"/>
        </w:rPr>
      </w:pPr>
      <w:r>
        <w:rPr>
          <w:lang w:val="en-AU"/>
        </w:rPr>
        <w:t>15 March 201</w:t>
      </w:r>
      <w:r w:rsidR="006D46B8">
        <w:rPr>
          <w:lang w:val="en-AU"/>
        </w:rPr>
        <w:t>8</w:t>
      </w:r>
    </w:p>
    <w:p w14:paraId="18E0A6A1" w14:textId="77777777" w:rsidR="00E821B3" w:rsidRPr="00C85CED" w:rsidRDefault="00E821B3" w:rsidP="00E821B3">
      <w:pPr>
        <w:pStyle w:val="Heading3"/>
        <w:rPr>
          <w:lang w:val="en-AU"/>
        </w:rPr>
      </w:pPr>
      <w:r w:rsidRPr="00C85CED">
        <w:rPr>
          <w:lang w:val="en-AU"/>
        </w:rPr>
        <w:t>Summary table of changes</w:t>
      </w:r>
    </w:p>
    <w:tbl>
      <w:tblPr>
        <w:tblStyle w:val="TableGrid"/>
        <w:tblW w:w="0" w:type="auto"/>
        <w:tblLook w:val="04A0" w:firstRow="1" w:lastRow="0" w:firstColumn="1" w:lastColumn="0" w:noHBand="0" w:noVBand="1"/>
      </w:tblPr>
      <w:tblGrid>
        <w:gridCol w:w="2689"/>
        <w:gridCol w:w="6520"/>
      </w:tblGrid>
      <w:tr w:rsidR="00E821B3" w:rsidRPr="003B3268" w14:paraId="690E7928" w14:textId="77777777" w:rsidTr="00E821B3">
        <w:tc>
          <w:tcPr>
            <w:tcW w:w="2689" w:type="dxa"/>
          </w:tcPr>
          <w:p w14:paraId="7D6530CC" w14:textId="77777777" w:rsidR="00E821B3" w:rsidRPr="00C85CED" w:rsidRDefault="00E821B3" w:rsidP="00E821B3">
            <w:pPr>
              <w:pStyle w:val="Heading3"/>
              <w:outlineLvl w:val="2"/>
              <w:rPr>
                <w:lang w:val="en-AU"/>
              </w:rPr>
            </w:pPr>
            <w:r w:rsidRPr="00C85CED">
              <w:rPr>
                <w:lang w:val="en-AU"/>
              </w:rPr>
              <w:t>Section</w:t>
            </w:r>
          </w:p>
        </w:tc>
        <w:tc>
          <w:tcPr>
            <w:tcW w:w="6520" w:type="dxa"/>
          </w:tcPr>
          <w:p w14:paraId="2E0DF8CC" w14:textId="77777777" w:rsidR="00E821B3" w:rsidRPr="00C85CED" w:rsidRDefault="00E821B3" w:rsidP="00E821B3">
            <w:pPr>
              <w:pStyle w:val="Heading3"/>
              <w:outlineLvl w:val="2"/>
              <w:rPr>
                <w:lang w:val="en-AU"/>
              </w:rPr>
            </w:pPr>
            <w:r w:rsidRPr="00C85CED">
              <w:rPr>
                <w:lang w:val="en-AU"/>
              </w:rPr>
              <w:t xml:space="preserve">Summary of changes </w:t>
            </w:r>
          </w:p>
        </w:tc>
      </w:tr>
      <w:tr w:rsidR="00E821B3" w:rsidRPr="003B3268" w14:paraId="04E78A3A" w14:textId="77777777" w:rsidTr="00E821B3">
        <w:tc>
          <w:tcPr>
            <w:tcW w:w="2689" w:type="dxa"/>
          </w:tcPr>
          <w:p w14:paraId="6B4AE592" w14:textId="77777777" w:rsidR="00E821B3" w:rsidRPr="00C85CED" w:rsidRDefault="00E821B3" w:rsidP="00E821B3">
            <w:pPr>
              <w:rPr>
                <w:lang w:val="en-AU"/>
              </w:rPr>
            </w:pPr>
          </w:p>
        </w:tc>
        <w:tc>
          <w:tcPr>
            <w:tcW w:w="6520" w:type="dxa"/>
          </w:tcPr>
          <w:p w14:paraId="3355FD6A" w14:textId="77777777" w:rsidR="00E821B3" w:rsidRPr="00C85CED" w:rsidRDefault="0026016E" w:rsidP="00E821B3">
            <w:pPr>
              <w:rPr>
                <w:lang w:val="en-AU"/>
              </w:rPr>
            </w:pPr>
            <w:r w:rsidRPr="00C85CED">
              <w:rPr>
                <w:lang w:val="en-AU"/>
              </w:rPr>
              <w:t>New</w:t>
            </w:r>
          </w:p>
        </w:tc>
      </w:tr>
    </w:tbl>
    <w:p w14:paraId="41AE87D2" w14:textId="77777777" w:rsidR="00E821B3" w:rsidRPr="00C85CED" w:rsidRDefault="00E821B3" w:rsidP="00CE6A10">
      <w:pPr>
        <w:rPr>
          <w:lang w:val="en-AU"/>
        </w:rPr>
      </w:pPr>
    </w:p>
    <w:sectPr w:rsidR="00E821B3" w:rsidRPr="00C85CED" w:rsidSect="00D4169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276" w:left="1440" w:header="70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383F3" w14:textId="77777777" w:rsidR="00FE36FE" w:rsidRDefault="00FE36FE" w:rsidP="00BA1291">
      <w:pPr>
        <w:spacing w:after="0"/>
      </w:pPr>
      <w:r>
        <w:separator/>
      </w:r>
    </w:p>
  </w:endnote>
  <w:endnote w:type="continuationSeparator" w:id="0">
    <w:p w14:paraId="24A00D35" w14:textId="77777777" w:rsidR="00FE36FE" w:rsidRDefault="00FE36FE" w:rsidP="00BA12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5145" w14:textId="77777777" w:rsidR="00501497" w:rsidRDefault="00501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ook w:val="0000" w:firstRow="0" w:lastRow="0" w:firstColumn="0" w:lastColumn="0" w:noHBand="0" w:noVBand="0"/>
    </w:tblPr>
    <w:tblGrid>
      <w:gridCol w:w="3119"/>
      <w:gridCol w:w="2377"/>
      <w:gridCol w:w="3860"/>
    </w:tblGrid>
    <w:tr w:rsidR="00FE36FE" w:rsidRPr="005A6179" w14:paraId="53CB3965" w14:textId="77777777" w:rsidTr="0066370D">
      <w:tc>
        <w:tcPr>
          <w:tcW w:w="3119" w:type="dxa"/>
        </w:tcPr>
        <w:p w14:paraId="295EBC47" w14:textId="29BBCE0D" w:rsidR="00FE36FE" w:rsidRPr="005A6179" w:rsidRDefault="00FE36FE" w:rsidP="005A6179">
          <w:pPr>
            <w:pStyle w:val="Footer"/>
            <w:rPr>
              <w:rStyle w:val="PageNumber"/>
            </w:rPr>
          </w:pPr>
          <w:r w:rsidRPr="005A6179">
            <w:t>CCDS</w:t>
          </w:r>
          <w:r w:rsidRPr="007832BA">
            <w:t>17</w:t>
          </w:r>
          <w:r>
            <w:t>1016</w:t>
          </w:r>
        </w:p>
      </w:tc>
      <w:tc>
        <w:tcPr>
          <w:tcW w:w="2377" w:type="dxa"/>
        </w:tcPr>
        <w:p w14:paraId="3269C969" w14:textId="4E5B03F2" w:rsidR="00FE36FE" w:rsidRPr="005A6179" w:rsidRDefault="00FE36FE" w:rsidP="00541F3E">
          <w:pPr>
            <w:pStyle w:val="Footer"/>
            <w:jc w:val="center"/>
            <w:rPr>
              <w:rStyle w:val="PageNumber"/>
            </w:rPr>
          </w:pPr>
          <w:r w:rsidRPr="005A6179">
            <w:t xml:space="preserve">Page </w:t>
          </w:r>
          <w:r w:rsidRPr="005A6179">
            <w:rPr>
              <w:rStyle w:val="PageNumber"/>
            </w:rPr>
            <w:fldChar w:fldCharType="begin"/>
          </w:r>
          <w:r w:rsidRPr="005A6179">
            <w:rPr>
              <w:rStyle w:val="PageNumber"/>
            </w:rPr>
            <w:instrText xml:space="preserve"> PAGE </w:instrText>
          </w:r>
          <w:r w:rsidRPr="005A6179">
            <w:rPr>
              <w:rStyle w:val="PageNumber"/>
            </w:rPr>
            <w:fldChar w:fldCharType="separate"/>
          </w:r>
          <w:r w:rsidR="000E6493">
            <w:rPr>
              <w:rStyle w:val="PageNumber"/>
              <w:noProof/>
            </w:rPr>
            <w:t>2</w:t>
          </w:r>
          <w:r w:rsidRPr="005A6179">
            <w:rPr>
              <w:rStyle w:val="PageNumber"/>
            </w:rPr>
            <w:fldChar w:fldCharType="end"/>
          </w:r>
        </w:p>
      </w:tc>
      <w:tc>
        <w:tcPr>
          <w:tcW w:w="3860" w:type="dxa"/>
        </w:tcPr>
        <w:p w14:paraId="1F607DEA" w14:textId="2BFF672B" w:rsidR="00FE36FE" w:rsidRPr="00D0128F" w:rsidRDefault="00FE36FE" w:rsidP="00541F3E">
          <w:pPr>
            <w:pStyle w:val="Footer"/>
            <w:jc w:val="right"/>
            <w:rPr>
              <w:rStyle w:val="PageNumber"/>
            </w:rPr>
          </w:pPr>
          <w:r w:rsidRPr="00D0128F">
            <w:rPr>
              <w:rStyle w:val="PageNumber"/>
            </w:rPr>
            <w:t>TREMFYA (180</w:t>
          </w:r>
          <w:r w:rsidR="00541F3E">
            <w:rPr>
              <w:rStyle w:val="PageNumber"/>
            </w:rPr>
            <w:t>3</w:t>
          </w:r>
          <w:r w:rsidR="008061AD">
            <w:rPr>
              <w:rStyle w:val="PageNumber"/>
            </w:rPr>
            <w:t>15</w:t>
          </w:r>
          <w:r w:rsidRPr="00D0128F">
            <w:rPr>
              <w:rStyle w:val="PageNumber"/>
            </w:rPr>
            <w:t xml:space="preserve">) </w:t>
          </w:r>
          <w:r w:rsidR="008061AD">
            <w:rPr>
              <w:rStyle w:val="PageNumber"/>
            </w:rPr>
            <w:t>A</w:t>
          </w:r>
          <w:r w:rsidRPr="00D0128F">
            <w:rPr>
              <w:rStyle w:val="PageNumber"/>
            </w:rPr>
            <w:t>PI</w:t>
          </w:r>
        </w:p>
      </w:tc>
    </w:tr>
  </w:tbl>
  <w:p w14:paraId="3665CB28" w14:textId="77777777" w:rsidR="00FE36FE" w:rsidRDefault="00FE36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F205" w14:textId="77777777" w:rsidR="00501497" w:rsidRDefault="00501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80F9B" w14:textId="77777777" w:rsidR="00FE36FE" w:rsidRDefault="00FE36FE" w:rsidP="00BA1291">
      <w:pPr>
        <w:spacing w:after="0"/>
      </w:pPr>
      <w:r>
        <w:separator/>
      </w:r>
    </w:p>
  </w:footnote>
  <w:footnote w:type="continuationSeparator" w:id="0">
    <w:p w14:paraId="4BE56A27" w14:textId="77777777" w:rsidR="00FE36FE" w:rsidRDefault="00FE36FE" w:rsidP="00BA12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57ADE" w14:textId="77777777" w:rsidR="00501497" w:rsidRDefault="00501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501497" w:rsidRPr="002E7F61" w14:paraId="2015266B" w14:textId="77777777" w:rsidTr="0066735B">
      <w:trPr>
        <w:trHeight w:val="602"/>
      </w:trPr>
      <w:tc>
        <w:tcPr>
          <w:tcW w:w="8720" w:type="dxa"/>
          <w:shd w:val="clear" w:color="auto" w:fill="E4F2E0"/>
        </w:tcPr>
        <w:p w14:paraId="6736101D" w14:textId="77777777" w:rsidR="00501497" w:rsidRPr="002E7F61" w:rsidRDefault="00501497" w:rsidP="0066735B">
          <w:pPr>
            <w:pStyle w:val="Footer"/>
            <w:rPr>
              <w:b/>
              <w:szCs w:val="18"/>
            </w:rPr>
          </w:pPr>
          <w:r w:rsidRPr="002E7F61">
            <w:rPr>
              <w:b/>
              <w:szCs w:val="18"/>
            </w:rPr>
            <w:t xml:space="preserve">Attachment 1: Product information </w:t>
          </w:r>
          <w:r w:rsidRPr="0042074E">
            <w:rPr>
              <w:b/>
              <w:szCs w:val="18"/>
            </w:rPr>
            <w:t xml:space="preserve">AusPAR </w:t>
          </w:r>
          <w:proofErr w:type="spellStart"/>
          <w:r w:rsidRPr="0042074E">
            <w:rPr>
              <w:b/>
              <w:szCs w:val="18"/>
            </w:rPr>
            <w:t>Tremfya</w:t>
          </w:r>
          <w:proofErr w:type="spellEnd"/>
          <w:r w:rsidRPr="0042074E">
            <w:rPr>
              <w:b/>
              <w:szCs w:val="18"/>
            </w:rPr>
            <w:t xml:space="preserve"> </w:t>
          </w:r>
          <w:proofErr w:type="spellStart"/>
          <w:r w:rsidRPr="0042074E">
            <w:rPr>
              <w:b/>
              <w:szCs w:val="18"/>
            </w:rPr>
            <w:t>Guselkumab</w:t>
          </w:r>
          <w:proofErr w:type="spellEnd"/>
          <w:r w:rsidRPr="0042074E">
            <w:rPr>
              <w:b/>
              <w:szCs w:val="18"/>
            </w:rPr>
            <w:t xml:space="preserve"> Janssen-</w:t>
          </w:r>
          <w:proofErr w:type="spellStart"/>
          <w:r w:rsidRPr="0042074E">
            <w:rPr>
              <w:b/>
              <w:szCs w:val="18"/>
            </w:rPr>
            <w:t>Cilag</w:t>
          </w:r>
          <w:proofErr w:type="spellEnd"/>
          <w:r w:rsidRPr="0042074E">
            <w:rPr>
              <w:b/>
              <w:szCs w:val="18"/>
            </w:rPr>
            <w:t xml:space="preserve"> Pty Ltd PM-2017-00552-1-1 Final 5 November2018</w:t>
          </w:r>
          <w:r w:rsidRPr="002E7F61">
            <w:rPr>
              <w:b/>
              <w:szCs w:val="18"/>
            </w:rPr>
            <w:t>. This Product information was approved at the time this AusPAR was published.</w:t>
          </w:r>
        </w:p>
      </w:tc>
    </w:tr>
  </w:tbl>
  <w:p w14:paraId="144DAD1B" w14:textId="77777777" w:rsidR="00501497" w:rsidRDefault="00501497">
    <w:pPr>
      <w:pStyle w:val="Header"/>
    </w:pPr>
    <w:bookmarkStart w:id="5" w:name="_GoBack"/>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501497" w:rsidRPr="002E7F61" w14:paraId="230ECADE" w14:textId="77777777" w:rsidTr="0066735B">
      <w:trPr>
        <w:trHeight w:val="602"/>
      </w:trPr>
      <w:tc>
        <w:tcPr>
          <w:tcW w:w="8720" w:type="dxa"/>
          <w:shd w:val="clear" w:color="auto" w:fill="E4F2E0"/>
        </w:tcPr>
        <w:p w14:paraId="012FD519" w14:textId="77777777" w:rsidR="00501497" w:rsidRPr="002E7F61" w:rsidRDefault="00501497" w:rsidP="0066735B">
          <w:pPr>
            <w:pStyle w:val="Footer"/>
            <w:rPr>
              <w:b/>
              <w:szCs w:val="18"/>
            </w:rPr>
          </w:pPr>
          <w:r w:rsidRPr="002E7F61">
            <w:rPr>
              <w:b/>
              <w:szCs w:val="18"/>
            </w:rPr>
            <w:t xml:space="preserve">Attachment 1: Product information </w:t>
          </w:r>
          <w:r w:rsidRPr="0042074E">
            <w:rPr>
              <w:b/>
              <w:szCs w:val="18"/>
            </w:rPr>
            <w:t xml:space="preserve">AusPAR </w:t>
          </w:r>
          <w:proofErr w:type="spellStart"/>
          <w:r w:rsidRPr="0042074E">
            <w:rPr>
              <w:b/>
              <w:szCs w:val="18"/>
            </w:rPr>
            <w:t>Tremfya</w:t>
          </w:r>
          <w:proofErr w:type="spellEnd"/>
          <w:r w:rsidRPr="0042074E">
            <w:rPr>
              <w:b/>
              <w:szCs w:val="18"/>
            </w:rPr>
            <w:t xml:space="preserve"> </w:t>
          </w:r>
          <w:proofErr w:type="spellStart"/>
          <w:r w:rsidRPr="0042074E">
            <w:rPr>
              <w:b/>
              <w:szCs w:val="18"/>
            </w:rPr>
            <w:t>Guselkumab</w:t>
          </w:r>
          <w:proofErr w:type="spellEnd"/>
          <w:r w:rsidRPr="0042074E">
            <w:rPr>
              <w:b/>
              <w:szCs w:val="18"/>
            </w:rPr>
            <w:t xml:space="preserve"> Janssen-</w:t>
          </w:r>
          <w:proofErr w:type="spellStart"/>
          <w:r w:rsidRPr="0042074E">
            <w:rPr>
              <w:b/>
              <w:szCs w:val="18"/>
            </w:rPr>
            <w:t>Cilag</w:t>
          </w:r>
          <w:proofErr w:type="spellEnd"/>
          <w:r w:rsidRPr="0042074E">
            <w:rPr>
              <w:b/>
              <w:szCs w:val="18"/>
            </w:rPr>
            <w:t xml:space="preserve"> Pty Ltd PM-2017-00552-1-1 Final 5 November2018</w:t>
          </w:r>
          <w:r w:rsidRPr="002E7F61">
            <w:rPr>
              <w:b/>
              <w:szCs w:val="18"/>
            </w:rPr>
            <w:t>. This Product information was approved at the time this AusPAR was published.</w:t>
          </w:r>
        </w:p>
      </w:tc>
    </w:tr>
  </w:tbl>
  <w:p w14:paraId="34C5145F" w14:textId="1A90A193" w:rsidR="00501497" w:rsidRDefault="00501497">
    <w:pPr>
      <w:pStyle w:val="Header"/>
    </w:pPr>
  </w:p>
  <w:p w14:paraId="0E47CF44" w14:textId="3CAC3048" w:rsidR="00FE36FE" w:rsidRDefault="00FE36FE" w:rsidP="0066370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7B8E5E6"/>
    <w:lvl w:ilvl="0">
      <w:start w:val="1"/>
      <w:numFmt w:val="decimal"/>
      <w:pStyle w:val="ListNumber"/>
      <w:lvlText w:val="%1."/>
      <w:lvlJc w:val="left"/>
      <w:pPr>
        <w:tabs>
          <w:tab w:val="num" w:pos="360"/>
        </w:tabs>
        <w:ind w:left="360" w:hanging="360"/>
      </w:pPr>
      <w:rPr>
        <w:rFonts w:ascii="Arial" w:hAnsi="Arial" w:hint="default"/>
        <w:b w:val="0"/>
        <w:i w:val="0"/>
        <w:sz w:val="22"/>
      </w:rPr>
    </w:lvl>
  </w:abstractNum>
  <w:abstractNum w:abstractNumId="1">
    <w:nsid w:val="FFFFFF89"/>
    <w:multiLevelType w:val="singleLevel"/>
    <w:tmpl w:val="4C466B7A"/>
    <w:lvl w:ilvl="0">
      <w:start w:val="1"/>
      <w:numFmt w:val="bullet"/>
      <w:pStyle w:val="ListBullet"/>
      <w:lvlText w:val=""/>
      <w:lvlJc w:val="left"/>
      <w:pPr>
        <w:tabs>
          <w:tab w:val="num" w:pos="360"/>
        </w:tabs>
        <w:ind w:left="340" w:hanging="340"/>
      </w:pPr>
      <w:rPr>
        <w:rFonts w:ascii="Symbol" w:hAnsi="Symbol" w:hint="default"/>
      </w:rPr>
    </w:lvl>
  </w:abstractNum>
  <w:abstractNum w:abstractNumId="2">
    <w:nsid w:val="01525EFE"/>
    <w:multiLevelType w:val="multilevel"/>
    <w:tmpl w:val="AE38167C"/>
    <w:lvl w:ilvl="0">
      <w:start w:val="1"/>
      <w:numFmt w:val="decimal"/>
      <w:lvlText w:val="%1."/>
      <w:lvlJc w:val="left"/>
      <w:pPr>
        <w:ind w:left="717"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81" w:hanging="1800"/>
      </w:pPr>
      <w:rPr>
        <w:rFonts w:hint="default"/>
      </w:rPr>
    </w:lvl>
  </w:abstractNum>
  <w:abstractNum w:abstractNumId="3">
    <w:nsid w:val="0BEF02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707DC8"/>
    <w:multiLevelType w:val="hybridMultilevel"/>
    <w:tmpl w:val="78B07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7E63FF"/>
    <w:multiLevelType w:val="hybridMultilevel"/>
    <w:tmpl w:val="FEDE2A32"/>
    <w:lvl w:ilvl="0" w:tplc="0484A49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27E1E"/>
    <w:multiLevelType w:val="multilevel"/>
    <w:tmpl w:val="43E2B5D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24771114"/>
    <w:multiLevelType w:val="hybridMultilevel"/>
    <w:tmpl w:val="BB6CBD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307925"/>
    <w:multiLevelType w:val="hybridMultilevel"/>
    <w:tmpl w:val="8398F8CC"/>
    <w:lvl w:ilvl="0" w:tplc="1048FB7C">
      <w:start w:val="1"/>
      <w:numFmt w:val="lowerLetter"/>
      <w:pStyle w:val="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33466"/>
    <w:multiLevelType w:val="multilevel"/>
    <w:tmpl w:val="E9D2E6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F87E18"/>
    <w:multiLevelType w:val="multilevel"/>
    <w:tmpl w:val="43E2B5D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38207318"/>
    <w:multiLevelType w:val="hybridMultilevel"/>
    <w:tmpl w:val="DCEE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9D551B6"/>
    <w:multiLevelType w:val="multilevel"/>
    <w:tmpl w:val="43E2B5D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nsid w:val="3B0D0F68"/>
    <w:multiLevelType w:val="hybridMultilevel"/>
    <w:tmpl w:val="65A8790C"/>
    <w:lvl w:ilvl="0" w:tplc="04405612">
      <w:start w:val="1"/>
      <w:numFmt w:val="decimal"/>
      <w:pStyle w:val="List"/>
      <w:lvlText w:val="%1."/>
      <w:lvlJc w:val="left"/>
      <w:pPr>
        <w:tabs>
          <w:tab w:val="num" w:pos="360"/>
        </w:tabs>
        <w:ind w:left="340" w:hanging="34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86418E"/>
    <w:multiLevelType w:val="multilevel"/>
    <w:tmpl w:val="81AC14A2"/>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4E8A56F5"/>
    <w:multiLevelType w:val="hybridMultilevel"/>
    <w:tmpl w:val="7422E1DC"/>
    <w:lvl w:ilvl="0" w:tplc="E9D079F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E2233F"/>
    <w:multiLevelType w:val="hybridMultilevel"/>
    <w:tmpl w:val="1F30F824"/>
    <w:lvl w:ilvl="0" w:tplc="A0601962">
      <w:start w:val="1"/>
      <w:numFmt w:val="decimal"/>
      <w:lvlText w:val="%1."/>
      <w:lvlJc w:val="left"/>
      <w:pPr>
        <w:ind w:left="36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467DCE"/>
    <w:multiLevelType w:val="multilevel"/>
    <w:tmpl w:val="1AD0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3D28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D3E4EEE"/>
    <w:multiLevelType w:val="hybridMultilevel"/>
    <w:tmpl w:val="6804E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8E48B6"/>
    <w:multiLevelType w:val="hybridMultilevel"/>
    <w:tmpl w:val="465E0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6F5A5D"/>
    <w:multiLevelType w:val="hybridMultilevel"/>
    <w:tmpl w:val="DC02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A2966"/>
    <w:multiLevelType w:val="hybridMultilevel"/>
    <w:tmpl w:val="2A94B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CA6BD9"/>
    <w:multiLevelType w:val="multilevel"/>
    <w:tmpl w:val="43E2B5D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nsid w:val="7B1C2B6A"/>
    <w:multiLevelType w:val="multilevel"/>
    <w:tmpl w:val="8BE8DB0E"/>
    <w:lvl w:ilvl="0">
      <w:start w:val="1"/>
      <w:numFmt w:val="decimal"/>
      <w:lvlText w:val="%1."/>
      <w:lvlJc w:val="left"/>
      <w:pPr>
        <w:ind w:left="502"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868" w:hanging="720"/>
      </w:pPr>
      <w:rPr>
        <w:rFonts w:hint="default"/>
      </w:rPr>
    </w:lvl>
    <w:lvl w:ilvl="3">
      <w:start w:val="1"/>
      <w:numFmt w:val="decimal"/>
      <w:isLgl/>
      <w:lvlText w:val="%1.%2.%3.%4"/>
      <w:lvlJc w:val="left"/>
      <w:pPr>
        <w:ind w:left="1231" w:hanging="1080"/>
      </w:pPr>
      <w:rPr>
        <w:rFonts w:hint="default"/>
      </w:rPr>
    </w:lvl>
    <w:lvl w:ilvl="4">
      <w:start w:val="1"/>
      <w:numFmt w:val="decimal"/>
      <w:isLgl/>
      <w:lvlText w:val="%1.%2.%3.%4.%5"/>
      <w:lvlJc w:val="left"/>
      <w:pPr>
        <w:ind w:left="1234" w:hanging="1080"/>
      </w:pPr>
      <w:rPr>
        <w:rFonts w:hint="default"/>
      </w:rPr>
    </w:lvl>
    <w:lvl w:ilvl="5">
      <w:start w:val="1"/>
      <w:numFmt w:val="decimal"/>
      <w:isLgl/>
      <w:lvlText w:val="%1.%2.%3.%4.%5.%6"/>
      <w:lvlJc w:val="left"/>
      <w:pPr>
        <w:ind w:left="1597" w:hanging="1440"/>
      </w:pPr>
      <w:rPr>
        <w:rFonts w:hint="default"/>
      </w:rPr>
    </w:lvl>
    <w:lvl w:ilvl="6">
      <w:start w:val="1"/>
      <w:numFmt w:val="decimal"/>
      <w:isLgl/>
      <w:lvlText w:val="%1.%2.%3.%4.%5.%6.%7"/>
      <w:lvlJc w:val="left"/>
      <w:pPr>
        <w:ind w:left="1600" w:hanging="1440"/>
      </w:pPr>
      <w:rPr>
        <w:rFonts w:hint="default"/>
      </w:rPr>
    </w:lvl>
    <w:lvl w:ilvl="7">
      <w:start w:val="1"/>
      <w:numFmt w:val="decimal"/>
      <w:isLgl/>
      <w:lvlText w:val="%1.%2.%3.%4.%5.%6.%7.%8"/>
      <w:lvlJc w:val="left"/>
      <w:pPr>
        <w:ind w:left="1963" w:hanging="1800"/>
      </w:pPr>
      <w:rPr>
        <w:rFonts w:hint="default"/>
      </w:rPr>
    </w:lvl>
    <w:lvl w:ilvl="8">
      <w:start w:val="1"/>
      <w:numFmt w:val="decimal"/>
      <w:isLgl/>
      <w:lvlText w:val="%1.%2.%3.%4.%5.%6.%7.%8.%9"/>
      <w:lvlJc w:val="left"/>
      <w:pPr>
        <w:ind w:left="1966" w:hanging="1800"/>
      </w:pPr>
      <w:rPr>
        <w:rFonts w:hint="default"/>
      </w:rPr>
    </w:lvl>
  </w:abstractNum>
  <w:abstractNum w:abstractNumId="25">
    <w:nsid w:val="7CA33F15"/>
    <w:multiLevelType w:val="hybridMultilevel"/>
    <w:tmpl w:val="82545EFC"/>
    <w:lvl w:ilvl="0" w:tplc="6BDAE4F4">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F40687"/>
    <w:multiLevelType w:val="multilevel"/>
    <w:tmpl w:val="2A52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6"/>
  </w:num>
  <w:num w:numId="4">
    <w:abstractNumId w:val="18"/>
  </w:num>
  <w:num w:numId="5">
    <w:abstractNumId w:val="5"/>
  </w:num>
  <w:num w:numId="6">
    <w:abstractNumId w:val="8"/>
  </w:num>
  <w:num w:numId="7">
    <w:abstractNumId w:val="25"/>
  </w:num>
  <w:num w:numId="8">
    <w:abstractNumId w:val="1"/>
  </w:num>
  <w:num w:numId="9">
    <w:abstractNumId w:val="13"/>
  </w:num>
  <w:num w:numId="10">
    <w:abstractNumId w:val="0"/>
  </w:num>
  <w:num w:numId="11">
    <w:abstractNumId w:val="7"/>
  </w:num>
  <w:num w:numId="12">
    <w:abstractNumId w:val="22"/>
  </w:num>
  <w:num w:numId="13">
    <w:abstractNumId w:val="6"/>
  </w:num>
  <w:num w:numId="14">
    <w:abstractNumId w:val="3"/>
  </w:num>
  <w:num w:numId="15">
    <w:abstractNumId w:val="23"/>
  </w:num>
  <w:num w:numId="16">
    <w:abstractNumId w:val="12"/>
  </w:num>
  <w:num w:numId="17">
    <w:abstractNumId w:val="10"/>
  </w:num>
  <w:num w:numId="18">
    <w:abstractNumId w:val="24"/>
    <w:lvlOverride w:ilvl="0">
      <w:startOverride w:val="4"/>
    </w:lvlOverride>
    <w:lvlOverride w:ilvl="1">
      <w:startOverride w:val="1"/>
    </w:lvlOverride>
  </w:num>
  <w:num w:numId="19">
    <w:abstractNumId w:val="2"/>
  </w:num>
  <w:num w:numId="20">
    <w:abstractNumId w:val="24"/>
  </w:num>
  <w:num w:numId="21">
    <w:abstractNumId w:val="14"/>
  </w:num>
  <w:num w:numId="22">
    <w:abstractNumId w:val="17"/>
  </w:num>
  <w:num w:numId="23">
    <w:abstractNumId w:val="26"/>
  </w:num>
  <w:num w:numId="24">
    <w:abstractNumId w:val="9"/>
  </w:num>
  <w:num w:numId="25">
    <w:abstractNumId w:val="11"/>
  </w:num>
  <w:num w:numId="26">
    <w:abstractNumId w:val="19"/>
  </w:num>
  <w:num w:numId="27">
    <w:abstractNumId w:val="15"/>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F6"/>
    <w:rsid w:val="000065E0"/>
    <w:rsid w:val="000104C7"/>
    <w:rsid w:val="00040B24"/>
    <w:rsid w:val="00052FF6"/>
    <w:rsid w:val="0007366C"/>
    <w:rsid w:val="00075A9F"/>
    <w:rsid w:val="000851C9"/>
    <w:rsid w:val="000854EF"/>
    <w:rsid w:val="00096C70"/>
    <w:rsid w:val="000A432A"/>
    <w:rsid w:val="000B0ACB"/>
    <w:rsid w:val="000B2798"/>
    <w:rsid w:val="000D6E4D"/>
    <w:rsid w:val="000E5015"/>
    <w:rsid w:val="000E60EC"/>
    <w:rsid w:val="000E6493"/>
    <w:rsid w:val="000E70DC"/>
    <w:rsid w:val="000F69CC"/>
    <w:rsid w:val="00122EBC"/>
    <w:rsid w:val="00123DA9"/>
    <w:rsid w:val="00124259"/>
    <w:rsid w:val="00130C87"/>
    <w:rsid w:val="0014064E"/>
    <w:rsid w:val="00147E0C"/>
    <w:rsid w:val="00147FB2"/>
    <w:rsid w:val="0015452A"/>
    <w:rsid w:val="00155EA6"/>
    <w:rsid w:val="0015764A"/>
    <w:rsid w:val="001602BC"/>
    <w:rsid w:val="001868BF"/>
    <w:rsid w:val="00195969"/>
    <w:rsid w:val="001A7B9B"/>
    <w:rsid w:val="001B3E37"/>
    <w:rsid w:val="001C739F"/>
    <w:rsid w:val="001C7DE4"/>
    <w:rsid w:val="001D4785"/>
    <w:rsid w:val="001F355F"/>
    <w:rsid w:val="001F5D91"/>
    <w:rsid w:val="00207527"/>
    <w:rsid w:val="00212035"/>
    <w:rsid w:val="00213583"/>
    <w:rsid w:val="002248F8"/>
    <w:rsid w:val="0024086F"/>
    <w:rsid w:val="0025438E"/>
    <w:rsid w:val="00255274"/>
    <w:rsid w:val="0026016E"/>
    <w:rsid w:val="00280ADD"/>
    <w:rsid w:val="00285608"/>
    <w:rsid w:val="002877B2"/>
    <w:rsid w:val="00290943"/>
    <w:rsid w:val="00292F2F"/>
    <w:rsid w:val="002A0667"/>
    <w:rsid w:val="002A0915"/>
    <w:rsid w:val="002A286B"/>
    <w:rsid w:val="002B2CDA"/>
    <w:rsid w:val="002B4266"/>
    <w:rsid w:val="002C49AD"/>
    <w:rsid w:val="002E5CD0"/>
    <w:rsid w:val="002F1913"/>
    <w:rsid w:val="00315815"/>
    <w:rsid w:val="00320CD9"/>
    <w:rsid w:val="00321716"/>
    <w:rsid w:val="0032218F"/>
    <w:rsid w:val="003373EF"/>
    <w:rsid w:val="003628F3"/>
    <w:rsid w:val="00365603"/>
    <w:rsid w:val="00365A67"/>
    <w:rsid w:val="00367ED8"/>
    <w:rsid w:val="0037512A"/>
    <w:rsid w:val="00385A68"/>
    <w:rsid w:val="00396AF8"/>
    <w:rsid w:val="003A1730"/>
    <w:rsid w:val="003A4E7E"/>
    <w:rsid w:val="003B10E0"/>
    <w:rsid w:val="003B3268"/>
    <w:rsid w:val="003C5937"/>
    <w:rsid w:val="003D6E5E"/>
    <w:rsid w:val="003E23D8"/>
    <w:rsid w:val="00406E77"/>
    <w:rsid w:val="00450CA2"/>
    <w:rsid w:val="00451C8B"/>
    <w:rsid w:val="00455655"/>
    <w:rsid w:val="00472B7F"/>
    <w:rsid w:val="0049277D"/>
    <w:rsid w:val="004A6FE3"/>
    <w:rsid w:val="004B74D3"/>
    <w:rsid w:val="004E5AC8"/>
    <w:rsid w:val="00501497"/>
    <w:rsid w:val="005046B7"/>
    <w:rsid w:val="00504872"/>
    <w:rsid w:val="00504F4D"/>
    <w:rsid w:val="005342B9"/>
    <w:rsid w:val="00541F3E"/>
    <w:rsid w:val="00545494"/>
    <w:rsid w:val="005604B7"/>
    <w:rsid w:val="0057739A"/>
    <w:rsid w:val="00585714"/>
    <w:rsid w:val="00594ED0"/>
    <w:rsid w:val="005A4DE0"/>
    <w:rsid w:val="005A6179"/>
    <w:rsid w:val="005C1B87"/>
    <w:rsid w:val="005C4522"/>
    <w:rsid w:val="005E3E98"/>
    <w:rsid w:val="005E73A0"/>
    <w:rsid w:val="0061051C"/>
    <w:rsid w:val="006243A4"/>
    <w:rsid w:val="00641585"/>
    <w:rsid w:val="0066370D"/>
    <w:rsid w:val="006720C0"/>
    <w:rsid w:val="006B458C"/>
    <w:rsid w:val="006B4D1F"/>
    <w:rsid w:val="006C085E"/>
    <w:rsid w:val="006C168A"/>
    <w:rsid w:val="006D21C6"/>
    <w:rsid w:val="006D46B8"/>
    <w:rsid w:val="006E1B4B"/>
    <w:rsid w:val="006F1270"/>
    <w:rsid w:val="00700CCE"/>
    <w:rsid w:val="00700E64"/>
    <w:rsid w:val="00701779"/>
    <w:rsid w:val="007256DE"/>
    <w:rsid w:val="007276A8"/>
    <w:rsid w:val="00733965"/>
    <w:rsid w:val="00754485"/>
    <w:rsid w:val="007564FA"/>
    <w:rsid w:val="00771175"/>
    <w:rsid w:val="007832BA"/>
    <w:rsid w:val="00787A3A"/>
    <w:rsid w:val="00796519"/>
    <w:rsid w:val="00796CE9"/>
    <w:rsid w:val="007A74AA"/>
    <w:rsid w:val="007B31EB"/>
    <w:rsid w:val="007B44D1"/>
    <w:rsid w:val="007B7CAB"/>
    <w:rsid w:val="007C06EA"/>
    <w:rsid w:val="007C4D70"/>
    <w:rsid w:val="007E47D1"/>
    <w:rsid w:val="008061AD"/>
    <w:rsid w:val="00822158"/>
    <w:rsid w:val="00843DC7"/>
    <w:rsid w:val="00845045"/>
    <w:rsid w:val="008459BA"/>
    <w:rsid w:val="0084748D"/>
    <w:rsid w:val="00876574"/>
    <w:rsid w:val="008806FA"/>
    <w:rsid w:val="0089101D"/>
    <w:rsid w:val="008A13A7"/>
    <w:rsid w:val="008D1BAC"/>
    <w:rsid w:val="008E7B02"/>
    <w:rsid w:val="009015F7"/>
    <w:rsid w:val="0090511B"/>
    <w:rsid w:val="00926786"/>
    <w:rsid w:val="009269CD"/>
    <w:rsid w:val="00927E9B"/>
    <w:rsid w:val="00930F5B"/>
    <w:rsid w:val="00947580"/>
    <w:rsid w:val="009528AA"/>
    <w:rsid w:val="00967A14"/>
    <w:rsid w:val="00982996"/>
    <w:rsid w:val="0098788B"/>
    <w:rsid w:val="00995B57"/>
    <w:rsid w:val="009B317A"/>
    <w:rsid w:val="009B7390"/>
    <w:rsid w:val="009C6D9C"/>
    <w:rsid w:val="009F477A"/>
    <w:rsid w:val="00A10CCB"/>
    <w:rsid w:val="00A176F7"/>
    <w:rsid w:val="00A37F60"/>
    <w:rsid w:val="00A478F9"/>
    <w:rsid w:val="00A47C4D"/>
    <w:rsid w:val="00A549FA"/>
    <w:rsid w:val="00A62829"/>
    <w:rsid w:val="00A65193"/>
    <w:rsid w:val="00A66B5F"/>
    <w:rsid w:val="00A67CBD"/>
    <w:rsid w:val="00A768C8"/>
    <w:rsid w:val="00A859A4"/>
    <w:rsid w:val="00AA708F"/>
    <w:rsid w:val="00AC6014"/>
    <w:rsid w:val="00AC6F77"/>
    <w:rsid w:val="00B05AD2"/>
    <w:rsid w:val="00B071BE"/>
    <w:rsid w:val="00B21941"/>
    <w:rsid w:val="00B55E49"/>
    <w:rsid w:val="00B61BEC"/>
    <w:rsid w:val="00B84D91"/>
    <w:rsid w:val="00BA1291"/>
    <w:rsid w:val="00BA4536"/>
    <w:rsid w:val="00BA50A7"/>
    <w:rsid w:val="00BB04B9"/>
    <w:rsid w:val="00BB22F6"/>
    <w:rsid w:val="00BC7E4E"/>
    <w:rsid w:val="00BE17CB"/>
    <w:rsid w:val="00BE43DF"/>
    <w:rsid w:val="00C022FF"/>
    <w:rsid w:val="00C0446F"/>
    <w:rsid w:val="00C15F64"/>
    <w:rsid w:val="00C168D8"/>
    <w:rsid w:val="00C202AF"/>
    <w:rsid w:val="00C26EBA"/>
    <w:rsid w:val="00C27254"/>
    <w:rsid w:val="00C30DA4"/>
    <w:rsid w:val="00C40B92"/>
    <w:rsid w:val="00C43356"/>
    <w:rsid w:val="00C70056"/>
    <w:rsid w:val="00C76783"/>
    <w:rsid w:val="00C82CD9"/>
    <w:rsid w:val="00C85CED"/>
    <w:rsid w:val="00C920F3"/>
    <w:rsid w:val="00C9230B"/>
    <w:rsid w:val="00C932C3"/>
    <w:rsid w:val="00CB663A"/>
    <w:rsid w:val="00CD1550"/>
    <w:rsid w:val="00CD2A74"/>
    <w:rsid w:val="00CE6A10"/>
    <w:rsid w:val="00D0128F"/>
    <w:rsid w:val="00D07DBE"/>
    <w:rsid w:val="00D10B65"/>
    <w:rsid w:val="00D33636"/>
    <w:rsid w:val="00D36A15"/>
    <w:rsid w:val="00D41697"/>
    <w:rsid w:val="00D72B85"/>
    <w:rsid w:val="00D92B0C"/>
    <w:rsid w:val="00D94276"/>
    <w:rsid w:val="00DA3DBA"/>
    <w:rsid w:val="00DC736D"/>
    <w:rsid w:val="00DD337F"/>
    <w:rsid w:val="00E017B2"/>
    <w:rsid w:val="00E026E2"/>
    <w:rsid w:val="00E55891"/>
    <w:rsid w:val="00E821B3"/>
    <w:rsid w:val="00E82480"/>
    <w:rsid w:val="00E87E86"/>
    <w:rsid w:val="00E9104E"/>
    <w:rsid w:val="00EA3F97"/>
    <w:rsid w:val="00EB13BE"/>
    <w:rsid w:val="00EC6D56"/>
    <w:rsid w:val="00ED60C8"/>
    <w:rsid w:val="00F066AC"/>
    <w:rsid w:val="00F226D5"/>
    <w:rsid w:val="00F35727"/>
    <w:rsid w:val="00F6750C"/>
    <w:rsid w:val="00F7532E"/>
    <w:rsid w:val="00F769A4"/>
    <w:rsid w:val="00F86AD4"/>
    <w:rsid w:val="00F9467F"/>
    <w:rsid w:val="00F976FA"/>
    <w:rsid w:val="00FA32B9"/>
    <w:rsid w:val="00FA334D"/>
    <w:rsid w:val="00FA4AE6"/>
    <w:rsid w:val="00FB787D"/>
    <w:rsid w:val="00FC5470"/>
    <w:rsid w:val="00FD4685"/>
    <w:rsid w:val="00FE36FE"/>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AF9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C6"/>
    <w:pPr>
      <w:spacing w:after="120" w:line="240" w:lineRule="auto"/>
      <w:jc w:val="both"/>
    </w:pPr>
    <w:rPr>
      <w:rFonts w:ascii="Arial" w:hAnsi="Arial"/>
    </w:rPr>
  </w:style>
  <w:style w:type="paragraph" w:styleId="Heading1">
    <w:name w:val="heading 1"/>
    <w:basedOn w:val="Normal"/>
    <w:next w:val="Normal"/>
    <w:link w:val="Heading1Char"/>
    <w:uiPriority w:val="9"/>
    <w:qFormat/>
    <w:rsid w:val="008A13A7"/>
    <w:pPr>
      <w:keepNext/>
      <w:keepLines/>
      <w:numPr>
        <w:numId w:val="21"/>
      </w:numPr>
      <w:spacing w:before="240"/>
      <w:jc w:val="left"/>
      <w:outlineLvl w:val="0"/>
    </w:pPr>
    <w:rPr>
      <w:rFonts w:eastAsiaTheme="majorEastAsia" w:cstheme="majorBidi"/>
      <w:b/>
      <w:caps/>
      <w:sz w:val="24"/>
      <w:szCs w:val="32"/>
    </w:rPr>
  </w:style>
  <w:style w:type="paragraph" w:styleId="Heading2">
    <w:name w:val="heading 2"/>
    <w:basedOn w:val="Heading1"/>
    <w:next w:val="Normal"/>
    <w:link w:val="Heading2Char"/>
    <w:uiPriority w:val="9"/>
    <w:unhideWhenUsed/>
    <w:qFormat/>
    <w:rsid w:val="001A7B9B"/>
    <w:pPr>
      <w:numPr>
        <w:ilvl w:val="1"/>
      </w:numPr>
      <w:spacing w:before="120"/>
      <w:outlineLvl w:val="1"/>
    </w:pPr>
    <w:rPr>
      <w:rFonts w:ascii="Arial Bold" w:hAnsi="Arial Bold"/>
      <w:sz w:val="22"/>
      <w:szCs w:val="26"/>
    </w:rPr>
  </w:style>
  <w:style w:type="paragraph" w:styleId="Heading3">
    <w:name w:val="heading 3"/>
    <w:basedOn w:val="Normal"/>
    <w:next w:val="Normal"/>
    <w:link w:val="Heading3Char"/>
    <w:uiPriority w:val="9"/>
    <w:unhideWhenUsed/>
    <w:qFormat/>
    <w:rsid w:val="00E821B3"/>
    <w:pPr>
      <w:keepNext/>
      <w:keepLines/>
      <w:spacing w:before="12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A6179"/>
    <w:pPr>
      <w:keepNext/>
      <w:keepLines/>
      <w:spacing w:before="120"/>
      <w:jc w:val="left"/>
      <w:outlineLvl w:val="3"/>
    </w:pPr>
    <w:rPr>
      <w:rFonts w:eastAsiaTheme="majorEastAsia" w:cstheme="majorBidi"/>
      <w:iCs/>
    </w:rPr>
  </w:style>
  <w:style w:type="paragraph" w:styleId="Heading5">
    <w:name w:val="heading 5"/>
    <w:basedOn w:val="Normal"/>
    <w:next w:val="Normal"/>
    <w:link w:val="Heading5Char"/>
    <w:uiPriority w:val="9"/>
    <w:unhideWhenUsed/>
    <w:qFormat/>
    <w:rsid w:val="005A6179"/>
    <w:pPr>
      <w:keepNext/>
      <w:keepLines/>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5A617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A4AE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A4AE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4AE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085E"/>
    <w:pPr>
      <w:spacing w:before="240"/>
      <w:contextualSpacing/>
      <w:jc w:val="center"/>
    </w:pPr>
    <w:rPr>
      <w:rFonts w:ascii="Arial Black" w:eastAsiaTheme="majorEastAsia" w:hAnsi="Arial Black" w:cstheme="majorBidi"/>
      <w:caps/>
      <w:spacing w:val="-10"/>
      <w:kern w:val="28"/>
      <w:sz w:val="44"/>
      <w:szCs w:val="56"/>
    </w:rPr>
  </w:style>
  <w:style w:type="character" w:customStyle="1" w:styleId="TitleChar">
    <w:name w:val="Title Char"/>
    <w:basedOn w:val="DefaultParagraphFont"/>
    <w:link w:val="Title"/>
    <w:rsid w:val="006C085E"/>
    <w:rPr>
      <w:rFonts w:ascii="Arial Black" w:eastAsiaTheme="majorEastAsia" w:hAnsi="Arial Black" w:cstheme="majorBidi"/>
      <w:caps/>
      <w:spacing w:val="-10"/>
      <w:kern w:val="28"/>
      <w:sz w:val="44"/>
      <w:szCs w:val="56"/>
    </w:rPr>
  </w:style>
  <w:style w:type="paragraph" w:styleId="Subtitle">
    <w:name w:val="Subtitle"/>
    <w:basedOn w:val="Normal"/>
    <w:next w:val="Normal"/>
    <w:link w:val="SubtitleChar"/>
    <w:qFormat/>
    <w:rsid w:val="006C085E"/>
    <w:pPr>
      <w:numPr>
        <w:ilvl w:val="1"/>
      </w:numPr>
      <w:spacing w:before="120"/>
      <w:jc w:val="center"/>
    </w:pPr>
    <w:rPr>
      <w:rFonts w:eastAsiaTheme="minorEastAsia"/>
      <w:b/>
      <w:spacing w:val="15"/>
      <w:sz w:val="28"/>
    </w:rPr>
  </w:style>
  <w:style w:type="character" w:customStyle="1" w:styleId="SubtitleChar">
    <w:name w:val="Subtitle Char"/>
    <w:basedOn w:val="DefaultParagraphFont"/>
    <w:link w:val="Subtitle"/>
    <w:rsid w:val="006C085E"/>
    <w:rPr>
      <w:rFonts w:ascii="Arial" w:eastAsiaTheme="minorEastAsia" w:hAnsi="Arial"/>
      <w:b/>
      <w:spacing w:val="15"/>
      <w:sz w:val="28"/>
    </w:rPr>
  </w:style>
  <w:style w:type="paragraph" w:customStyle="1" w:styleId="subtitle2">
    <w:name w:val="subtitle2"/>
    <w:basedOn w:val="Normal"/>
    <w:qFormat/>
    <w:rsid w:val="006C085E"/>
    <w:pPr>
      <w:spacing w:before="120"/>
      <w:jc w:val="center"/>
    </w:pPr>
    <w:rPr>
      <w:b/>
      <w:caps/>
      <w:sz w:val="28"/>
    </w:rPr>
  </w:style>
  <w:style w:type="character" w:customStyle="1" w:styleId="Heading1Char">
    <w:name w:val="Heading 1 Char"/>
    <w:basedOn w:val="DefaultParagraphFont"/>
    <w:link w:val="Heading1"/>
    <w:uiPriority w:val="9"/>
    <w:rsid w:val="008A13A7"/>
    <w:rPr>
      <w:rFonts w:ascii="Arial" w:eastAsiaTheme="majorEastAsia" w:hAnsi="Arial" w:cstheme="majorBidi"/>
      <w:b/>
      <w:caps/>
      <w:sz w:val="24"/>
      <w:szCs w:val="32"/>
    </w:rPr>
  </w:style>
  <w:style w:type="paragraph" w:styleId="ListParagraph">
    <w:name w:val="List Paragraph"/>
    <w:basedOn w:val="Normal"/>
    <w:uiPriority w:val="34"/>
    <w:qFormat/>
    <w:rsid w:val="006C085E"/>
    <w:pPr>
      <w:ind w:left="720"/>
      <w:contextualSpacing/>
    </w:pPr>
  </w:style>
  <w:style w:type="character" w:customStyle="1" w:styleId="Heading2Char">
    <w:name w:val="Heading 2 Char"/>
    <w:basedOn w:val="DefaultParagraphFont"/>
    <w:link w:val="Heading2"/>
    <w:uiPriority w:val="9"/>
    <w:rsid w:val="001A7B9B"/>
    <w:rPr>
      <w:rFonts w:ascii="Arial Bold" w:eastAsiaTheme="majorEastAsia" w:hAnsi="Arial Bold" w:cstheme="majorBidi"/>
      <w:b/>
      <w:caps/>
      <w:szCs w:val="26"/>
    </w:rPr>
  </w:style>
  <w:style w:type="character" w:customStyle="1" w:styleId="Heading3Char">
    <w:name w:val="Heading 3 Char"/>
    <w:basedOn w:val="DefaultParagraphFont"/>
    <w:link w:val="Heading3"/>
    <w:uiPriority w:val="9"/>
    <w:rsid w:val="00754485"/>
    <w:rPr>
      <w:rFonts w:ascii="Arial" w:eastAsiaTheme="majorEastAsia" w:hAnsi="Arial" w:cstheme="majorBidi"/>
      <w:b/>
      <w:szCs w:val="24"/>
    </w:rPr>
  </w:style>
  <w:style w:type="character" w:customStyle="1" w:styleId="Heading4Char">
    <w:name w:val="Heading 4 Char"/>
    <w:basedOn w:val="DefaultParagraphFont"/>
    <w:link w:val="Heading4"/>
    <w:uiPriority w:val="9"/>
    <w:rsid w:val="00754485"/>
    <w:rPr>
      <w:rFonts w:ascii="Arial" w:eastAsiaTheme="majorEastAsia" w:hAnsi="Arial" w:cstheme="majorBidi"/>
      <w:iCs/>
    </w:rPr>
  </w:style>
  <w:style w:type="character" w:customStyle="1" w:styleId="Heading5Char">
    <w:name w:val="Heading 5 Char"/>
    <w:basedOn w:val="DefaultParagraphFont"/>
    <w:link w:val="Heading5"/>
    <w:uiPriority w:val="9"/>
    <w:rsid w:val="00754485"/>
    <w:rPr>
      <w:rFonts w:ascii="Arial" w:eastAsiaTheme="majorEastAsia" w:hAnsi="Arial" w:cstheme="majorBidi"/>
      <w:i/>
    </w:rPr>
  </w:style>
  <w:style w:type="paragraph" w:customStyle="1" w:styleId="Bulletlist">
    <w:name w:val="Bullet list"/>
    <w:basedOn w:val="Normal"/>
    <w:qFormat/>
    <w:rsid w:val="00754485"/>
    <w:pPr>
      <w:numPr>
        <w:numId w:val="5"/>
      </w:numPr>
      <w:tabs>
        <w:tab w:val="left" w:pos="357"/>
      </w:tabs>
      <w:ind w:left="357" w:hanging="357"/>
    </w:pPr>
  </w:style>
  <w:style w:type="paragraph" w:customStyle="1" w:styleId="letterlist">
    <w:name w:val="letter list"/>
    <w:basedOn w:val="Normal"/>
    <w:qFormat/>
    <w:rsid w:val="00A66B5F"/>
    <w:pPr>
      <w:numPr>
        <w:numId w:val="6"/>
      </w:numPr>
      <w:ind w:left="357" w:hanging="357"/>
    </w:pPr>
  </w:style>
  <w:style w:type="paragraph" w:customStyle="1" w:styleId="numberlist">
    <w:name w:val="number list"/>
    <w:basedOn w:val="Bulletlist"/>
    <w:rsid w:val="00A66B5F"/>
    <w:pPr>
      <w:numPr>
        <w:numId w:val="7"/>
      </w:numPr>
      <w:ind w:left="357" w:hanging="357"/>
    </w:pPr>
  </w:style>
  <w:style w:type="paragraph" w:styleId="ListBullet">
    <w:name w:val="List Bullet"/>
    <w:basedOn w:val="Normal"/>
    <w:autoRedefine/>
    <w:rsid w:val="00D92B0C"/>
    <w:pPr>
      <w:numPr>
        <w:numId w:val="8"/>
      </w:numPr>
      <w:spacing w:after="60"/>
    </w:pPr>
    <w:rPr>
      <w:rFonts w:eastAsia="Times New Roman" w:cs="Times New Roman"/>
      <w:szCs w:val="20"/>
      <w:lang w:val="en-AU"/>
    </w:rPr>
  </w:style>
  <w:style w:type="paragraph" w:styleId="List">
    <w:name w:val="List"/>
    <w:basedOn w:val="Normal"/>
    <w:rsid w:val="00D92B0C"/>
    <w:pPr>
      <w:keepNext/>
      <w:numPr>
        <w:numId w:val="9"/>
      </w:numPr>
      <w:spacing w:after="60"/>
      <w:jc w:val="left"/>
    </w:pPr>
    <w:rPr>
      <w:rFonts w:eastAsia="Times New Roman" w:cs="Times New Roman"/>
      <w:szCs w:val="20"/>
      <w:lang w:val="en-AU"/>
    </w:rPr>
  </w:style>
  <w:style w:type="paragraph" w:styleId="ListNumber">
    <w:name w:val="List Number"/>
    <w:basedOn w:val="Normal"/>
    <w:rsid w:val="00D92B0C"/>
    <w:pPr>
      <w:keepNext/>
      <w:keepLines/>
      <w:numPr>
        <w:numId w:val="10"/>
      </w:numPr>
    </w:pPr>
    <w:rPr>
      <w:rFonts w:eastAsia="Times New Roman" w:cs="Times New Roman"/>
      <w:szCs w:val="20"/>
      <w:lang w:val="en-AU"/>
    </w:rPr>
  </w:style>
  <w:style w:type="paragraph" w:styleId="BodyText">
    <w:name w:val="Body Text"/>
    <w:basedOn w:val="Normal"/>
    <w:link w:val="BodyTextChar"/>
    <w:uiPriority w:val="1"/>
    <w:qFormat/>
    <w:rsid w:val="00D92B0C"/>
    <w:pPr>
      <w:spacing w:after="60"/>
      <w:jc w:val="left"/>
    </w:pPr>
    <w:rPr>
      <w:rFonts w:eastAsia="Times New Roman" w:cs="Times New Roman"/>
      <w:szCs w:val="20"/>
      <w:lang w:val="en-AU"/>
    </w:rPr>
  </w:style>
  <w:style w:type="character" w:customStyle="1" w:styleId="BodyTextChar">
    <w:name w:val="Body Text Char"/>
    <w:basedOn w:val="DefaultParagraphFont"/>
    <w:link w:val="BodyText"/>
    <w:uiPriority w:val="1"/>
    <w:rsid w:val="00D92B0C"/>
    <w:rPr>
      <w:rFonts w:ascii="Arial" w:eastAsia="Times New Roman" w:hAnsi="Arial" w:cs="Times New Roman"/>
      <w:szCs w:val="20"/>
      <w:lang w:val="en-AU"/>
    </w:rPr>
  </w:style>
  <w:style w:type="paragraph" w:customStyle="1" w:styleId="blacktriangle">
    <w:name w:val="black triangle"/>
    <w:basedOn w:val="Heading1"/>
    <w:qFormat/>
    <w:rsid w:val="001A7B9B"/>
    <w:pPr>
      <w:numPr>
        <w:numId w:val="0"/>
      </w:numPr>
    </w:pPr>
    <w:rPr>
      <w:rFonts w:ascii="Arial Bold" w:hAnsi="Arial Bold"/>
    </w:rPr>
  </w:style>
  <w:style w:type="paragraph" w:customStyle="1" w:styleId="Default">
    <w:name w:val="Default"/>
    <w:rsid w:val="008A13A7"/>
    <w:pPr>
      <w:autoSpaceDE w:val="0"/>
      <w:autoSpaceDN w:val="0"/>
      <w:adjustRightInd w:val="0"/>
      <w:spacing w:after="0" w:line="240" w:lineRule="auto"/>
    </w:pPr>
    <w:rPr>
      <w:rFonts w:ascii="Cambria" w:hAnsi="Cambria" w:cs="Cambria"/>
      <w:color w:val="000000"/>
      <w:sz w:val="24"/>
      <w:szCs w:val="24"/>
    </w:rPr>
  </w:style>
  <w:style w:type="paragraph" w:customStyle="1" w:styleId="PIEXPLAIN">
    <w:name w:val="PI EXPLAIN"/>
    <w:basedOn w:val="Normal"/>
    <w:rsid w:val="00BA1291"/>
    <w:pPr>
      <w:tabs>
        <w:tab w:val="left" w:pos="-720"/>
      </w:tabs>
      <w:suppressAutoHyphens/>
      <w:spacing w:before="20" w:after="80"/>
      <w:jc w:val="left"/>
    </w:pPr>
    <w:rPr>
      <w:rFonts w:eastAsia="Times New Roman" w:cs="Times New Roman"/>
      <w:spacing w:val="-2"/>
      <w:szCs w:val="20"/>
      <w:lang w:val="en-AU"/>
    </w:rPr>
  </w:style>
  <w:style w:type="paragraph" w:styleId="Header">
    <w:name w:val="header"/>
    <w:basedOn w:val="Normal"/>
    <w:link w:val="HeaderChar"/>
    <w:uiPriority w:val="99"/>
    <w:unhideWhenUsed/>
    <w:rsid w:val="00BA1291"/>
    <w:pPr>
      <w:tabs>
        <w:tab w:val="center" w:pos="4680"/>
        <w:tab w:val="right" w:pos="9360"/>
      </w:tabs>
      <w:spacing w:after="0"/>
    </w:pPr>
  </w:style>
  <w:style w:type="character" w:customStyle="1" w:styleId="HeaderChar">
    <w:name w:val="Header Char"/>
    <w:basedOn w:val="DefaultParagraphFont"/>
    <w:link w:val="Header"/>
    <w:uiPriority w:val="99"/>
    <w:rsid w:val="00BA1291"/>
    <w:rPr>
      <w:rFonts w:ascii="Arial" w:hAnsi="Arial"/>
    </w:rPr>
  </w:style>
  <w:style w:type="paragraph" w:styleId="Footer">
    <w:name w:val="footer"/>
    <w:basedOn w:val="Normal"/>
    <w:link w:val="FooterChar"/>
    <w:unhideWhenUsed/>
    <w:rsid w:val="005A6179"/>
    <w:pPr>
      <w:tabs>
        <w:tab w:val="center" w:pos="4680"/>
        <w:tab w:val="right" w:pos="9360"/>
      </w:tabs>
      <w:spacing w:after="0"/>
    </w:pPr>
    <w:rPr>
      <w:sz w:val="18"/>
    </w:rPr>
  </w:style>
  <w:style w:type="character" w:customStyle="1" w:styleId="FooterChar">
    <w:name w:val="Footer Char"/>
    <w:basedOn w:val="DefaultParagraphFont"/>
    <w:link w:val="Footer"/>
    <w:rsid w:val="005A6179"/>
    <w:rPr>
      <w:rFonts w:ascii="Arial" w:hAnsi="Arial"/>
      <w:sz w:val="18"/>
    </w:rPr>
  </w:style>
  <w:style w:type="character" w:styleId="PageNumber">
    <w:name w:val="page number"/>
    <w:basedOn w:val="DefaultParagraphFont"/>
    <w:rsid w:val="0066370D"/>
  </w:style>
  <w:style w:type="character" w:customStyle="1" w:styleId="Heading6Char">
    <w:name w:val="Heading 6 Char"/>
    <w:basedOn w:val="DefaultParagraphFont"/>
    <w:link w:val="Heading6"/>
    <w:uiPriority w:val="9"/>
    <w:semiHidden/>
    <w:rsid w:val="00FA4A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A4A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A4A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4AE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82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59BA"/>
    <w:pPr>
      <w:spacing w:before="100" w:beforeAutospacing="1" w:after="100" w:afterAutospacing="1"/>
      <w:jc w:val="left"/>
    </w:pPr>
    <w:rPr>
      <w:rFonts w:ascii="Times New Roman" w:eastAsia="Times New Roman" w:hAnsi="Times New Roman" w:cs="Times New Roman"/>
      <w:sz w:val="24"/>
      <w:szCs w:val="24"/>
      <w:lang w:val="en-AU" w:eastAsia="en-AU"/>
    </w:rPr>
  </w:style>
  <w:style w:type="character" w:customStyle="1" w:styleId="pubtitle">
    <w:name w:val="pubtitle"/>
    <w:basedOn w:val="DefaultParagraphFont"/>
    <w:rsid w:val="008459BA"/>
  </w:style>
  <w:style w:type="paragraph" w:customStyle="1" w:styleId="Normaltext">
    <w:name w:val="Normal text"/>
    <w:basedOn w:val="Normal"/>
    <w:link w:val="NormaltextChar"/>
    <w:qFormat/>
    <w:rsid w:val="00C40B92"/>
    <w:pPr>
      <w:spacing w:after="0"/>
    </w:pPr>
    <w:rPr>
      <w:rFonts w:eastAsia="Times New Roman" w:cs="Arial"/>
      <w:szCs w:val="24"/>
      <w:lang w:val="en-AU" w:eastAsia="en-AU"/>
    </w:rPr>
  </w:style>
  <w:style w:type="character" w:customStyle="1" w:styleId="NormaltextChar">
    <w:name w:val="Normal text Char"/>
    <w:basedOn w:val="DefaultParagraphFont"/>
    <w:link w:val="Normaltext"/>
    <w:rsid w:val="00C40B92"/>
    <w:rPr>
      <w:rFonts w:ascii="Arial" w:eastAsia="Times New Roman" w:hAnsi="Arial" w:cs="Arial"/>
      <w:szCs w:val="24"/>
      <w:lang w:val="en-AU" w:eastAsia="en-AU"/>
    </w:rPr>
  </w:style>
  <w:style w:type="paragraph" w:customStyle="1" w:styleId="BodyText1">
    <w:name w:val="Body Text1"/>
    <w:basedOn w:val="Normal"/>
    <w:qFormat/>
    <w:rsid w:val="00320CD9"/>
    <w:pPr>
      <w:spacing w:before="60"/>
    </w:pPr>
    <w:rPr>
      <w:rFonts w:cs="Times New Roman"/>
      <w:szCs w:val="20"/>
      <w:lang w:val="en-AU"/>
    </w:rPr>
  </w:style>
  <w:style w:type="character" w:styleId="CommentReference">
    <w:name w:val="annotation reference"/>
    <w:basedOn w:val="DefaultParagraphFont"/>
    <w:unhideWhenUsed/>
    <w:rsid w:val="00320CD9"/>
    <w:rPr>
      <w:sz w:val="16"/>
      <w:szCs w:val="16"/>
    </w:rPr>
  </w:style>
  <w:style w:type="paragraph" w:styleId="CommentText">
    <w:name w:val="annotation text"/>
    <w:basedOn w:val="Normal"/>
    <w:link w:val="CommentTextChar"/>
    <w:unhideWhenUsed/>
    <w:rsid w:val="00320CD9"/>
    <w:pPr>
      <w:spacing w:after="0"/>
      <w:jc w:val="left"/>
    </w:pPr>
    <w:rPr>
      <w:rFonts w:cs="Arial"/>
      <w:sz w:val="20"/>
      <w:szCs w:val="20"/>
      <w:lang w:val="en-AU"/>
    </w:rPr>
  </w:style>
  <w:style w:type="character" w:customStyle="1" w:styleId="CommentTextChar">
    <w:name w:val="Comment Text Char"/>
    <w:basedOn w:val="DefaultParagraphFont"/>
    <w:link w:val="CommentText"/>
    <w:rsid w:val="00320CD9"/>
    <w:rPr>
      <w:rFonts w:ascii="Arial" w:hAnsi="Arial" w:cs="Arial"/>
      <w:sz w:val="20"/>
      <w:szCs w:val="20"/>
      <w:lang w:val="en-AU"/>
    </w:rPr>
  </w:style>
  <w:style w:type="paragraph" w:styleId="BalloonText">
    <w:name w:val="Balloon Text"/>
    <w:basedOn w:val="Normal"/>
    <w:link w:val="BalloonTextChar"/>
    <w:uiPriority w:val="99"/>
    <w:semiHidden/>
    <w:unhideWhenUsed/>
    <w:rsid w:val="00320C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CD9"/>
    <w:rPr>
      <w:rFonts w:ascii="Segoe UI" w:hAnsi="Segoe UI" w:cs="Segoe UI"/>
      <w:sz w:val="18"/>
      <w:szCs w:val="18"/>
    </w:rPr>
  </w:style>
  <w:style w:type="paragraph" w:customStyle="1" w:styleId="TableNote">
    <w:name w:val="TableNote"/>
    <w:qFormat/>
    <w:rsid w:val="007256DE"/>
    <w:pPr>
      <w:keepNext/>
      <w:keepLines/>
      <w:tabs>
        <w:tab w:val="left" w:pos="187"/>
        <w:tab w:val="left" w:pos="1440"/>
      </w:tabs>
      <w:spacing w:after="0" w:line="240" w:lineRule="auto"/>
      <w:ind w:left="187" w:hanging="187"/>
    </w:pPr>
    <w:rPr>
      <w:rFonts w:ascii="Times New Roman" w:eastAsia="Times New Roman" w:hAnsi="Times New Roman" w:cs="Times New Roman"/>
      <w:sz w:val="20"/>
      <w:szCs w:val="20"/>
    </w:rPr>
  </w:style>
  <w:style w:type="paragraph" w:customStyle="1" w:styleId="TableText">
    <w:name w:val="Table Text"/>
    <w:link w:val="TableTextChar"/>
    <w:qFormat/>
    <w:rsid w:val="007256DE"/>
    <w:pPr>
      <w:tabs>
        <w:tab w:val="left" w:pos="288"/>
        <w:tab w:val="left" w:pos="576"/>
        <w:tab w:val="left" w:pos="864"/>
      </w:tabs>
      <w:spacing w:after="0" w:line="240" w:lineRule="auto"/>
    </w:pPr>
    <w:rPr>
      <w:rFonts w:ascii="Times New Roman" w:eastAsia="Times New Roman" w:hAnsi="Times New Roman" w:cs="Times New Roman"/>
      <w:sz w:val="20"/>
      <w:szCs w:val="20"/>
    </w:rPr>
  </w:style>
  <w:style w:type="character" w:customStyle="1" w:styleId="TableTextChar">
    <w:name w:val="Table Text Char"/>
    <w:link w:val="TableText"/>
    <w:locked/>
    <w:rsid w:val="007256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6FE3"/>
    <w:pPr>
      <w:spacing w:after="120"/>
      <w:jc w:val="both"/>
    </w:pPr>
    <w:rPr>
      <w:rFonts w:cstheme="minorBidi"/>
      <w:b/>
      <w:bCs/>
      <w:lang w:val="en-US"/>
    </w:rPr>
  </w:style>
  <w:style w:type="character" w:customStyle="1" w:styleId="CommentSubjectChar">
    <w:name w:val="Comment Subject Char"/>
    <w:basedOn w:val="CommentTextChar"/>
    <w:link w:val="CommentSubject"/>
    <w:uiPriority w:val="99"/>
    <w:semiHidden/>
    <w:rsid w:val="004A6FE3"/>
    <w:rPr>
      <w:rFonts w:ascii="Arial" w:hAnsi="Arial" w:cs="Arial"/>
      <w:b/>
      <w:bCs/>
      <w:sz w:val="20"/>
      <w:szCs w:val="20"/>
      <w:lang w:val="en-AU"/>
    </w:rPr>
  </w:style>
  <w:style w:type="character" w:styleId="Hyperlink">
    <w:name w:val="Hyperlink"/>
    <w:basedOn w:val="DefaultParagraphFont"/>
    <w:uiPriority w:val="99"/>
    <w:unhideWhenUsed/>
    <w:rsid w:val="00396AF8"/>
    <w:rPr>
      <w:color w:val="0000FF"/>
      <w:u w:val="single"/>
    </w:rPr>
  </w:style>
  <w:style w:type="paragraph" w:customStyle="1" w:styleId="TableParagraph">
    <w:name w:val="Table Paragraph"/>
    <w:basedOn w:val="Normal"/>
    <w:uiPriority w:val="1"/>
    <w:qFormat/>
    <w:rsid w:val="00F35727"/>
    <w:pPr>
      <w:autoSpaceDE w:val="0"/>
      <w:autoSpaceDN w:val="0"/>
      <w:adjustRightInd w:val="0"/>
      <w:spacing w:after="0"/>
      <w:jc w:val="left"/>
    </w:pPr>
    <w:rPr>
      <w:rFonts w:ascii="Times New Roman" w:hAnsi="Times New Roman" w:cs="Times New Roman"/>
      <w:sz w:val="24"/>
      <w:szCs w:val="24"/>
      <w:lang w:val="en-AU"/>
    </w:rPr>
  </w:style>
  <w:style w:type="paragraph" w:styleId="Revision">
    <w:name w:val="Revision"/>
    <w:hidden/>
    <w:uiPriority w:val="99"/>
    <w:semiHidden/>
    <w:rsid w:val="002B2CDA"/>
    <w:pPr>
      <w:spacing w:after="0" w:line="240" w:lineRule="auto"/>
    </w:pPr>
    <w:rPr>
      <w:rFonts w:ascii="Arial" w:hAnsi="Arial"/>
    </w:rPr>
  </w:style>
  <w:style w:type="character" w:customStyle="1" w:styleId="UnresolvedMention">
    <w:name w:val="Unresolved Mention"/>
    <w:basedOn w:val="DefaultParagraphFont"/>
    <w:uiPriority w:val="99"/>
    <w:semiHidden/>
    <w:unhideWhenUsed/>
    <w:rsid w:val="00122EB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C6"/>
    <w:pPr>
      <w:spacing w:after="120" w:line="240" w:lineRule="auto"/>
      <w:jc w:val="both"/>
    </w:pPr>
    <w:rPr>
      <w:rFonts w:ascii="Arial" w:hAnsi="Arial"/>
    </w:rPr>
  </w:style>
  <w:style w:type="paragraph" w:styleId="Heading1">
    <w:name w:val="heading 1"/>
    <w:basedOn w:val="Normal"/>
    <w:next w:val="Normal"/>
    <w:link w:val="Heading1Char"/>
    <w:uiPriority w:val="9"/>
    <w:qFormat/>
    <w:rsid w:val="008A13A7"/>
    <w:pPr>
      <w:keepNext/>
      <w:keepLines/>
      <w:numPr>
        <w:numId w:val="21"/>
      </w:numPr>
      <w:spacing w:before="240"/>
      <w:jc w:val="left"/>
      <w:outlineLvl w:val="0"/>
    </w:pPr>
    <w:rPr>
      <w:rFonts w:eastAsiaTheme="majorEastAsia" w:cstheme="majorBidi"/>
      <w:b/>
      <w:caps/>
      <w:sz w:val="24"/>
      <w:szCs w:val="32"/>
    </w:rPr>
  </w:style>
  <w:style w:type="paragraph" w:styleId="Heading2">
    <w:name w:val="heading 2"/>
    <w:basedOn w:val="Heading1"/>
    <w:next w:val="Normal"/>
    <w:link w:val="Heading2Char"/>
    <w:uiPriority w:val="9"/>
    <w:unhideWhenUsed/>
    <w:qFormat/>
    <w:rsid w:val="001A7B9B"/>
    <w:pPr>
      <w:numPr>
        <w:ilvl w:val="1"/>
      </w:numPr>
      <w:spacing w:before="120"/>
      <w:outlineLvl w:val="1"/>
    </w:pPr>
    <w:rPr>
      <w:rFonts w:ascii="Arial Bold" w:hAnsi="Arial Bold"/>
      <w:sz w:val="22"/>
      <w:szCs w:val="26"/>
    </w:rPr>
  </w:style>
  <w:style w:type="paragraph" w:styleId="Heading3">
    <w:name w:val="heading 3"/>
    <w:basedOn w:val="Normal"/>
    <w:next w:val="Normal"/>
    <w:link w:val="Heading3Char"/>
    <w:uiPriority w:val="9"/>
    <w:unhideWhenUsed/>
    <w:qFormat/>
    <w:rsid w:val="00E821B3"/>
    <w:pPr>
      <w:keepNext/>
      <w:keepLines/>
      <w:spacing w:before="12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A6179"/>
    <w:pPr>
      <w:keepNext/>
      <w:keepLines/>
      <w:spacing w:before="120"/>
      <w:jc w:val="left"/>
      <w:outlineLvl w:val="3"/>
    </w:pPr>
    <w:rPr>
      <w:rFonts w:eastAsiaTheme="majorEastAsia" w:cstheme="majorBidi"/>
      <w:iCs/>
    </w:rPr>
  </w:style>
  <w:style w:type="paragraph" w:styleId="Heading5">
    <w:name w:val="heading 5"/>
    <w:basedOn w:val="Normal"/>
    <w:next w:val="Normal"/>
    <w:link w:val="Heading5Char"/>
    <w:uiPriority w:val="9"/>
    <w:unhideWhenUsed/>
    <w:qFormat/>
    <w:rsid w:val="005A6179"/>
    <w:pPr>
      <w:keepNext/>
      <w:keepLines/>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5A617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A4AE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A4AE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4AE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085E"/>
    <w:pPr>
      <w:spacing w:before="240"/>
      <w:contextualSpacing/>
      <w:jc w:val="center"/>
    </w:pPr>
    <w:rPr>
      <w:rFonts w:ascii="Arial Black" w:eastAsiaTheme="majorEastAsia" w:hAnsi="Arial Black" w:cstheme="majorBidi"/>
      <w:caps/>
      <w:spacing w:val="-10"/>
      <w:kern w:val="28"/>
      <w:sz w:val="44"/>
      <w:szCs w:val="56"/>
    </w:rPr>
  </w:style>
  <w:style w:type="character" w:customStyle="1" w:styleId="TitleChar">
    <w:name w:val="Title Char"/>
    <w:basedOn w:val="DefaultParagraphFont"/>
    <w:link w:val="Title"/>
    <w:rsid w:val="006C085E"/>
    <w:rPr>
      <w:rFonts w:ascii="Arial Black" w:eastAsiaTheme="majorEastAsia" w:hAnsi="Arial Black" w:cstheme="majorBidi"/>
      <w:caps/>
      <w:spacing w:val="-10"/>
      <w:kern w:val="28"/>
      <w:sz w:val="44"/>
      <w:szCs w:val="56"/>
    </w:rPr>
  </w:style>
  <w:style w:type="paragraph" w:styleId="Subtitle">
    <w:name w:val="Subtitle"/>
    <w:basedOn w:val="Normal"/>
    <w:next w:val="Normal"/>
    <w:link w:val="SubtitleChar"/>
    <w:qFormat/>
    <w:rsid w:val="006C085E"/>
    <w:pPr>
      <w:numPr>
        <w:ilvl w:val="1"/>
      </w:numPr>
      <w:spacing w:before="120"/>
      <w:jc w:val="center"/>
    </w:pPr>
    <w:rPr>
      <w:rFonts w:eastAsiaTheme="minorEastAsia"/>
      <w:b/>
      <w:spacing w:val="15"/>
      <w:sz w:val="28"/>
    </w:rPr>
  </w:style>
  <w:style w:type="character" w:customStyle="1" w:styleId="SubtitleChar">
    <w:name w:val="Subtitle Char"/>
    <w:basedOn w:val="DefaultParagraphFont"/>
    <w:link w:val="Subtitle"/>
    <w:rsid w:val="006C085E"/>
    <w:rPr>
      <w:rFonts w:ascii="Arial" w:eastAsiaTheme="minorEastAsia" w:hAnsi="Arial"/>
      <w:b/>
      <w:spacing w:val="15"/>
      <w:sz w:val="28"/>
    </w:rPr>
  </w:style>
  <w:style w:type="paragraph" w:customStyle="1" w:styleId="subtitle2">
    <w:name w:val="subtitle2"/>
    <w:basedOn w:val="Normal"/>
    <w:qFormat/>
    <w:rsid w:val="006C085E"/>
    <w:pPr>
      <w:spacing w:before="120"/>
      <w:jc w:val="center"/>
    </w:pPr>
    <w:rPr>
      <w:b/>
      <w:caps/>
      <w:sz w:val="28"/>
    </w:rPr>
  </w:style>
  <w:style w:type="character" w:customStyle="1" w:styleId="Heading1Char">
    <w:name w:val="Heading 1 Char"/>
    <w:basedOn w:val="DefaultParagraphFont"/>
    <w:link w:val="Heading1"/>
    <w:uiPriority w:val="9"/>
    <w:rsid w:val="008A13A7"/>
    <w:rPr>
      <w:rFonts w:ascii="Arial" w:eastAsiaTheme="majorEastAsia" w:hAnsi="Arial" w:cstheme="majorBidi"/>
      <w:b/>
      <w:caps/>
      <w:sz w:val="24"/>
      <w:szCs w:val="32"/>
    </w:rPr>
  </w:style>
  <w:style w:type="paragraph" w:styleId="ListParagraph">
    <w:name w:val="List Paragraph"/>
    <w:basedOn w:val="Normal"/>
    <w:uiPriority w:val="34"/>
    <w:qFormat/>
    <w:rsid w:val="006C085E"/>
    <w:pPr>
      <w:ind w:left="720"/>
      <w:contextualSpacing/>
    </w:pPr>
  </w:style>
  <w:style w:type="character" w:customStyle="1" w:styleId="Heading2Char">
    <w:name w:val="Heading 2 Char"/>
    <w:basedOn w:val="DefaultParagraphFont"/>
    <w:link w:val="Heading2"/>
    <w:uiPriority w:val="9"/>
    <w:rsid w:val="001A7B9B"/>
    <w:rPr>
      <w:rFonts w:ascii="Arial Bold" w:eastAsiaTheme="majorEastAsia" w:hAnsi="Arial Bold" w:cstheme="majorBidi"/>
      <w:b/>
      <w:caps/>
      <w:szCs w:val="26"/>
    </w:rPr>
  </w:style>
  <w:style w:type="character" w:customStyle="1" w:styleId="Heading3Char">
    <w:name w:val="Heading 3 Char"/>
    <w:basedOn w:val="DefaultParagraphFont"/>
    <w:link w:val="Heading3"/>
    <w:uiPriority w:val="9"/>
    <w:rsid w:val="00754485"/>
    <w:rPr>
      <w:rFonts w:ascii="Arial" w:eastAsiaTheme="majorEastAsia" w:hAnsi="Arial" w:cstheme="majorBidi"/>
      <w:b/>
      <w:szCs w:val="24"/>
    </w:rPr>
  </w:style>
  <w:style w:type="character" w:customStyle="1" w:styleId="Heading4Char">
    <w:name w:val="Heading 4 Char"/>
    <w:basedOn w:val="DefaultParagraphFont"/>
    <w:link w:val="Heading4"/>
    <w:uiPriority w:val="9"/>
    <w:rsid w:val="00754485"/>
    <w:rPr>
      <w:rFonts w:ascii="Arial" w:eastAsiaTheme="majorEastAsia" w:hAnsi="Arial" w:cstheme="majorBidi"/>
      <w:iCs/>
    </w:rPr>
  </w:style>
  <w:style w:type="character" w:customStyle="1" w:styleId="Heading5Char">
    <w:name w:val="Heading 5 Char"/>
    <w:basedOn w:val="DefaultParagraphFont"/>
    <w:link w:val="Heading5"/>
    <w:uiPriority w:val="9"/>
    <w:rsid w:val="00754485"/>
    <w:rPr>
      <w:rFonts w:ascii="Arial" w:eastAsiaTheme="majorEastAsia" w:hAnsi="Arial" w:cstheme="majorBidi"/>
      <w:i/>
    </w:rPr>
  </w:style>
  <w:style w:type="paragraph" w:customStyle="1" w:styleId="Bulletlist">
    <w:name w:val="Bullet list"/>
    <w:basedOn w:val="Normal"/>
    <w:qFormat/>
    <w:rsid w:val="00754485"/>
    <w:pPr>
      <w:numPr>
        <w:numId w:val="5"/>
      </w:numPr>
      <w:tabs>
        <w:tab w:val="left" w:pos="357"/>
      </w:tabs>
      <w:ind w:left="357" w:hanging="357"/>
    </w:pPr>
  </w:style>
  <w:style w:type="paragraph" w:customStyle="1" w:styleId="letterlist">
    <w:name w:val="letter list"/>
    <w:basedOn w:val="Normal"/>
    <w:qFormat/>
    <w:rsid w:val="00A66B5F"/>
    <w:pPr>
      <w:numPr>
        <w:numId w:val="6"/>
      </w:numPr>
      <w:ind w:left="357" w:hanging="357"/>
    </w:pPr>
  </w:style>
  <w:style w:type="paragraph" w:customStyle="1" w:styleId="numberlist">
    <w:name w:val="number list"/>
    <w:basedOn w:val="Bulletlist"/>
    <w:rsid w:val="00A66B5F"/>
    <w:pPr>
      <w:numPr>
        <w:numId w:val="7"/>
      </w:numPr>
      <w:ind w:left="357" w:hanging="357"/>
    </w:pPr>
  </w:style>
  <w:style w:type="paragraph" w:styleId="ListBullet">
    <w:name w:val="List Bullet"/>
    <w:basedOn w:val="Normal"/>
    <w:autoRedefine/>
    <w:rsid w:val="00D92B0C"/>
    <w:pPr>
      <w:numPr>
        <w:numId w:val="8"/>
      </w:numPr>
      <w:spacing w:after="60"/>
    </w:pPr>
    <w:rPr>
      <w:rFonts w:eastAsia="Times New Roman" w:cs="Times New Roman"/>
      <w:szCs w:val="20"/>
      <w:lang w:val="en-AU"/>
    </w:rPr>
  </w:style>
  <w:style w:type="paragraph" w:styleId="List">
    <w:name w:val="List"/>
    <w:basedOn w:val="Normal"/>
    <w:rsid w:val="00D92B0C"/>
    <w:pPr>
      <w:keepNext/>
      <w:numPr>
        <w:numId w:val="9"/>
      </w:numPr>
      <w:spacing w:after="60"/>
      <w:jc w:val="left"/>
    </w:pPr>
    <w:rPr>
      <w:rFonts w:eastAsia="Times New Roman" w:cs="Times New Roman"/>
      <w:szCs w:val="20"/>
      <w:lang w:val="en-AU"/>
    </w:rPr>
  </w:style>
  <w:style w:type="paragraph" w:styleId="ListNumber">
    <w:name w:val="List Number"/>
    <w:basedOn w:val="Normal"/>
    <w:rsid w:val="00D92B0C"/>
    <w:pPr>
      <w:keepNext/>
      <w:keepLines/>
      <w:numPr>
        <w:numId w:val="10"/>
      </w:numPr>
    </w:pPr>
    <w:rPr>
      <w:rFonts w:eastAsia="Times New Roman" w:cs="Times New Roman"/>
      <w:szCs w:val="20"/>
      <w:lang w:val="en-AU"/>
    </w:rPr>
  </w:style>
  <w:style w:type="paragraph" w:styleId="BodyText">
    <w:name w:val="Body Text"/>
    <w:basedOn w:val="Normal"/>
    <w:link w:val="BodyTextChar"/>
    <w:uiPriority w:val="1"/>
    <w:qFormat/>
    <w:rsid w:val="00D92B0C"/>
    <w:pPr>
      <w:spacing w:after="60"/>
      <w:jc w:val="left"/>
    </w:pPr>
    <w:rPr>
      <w:rFonts w:eastAsia="Times New Roman" w:cs="Times New Roman"/>
      <w:szCs w:val="20"/>
      <w:lang w:val="en-AU"/>
    </w:rPr>
  </w:style>
  <w:style w:type="character" w:customStyle="1" w:styleId="BodyTextChar">
    <w:name w:val="Body Text Char"/>
    <w:basedOn w:val="DefaultParagraphFont"/>
    <w:link w:val="BodyText"/>
    <w:uiPriority w:val="1"/>
    <w:rsid w:val="00D92B0C"/>
    <w:rPr>
      <w:rFonts w:ascii="Arial" w:eastAsia="Times New Roman" w:hAnsi="Arial" w:cs="Times New Roman"/>
      <w:szCs w:val="20"/>
      <w:lang w:val="en-AU"/>
    </w:rPr>
  </w:style>
  <w:style w:type="paragraph" w:customStyle="1" w:styleId="blacktriangle">
    <w:name w:val="black triangle"/>
    <w:basedOn w:val="Heading1"/>
    <w:qFormat/>
    <w:rsid w:val="001A7B9B"/>
    <w:pPr>
      <w:numPr>
        <w:numId w:val="0"/>
      </w:numPr>
    </w:pPr>
    <w:rPr>
      <w:rFonts w:ascii="Arial Bold" w:hAnsi="Arial Bold"/>
    </w:rPr>
  </w:style>
  <w:style w:type="paragraph" w:customStyle="1" w:styleId="Default">
    <w:name w:val="Default"/>
    <w:rsid w:val="008A13A7"/>
    <w:pPr>
      <w:autoSpaceDE w:val="0"/>
      <w:autoSpaceDN w:val="0"/>
      <w:adjustRightInd w:val="0"/>
      <w:spacing w:after="0" w:line="240" w:lineRule="auto"/>
    </w:pPr>
    <w:rPr>
      <w:rFonts w:ascii="Cambria" w:hAnsi="Cambria" w:cs="Cambria"/>
      <w:color w:val="000000"/>
      <w:sz w:val="24"/>
      <w:szCs w:val="24"/>
    </w:rPr>
  </w:style>
  <w:style w:type="paragraph" w:customStyle="1" w:styleId="PIEXPLAIN">
    <w:name w:val="PI EXPLAIN"/>
    <w:basedOn w:val="Normal"/>
    <w:rsid w:val="00BA1291"/>
    <w:pPr>
      <w:tabs>
        <w:tab w:val="left" w:pos="-720"/>
      </w:tabs>
      <w:suppressAutoHyphens/>
      <w:spacing w:before="20" w:after="80"/>
      <w:jc w:val="left"/>
    </w:pPr>
    <w:rPr>
      <w:rFonts w:eastAsia="Times New Roman" w:cs="Times New Roman"/>
      <w:spacing w:val="-2"/>
      <w:szCs w:val="20"/>
      <w:lang w:val="en-AU"/>
    </w:rPr>
  </w:style>
  <w:style w:type="paragraph" w:styleId="Header">
    <w:name w:val="header"/>
    <w:basedOn w:val="Normal"/>
    <w:link w:val="HeaderChar"/>
    <w:uiPriority w:val="99"/>
    <w:unhideWhenUsed/>
    <w:rsid w:val="00BA1291"/>
    <w:pPr>
      <w:tabs>
        <w:tab w:val="center" w:pos="4680"/>
        <w:tab w:val="right" w:pos="9360"/>
      </w:tabs>
      <w:spacing w:after="0"/>
    </w:pPr>
  </w:style>
  <w:style w:type="character" w:customStyle="1" w:styleId="HeaderChar">
    <w:name w:val="Header Char"/>
    <w:basedOn w:val="DefaultParagraphFont"/>
    <w:link w:val="Header"/>
    <w:uiPriority w:val="99"/>
    <w:rsid w:val="00BA1291"/>
    <w:rPr>
      <w:rFonts w:ascii="Arial" w:hAnsi="Arial"/>
    </w:rPr>
  </w:style>
  <w:style w:type="paragraph" w:styleId="Footer">
    <w:name w:val="footer"/>
    <w:basedOn w:val="Normal"/>
    <w:link w:val="FooterChar"/>
    <w:unhideWhenUsed/>
    <w:rsid w:val="005A6179"/>
    <w:pPr>
      <w:tabs>
        <w:tab w:val="center" w:pos="4680"/>
        <w:tab w:val="right" w:pos="9360"/>
      </w:tabs>
      <w:spacing w:after="0"/>
    </w:pPr>
    <w:rPr>
      <w:sz w:val="18"/>
    </w:rPr>
  </w:style>
  <w:style w:type="character" w:customStyle="1" w:styleId="FooterChar">
    <w:name w:val="Footer Char"/>
    <w:basedOn w:val="DefaultParagraphFont"/>
    <w:link w:val="Footer"/>
    <w:rsid w:val="005A6179"/>
    <w:rPr>
      <w:rFonts w:ascii="Arial" w:hAnsi="Arial"/>
      <w:sz w:val="18"/>
    </w:rPr>
  </w:style>
  <w:style w:type="character" w:styleId="PageNumber">
    <w:name w:val="page number"/>
    <w:basedOn w:val="DefaultParagraphFont"/>
    <w:rsid w:val="0066370D"/>
  </w:style>
  <w:style w:type="character" w:customStyle="1" w:styleId="Heading6Char">
    <w:name w:val="Heading 6 Char"/>
    <w:basedOn w:val="DefaultParagraphFont"/>
    <w:link w:val="Heading6"/>
    <w:uiPriority w:val="9"/>
    <w:semiHidden/>
    <w:rsid w:val="00FA4A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A4A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A4A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4AE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82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59BA"/>
    <w:pPr>
      <w:spacing w:before="100" w:beforeAutospacing="1" w:after="100" w:afterAutospacing="1"/>
      <w:jc w:val="left"/>
    </w:pPr>
    <w:rPr>
      <w:rFonts w:ascii="Times New Roman" w:eastAsia="Times New Roman" w:hAnsi="Times New Roman" w:cs="Times New Roman"/>
      <w:sz w:val="24"/>
      <w:szCs w:val="24"/>
      <w:lang w:val="en-AU" w:eastAsia="en-AU"/>
    </w:rPr>
  </w:style>
  <w:style w:type="character" w:customStyle="1" w:styleId="pubtitle">
    <w:name w:val="pubtitle"/>
    <w:basedOn w:val="DefaultParagraphFont"/>
    <w:rsid w:val="008459BA"/>
  </w:style>
  <w:style w:type="paragraph" w:customStyle="1" w:styleId="Normaltext">
    <w:name w:val="Normal text"/>
    <w:basedOn w:val="Normal"/>
    <w:link w:val="NormaltextChar"/>
    <w:qFormat/>
    <w:rsid w:val="00C40B92"/>
    <w:pPr>
      <w:spacing w:after="0"/>
    </w:pPr>
    <w:rPr>
      <w:rFonts w:eastAsia="Times New Roman" w:cs="Arial"/>
      <w:szCs w:val="24"/>
      <w:lang w:val="en-AU" w:eastAsia="en-AU"/>
    </w:rPr>
  </w:style>
  <w:style w:type="character" w:customStyle="1" w:styleId="NormaltextChar">
    <w:name w:val="Normal text Char"/>
    <w:basedOn w:val="DefaultParagraphFont"/>
    <w:link w:val="Normaltext"/>
    <w:rsid w:val="00C40B92"/>
    <w:rPr>
      <w:rFonts w:ascii="Arial" w:eastAsia="Times New Roman" w:hAnsi="Arial" w:cs="Arial"/>
      <w:szCs w:val="24"/>
      <w:lang w:val="en-AU" w:eastAsia="en-AU"/>
    </w:rPr>
  </w:style>
  <w:style w:type="paragraph" w:customStyle="1" w:styleId="BodyText1">
    <w:name w:val="Body Text1"/>
    <w:basedOn w:val="Normal"/>
    <w:qFormat/>
    <w:rsid w:val="00320CD9"/>
    <w:pPr>
      <w:spacing w:before="60"/>
    </w:pPr>
    <w:rPr>
      <w:rFonts w:cs="Times New Roman"/>
      <w:szCs w:val="20"/>
      <w:lang w:val="en-AU"/>
    </w:rPr>
  </w:style>
  <w:style w:type="character" w:styleId="CommentReference">
    <w:name w:val="annotation reference"/>
    <w:basedOn w:val="DefaultParagraphFont"/>
    <w:unhideWhenUsed/>
    <w:rsid w:val="00320CD9"/>
    <w:rPr>
      <w:sz w:val="16"/>
      <w:szCs w:val="16"/>
    </w:rPr>
  </w:style>
  <w:style w:type="paragraph" w:styleId="CommentText">
    <w:name w:val="annotation text"/>
    <w:basedOn w:val="Normal"/>
    <w:link w:val="CommentTextChar"/>
    <w:unhideWhenUsed/>
    <w:rsid w:val="00320CD9"/>
    <w:pPr>
      <w:spacing w:after="0"/>
      <w:jc w:val="left"/>
    </w:pPr>
    <w:rPr>
      <w:rFonts w:cs="Arial"/>
      <w:sz w:val="20"/>
      <w:szCs w:val="20"/>
      <w:lang w:val="en-AU"/>
    </w:rPr>
  </w:style>
  <w:style w:type="character" w:customStyle="1" w:styleId="CommentTextChar">
    <w:name w:val="Comment Text Char"/>
    <w:basedOn w:val="DefaultParagraphFont"/>
    <w:link w:val="CommentText"/>
    <w:rsid w:val="00320CD9"/>
    <w:rPr>
      <w:rFonts w:ascii="Arial" w:hAnsi="Arial" w:cs="Arial"/>
      <w:sz w:val="20"/>
      <w:szCs w:val="20"/>
      <w:lang w:val="en-AU"/>
    </w:rPr>
  </w:style>
  <w:style w:type="paragraph" w:styleId="BalloonText">
    <w:name w:val="Balloon Text"/>
    <w:basedOn w:val="Normal"/>
    <w:link w:val="BalloonTextChar"/>
    <w:uiPriority w:val="99"/>
    <w:semiHidden/>
    <w:unhideWhenUsed/>
    <w:rsid w:val="00320C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CD9"/>
    <w:rPr>
      <w:rFonts w:ascii="Segoe UI" w:hAnsi="Segoe UI" w:cs="Segoe UI"/>
      <w:sz w:val="18"/>
      <w:szCs w:val="18"/>
    </w:rPr>
  </w:style>
  <w:style w:type="paragraph" w:customStyle="1" w:styleId="TableNote">
    <w:name w:val="TableNote"/>
    <w:qFormat/>
    <w:rsid w:val="007256DE"/>
    <w:pPr>
      <w:keepNext/>
      <w:keepLines/>
      <w:tabs>
        <w:tab w:val="left" w:pos="187"/>
        <w:tab w:val="left" w:pos="1440"/>
      </w:tabs>
      <w:spacing w:after="0" w:line="240" w:lineRule="auto"/>
      <w:ind w:left="187" w:hanging="187"/>
    </w:pPr>
    <w:rPr>
      <w:rFonts w:ascii="Times New Roman" w:eastAsia="Times New Roman" w:hAnsi="Times New Roman" w:cs="Times New Roman"/>
      <w:sz w:val="20"/>
      <w:szCs w:val="20"/>
    </w:rPr>
  </w:style>
  <w:style w:type="paragraph" w:customStyle="1" w:styleId="TableText">
    <w:name w:val="Table Text"/>
    <w:link w:val="TableTextChar"/>
    <w:qFormat/>
    <w:rsid w:val="007256DE"/>
    <w:pPr>
      <w:tabs>
        <w:tab w:val="left" w:pos="288"/>
        <w:tab w:val="left" w:pos="576"/>
        <w:tab w:val="left" w:pos="864"/>
      </w:tabs>
      <w:spacing w:after="0" w:line="240" w:lineRule="auto"/>
    </w:pPr>
    <w:rPr>
      <w:rFonts w:ascii="Times New Roman" w:eastAsia="Times New Roman" w:hAnsi="Times New Roman" w:cs="Times New Roman"/>
      <w:sz w:val="20"/>
      <w:szCs w:val="20"/>
    </w:rPr>
  </w:style>
  <w:style w:type="character" w:customStyle="1" w:styleId="TableTextChar">
    <w:name w:val="Table Text Char"/>
    <w:link w:val="TableText"/>
    <w:locked/>
    <w:rsid w:val="007256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6FE3"/>
    <w:pPr>
      <w:spacing w:after="120"/>
      <w:jc w:val="both"/>
    </w:pPr>
    <w:rPr>
      <w:rFonts w:cstheme="minorBidi"/>
      <w:b/>
      <w:bCs/>
      <w:lang w:val="en-US"/>
    </w:rPr>
  </w:style>
  <w:style w:type="character" w:customStyle="1" w:styleId="CommentSubjectChar">
    <w:name w:val="Comment Subject Char"/>
    <w:basedOn w:val="CommentTextChar"/>
    <w:link w:val="CommentSubject"/>
    <w:uiPriority w:val="99"/>
    <w:semiHidden/>
    <w:rsid w:val="004A6FE3"/>
    <w:rPr>
      <w:rFonts w:ascii="Arial" w:hAnsi="Arial" w:cs="Arial"/>
      <w:b/>
      <w:bCs/>
      <w:sz w:val="20"/>
      <w:szCs w:val="20"/>
      <w:lang w:val="en-AU"/>
    </w:rPr>
  </w:style>
  <w:style w:type="character" w:styleId="Hyperlink">
    <w:name w:val="Hyperlink"/>
    <w:basedOn w:val="DefaultParagraphFont"/>
    <w:uiPriority w:val="99"/>
    <w:unhideWhenUsed/>
    <w:rsid w:val="00396AF8"/>
    <w:rPr>
      <w:color w:val="0000FF"/>
      <w:u w:val="single"/>
    </w:rPr>
  </w:style>
  <w:style w:type="paragraph" w:customStyle="1" w:styleId="TableParagraph">
    <w:name w:val="Table Paragraph"/>
    <w:basedOn w:val="Normal"/>
    <w:uiPriority w:val="1"/>
    <w:qFormat/>
    <w:rsid w:val="00F35727"/>
    <w:pPr>
      <w:autoSpaceDE w:val="0"/>
      <w:autoSpaceDN w:val="0"/>
      <w:adjustRightInd w:val="0"/>
      <w:spacing w:after="0"/>
      <w:jc w:val="left"/>
    </w:pPr>
    <w:rPr>
      <w:rFonts w:ascii="Times New Roman" w:hAnsi="Times New Roman" w:cs="Times New Roman"/>
      <w:sz w:val="24"/>
      <w:szCs w:val="24"/>
      <w:lang w:val="en-AU"/>
    </w:rPr>
  </w:style>
  <w:style w:type="paragraph" w:styleId="Revision">
    <w:name w:val="Revision"/>
    <w:hidden/>
    <w:uiPriority w:val="99"/>
    <w:semiHidden/>
    <w:rsid w:val="002B2CDA"/>
    <w:pPr>
      <w:spacing w:after="0" w:line="240" w:lineRule="auto"/>
    </w:pPr>
    <w:rPr>
      <w:rFonts w:ascii="Arial" w:hAnsi="Arial"/>
    </w:rPr>
  </w:style>
  <w:style w:type="character" w:customStyle="1" w:styleId="UnresolvedMention">
    <w:name w:val="Unresolved Mention"/>
    <w:basedOn w:val="DefaultParagraphFont"/>
    <w:uiPriority w:val="99"/>
    <w:semiHidden/>
    <w:unhideWhenUsed/>
    <w:rsid w:val="00122E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100">
      <w:bodyDiv w:val="1"/>
      <w:marLeft w:val="0"/>
      <w:marRight w:val="0"/>
      <w:marTop w:val="0"/>
      <w:marBottom w:val="0"/>
      <w:divBdr>
        <w:top w:val="none" w:sz="0" w:space="0" w:color="auto"/>
        <w:left w:val="none" w:sz="0" w:space="0" w:color="auto"/>
        <w:bottom w:val="none" w:sz="0" w:space="0" w:color="auto"/>
        <w:right w:val="none" w:sz="0" w:space="0" w:color="auto"/>
      </w:divBdr>
    </w:div>
    <w:div w:id="19693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ga.gov.au/reporting-problem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Custom%20Office%20Templates\PI%20TEMPLATE%20-%20Jun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 TEMPLATE - June 2017.dotx</Template>
  <TotalTime>1</TotalTime>
  <Pages>14</Pages>
  <Words>4821</Words>
  <Characters>27771</Characters>
  <Application>Microsoft Office Word</Application>
  <DocSecurity>0</DocSecurity>
  <Lines>590</Lines>
  <Paragraphs>319</Paragraphs>
  <ScaleCrop>false</ScaleCrop>
  <HeadingPairs>
    <vt:vector size="2" baseType="variant">
      <vt:variant>
        <vt:lpstr>Title</vt:lpstr>
      </vt:variant>
      <vt:variant>
        <vt:i4>1</vt:i4>
      </vt:variant>
    </vt:vector>
  </HeadingPairs>
  <TitlesOfParts>
    <vt:vector size="1" baseType="lpstr">
      <vt:lpstr>Attachment: Product Information: Guselkumab</vt:lpstr>
    </vt:vector>
  </TitlesOfParts>
  <Company>Janssen-Cilag Pty Ltd</Company>
  <LinksUpToDate>false</LinksUpToDate>
  <CharactersWithSpaces>32273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Guselkumab</dc:title>
  <dc:subject>prescription medicines</dc:subject>
  <dc:creator>Lance, Angela [JACAU]</dc:creator>
  <cp:keywords>AusPars</cp:keywords>
  <cp:lastPrinted>2018-03-01T03:59:00Z</cp:lastPrinted>
  <dcterms:created xsi:type="dcterms:W3CDTF">2018-12-11T03:06:00Z</dcterms:created>
  <dcterms:modified xsi:type="dcterms:W3CDTF">2018-12-11T03:07:00Z</dcterms:modified>
</cp:coreProperties>
</file>