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F3A9A" w14:textId="440CD56F" w:rsidR="000629B4" w:rsidRDefault="00467342" w:rsidP="00A02ED3">
      <w:pPr>
        <w:jc w:val="left"/>
      </w:pPr>
      <w:r>
        <w:rPr>
          <w:rFonts w:asciiTheme="minorHAnsi" w:eastAsia="SimSun" w:hAnsiTheme="minorHAnsi" w:cstheme="minorHAnsi"/>
          <w:noProof/>
          <w:lang w:eastAsia="en-AU"/>
        </w:rPr>
        <mc:AlternateContent>
          <mc:Choice Requires="wps">
            <w:drawing>
              <wp:inline distT="0" distB="0" distL="0" distR="0" wp14:anchorId="54446815" wp14:editId="68417B5F">
                <wp:extent cx="244475" cy="212090"/>
                <wp:effectExtent l="19050" t="0" r="41275" b="35560"/>
                <wp:docPr id="3" name="Flowchart: Merge 3"/>
                <wp:cNvGraphicFramePr/>
                <a:graphic xmlns:a="http://schemas.openxmlformats.org/drawingml/2006/main">
                  <a:graphicData uri="http://schemas.microsoft.com/office/word/2010/wordprocessingShape">
                    <wps:wsp>
                      <wps:cNvSpPr/>
                      <wps:spPr>
                        <a:xfrm>
                          <a:off x="0" y="0"/>
                          <a:ext cx="244475" cy="212090"/>
                        </a:xfrm>
                        <a:prstGeom prst="flowChartMerg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9F0AC1" id="_x0000_t128" coordsize="21600,21600" o:spt="128" path="m,l21600,,10800,21600xe">
                <v:stroke joinstyle="miter"/>
                <v:path gradientshapeok="t" o:connecttype="custom" o:connectlocs="10800,0;5400,10800;10800,21600;16200,10800" textboxrect="5400,0,16200,10800"/>
              </v:shapetype>
              <v:shape id="Flowchart: Merge 3" o:spid="_x0000_s1026" type="#_x0000_t128" style="width:19.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DBmwIAALwFAAAOAAAAZHJzL2Uyb0RvYy54bWysVE1v2zAMvQ/YfxB0X22n6boadYogRYYB&#10;XVusHXpWZSk2IImapMTJfv0o+SNdN+xQLAdFNMlH8onk5dVeK7ITzrdgKlqc5JQIw6Fuzaai3x/X&#10;Hz5R4gMzNVNgREUPwtOrxft3l50txQwaULVwBEGMLztb0SYEW2aZ543QzJ+AFQaVEpxmAUW3yWrH&#10;OkTXKpvl+cesA1dbB1x4j1+veyVdJHwpBQ93UnoRiKoo5hbS6dL5HM9sccnKjWO2afmQBntDFpq1&#10;BoNOUNcsMLJ17R9QuuUOPMhwwkFnIGXLRaoBqynyV9U8NMyKVAuS4+1Ek/9/sPx2d+9IW1f0lBLD&#10;ND7RWkHHG+ZCSb4KtxHkNLLUWV+i8YO9d4Pk8RpL3kun4z8WQ/aJ2cPErNgHwvHjbD6fn59RwlE1&#10;K2b5RWI+Ozpb58NnAZrES0Ul5rCKOaQMErNsd+MDhkan0ThG9aDaet0qlYTYNmKlHNkxfPCwL2Lq&#10;6PGblTJvckSY6JlFJvra0y0clIh4ynwTEpmM1aaEUw8fk2GcCxOKXtWwWvQ5nuX4G7Mc0085J8CI&#10;LLG6CXsAGC17kBG7L3awj64ijcDknP8rsd558kiRwYTJWbcG3N8AFFY1RO7tR5J6aiJLz1AfsM8c&#10;9APoLV+3+NA3zId75nDicDZxi4Q7POLbVxSGGyUNuJ9/+x7tcRBQS0mHE1xR/2PLnKBEfTE4IhfF&#10;fB5HPgnzs/MZCu6l5vmlxmz1CrBnCtxXlqdrtA9qvEoH+gmXzTJGRRUzHGNXlAc3CqvQbxZcV1ws&#10;l8kMx9yycGMeLI/gkdXYvo/7J+bs0O0Bx+QWxmln5atW722jp4HlNoBs0xwceR34xhWRGmdYZ3EH&#10;vZST1XHpLn4BAAD//wMAUEsDBBQABgAIAAAAIQAhicML2gAAAAMBAAAPAAAAZHJzL2Rvd25yZXYu&#10;eG1sTI9BT8JAEIXvJv6HzZB4ky2CiLVbYoxeTNQIel+6Q1vozjbdKZR/7+hFLvMyeZP3vsmWg2/U&#10;AbtYBzIwGSegkIrgaioNfK1frhegIltytgmEBk4YYZlfXmQ2deFIn3hYcakkhGJqDVTMbap1LCr0&#10;No5DiyTeNnTesqxdqV1njxLuG32TJHPtbU3SUNkWnyos9qveG7jvk7f17vT8vXX71x2HDxxmd+/G&#10;XI2GxwdQjAP/H8MvvqBDLkyb0JOLqjEgj/DfFG+6uAW1EZ3OQOeZPmfPfwAAAP//AwBQSwECLQAU&#10;AAYACAAAACEAtoM4kv4AAADhAQAAEwAAAAAAAAAAAAAAAAAAAAAAW0NvbnRlbnRfVHlwZXNdLnht&#10;bFBLAQItABQABgAIAAAAIQA4/SH/1gAAAJQBAAALAAAAAAAAAAAAAAAAAC8BAABfcmVscy8ucmVs&#10;c1BLAQItABQABgAIAAAAIQD0hgDBmwIAALwFAAAOAAAAAAAAAAAAAAAAAC4CAABkcnMvZTJvRG9j&#10;LnhtbFBLAQItABQABgAIAAAAIQAhicML2gAAAAMBAAAPAAAAAAAAAAAAAAAAAPUEAABkcnMvZG93&#10;bnJldi54bWxQSwUGAAAAAAQABADzAAAA/AUAAAAA&#10;" fillcolor="black [3213]" strokecolor="black [3213]" strokeweight="1pt">
                <w10:anchorlock/>
              </v:shape>
            </w:pict>
          </mc:Fallback>
        </mc:AlternateContent>
      </w:r>
      <w:r>
        <w:rPr>
          <w:sz w:val="23"/>
          <w:szCs w:val="23"/>
        </w:rPr>
        <w:t xml:space="preserve"> </w:t>
      </w:r>
      <w:r w:rsidR="000629B4">
        <w:rPr>
          <w:sz w:val="23"/>
          <w:szCs w:val="23"/>
        </w:rPr>
        <w:t>This medicine is subject to additional monitoring</w:t>
      </w:r>
      <w:r>
        <w:rPr>
          <w:sz w:val="23"/>
          <w:szCs w:val="23"/>
        </w:rPr>
        <w:t xml:space="preserve"> </w:t>
      </w:r>
      <w:r w:rsidRPr="00467342">
        <w:rPr>
          <w:b/>
          <w:sz w:val="23"/>
          <w:szCs w:val="23"/>
        </w:rPr>
        <w:t>in Australia</w:t>
      </w:r>
      <w:r w:rsidR="000629B4">
        <w:rPr>
          <w:sz w:val="23"/>
          <w:szCs w:val="23"/>
        </w:rPr>
        <w:t xml:space="preserve">. This will allow quick identification of new safety information. </w:t>
      </w:r>
      <w:r w:rsidR="00CC2857">
        <w:rPr>
          <w:sz w:val="23"/>
          <w:szCs w:val="23"/>
        </w:rPr>
        <w:t>Healthcare</w:t>
      </w:r>
      <w:r w:rsidR="000629B4">
        <w:rPr>
          <w:sz w:val="23"/>
          <w:szCs w:val="23"/>
        </w:rPr>
        <w:t xml:space="preserve"> </w:t>
      </w:r>
      <w:r w:rsidR="00CC2857">
        <w:rPr>
          <w:sz w:val="23"/>
          <w:szCs w:val="23"/>
        </w:rPr>
        <w:t xml:space="preserve">professionals are asked to report suspected adverse events </w:t>
      </w:r>
      <w:r w:rsidR="000629B4">
        <w:rPr>
          <w:sz w:val="23"/>
          <w:szCs w:val="23"/>
        </w:rPr>
        <w:t>at www.tga.gov.au/reporting-problems.</w:t>
      </w:r>
    </w:p>
    <w:p w14:paraId="46F03299" w14:textId="59B08C84" w:rsidR="006018AE" w:rsidRPr="009A68EE" w:rsidRDefault="006E2C67" w:rsidP="00A02ED3">
      <w:pPr>
        <w:pStyle w:val="Heading1"/>
        <w:numPr>
          <w:ilvl w:val="0"/>
          <w:numId w:val="0"/>
        </w:numPr>
        <w:spacing w:after="240"/>
        <w:jc w:val="left"/>
        <w:rPr>
          <w:rFonts w:asciiTheme="minorHAnsi" w:eastAsia="SimSun" w:hAnsiTheme="minorHAnsi" w:cstheme="minorHAnsi"/>
        </w:rPr>
      </w:pPr>
      <w:r w:rsidRPr="009A68EE">
        <w:rPr>
          <w:rFonts w:asciiTheme="minorHAnsi" w:eastAsia="SimSun" w:hAnsiTheme="minorHAnsi" w:cstheme="minorHAnsi"/>
        </w:rPr>
        <w:t xml:space="preserve">Australian </w:t>
      </w:r>
      <w:r w:rsidR="006018AE" w:rsidRPr="009A68EE">
        <w:rPr>
          <w:rFonts w:asciiTheme="minorHAnsi" w:eastAsia="SimSun" w:hAnsiTheme="minorHAnsi" w:cstheme="minorHAnsi"/>
        </w:rPr>
        <w:t>P</w:t>
      </w:r>
      <w:r w:rsidR="005470D9" w:rsidRPr="009A68EE">
        <w:rPr>
          <w:rFonts w:asciiTheme="minorHAnsi" w:eastAsia="SimSun" w:hAnsiTheme="minorHAnsi" w:cstheme="minorHAnsi"/>
        </w:rPr>
        <w:t xml:space="preserve">roduct </w:t>
      </w:r>
      <w:r w:rsidR="006018AE" w:rsidRPr="009A68EE">
        <w:rPr>
          <w:rFonts w:asciiTheme="minorHAnsi" w:eastAsia="SimSun" w:hAnsiTheme="minorHAnsi" w:cstheme="minorHAnsi"/>
        </w:rPr>
        <w:t>I</w:t>
      </w:r>
      <w:r w:rsidR="005470D9" w:rsidRPr="009A68EE">
        <w:rPr>
          <w:rFonts w:asciiTheme="minorHAnsi" w:eastAsia="SimSun" w:hAnsiTheme="minorHAnsi" w:cstheme="minorHAnsi"/>
        </w:rPr>
        <w:t>nformation</w:t>
      </w:r>
      <w:r w:rsidR="006018AE" w:rsidRPr="009A68EE">
        <w:rPr>
          <w:rFonts w:asciiTheme="minorHAnsi" w:eastAsia="SimSun" w:hAnsiTheme="minorHAnsi" w:cstheme="minorHAnsi"/>
        </w:rPr>
        <w:t xml:space="preserve"> – </w:t>
      </w:r>
      <w:r w:rsidR="00436F29" w:rsidRPr="009A68EE">
        <w:rPr>
          <w:rFonts w:asciiTheme="minorHAnsi" w:eastAsia="SimSun" w:hAnsiTheme="minorHAnsi" w:cstheme="minorHAnsi"/>
        </w:rPr>
        <w:t>cutaquig</w:t>
      </w:r>
      <w:r w:rsidR="00DF5E08" w:rsidRPr="009A68EE">
        <w:rPr>
          <w:rFonts w:asciiTheme="minorHAnsi" w:eastAsia="SimSun" w:hAnsiTheme="minorHAnsi" w:cstheme="minorHAnsi"/>
          <w:vertAlign w:val="superscript"/>
        </w:rPr>
        <w:t>®</w:t>
      </w:r>
      <w:r w:rsidR="00AF238D" w:rsidRPr="009A68EE">
        <w:rPr>
          <w:rFonts w:asciiTheme="minorHAnsi" w:eastAsia="SimSun" w:hAnsiTheme="minorHAnsi" w:cstheme="minorHAnsi"/>
        </w:rPr>
        <w:t xml:space="preserve"> </w:t>
      </w:r>
      <w:r w:rsidR="006018AE" w:rsidRPr="009A68EE">
        <w:rPr>
          <w:rFonts w:asciiTheme="minorHAnsi" w:eastAsia="SimSun" w:hAnsiTheme="minorHAnsi" w:cstheme="minorHAnsi"/>
        </w:rPr>
        <w:t>(</w:t>
      </w:r>
      <w:r w:rsidR="00E500CB" w:rsidRPr="009A68EE">
        <w:rPr>
          <w:rFonts w:asciiTheme="minorHAnsi" w:eastAsia="SimSun" w:hAnsiTheme="minorHAnsi" w:cstheme="minorHAnsi"/>
        </w:rPr>
        <w:t xml:space="preserve">HUman </w:t>
      </w:r>
      <w:r w:rsidR="005B2369">
        <w:rPr>
          <w:rFonts w:asciiTheme="minorHAnsi" w:eastAsia="SimSun" w:hAnsiTheme="minorHAnsi" w:cstheme="minorHAnsi"/>
        </w:rPr>
        <w:t xml:space="preserve">normal </w:t>
      </w:r>
      <w:r w:rsidR="00E500CB" w:rsidRPr="009A68EE">
        <w:rPr>
          <w:rFonts w:asciiTheme="minorHAnsi" w:eastAsia="SimSun" w:hAnsiTheme="minorHAnsi" w:cstheme="minorHAnsi"/>
        </w:rPr>
        <w:t>Immunoglobulin</w:t>
      </w:r>
      <w:r w:rsidR="00B0149B" w:rsidRPr="009A68EE">
        <w:rPr>
          <w:rFonts w:asciiTheme="minorHAnsi" w:eastAsia="SimSun" w:hAnsiTheme="minorHAnsi" w:cstheme="minorHAnsi"/>
        </w:rPr>
        <w:t xml:space="preserve">, </w:t>
      </w:r>
      <w:r w:rsidR="00436F29" w:rsidRPr="009A68EE">
        <w:rPr>
          <w:rFonts w:asciiTheme="minorHAnsi" w:eastAsia="SimSun" w:hAnsiTheme="minorHAnsi" w:cstheme="minorHAnsi"/>
        </w:rPr>
        <w:t>16.5</w:t>
      </w:r>
      <w:r w:rsidR="00B0149B" w:rsidRPr="009A68EE">
        <w:rPr>
          <w:rFonts w:asciiTheme="minorHAnsi" w:eastAsia="SimSun" w:hAnsiTheme="minorHAnsi" w:cstheme="minorHAnsi"/>
        </w:rPr>
        <w:t>%</w:t>
      </w:r>
      <w:r w:rsidR="006018AE" w:rsidRPr="009A68EE">
        <w:rPr>
          <w:rFonts w:asciiTheme="minorHAnsi" w:eastAsia="SimSun" w:hAnsiTheme="minorHAnsi" w:cstheme="minorHAnsi"/>
        </w:rPr>
        <w:t>)</w:t>
      </w:r>
      <w:r w:rsidR="0092168A" w:rsidRPr="009A68EE">
        <w:rPr>
          <w:rFonts w:asciiTheme="minorHAnsi" w:eastAsia="SimSun" w:hAnsiTheme="minorHAnsi" w:cstheme="minorHAnsi"/>
        </w:rPr>
        <w:t xml:space="preserve">, </w:t>
      </w:r>
      <w:r w:rsidR="0092168A" w:rsidRPr="009A68EE">
        <w:rPr>
          <w:rFonts w:asciiTheme="minorHAnsi" w:hAnsiTheme="minorHAnsi" w:cstheme="minorHAnsi"/>
          <w:caps w:val="0"/>
        </w:rPr>
        <w:t xml:space="preserve">solution for </w:t>
      </w:r>
      <w:r w:rsidR="00436F29" w:rsidRPr="009A68EE">
        <w:rPr>
          <w:rFonts w:asciiTheme="minorHAnsi" w:hAnsiTheme="minorHAnsi" w:cstheme="minorHAnsi"/>
          <w:caps w:val="0"/>
        </w:rPr>
        <w:t xml:space="preserve">subcutaneous </w:t>
      </w:r>
      <w:r w:rsidR="00A008A8" w:rsidRPr="009A68EE">
        <w:rPr>
          <w:rFonts w:asciiTheme="minorHAnsi" w:hAnsiTheme="minorHAnsi" w:cstheme="minorHAnsi"/>
          <w:caps w:val="0"/>
        </w:rPr>
        <w:t>injection</w:t>
      </w:r>
    </w:p>
    <w:p w14:paraId="07D1EB21" w14:textId="77777777" w:rsidR="001A3992" w:rsidRPr="009A68EE" w:rsidRDefault="001A3992" w:rsidP="00A02ED3">
      <w:pPr>
        <w:pStyle w:val="Heading1"/>
        <w:spacing w:before="0" w:after="120"/>
        <w:jc w:val="left"/>
        <w:rPr>
          <w:rFonts w:asciiTheme="minorHAnsi" w:hAnsiTheme="minorHAnsi" w:cstheme="minorHAnsi"/>
        </w:rPr>
      </w:pPr>
      <w:r w:rsidRPr="009A68EE">
        <w:rPr>
          <w:rFonts w:asciiTheme="minorHAnsi" w:hAnsiTheme="minorHAnsi" w:cstheme="minorHAnsi"/>
        </w:rPr>
        <w:t>Name of the medicine</w:t>
      </w:r>
    </w:p>
    <w:p w14:paraId="27628803" w14:textId="0F0D7B2B" w:rsidR="00A008A8" w:rsidRPr="009A68EE" w:rsidRDefault="00A008A8" w:rsidP="00A02ED3">
      <w:pPr>
        <w:jc w:val="left"/>
        <w:rPr>
          <w:rFonts w:asciiTheme="minorHAnsi" w:hAnsiTheme="minorHAnsi" w:cstheme="minorHAnsi"/>
        </w:rPr>
      </w:pPr>
      <w:r w:rsidRPr="009A68EE">
        <w:rPr>
          <w:rFonts w:asciiTheme="minorHAnsi" w:hAnsiTheme="minorHAnsi" w:cstheme="minorHAnsi"/>
        </w:rPr>
        <w:t>Human normal immunoglobulin 16.5% [165 mg/mL], solution for</w:t>
      </w:r>
      <w:r w:rsidR="00FB7411" w:rsidRPr="009A68EE">
        <w:rPr>
          <w:rFonts w:asciiTheme="minorHAnsi" w:hAnsiTheme="minorHAnsi" w:cstheme="minorHAnsi"/>
        </w:rPr>
        <w:t xml:space="preserve"> subcutaneous</w:t>
      </w:r>
      <w:r w:rsidRPr="009A68EE">
        <w:rPr>
          <w:rFonts w:asciiTheme="minorHAnsi" w:hAnsiTheme="minorHAnsi" w:cstheme="minorHAnsi"/>
        </w:rPr>
        <w:t xml:space="preserve"> injection</w:t>
      </w:r>
    </w:p>
    <w:p w14:paraId="1B3618C6" w14:textId="77777777" w:rsidR="00E469E9" w:rsidRPr="009A68EE" w:rsidRDefault="00E469E9" w:rsidP="00A02ED3">
      <w:pPr>
        <w:pStyle w:val="Heading1"/>
        <w:spacing w:before="0" w:after="120"/>
        <w:jc w:val="left"/>
        <w:rPr>
          <w:rFonts w:asciiTheme="minorHAnsi" w:hAnsiTheme="minorHAnsi" w:cstheme="minorHAnsi"/>
        </w:rPr>
      </w:pPr>
      <w:r w:rsidRPr="009A68EE">
        <w:rPr>
          <w:rFonts w:asciiTheme="minorHAnsi" w:hAnsiTheme="minorHAnsi" w:cstheme="minorHAnsi"/>
        </w:rPr>
        <w:t>Qualitative and quantitative composition</w:t>
      </w:r>
    </w:p>
    <w:p w14:paraId="4D14477F" w14:textId="7EA71344" w:rsidR="00A008A8" w:rsidRPr="009A68EE" w:rsidRDefault="00A008A8" w:rsidP="00A02ED3">
      <w:pPr>
        <w:jc w:val="left"/>
        <w:rPr>
          <w:rFonts w:asciiTheme="minorHAnsi" w:hAnsiTheme="minorHAnsi" w:cstheme="minorHAnsi"/>
        </w:rPr>
      </w:pPr>
      <w:r w:rsidRPr="009A68EE">
        <w:rPr>
          <w:rFonts w:asciiTheme="minorHAnsi" w:hAnsiTheme="minorHAnsi" w:cstheme="minorHAnsi"/>
        </w:rPr>
        <w:t xml:space="preserve">Cutaquig® contains 165 mg/mL (16.5%) human normal immunoglobulin </w:t>
      </w:r>
      <w:r w:rsidR="00DE6291" w:rsidRPr="009A68EE">
        <w:rPr>
          <w:rFonts w:asciiTheme="minorHAnsi" w:hAnsiTheme="minorHAnsi" w:cstheme="minorHAnsi"/>
        </w:rPr>
        <w:t>with a purity of at least 95% </w:t>
      </w:r>
      <w:r w:rsidRPr="009A68EE">
        <w:rPr>
          <w:rFonts w:asciiTheme="minorHAnsi" w:hAnsiTheme="minorHAnsi" w:cstheme="minorHAnsi"/>
        </w:rPr>
        <w:t>immunoglobulin G (IgG) and a broad spectrum of antibodies against infectious agents.</w:t>
      </w:r>
    </w:p>
    <w:p w14:paraId="1E079F91" w14:textId="77777777" w:rsidR="00A008A8" w:rsidRPr="009A68EE" w:rsidRDefault="00A008A8" w:rsidP="00A02ED3">
      <w:pPr>
        <w:jc w:val="left"/>
        <w:rPr>
          <w:rFonts w:asciiTheme="minorHAnsi" w:hAnsiTheme="minorHAnsi" w:cstheme="minorHAnsi"/>
        </w:rPr>
      </w:pPr>
      <w:r w:rsidRPr="009A68EE">
        <w:rPr>
          <w:rFonts w:asciiTheme="minorHAnsi" w:hAnsiTheme="minorHAnsi" w:cstheme="minorHAnsi"/>
        </w:rPr>
        <w:t>Distribution of the IgG subclasses (approx. values):</w:t>
      </w:r>
    </w:p>
    <w:p w14:paraId="01E2837A" w14:textId="77777777" w:rsidR="00447D15" w:rsidRDefault="00A008A8" w:rsidP="00A02ED3">
      <w:pPr>
        <w:spacing w:before="80" w:after="80" w:line="240" w:lineRule="auto"/>
        <w:jc w:val="left"/>
        <w:rPr>
          <w:rFonts w:asciiTheme="minorHAnsi" w:hAnsiTheme="minorHAnsi" w:cstheme="minorHAnsi"/>
        </w:rPr>
      </w:pPr>
      <w:r w:rsidRPr="009A68EE">
        <w:rPr>
          <w:rFonts w:asciiTheme="minorHAnsi" w:hAnsiTheme="minorHAnsi" w:cstheme="minorHAnsi"/>
        </w:rPr>
        <w:t>IgG</w:t>
      </w:r>
      <w:r w:rsidRPr="009A68EE">
        <w:rPr>
          <w:rFonts w:asciiTheme="minorHAnsi" w:hAnsiTheme="minorHAnsi" w:cstheme="minorHAnsi"/>
          <w:vertAlign w:val="subscript"/>
        </w:rPr>
        <w:t>1</w:t>
      </w:r>
      <w:r w:rsidRPr="009A68EE">
        <w:rPr>
          <w:rFonts w:asciiTheme="minorHAnsi" w:hAnsiTheme="minorHAnsi" w:cstheme="minorHAnsi"/>
        </w:rPr>
        <w:tab/>
      </w:r>
      <w:r w:rsidRPr="009A68EE">
        <w:rPr>
          <w:rFonts w:asciiTheme="minorHAnsi" w:hAnsiTheme="minorHAnsi" w:cstheme="minorHAnsi"/>
        </w:rPr>
        <w:tab/>
        <w:t>71%</w:t>
      </w:r>
      <w:r w:rsidRPr="009A68EE">
        <w:rPr>
          <w:rFonts w:asciiTheme="minorHAnsi" w:hAnsiTheme="minorHAnsi" w:cstheme="minorHAnsi"/>
        </w:rPr>
        <w:br/>
        <w:t>IgG</w:t>
      </w:r>
      <w:r w:rsidRPr="009A68EE">
        <w:rPr>
          <w:rFonts w:asciiTheme="minorHAnsi" w:hAnsiTheme="minorHAnsi" w:cstheme="minorHAnsi"/>
          <w:position w:val="-4"/>
          <w:sz w:val="16"/>
        </w:rPr>
        <w:t>2</w:t>
      </w:r>
      <w:r w:rsidRPr="009A68EE">
        <w:rPr>
          <w:rFonts w:asciiTheme="minorHAnsi" w:hAnsiTheme="minorHAnsi" w:cstheme="minorHAnsi"/>
        </w:rPr>
        <w:tab/>
      </w:r>
      <w:r w:rsidRPr="009A68EE">
        <w:rPr>
          <w:rFonts w:asciiTheme="minorHAnsi" w:hAnsiTheme="minorHAnsi" w:cstheme="minorHAnsi"/>
        </w:rPr>
        <w:tab/>
        <w:t>25%</w:t>
      </w:r>
      <w:r w:rsidRPr="009A68EE">
        <w:rPr>
          <w:rFonts w:asciiTheme="minorHAnsi" w:hAnsiTheme="minorHAnsi" w:cstheme="minorHAnsi"/>
        </w:rPr>
        <w:br/>
        <w:t>IgG</w:t>
      </w:r>
      <w:r w:rsidRPr="009A68EE">
        <w:rPr>
          <w:rFonts w:asciiTheme="minorHAnsi" w:hAnsiTheme="minorHAnsi" w:cstheme="minorHAnsi"/>
          <w:position w:val="-4"/>
          <w:sz w:val="16"/>
        </w:rPr>
        <w:t>3</w:t>
      </w:r>
      <w:r w:rsidRPr="009A68EE">
        <w:rPr>
          <w:rFonts w:asciiTheme="minorHAnsi" w:hAnsiTheme="minorHAnsi" w:cstheme="minorHAnsi"/>
        </w:rPr>
        <w:tab/>
      </w:r>
      <w:r w:rsidRPr="009A68EE">
        <w:rPr>
          <w:rFonts w:asciiTheme="minorHAnsi" w:hAnsiTheme="minorHAnsi" w:cstheme="minorHAnsi"/>
        </w:rPr>
        <w:tab/>
        <w:t xml:space="preserve">  3%</w:t>
      </w:r>
      <w:r w:rsidRPr="009A68EE">
        <w:rPr>
          <w:rFonts w:asciiTheme="minorHAnsi" w:hAnsiTheme="minorHAnsi" w:cstheme="minorHAnsi"/>
        </w:rPr>
        <w:br/>
        <w:t>IgG</w:t>
      </w:r>
      <w:r w:rsidRPr="009A68EE">
        <w:rPr>
          <w:rFonts w:asciiTheme="minorHAnsi" w:hAnsiTheme="minorHAnsi" w:cstheme="minorHAnsi"/>
          <w:position w:val="-4"/>
          <w:sz w:val="16"/>
        </w:rPr>
        <w:t>4</w:t>
      </w:r>
      <w:r w:rsidRPr="009A68EE">
        <w:rPr>
          <w:rFonts w:asciiTheme="minorHAnsi" w:hAnsiTheme="minorHAnsi" w:cstheme="minorHAnsi"/>
        </w:rPr>
        <w:tab/>
      </w:r>
      <w:r w:rsidRPr="009A68EE">
        <w:rPr>
          <w:rFonts w:asciiTheme="minorHAnsi" w:hAnsiTheme="minorHAnsi" w:cstheme="minorHAnsi"/>
        </w:rPr>
        <w:tab/>
        <w:t xml:space="preserve">  </w:t>
      </w:r>
      <w:r w:rsidR="00447D15">
        <w:rPr>
          <w:rFonts w:asciiTheme="minorHAnsi" w:hAnsiTheme="minorHAnsi" w:cstheme="minorHAnsi"/>
        </w:rPr>
        <w:t>2%</w:t>
      </w:r>
    </w:p>
    <w:p w14:paraId="25813BA5" w14:textId="69DA82C2" w:rsidR="00A008A8" w:rsidRPr="009A68EE" w:rsidRDefault="00A008A8" w:rsidP="00A02ED3">
      <w:pPr>
        <w:spacing w:before="120" w:line="240" w:lineRule="auto"/>
        <w:jc w:val="left"/>
        <w:rPr>
          <w:rFonts w:asciiTheme="minorHAnsi" w:hAnsiTheme="minorHAnsi" w:cstheme="minorHAnsi"/>
          <w:lang w:val="en-GB"/>
        </w:rPr>
      </w:pPr>
      <w:r w:rsidRPr="009A68EE">
        <w:rPr>
          <w:rFonts w:asciiTheme="minorHAnsi" w:hAnsiTheme="minorHAnsi" w:cstheme="minorHAnsi"/>
        </w:rPr>
        <w:t>The maximum IgA content is 600 micrograms/ </w:t>
      </w:r>
      <w:proofErr w:type="spellStart"/>
      <w:r w:rsidRPr="009A68EE">
        <w:rPr>
          <w:rFonts w:asciiTheme="minorHAnsi" w:hAnsiTheme="minorHAnsi" w:cstheme="minorHAnsi"/>
        </w:rPr>
        <w:t>mL.</w:t>
      </w:r>
      <w:proofErr w:type="spellEnd"/>
    </w:p>
    <w:p w14:paraId="1C8D0CED" w14:textId="0FA9D258" w:rsidR="00C91032" w:rsidRPr="009A68EE" w:rsidRDefault="00A008A8" w:rsidP="00A02ED3">
      <w:pPr>
        <w:jc w:val="left"/>
        <w:rPr>
          <w:rFonts w:asciiTheme="minorHAnsi" w:hAnsiTheme="minorHAnsi" w:cstheme="minorHAnsi"/>
        </w:rPr>
      </w:pPr>
      <w:r w:rsidRPr="009A68EE">
        <w:rPr>
          <w:rFonts w:asciiTheme="minorHAnsi" w:hAnsiTheme="minorHAnsi" w:cstheme="minorHAnsi"/>
        </w:rPr>
        <w:t>Cutaquig® conta</w:t>
      </w:r>
      <w:bookmarkStart w:id="0" w:name="_GoBack"/>
      <w:r w:rsidRPr="009A68EE">
        <w:rPr>
          <w:rFonts w:asciiTheme="minorHAnsi" w:hAnsiTheme="minorHAnsi" w:cstheme="minorHAnsi"/>
        </w:rPr>
        <w:t>ins</w:t>
      </w:r>
      <w:bookmarkEnd w:id="0"/>
      <w:r w:rsidRPr="009A68EE">
        <w:rPr>
          <w:rFonts w:asciiTheme="minorHAnsi" w:hAnsiTheme="minorHAnsi" w:cstheme="minorHAnsi"/>
        </w:rPr>
        <w:t xml:space="preserve"> all the IgG activities, which are present in the normal population. It is prepared from pooled plasma from not fewer than 1000 donations.</w:t>
      </w:r>
    </w:p>
    <w:p w14:paraId="4ACEAE7E" w14:textId="77777777" w:rsidR="00A008A8" w:rsidRPr="009A68EE" w:rsidRDefault="00A008A8" w:rsidP="00A02ED3">
      <w:pPr>
        <w:spacing w:after="0"/>
        <w:jc w:val="left"/>
        <w:rPr>
          <w:rFonts w:asciiTheme="minorHAnsi" w:hAnsiTheme="minorHAnsi" w:cstheme="minorHAnsi"/>
          <w:u w:val="single"/>
        </w:rPr>
      </w:pPr>
      <w:r w:rsidRPr="009A68EE">
        <w:rPr>
          <w:rFonts w:asciiTheme="minorHAnsi" w:hAnsiTheme="minorHAnsi" w:cstheme="minorHAnsi"/>
          <w:u w:val="single"/>
        </w:rPr>
        <w:t>Excipient(s) with known effect:</w:t>
      </w:r>
    </w:p>
    <w:p w14:paraId="1C50FAE2" w14:textId="5487128A" w:rsidR="00A008A8" w:rsidRPr="009A68EE" w:rsidRDefault="00A008A8" w:rsidP="00A02ED3">
      <w:pPr>
        <w:jc w:val="left"/>
        <w:rPr>
          <w:rFonts w:asciiTheme="minorHAnsi" w:hAnsiTheme="minorHAnsi" w:cstheme="minorHAnsi"/>
        </w:rPr>
      </w:pPr>
      <w:r w:rsidRPr="009A68EE">
        <w:rPr>
          <w:rFonts w:asciiTheme="minorHAnsi" w:hAnsiTheme="minorHAnsi" w:cstheme="minorHAnsi"/>
        </w:rPr>
        <w:t xml:space="preserve">This medicinal product contains </w:t>
      </w:r>
      <w:r w:rsidR="00DE6291" w:rsidRPr="009A68EE">
        <w:rPr>
          <w:rFonts w:asciiTheme="minorHAnsi" w:hAnsiTheme="minorHAnsi" w:cstheme="minorHAnsi"/>
        </w:rPr>
        <w:t>33.1 mg sodium per vial of 48 mL</w:t>
      </w:r>
      <w:r w:rsidRPr="009A68EE">
        <w:rPr>
          <w:rFonts w:asciiTheme="minorHAnsi" w:hAnsiTheme="minorHAnsi" w:cstheme="minorHAnsi"/>
        </w:rPr>
        <w:t xml:space="preserve"> and 13.8 mg per vial of 20 </w:t>
      </w:r>
      <w:proofErr w:type="spellStart"/>
      <w:r w:rsidRPr="009A68EE">
        <w:rPr>
          <w:rFonts w:asciiTheme="minorHAnsi" w:hAnsiTheme="minorHAnsi" w:cstheme="minorHAnsi"/>
        </w:rPr>
        <w:t>m</w:t>
      </w:r>
      <w:r w:rsidR="00DE6291" w:rsidRPr="009A68EE">
        <w:rPr>
          <w:rFonts w:asciiTheme="minorHAnsi" w:hAnsiTheme="minorHAnsi" w:cstheme="minorHAnsi"/>
        </w:rPr>
        <w:t>L.</w:t>
      </w:r>
      <w:proofErr w:type="spellEnd"/>
    </w:p>
    <w:p w14:paraId="4A4C3D9A" w14:textId="69B57ACE" w:rsidR="00A008A8" w:rsidRPr="009A68EE" w:rsidRDefault="00A008A8" w:rsidP="00A02ED3">
      <w:pPr>
        <w:jc w:val="left"/>
        <w:rPr>
          <w:rFonts w:asciiTheme="minorHAnsi" w:hAnsiTheme="minorHAnsi" w:cstheme="minorHAnsi"/>
        </w:rPr>
      </w:pPr>
      <w:r w:rsidRPr="009A68EE">
        <w:rPr>
          <w:rFonts w:asciiTheme="minorHAnsi" w:hAnsiTheme="minorHAnsi" w:cstheme="minorHAnsi"/>
        </w:rPr>
        <w:t>For a full list of excipients, see Section 6.1 List of Excipients.</w:t>
      </w:r>
    </w:p>
    <w:p w14:paraId="056117DC" w14:textId="77777777" w:rsidR="001A3992" w:rsidRPr="009A68EE" w:rsidRDefault="001A3992" w:rsidP="00A02ED3">
      <w:pPr>
        <w:pStyle w:val="Heading1"/>
        <w:spacing w:before="0" w:after="120"/>
        <w:jc w:val="left"/>
        <w:rPr>
          <w:rFonts w:asciiTheme="minorHAnsi" w:hAnsiTheme="minorHAnsi" w:cstheme="minorHAnsi"/>
        </w:rPr>
      </w:pPr>
      <w:r w:rsidRPr="009A68EE">
        <w:rPr>
          <w:rFonts w:asciiTheme="minorHAnsi" w:hAnsiTheme="minorHAnsi" w:cstheme="minorHAnsi"/>
        </w:rPr>
        <w:t>Pharmaceutical form</w:t>
      </w:r>
    </w:p>
    <w:p w14:paraId="4F06DCEF" w14:textId="69C20942" w:rsidR="00C91032" w:rsidRPr="009A68EE" w:rsidRDefault="00C91032" w:rsidP="00A02ED3">
      <w:pPr>
        <w:spacing w:after="0"/>
        <w:jc w:val="left"/>
        <w:rPr>
          <w:rFonts w:asciiTheme="minorHAnsi" w:hAnsiTheme="minorHAnsi" w:cstheme="minorHAnsi"/>
        </w:rPr>
      </w:pPr>
      <w:r w:rsidRPr="009A68EE">
        <w:rPr>
          <w:rFonts w:asciiTheme="minorHAnsi" w:hAnsiTheme="minorHAnsi" w:cstheme="minorHAnsi"/>
        </w:rPr>
        <w:t xml:space="preserve">Solution for </w:t>
      </w:r>
      <w:r w:rsidR="00DC079E" w:rsidRPr="009A68EE">
        <w:rPr>
          <w:rFonts w:asciiTheme="minorHAnsi" w:hAnsiTheme="minorHAnsi" w:cstheme="minorHAnsi"/>
        </w:rPr>
        <w:t>injection</w:t>
      </w:r>
      <w:r w:rsidRPr="009A68EE">
        <w:rPr>
          <w:rFonts w:asciiTheme="minorHAnsi" w:hAnsiTheme="minorHAnsi" w:cstheme="minorHAnsi"/>
        </w:rPr>
        <w:t>.</w:t>
      </w:r>
    </w:p>
    <w:p w14:paraId="55569E61" w14:textId="77777777" w:rsidR="00C91032" w:rsidRPr="009A68EE" w:rsidRDefault="00C91032" w:rsidP="00A02ED3">
      <w:pPr>
        <w:spacing w:after="0"/>
        <w:jc w:val="left"/>
        <w:rPr>
          <w:rFonts w:asciiTheme="minorHAnsi" w:hAnsiTheme="minorHAnsi" w:cstheme="minorHAnsi"/>
        </w:rPr>
      </w:pPr>
      <w:r w:rsidRPr="009A68EE">
        <w:rPr>
          <w:rFonts w:asciiTheme="minorHAnsi" w:hAnsiTheme="minorHAnsi" w:cstheme="minorHAnsi"/>
        </w:rPr>
        <w:t>The liquid preparation is clear and colourless.</w:t>
      </w:r>
    </w:p>
    <w:p w14:paraId="7706DC1B" w14:textId="77777777" w:rsidR="00C91032" w:rsidRPr="009A68EE" w:rsidRDefault="00C91032" w:rsidP="00A02ED3">
      <w:pPr>
        <w:spacing w:after="0"/>
        <w:jc w:val="left"/>
        <w:rPr>
          <w:rFonts w:asciiTheme="minorHAnsi" w:hAnsiTheme="minorHAnsi" w:cstheme="minorHAnsi"/>
        </w:rPr>
      </w:pPr>
      <w:r w:rsidRPr="009A68EE">
        <w:rPr>
          <w:rFonts w:asciiTheme="minorHAnsi" w:hAnsiTheme="minorHAnsi" w:cstheme="minorHAnsi"/>
        </w:rPr>
        <w:t>During storage the liquid may turn to slightly opalescent and pale-yellow.</w:t>
      </w:r>
    </w:p>
    <w:p w14:paraId="5D36F516" w14:textId="77777777" w:rsidR="00C91032" w:rsidRPr="009A68EE" w:rsidRDefault="00C91032" w:rsidP="00A02ED3">
      <w:pPr>
        <w:spacing w:after="0"/>
        <w:jc w:val="left"/>
        <w:rPr>
          <w:rFonts w:asciiTheme="minorHAnsi" w:hAnsiTheme="minorHAnsi" w:cstheme="minorHAnsi"/>
        </w:rPr>
      </w:pPr>
      <w:r w:rsidRPr="009A68EE">
        <w:rPr>
          <w:rFonts w:asciiTheme="minorHAnsi" w:hAnsiTheme="minorHAnsi" w:cstheme="minorHAnsi"/>
        </w:rPr>
        <w:t xml:space="preserve">The osmolality of the liquid preparation is 310 to 380 </w:t>
      </w:r>
      <w:proofErr w:type="spellStart"/>
      <w:r w:rsidRPr="009A68EE">
        <w:rPr>
          <w:rFonts w:asciiTheme="minorHAnsi" w:hAnsiTheme="minorHAnsi" w:cstheme="minorHAnsi"/>
        </w:rPr>
        <w:t>mosmol</w:t>
      </w:r>
      <w:proofErr w:type="spellEnd"/>
      <w:r w:rsidRPr="009A68EE">
        <w:rPr>
          <w:rFonts w:asciiTheme="minorHAnsi" w:hAnsiTheme="minorHAnsi" w:cstheme="minorHAnsi"/>
        </w:rPr>
        <w:t>/kg.</w:t>
      </w:r>
    </w:p>
    <w:p w14:paraId="31C433E0" w14:textId="206541CF" w:rsidR="00C91032" w:rsidRPr="009A68EE" w:rsidRDefault="00C91032" w:rsidP="00A02ED3">
      <w:pPr>
        <w:jc w:val="left"/>
        <w:rPr>
          <w:rFonts w:asciiTheme="minorHAnsi" w:hAnsiTheme="minorHAnsi" w:cstheme="minorHAnsi"/>
        </w:rPr>
      </w:pPr>
      <w:r w:rsidRPr="009A68EE">
        <w:rPr>
          <w:rFonts w:asciiTheme="minorHAnsi" w:hAnsiTheme="minorHAnsi" w:cstheme="minorHAnsi"/>
        </w:rPr>
        <w:t>The pH of the solution is 5-5.5.</w:t>
      </w:r>
    </w:p>
    <w:p w14:paraId="78DD01AD" w14:textId="77777777" w:rsidR="001A3992" w:rsidRPr="009A68EE" w:rsidRDefault="001A3992" w:rsidP="00A02ED3">
      <w:pPr>
        <w:pStyle w:val="Heading1"/>
        <w:spacing w:before="0" w:after="120"/>
        <w:jc w:val="left"/>
        <w:rPr>
          <w:rFonts w:asciiTheme="minorHAnsi" w:hAnsiTheme="minorHAnsi" w:cstheme="minorHAnsi"/>
        </w:rPr>
      </w:pPr>
      <w:r w:rsidRPr="009A68EE">
        <w:rPr>
          <w:rFonts w:asciiTheme="minorHAnsi" w:hAnsiTheme="minorHAnsi" w:cstheme="minorHAnsi"/>
        </w:rPr>
        <w:t>Clinical particulars</w:t>
      </w:r>
    </w:p>
    <w:p w14:paraId="519630E0" w14:textId="77777777" w:rsidR="001A3992" w:rsidRPr="009A68EE" w:rsidRDefault="006C0027" w:rsidP="00A02ED3">
      <w:pPr>
        <w:pStyle w:val="Heading2"/>
        <w:spacing w:before="0" w:after="120"/>
        <w:jc w:val="left"/>
        <w:rPr>
          <w:rFonts w:asciiTheme="minorHAnsi" w:hAnsiTheme="minorHAnsi" w:cstheme="minorHAnsi"/>
        </w:rPr>
      </w:pPr>
      <w:r w:rsidRPr="009A68EE">
        <w:rPr>
          <w:rFonts w:asciiTheme="minorHAnsi" w:hAnsiTheme="minorHAnsi" w:cstheme="minorHAnsi"/>
        </w:rPr>
        <w:t>Therapeutic indications</w:t>
      </w:r>
    </w:p>
    <w:p w14:paraId="09DDD1ED" w14:textId="48F347A0" w:rsidR="006C0027" w:rsidRPr="009A68EE" w:rsidRDefault="006C0027" w:rsidP="00A02ED3">
      <w:pPr>
        <w:spacing w:after="120"/>
        <w:jc w:val="left"/>
        <w:rPr>
          <w:rFonts w:asciiTheme="minorHAnsi" w:hAnsiTheme="minorHAnsi" w:cstheme="minorHAnsi"/>
          <w:u w:val="single"/>
        </w:rPr>
      </w:pPr>
      <w:r w:rsidRPr="009A68EE">
        <w:rPr>
          <w:rFonts w:asciiTheme="minorHAnsi" w:hAnsiTheme="minorHAnsi" w:cstheme="minorHAnsi"/>
          <w:u w:val="single"/>
        </w:rPr>
        <w:t>Replacement therapy in</w:t>
      </w:r>
      <w:r w:rsidR="00984A47" w:rsidRPr="009A68EE">
        <w:rPr>
          <w:rFonts w:asciiTheme="minorHAnsi" w:hAnsiTheme="minorHAnsi" w:cstheme="minorHAnsi"/>
          <w:u w:val="single"/>
        </w:rPr>
        <w:t xml:space="preserve"> adults and children in</w:t>
      </w:r>
      <w:r w:rsidRPr="009A68EE">
        <w:rPr>
          <w:rFonts w:asciiTheme="minorHAnsi" w:hAnsiTheme="minorHAnsi" w:cstheme="minorHAnsi"/>
          <w:u w:val="single"/>
        </w:rPr>
        <w:t>:</w:t>
      </w:r>
    </w:p>
    <w:p w14:paraId="1DCB2EB1" w14:textId="77777777" w:rsidR="006C0027" w:rsidRPr="009A68EE" w:rsidRDefault="006C0027" w:rsidP="00A02ED3">
      <w:pPr>
        <w:numPr>
          <w:ilvl w:val="0"/>
          <w:numId w:val="12"/>
        </w:numPr>
        <w:spacing w:after="0" w:line="340" w:lineRule="exact"/>
        <w:jc w:val="left"/>
        <w:rPr>
          <w:rFonts w:asciiTheme="minorHAnsi" w:hAnsiTheme="minorHAnsi" w:cstheme="minorHAnsi"/>
        </w:rPr>
      </w:pPr>
      <w:r w:rsidRPr="009A68EE">
        <w:rPr>
          <w:rFonts w:asciiTheme="minorHAnsi" w:hAnsiTheme="minorHAnsi" w:cstheme="minorHAnsi"/>
        </w:rPr>
        <w:t>Primary immunodeficiency diseases</w:t>
      </w:r>
      <w:r w:rsidR="0050622C" w:rsidRPr="009A68EE">
        <w:rPr>
          <w:rFonts w:asciiTheme="minorHAnsi" w:hAnsiTheme="minorHAnsi" w:cstheme="minorHAnsi"/>
        </w:rPr>
        <w:t xml:space="preserve"> (PID)</w:t>
      </w:r>
    </w:p>
    <w:p w14:paraId="16CAFB9E" w14:textId="77881333" w:rsidR="006C0027" w:rsidRPr="009A68EE" w:rsidRDefault="000A558F" w:rsidP="00A02ED3">
      <w:pPr>
        <w:numPr>
          <w:ilvl w:val="0"/>
          <w:numId w:val="12"/>
        </w:numPr>
        <w:overflowPunct w:val="0"/>
        <w:autoSpaceDE w:val="0"/>
        <w:autoSpaceDN w:val="0"/>
        <w:adjustRightInd w:val="0"/>
        <w:spacing w:before="120" w:after="120" w:line="340" w:lineRule="exact"/>
        <w:jc w:val="left"/>
        <w:textAlignment w:val="baseline"/>
        <w:rPr>
          <w:rFonts w:asciiTheme="minorHAnsi" w:hAnsiTheme="minorHAnsi" w:cstheme="minorHAnsi"/>
          <w:lang w:eastAsia="en-GB"/>
        </w:rPr>
      </w:pPr>
      <w:r>
        <w:t xml:space="preserve">Symptomatic </w:t>
      </w:r>
      <w:proofErr w:type="spellStart"/>
      <w:r>
        <w:t>hypogammaglobulinaemia</w:t>
      </w:r>
      <w:proofErr w:type="spellEnd"/>
      <w:r>
        <w:t xml:space="preserve"> secondary</w:t>
      </w:r>
      <w:r w:rsidR="0050622C" w:rsidRPr="009A68EE">
        <w:rPr>
          <w:rFonts w:asciiTheme="minorHAnsi" w:hAnsiTheme="minorHAnsi" w:cstheme="minorHAnsi"/>
          <w:lang w:eastAsia="en-GB"/>
        </w:rPr>
        <w:t xml:space="preserve"> to underlying disease or treatment</w:t>
      </w:r>
    </w:p>
    <w:p w14:paraId="0423A289" w14:textId="77777777" w:rsidR="001A3992" w:rsidRPr="009A68EE" w:rsidRDefault="001A3992" w:rsidP="00A02ED3">
      <w:pPr>
        <w:pStyle w:val="Heading2"/>
        <w:spacing w:after="120"/>
        <w:jc w:val="left"/>
        <w:rPr>
          <w:rFonts w:asciiTheme="minorHAnsi" w:hAnsiTheme="minorHAnsi" w:cstheme="minorHAnsi"/>
        </w:rPr>
      </w:pPr>
      <w:bookmarkStart w:id="1" w:name="_Ref522611642"/>
      <w:r w:rsidRPr="009A68EE">
        <w:rPr>
          <w:rFonts w:asciiTheme="minorHAnsi" w:hAnsiTheme="minorHAnsi" w:cstheme="minorHAnsi"/>
        </w:rPr>
        <w:lastRenderedPageBreak/>
        <w:t>Do</w:t>
      </w:r>
      <w:r w:rsidR="006C0027" w:rsidRPr="009A68EE">
        <w:rPr>
          <w:rFonts w:asciiTheme="minorHAnsi" w:hAnsiTheme="minorHAnsi" w:cstheme="minorHAnsi"/>
        </w:rPr>
        <w:t>se and method of administration</w:t>
      </w:r>
      <w:bookmarkEnd w:id="1"/>
    </w:p>
    <w:p w14:paraId="661F15D8" w14:textId="0C05F5CF" w:rsidR="0050622C" w:rsidRPr="009A68EE" w:rsidRDefault="0050622C" w:rsidP="00A02ED3">
      <w:pPr>
        <w:jc w:val="left"/>
        <w:rPr>
          <w:rFonts w:asciiTheme="minorHAnsi" w:hAnsiTheme="minorHAnsi" w:cstheme="minorHAnsi"/>
        </w:rPr>
      </w:pPr>
      <w:r w:rsidRPr="009A68EE">
        <w:rPr>
          <w:rFonts w:asciiTheme="minorHAnsi" w:hAnsiTheme="minorHAnsi" w:cstheme="minorHAnsi"/>
        </w:rPr>
        <w:t>C</w:t>
      </w:r>
      <w:r w:rsidR="00DF5E08" w:rsidRPr="009A68EE">
        <w:rPr>
          <w:rFonts w:asciiTheme="minorHAnsi" w:hAnsiTheme="minorHAnsi" w:cstheme="minorHAnsi"/>
        </w:rPr>
        <w:t>utaquig®</w:t>
      </w:r>
      <w:r w:rsidRPr="009A68EE">
        <w:rPr>
          <w:rFonts w:asciiTheme="minorHAnsi" w:hAnsiTheme="minorHAnsi" w:cstheme="minorHAnsi"/>
        </w:rPr>
        <w:t xml:space="preserve"> should only be administered subcutaneously.</w:t>
      </w:r>
    </w:p>
    <w:p w14:paraId="5195E286" w14:textId="77777777" w:rsidR="006C0027" w:rsidRPr="009A68EE" w:rsidRDefault="006C0027" w:rsidP="00A02ED3">
      <w:pPr>
        <w:pStyle w:val="Heading4"/>
        <w:jc w:val="left"/>
        <w:rPr>
          <w:rFonts w:asciiTheme="minorHAnsi" w:hAnsiTheme="minorHAnsi" w:cstheme="minorHAnsi"/>
        </w:rPr>
      </w:pPr>
      <w:r w:rsidRPr="009A68EE">
        <w:rPr>
          <w:rFonts w:asciiTheme="minorHAnsi" w:hAnsiTheme="minorHAnsi" w:cstheme="minorHAnsi"/>
        </w:rPr>
        <w:t>Dose</w:t>
      </w:r>
    </w:p>
    <w:p w14:paraId="7E200D76" w14:textId="4A0F84C1" w:rsidR="0050622C" w:rsidRPr="009A68EE" w:rsidRDefault="0050622C" w:rsidP="00A02ED3">
      <w:pPr>
        <w:jc w:val="left"/>
        <w:rPr>
          <w:rFonts w:asciiTheme="minorHAnsi" w:hAnsiTheme="minorHAnsi" w:cstheme="minorHAnsi"/>
        </w:rPr>
      </w:pPr>
      <w:r w:rsidRPr="009A68EE">
        <w:rPr>
          <w:rFonts w:asciiTheme="minorHAnsi" w:hAnsiTheme="minorHAnsi" w:cstheme="minorHAnsi"/>
        </w:rPr>
        <w:t>The dose and dose regimen are dependent on the indication</w:t>
      </w:r>
      <w:r w:rsidR="00493D33" w:rsidRPr="009A68EE">
        <w:rPr>
          <w:rFonts w:asciiTheme="minorHAnsi" w:hAnsiTheme="minorHAnsi" w:cstheme="minorHAnsi"/>
        </w:rPr>
        <w:t>.</w:t>
      </w:r>
    </w:p>
    <w:p w14:paraId="2EB15F74" w14:textId="77777777" w:rsidR="0050622C" w:rsidRPr="009A68EE" w:rsidRDefault="0050622C" w:rsidP="00A02ED3">
      <w:pPr>
        <w:jc w:val="left"/>
        <w:rPr>
          <w:rFonts w:asciiTheme="minorHAnsi" w:hAnsiTheme="minorHAnsi" w:cstheme="minorHAnsi"/>
          <w:b/>
          <w:i/>
        </w:rPr>
      </w:pPr>
      <w:r w:rsidRPr="009A68EE">
        <w:rPr>
          <w:rFonts w:asciiTheme="minorHAnsi" w:hAnsiTheme="minorHAnsi" w:cstheme="minorHAnsi"/>
          <w:b/>
          <w:i/>
        </w:rPr>
        <w:t>Replacement therapy (PID and SID)</w:t>
      </w:r>
    </w:p>
    <w:p w14:paraId="65A7BB15" w14:textId="00D46F5C" w:rsidR="006C0027" w:rsidRPr="009A68EE" w:rsidRDefault="006C0027" w:rsidP="00A02ED3">
      <w:pPr>
        <w:jc w:val="left"/>
        <w:rPr>
          <w:rFonts w:asciiTheme="minorHAnsi" w:hAnsiTheme="minorHAnsi" w:cstheme="minorHAnsi"/>
        </w:rPr>
      </w:pPr>
      <w:r w:rsidRPr="009A68EE">
        <w:rPr>
          <w:rFonts w:asciiTheme="minorHAnsi" w:hAnsiTheme="minorHAnsi" w:cstheme="minorHAnsi"/>
        </w:rPr>
        <w:t xml:space="preserve">Replacement therapy should be initiated under the supervision of a </w:t>
      </w:r>
      <w:r w:rsidR="003A0176" w:rsidRPr="009A68EE">
        <w:rPr>
          <w:rFonts w:asciiTheme="minorHAnsi" w:hAnsiTheme="minorHAnsi" w:cstheme="minorHAnsi"/>
        </w:rPr>
        <w:t>healthcare professional</w:t>
      </w:r>
      <w:r w:rsidRPr="009A68EE">
        <w:rPr>
          <w:rFonts w:asciiTheme="minorHAnsi" w:hAnsiTheme="minorHAnsi" w:cstheme="minorHAnsi"/>
        </w:rPr>
        <w:t xml:space="preserve"> experienced in the treatment of immunodeficiency.</w:t>
      </w:r>
    </w:p>
    <w:p w14:paraId="6EC0FB94" w14:textId="440AAE21" w:rsidR="006C0027" w:rsidRPr="009A68EE" w:rsidRDefault="006C0027" w:rsidP="00A02ED3">
      <w:pPr>
        <w:jc w:val="left"/>
        <w:rPr>
          <w:rFonts w:asciiTheme="minorHAnsi" w:hAnsiTheme="minorHAnsi" w:cstheme="minorHAnsi"/>
        </w:rPr>
      </w:pPr>
      <w:r w:rsidRPr="009A68EE">
        <w:rPr>
          <w:rFonts w:asciiTheme="minorHAnsi" w:hAnsiTheme="minorHAnsi" w:cstheme="minorHAnsi"/>
        </w:rPr>
        <w:t>In replacement therapy the dosage may need to be individualised for each patient dependent on the pharmacokinetic and clinical response. The following dosage re</w:t>
      </w:r>
      <w:r w:rsidR="00493D33" w:rsidRPr="009A68EE">
        <w:rPr>
          <w:rFonts w:asciiTheme="minorHAnsi" w:hAnsiTheme="minorHAnsi" w:cstheme="minorHAnsi"/>
        </w:rPr>
        <w:t>gimens are given as a guideline.</w:t>
      </w:r>
    </w:p>
    <w:p w14:paraId="7C804CA1" w14:textId="17D51AB6" w:rsidR="0050622C" w:rsidRPr="009A68EE" w:rsidRDefault="0050622C" w:rsidP="00A02ED3">
      <w:pPr>
        <w:jc w:val="left"/>
        <w:rPr>
          <w:rFonts w:asciiTheme="minorHAnsi" w:hAnsiTheme="minorHAnsi" w:cstheme="minorHAnsi"/>
        </w:rPr>
      </w:pPr>
      <w:r w:rsidRPr="009A68EE">
        <w:rPr>
          <w:rFonts w:asciiTheme="minorHAnsi" w:hAnsiTheme="minorHAnsi" w:cstheme="minorHAnsi"/>
        </w:rPr>
        <w:t>The dose regimen should achieve a trough level of IgG (measured before the next infusion) of at least 5 to 6 g/</w:t>
      </w:r>
      <w:r w:rsidR="00984A47" w:rsidRPr="009A68EE">
        <w:rPr>
          <w:rFonts w:asciiTheme="minorHAnsi" w:hAnsiTheme="minorHAnsi" w:cstheme="minorHAnsi"/>
        </w:rPr>
        <w:t>L</w:t>
      </w:r>
      <w:r w:rsidRPr="009A68EE">
        <w:rPr>
          <w:rFonts w:asciiTheme="minorHAnsi" w:hAnsiTheme="minorHAnsi" w:cstheme="minorHAnsi"/>
        </w:rPr>
        <w:t xml:space="preserve"> and aim to be within the reference interval of serum IgG for age. A loading dose of at least 0.2 to 0.5 g/kg (1.2 to 3.0 m</w:t>
      </w:r>
      <w:r w:rsidR="00984A47" w:rsidRPr="009A68EE">
        <w:rPr>
          <w:rFonts w:asciiTheme="minorHAnsi" w:hAnsiTheme="minorHAnsi" w:cstheme="minorHAnsi"/>
        </w:rPr>
        <w:t>L</w:t>
      </w:r>
      <w:r w:rsidRPr="009A68EE">
        <w:rPr>
          <w:rFonts w:asciiTheme="minorHAnsi" w:hAnsiTheme="minorHAnsi" w:cstheme="minorHAnsi"/>
        </w:rPr>
        <w:t>/kg) body weight may be required. This may need to be divided over several days.</w:t>
      </w:r>
    </w:p>
    <w:p w14:paraId="6108C408" w14:textId="2CA38EBE" w:rsidR="0050622C" w:rsidRPr="009A68EE" w:rsidRDefault="0050622C" w:rsidP="00A02ED3">
      <w:pPr>
        <w:jc w:val="left"/>
        <w:rPr>
          <w:rFonts w:asciiTheme="minorHAnsi" w:hAnsiTheme="minorHAnsi" w:cstheme="minorHAnsi"/>
        </w:rPr>
      </w:pPr>
      <w:r w:rsidRPr="009A68EE">
        <w:rPr>
          <w:rFonts w:asciiTheme="minorHAnsi" w:hAnsiTheme="minorHAnsi" w:cstheme="minorHAnsi"/>
        </w:rPr>
        <w:t>After steady state IgG levels have been attained, maintenance doses are administered at repeated intervals (approximately once per week) to reach a cumulative month</w:t>
      </w:r>
      <w:r w:rsidR="00DC079E" w:rsidRPr="009A68EE">
        <w:rPr>
          <w:rFonts w:asciiTheme="minorHAnsi" w:hAnsiTheme="minorHAnsi" w:cstheme="minorHAnsi"/>
        </w:rPr>
        <w:t>ly dose of the order of</w:t>
      </w:r>
      <w:r w:rsidR="00DC079E" w:rsidRPr="009A68EE">
        <w:rPr>
          <w:rFonts w:asciiTheme="minorHAnsi" w:hAnsiTheme="minorHAnsi" w:cstheme="minorHAnsi"/>
        </w:rPr>
        <w:br/>
      </w:r>
      <w:r w:rsidRPr="009A68EE">
        <w:rPr>
          <w:rFonts w:asciiTheme="minorHAnsi" w:hAnsiTheme="minorHAnsi" w:cstheme="minorHAnsi"/>
        </w:rPr>
        <w:t>0.4-0.8 g/kg (2.4 to 4.8 m</w:t>
      </w:r>
      <w:r w:rsidR="00984A47" w:rsidRPr="009A68EE">
        <w:rPr>
          <w:rFonts w:asciiTheme="minorHAnsi" w:hAnsiTheme="minorHAnsi" w:cstheme="minorHAnsi"/>
        </w:rPr>
        <w:t>L</w:t>
      </w:r>
      <w:r w:rsidR="00DE6291" w:rsidRPr="009A68EE">
        <w:rPr>
          <w:rFonts w:asciiTheme="minorHAnsi" w:hAnsiTheme="minorHAnsi" w:cstheme="minorHAnsi"/>
        </w:rPr>
        <w:t>/kg).</w:t>
      </w:r>
    </w:p>
    <w:p w14:paraId="5AE468A6" w14:textId="065FE4AF" w:rsidR="003A0176" w:rsidRPr="009A68EE" w:rsidRDefault="003A0176" w:rsidP="00A02ED3">
      <w:pPr>
        <w:jc w:val="left"/>
        <w:rPr>
          <w:rFonts w:asciiTheme="minorHAnsi" w:hAnsiTheme="minorHAnsi" w:cstheme="minorHAnsi"/>
        </w:rPr>
      </w:pPr>
      <w:r w:rsidRPr="009A68EE">
        <w:rPr>
          <w:rFonts w:asciiTheme="minorHAnsi" w:hAnsiTheme="minorHAnsi" w:cstheme="minorHAnsi"/>
        </w:rPr>
        <w:t xml:space="preserve">For </w:t>
      </w:r>
      <w:r w:rsidR="00035852" w:rsidRPr="009A68EE">
        <w:rPr>
          <w:rFonts w:asciiTheme="minorHAnsi" w:hAnsiTheme="minorHAnsi" w:cstheme="minorHAnsi"/>
        </w:rPr>
        <w:t>more frequent administration</w:t>
      </w:r>
      <w:r w:rsidRPr="009A68EE">
        <w:rPr>
          <w:rFonts w:asciiTheme="minorHAnsi" w:hAnsiTheme="minorHAnsi" w:cstheme="minorHAnsi"/>
        </w:rPr>
        <w:t xml:space="preserve"> than once per week, divide the calculated weekly dose by the desired number of administration</w:t>
      </w:r>
      <w:r w:rsidR="009B732E" w:rsidRPr="009A68EE">
        <w:rPr>
          <w:rFonts w:asciiTheme="minorHAnsi" w:hAnsiTheme="minorHAnsi" w:cstheme="minorHAnsi"/>
        </w:rPr>
        <w:t>s</w:t>
      </w:r>
      <w:r w:rsidRPr="009A68EE">
        <w:rPr>
          <w:rFonts w:asciiTheme="minorHAnsi" w:hAnsiTheme="minorHAnsi" w:cstheme="minorHAnsi"/>
        </w:rPr>
        <w:t xml:space="preserve"> per week (e.g. for 3 times per week dosing, divide weekly dose by 3).</w:t>
      </w:r>
      <w:r w:rsidR="00035852" w:rsidRPr="009A68EE">
        <w:rPr>
          <w:rFonts w:asciiTheme="minorHAnsi" w:hAnsiTheme="minorHAnsi" w:cstheme="minorHAnsi"/>
        </w:rPr>
        <w:t xml:space="preserve"> For administration every two weeks, double the weekly cutaquig® dose.</w:t>
      </w:r>
      <w:r w:rsidR="00FC4DFF">
        <w:rPr>
          <w:rFonts w:asciiTheme="minorHAnsi" w:hAnsiTheme="minorHAnsi" w:cstheme="minorHAnsi"/>
        </w:rPr>
        <w:t xml:space="preserve"> </w:t>
      </w:r>
      <w:r w:rsidR="00FC4DFF" w:rsidRPr="00FC4DFF">
        <w:t>Doubling the weekly dose of cutaquig® has not been evaluated in clinical studies; however, pharmacokinetic modelling suggests that similar trough levels can be achieved to that of single weekly doses.</w:t>
      </w:r>
    </w:p>
    <w:p w14:paraId="1555778D" w14:textId="500C0560" w:rsidR="00035852" w:rsidRPr="009A68EE" w:rsidRDefault="00035852" w:rsidP="00A02ED3">
      <w:pPr>
        <w:jc w:val="left"/>
        <w:rPr>
          <w:rFonts w:asciiTheme="minorHAnsi" w:hAnsiTheme="minorHAnsi" w:cstheme="minorHAnsi"/>
          <w:lang w:val="en-US"/>
        </w:rPr>
      </w:pPr>
      <w:r w:rsidRPr="009A68EE">
        <w:rPr>
          <w:rFonts w:asciiTheme="minorHAnsi" w:hAnsiTheme="minorHAnsi" w:cstheme="minorHAnsi"/>
        </w:rPr>
        <w:t>To convert the dose (in grams) to millilitres (mL), multiply the calculated dose (in grams) by 6</w:t>
      </w:r>
      <w:r w:rsidR="00DE6291" w:rsidRPr="009A68EE">
        <w:rPr>
          <w:rFonts w:asciiTheme="minorHAnsi" w:hAnsiTheme="minorHAnsi" w:cstheme="minorHAnsi"/>
        </w:rPr>
        <w:t>.</w:t>
      </w:r>
    </w:p>
    <w:p w14:paraId="28555760" w14:textId="5B86C1B2" w:rsidR="0050622C" w:rsidRPr="009A68EE" w:rsidRDefault="0050622C" w:rsidP="00A02ED3">
      <w:pPr>
        <w:jc w:val="left"/>
        <w:rPr>
          <w:rFonts w:asciiTheme="minorHAnsi" w:hAnsiTheme="minorHAnsi" w:cstheme="minorHAnsi"/>
        </w:rPr>
      </w:pPr>
      <w:r w:rsidRPr="009A68EE">
        <w:rPr>
          <w:rFonts w:asciiTheme="minorHAnsi" w:hAnsiTheme="minorHAnsi" w:cstheme="minorHAnsi"/>
        </w:rPr>
        <w:t xml:space="preserve">Trough levels should be measured and assessed in conjunction with the patient’s clinical response. Depending on the </w:t>
      </w:r>
      <w:r w:rsidR="003A0176" w:rsidRPr="009A68EE">
        <w:rPr>
          <w:rFonts w:asciiTheme="minorHAnsi" w:hAnsiTheme="minorHAnsi" w:cstheme="minorHAnsi"/>
        </w:rPr>
        <w:t xml:space="preserve">desired </w:t>
      </w:r>
      <w:r w:rsidRPr="009A68EE">
        <w:rPr>
          <w:rFonts w:asciiTheme="minorHAnsi" w:hAnsiTheme="minorHAnsi" w:cstheme="minorHAnsi"/>
        </w:rPr>
        <w:t>clinical response (e.g. infection rate), it may be necessary to increase the dose and aim for higher trough levels.</w:t>
      </w:r>
    </w:p>
    <w:p w14:paraId="6D05CA00" w14:textId="77777777" w:rsidR="0050622C" w:rsidRPr="009A68EE" w:rsidRDefault="0050622C" w:rsidP="00A02ED3">
      <w:pPr>
        <w:jc w:val="left"/>
        <w:rPr>
          <w:rFonts w:asciiTheme="minorHAnsi" w:hAnsiTheme="minorHAnsi" w:cstheme="minorHAnsi"/>
          <w:i/>
        </w:rPr>
      </w:pPr>
      <w:r w:rsidRPr="009A68EE">
        <w:rPr>
          <w:rFonts w:asciiTheme="minorHAnsi" w:hAnsiTheme="minorHAnsi" w:cstheme="minorHAnsi"/>
          <w:i/>
        </w:rPr>
        <w:t>Paediatric population</w:t>
      </w:r>
    </w:p>
    <w:p w14:paraId="122350D2" w14:textId="05FD8F4C" w:rsidR="0050622C" w:rsidRPr="009A68EE" w:rsidRDefault="00F5745A" w:rsidP="00A02ED3">
      <w:pPr>
        <w:jc w:val="left"/>
        <w:rPr>
          <w:rFonts w:asciiTheme="minorHAnsi" w:hAnsiTheme="minorHAnsi" w:cstheme="minorHAnsi"/>
        </w:rPr>
      </w:pPr>
      <w:r>
        <w:rPr>
          <w:rFonts w:asciiTheme="minorHAnsi" w:hAnsiTheme="minorHAnsi" w:cstheme="minorHAnsi"/>
        </w:rPr>
        <w:t>Cutaquig</w:t>
      </w:r>
      <w:r w:rsidRPr="009A68EE">
        <w:rPr>
          <w:rFonts w:asciiTheme="minorHAnsi" w:hAnsiTheme="minorHAnsi" w:cstheme="minorHAnsi"/>
        </w:rPr>
        <w:t>®</w:t>
      </w:r>
      <w:r>
        <w:rPr>
          <w:rFonts w:asciiTheme="minorHAnsi" w:hAnsiTheme="minorHAnsi" w:cstheme="minorHAnsi"/>
        </w:rPr>
        <w:t xml:space="preserve"> has not been studied in children under 2 years of age. </w:t>
      </w:r>
      <w:r w:rsidR="0050622C" w:rsidRPr="009A68EE">
        <w:rPr>
          <w:rFonts w:asciiTheme="minorHAnsi" w:hAnsiTheme="minorHAnsi" w:cstheme="minorHAnsi"/>
        </w:rPr>
        <w:t xml:space="preserve">The posology in children and adolescents (0-18 years) is not different to that of adults as the posology for each indication is given by body weight and adjusted to the clinical outcome in replacement therapy indications. </w:t>
      </w:r>
    </w:p>
    <w:p w14:paraId="6FE054A3" w14:textId="1A5F8295" w:rsidR="0050622C" w:rsidRPr="009A68EE" w:rsidRDefault="0050622C" w:rsidP="00A02ED3">
      <w:pPr>
        <w:jc w:val="left"/>
        <w:rPr>
          <w:rFonts w:asciiTheme="minorHAnsi" w:hAnsiTheme="minorHAnsi" w:cstheme="minorHAnsi"/>
        </w:rPr>
      </w:pPr>
      <w:r w:rsidRPr="009A68EE">
        <w:rPr>
          <w:rFonts w:asciiTheme="minorHAnsi" w:hAnsiTheme="minorHAnsi" w:cstheme="minorHAnsi"/>
        </w:rPr>
        <w:t>C</w:t>
      </w:r>
      <w:r w:rsidR="00DF5E08" w:rsidRPr="009A68EE">
        <w:rPr>
          <w:rFonts w:asciiTheme="minorHAnsi" w:hAnsiTheme="minorHAnsi" w:cstheme="minorHAnsi"/>
        </w:rPr>
        <w:t>utaquig®</w:t>
      </w:r>
      <w:r w:rsidRPr="009A68EE">
        <w:rPr>
          <w:rFonts w:asciiTheme="minorHAnsi" w:hAnsiTheme="minorHAnsi" w:cstheme="minorHAnsi"/>
        </w:rPr>
        <w:t xml:space="preserve"> was evaluated in 22 paediatric subjects (15 children [between 2 and &lt;12 years of age] and 7 adolescents [between 12 and &lt;16 years of age]) with primary immunodeficiency disease. No paediatric-specific dose requirements were necessary to achieve the desired serum IgG levels.</w:t>
      </w:r>
    </w:p>
    <w:p w14:paraId="073AF277" w14:textId="77777777" w:rsidR="002D2302" w:rsidRDefault="002D2302" w:rsidP="00A02ED3">
      <w:pPr>
        <w:jc w:val="left"/>
        <w:rPr>
          <w:rFonts w:asciiTheme="minorHAnsi" w:hAnsiTheme="minorHAnsi" w:cstheme="minorHAnsi"/>
          <w:i/>
          <w:lang w:val="en-US"/>
        </w:rPr>
      </w:pPr>
    </w:p>
    <w:p w14:paraId="7B746FDB" w14:textId="77777777" w:rsidR="002D2302" w:rsidRDefault="002D2302" w:rsidP="00A02ED3">
      <w:pPr>
        <w:jc w:val="left"/>
        <w:rPr>
          <w:rFonts w:asciiTheme="minorHAnsi" w:hAnsiTheme="minorHAnsi" w:cstheme="minorHAnsi"/>
          <w:i/>
          <w:lang w:val="en-US"/>
        </w:rPr>
      </w:pPr>
    </w:p>
    <w:p w14:paraId="3CF42057" w14:textId="77777777" w:rsidR="002D2302" w:rsidRDefault="002D2302" w:rsidP="00A02ED3">
      <w:pPr>
        <w:jc w:val="left"/>
        <w:rPr>
          <w:rFonts w:asciiTheme="minorHAnsi" w:hAnsiTheme="minorHAnsi" w:cstheme="minorHAnsi"/>
          <w:i/>
          <w:lang w:val="en-US"/>
        </w:rPr>
      </w:pPr>
    </w:p>
    <w:p w14:paraId="2790819E" w14:textId="77777777" w:rsidR="0050622C" w:rsidRPr="009A68EE" w:rsidRDefault="0050622C" w:rsidP="00A02ED3">
      <w:pPr>
        <w:jc w:val="left"/>
        <w:rPr>
          <w:rFonts w:asciiTheme="minorHAnsi" w:hAnsiTheme="minorHAnsi" w:cstheme="minorHAnsi"/>
          <w:i/>
          <w:lang w:val="en-US"/>
        </w:rPr>
      </w:pPr>
      <w:r w:rsidRPr="009A68EE">
        <w:rPr>
          <w:rFonts w:asciiTheme="minorHAnsi" w:hAnsiTheme="minorHAnsi" w:cstheme="minorHAnsi"/>
          <w:i/>
          <w:lang w:val="en-US"/>
        </w:rPr>
        <w:lastRenderedPageBreak/>
        <w:t>Elderly population</w:t>
      </w:r>
    </w:p>
    <w:p w14:paraId="6DC9497C" w14:textId="33127123" w:rsidR="0050622C" w:rsidRPr="009A68EE" w:rsidRDefault="0050622C" w:rsidP="00A02ED3">
      <w:pPr>
        <w:jc w:val="left"/>
        <w:rPr>
          <w:rFonts w:asciiTheme="minorHAnsi" w:hAnsiTheme="minorHAnsi" w:cstheme="minorHAnsi"/>
          <w:lang w:val="en-US"/>
        </w:rPr>
      </w:pPr>
      <w:r w:rsidRPr="009A68EE">
        <w:rPr>
          <w:rFonts w:asciiTheme="minorHAnsi" w:hAnsiTheme="minorHAnsi" w:cstheme="minorHAnsi"/>
          <w:lang w:val="en-US"/>
        </w:rPr>
        <w:t xml:space="preserve">As the dose is given by body weight and adjusted to the clinical outcome of the above-mentioned conditions, the dose in the elderly population is not considered to be different from that in </w:t>
      </w:r>
      <w:r w:rsidR="00DE6291" w:rsidRPr="009A68EE">
        <w:rPr>
          <w:rFonts w:asciiTheme="minorHAnsi" w:hAnsiTheme="minorHAnsi" w:cstheme="minorHAnsi"/>
          <w:lang w:val="en-US"/>
        </w:rPr>
        <w:t>subjects 18 to 65 years of age.</w:t>
      </w:r>
    </w:p>
    <w:p w14:paraId="5E151800" w14:textId="77777777" w:rsidR="006C0027" w:rsidRPr="009A68EE" w:rsidRDefault="004120C1" w:rsidP="00A02ED3">
      <w:pPr>
        <w:pStyle w:val="Heading4"/>
        <w:jc w:val="left"/>
        <w:rPr>
          <w:rFonts w:asciiTheme="minorHAnsi" w:hAnsiTheme="minorHAnsi" w:cstheme="minorHAnsi"/>
        </w:rPr>
      </w:pPr>
      <w:r w:rsidRPr="009A68EE">
        <w:rPr>
          <w:rFonts w:asciiTheme="minorHAnsi" w:hAnsiTheme="minorHAnsi" w:cstheme="minorHAnsi"/>
        </w:rPr>
        <w:t>Method of</w:t>
      </w:r>
      <w:r w:rsidR="00D913A2" w:rsidRPr="009A68EE">
        <w:rPr>
          <w:rFonts w:asciiTheme="minorHAnsi" w:hAnsiTheme="minorHAnsi" w:cstheme="minorHAnsi"/>
        </w:rPr>
        <w:t xml:space="preserve"> </w:t>
      </w:r>
      <w:r w:rsidR="004845B3" w:rsidRPr="009A68EE">
        <w:rPr>
          <w:rFonts w:asciiTheme="minorHAnsi" w:hAnsiTheme="minorHAnsi" w:cstheme="minorHAnsi"/>
        </w:rPr>
        <w:t>a</w:t>
      </w:r>
      <w:r w:rsidR="006C0027" w:rsidRPr="009A68EE">
        <w:rPr>
          <w:rFonts w:asciiTheme="minorHAnsi" w:hAnsiTheme="minorHAnsi" w:cstheme="minorHAnsi"/>
        </w:rPr>
        <w:t>dministration</w:t>
      </w:r>
    </w:p>
    <w:p w14:paraId="6A469EE0" w14:textId="5F630E8A" w:rsidR="00377724" w:rsidRPr="009A68EE" w:rsidRDefault="00377724" w:rsidP="00A02ED3">
      <w:pPr>
        <w:jc w:val="left"/>
        <w:rPr>
          <w:rFonts w:asciiTheme="minorHAnsi" w:hAnsiTheme="minorHAnsi" w:cstheme="minorHAnsi"/>
        </w:rPr>
      </w:pPr>
      <w:r w:rsidRPr="009A68EE">
        <w:rPr>
          <w:rFonts w:asciiTheme="minorHAnsi" w:hAnsiTheme="minorHAnsi" w:cstheme="minorHAnsi"/>
        </w:rPr>
        <w:t>For subcutaneous use only. C</w:t>
      </w:r>
      <w:r w:rsidR="00DF5E08" w:rsidRPr="009A68EE">
        <w:rPr>
          <w:rFonts w:asciiTheme="minorHAnsi" w:hAnsiTheme="minorHAnsi" w:cstheme="minorHAnsi"/>
        </w:rPr>
        <w:t>utaquig®</w:t>
      </w:r>
      <w:r w:rsidRPr="009A68EE">
        <w:rPr>
          <w:rFonts w:asciiTheme="minorHAnsi" w:hAnsiTheme="minorHAnsi" w:cstheme="minorHAnsi"/>
        </w:rPr>
        <w:t xml:space="preserve"> must not be administered intravenously.</w:t>
      </w:r>
    </w:p>
    <w:p w14:paraId="3249E047" w14:textId="66FE2EFF" w:rsidR="00377724" w:rsidRPr="009A68EE" w:rsidRDefault="00377724" w:rsidP="00A02ED3">
      <w:pPr>
        <w:jc w:val="left"/>
        <w:rPr>
          <w:rFonts w:asciiTheme="minorHAnsi" w:hAnsiTheme="minorHAnsi" w:cstheme="minorHAnsi"/>
          <w:lang w:val="en-US"/>
        </w:rPr>
      </w:pPr>
      <w:r w:rsidRPr="009A68EE">
        <w:rPr>
          <w:rFonts w:asciiTheme="minorHAnsi" w:hAnsiTheme="minorHAnsi" w:cstheme="minorHAnsi"/>
          <w:lang w:val="en-US"/>
        </w:rPr>
        <w:t xml:space="preserve">Subcutaneous infusion for home treatment should be initiated and monitored by a healthcare professional experienced in the guidance of patients for home treatment. The patient and/or a caregiver must be instructed in the subcutaneous infusion techniques, aseptic handling technique, the keeping of a treatment diary, </w:t>
      </w:r>
      <w:r w:rsidR="008F5F7F">
        <w:rPr>
          <w:rFonts w:asciiTheme="minorHAnsi" w:hAnsiTheme="minorHAnsi" w:cstheme="minorHAnsi"/>
          <w:lang w:val="en-US"/>
        </w:rPr>
        <w:t xml:space="preserve">and </w:t>
      </w:r>
      <w:r w:rsidRPr="009A68EE">
        <w:rPr>
          <w:rFonts w:asciiTheme="minorHAnsi" w:hAnsiTheme="minorHAnsi" w:cstheme="minorHAnsi"/>
          <w:lang w:val="en-US"/>
        </w:rPr>
        <w:t>recognition of and measures to be taken in case of severe adverse reactions.</w:t>
      </w:r>
    </w:p>
    <w:p w14:paraId="23F4ED1C" w14:textId="7C23159E" w:rsidR="005A3CE3" w:rsidRDefault="00377724" w:rsidP="00A02ED3">
      <w:pPr>
        <w:jc w:val="left"/>
        <w:rPr>
          <w:rFonts w:asciiTheme="minorHAnsi" w:hAnsiTheme="minorHAnsi" w:cstheme="minorHAnsi"/>
        </w:rPr>
      </w:pPr>
      <w:r w:rsidRPr="009A68EE">
        <w:rPr>
          <w:rFonts w:asciiTheme="minorHAnsi" w:hAnsiTheme="minorHAnsi" w:cstheme="minorHAnsi"/>
        </w:rPr>
        <w:t>C</w:t>
      </w:r>
      <w:r w:rsidR="00DF5E08" w:rsidRPr="009A68EE">
        <w:rPr>
          <w:rFonts w:asciiTheme="minorHAnsi" w:hAnsiTheme="minorHAnsi" w:cstheme="minorHAnsi"/>
        </w:rPr>
        <w:t>utaquig®</w:t>
      </w:r>
      <w:r w:rsidRPr="009A68EE">
        <w:rPr>
          <w:rFonts w:asciiTheme="minorHAnsi" w:hAnsiTheme="minorHAnsi" w:cstheme="minorHAnsi"/>
        </w:rPr>
        <w:t xml:space="preserve"> should be </w:t>
      </w:r>
      <w:r w:rsidR="008F5F7F">
        <w:rPr>
          <w:rFonts w:asciiTheme="minorHAnsi" w:hAnsiTheme="minorHAnsi" w:cstheme="minorHAnsi"/>
        </w:rPr>
        <w:t>brought to</w:t>
      </w:r>
      <w:r w:rsidR="008F5F7F" w:rsidRPr="009A68EE">
        <w:rPr>
          <w:rFonts w:asciiTheme="minorHAnsi" w:hAnsiTheme="minorHAnsi" w:cstheme="minorHAnsi"/>
        </w:rPr>
        <w:t xml:space="preserve"> </w:t>
      </w:r>
      <w:r w:rsidRPr="009A68EE">
        <w:rPr>
          <w:rFonts w:asciiTheme="minorHAnsi" w:hAnsiTheme="minorHAnsi" w:cstheme="minorHAnsi"/>
        </w:rPr>
        <w:t>room temperature before use.</w:t>
      </w:r>
    </w:p>
    <w:p w14:paraId="27B44C7F" w14:textId="5F2A2AE0" w:rsidR="00A26806" w:rsidRPr="009A68EE" w:rsidRDefault="00A26806" w:rsidP="00A02ED3">
      <w:pPr>
        <w:jc w:val="left"/>
        <w:rPr>
          <w:rFonts w:asciiTheme="minorHAnsi" w:hAnsiTheme="minorHAnsi" w:cstheme="minorHAnsi"/>
        </w:rPr>
      </w:pPr>
      <w:r>
        <w:rPr>
          <w:lang w:val="pt-PT"/>
        </w:rPr>
        <w:t>Cutaquig</w:t>
      </w:r>
      <w:r w:rsidRPr="00D60837">
        <w:rPr>
          <w:rFonts w:cs="Calibri"/>
          <w:lang w:val="pt-PT"/>
        </w:rPr>
        <w:t xml:space="preserve">® </w:t>
      </w:r>
      <w:r w:rsidRPr="00D60837">
        <w:rPr>
          <w:lang w:val="pt-PT"/>
        </w:rPr>
        <w:t xml:space="preserve">contains no antimicrobial agent. </w:t>
      </w:r>
      <w:r w:rsidRPr="00345988">
        <w:t>Once the container has been opened the contents should be used immediately. Product is for single use in one patient only.</w:t>
      </w:r>
      <w:r w:rsidR="00061476">
        <w:t xml:space="preserve"> Discard any residue.</w:t>
      </w:r>
    </w:p>
    <w:p w14:paraId="11919015" w14:textId="4A832878" w:rsidR="00377724" w:rsidRPr="009A68EE" w:rsidRDefault="00377724" w:rsidP="00A02ED3">
      <w:pPr>
        <w:jc w:val="left"/>
        <w:rPr>
          <w:rFonts w:asciiTheme="minorHAnsi" w:hAnsiTheme="minorHAnsi" w:cstheme="minorHAnsi"/>
        </w:rPr>
      </w:pPr>
      <w:r w:rsidRPr="009A68EE">
        <w:rPr>
          <w:rFonts w:asciiTheme="minorHAnsi" w:hAnsiTheme="minorHAnsi" w:cstheme="minorHAnsi"/>
        </w:rPr>
        <w:t>C</w:t>
      </w:r>
      <w:r w:rsidR="00DF5E08" w:rsidRPr="009A68EE">
        <w:rPr>
          <w:rFonts w:asciiTheme="minorHAnsi" w:hAnsiTheme="minorHAnsi" w:cstheme="minorHAnsi"/>
        </w:rPr>
        <w:t>utaquig®</w:t>
      </w:r>
      <w:r w:rsidRPr="009A68EE">
        <w:rPr>
          <w:rFonts w:asciiTheme="minorHAnsi" w:hAnsiTheme="minorHAnsi" w:cstheme="minorHAnsi"/>
        </w:rPr>
        <w:t xml:space="preserve"> may be injected into sites such as abdomen, thigh, upper arm, and lateral hip.</w:t>
      </w:r>
      <w:r w:rsidR="00B92F2D" w:rsidRPr="009A68EE">
        <w:rPr>
          <w:rFonts w:asciiTheme="minorHAnsi" w:hAnsiTheme="minorHAnsi" w:cstheme="minorHAnsi"/>
        </w:rPr>
        <w:t xml:space="preserve"> The volume of product infused into a particular site may vary.</w:t>
      </w:r>
    </w:p>
    <w:p w14:paraId="1515F31C" w14:textId="5C12489D" w:rsidR="00BE38AB" w:rsidRPr="009A68EE" w:rsidRDefault="003A0176" w:rsidP="00A02ED3">
      <w:pPr>
        <w:jc w:val="left"/>
        <w:rPr>
          <w:rFonts w:asciiTheme="minorHAnsi" w:hAnsiTheme="minorHAnsi" w:cstheme="minorHAnsi"/>
        </w:rPr>
      </w:pPr>
      <w:r w:rsidRPr="009A68EE">
        <w:rPr>
          <w:rFonts w:asciiTheme="minorHAnsi" w:hAnsiTheme="minorHAnsi" w:cstheme="minorHAnsi"/>
        </w:rPr>
        <w:t>Infusion recommendations for</w:t>
      </w:r>
      <w:r w:rsidR="00BE38AB" w:rsidRPr="009A68EE">
        <w:rPr>
          <w:rFonts w:asciiTheme="minorHAnsi" w:hAnsiTheme="minorHAnsi" w:cstheme="minorHAnsi"/>
        </w:rPr>
        <w:t xml:space="preserve"> subcutaneous infusions using a pump</w:t>
      </w:r>
      <w:r w:rsidR="008F5F7F">
        <w:rPr>
          <w:rFonts w:asciiTheme="minorHAnsi" w:hAnsiTheme="minorHAnsi" w:cstheme="minorHAnsi"/>
        </w:rPr>
        <w:t>:</w:t>
      </w:r>
      <w:r w:rsidRPr="009A68EE">
        <w:rPr>
          <w:rFonts w:asciiTheme="minorHAnsi" w:hAnsiTheme="minorHAnsi" w:cstheme="minorHAnsi"/>
        </w:rPr>
        <w:t xml:space="preserve"> </w:t>
      </w:r>
    </w:p>
    <w:tbl>
      <w:tblPr>
        <w:tblStyle w:val="TableGrid"/>
        <w:tblW w:w="0" w:type="auto"/>
        <w:tblInd w:w="130" w:type="dxa"/>
        <w:tblLook w:val="04A0" w:firstRow="1" w:lastRow="0" w:firstColumn="1" w:lastColumn="0" w:noHBand="0" w:noVBand="1"/>
      </w:tblPr>
      <w:tblGrid>
        <w:gridCol w:w="1649"/>
        <w:gridCol w:w="7237"/>
      </w:tblGrid>
      <w:tr w:rsidR="00BE38AB" w:rsidRPr="009A68EE" w14:paraId="2456442C" w14:textId="77777777" w:rsidTr="00DE6291">
        <w:trPr>
          <w:trHeight w:val="1515"/>
        </w:trPr>
        <w:tc>
          <w:tcPr>
            <w:tcW w:w="1687" w:type="dxa"/>
            <w:vAlign w:val="center"/>
          </w:tcPr>
          <w:p w14:paraId="2B8190B5" w14:textId="77777777" w:rsidR="00BE38AB" w:rsidRPr="009A68EE" w:rsidRDefault="00BE38AB" w:rsidP="00A02ED3">
            <w:pPr>
              <w:keepNext/>
              <w:widowControl w:val="0"/>
              <w:jc w:val="left"/>
              <w:rPr>
                <w:rFonts w:asciiTheme="minorHAnsi" w:hAnsiTheme="minorHAnsi" w:cstheme="minorHAnsi"/>
                <w:szCs w:val="24"/>
                <w:lang w:val="en-CA"/>
              </w:rPr>
            </w:pPr>
            <w:r w:rsidRPr="009A68EE">
              <w:rPr>
                <w:rFonts w:asciiTheme="minorHAnsi" w:hAnsiTheme="minorHAnsi" w:cstheme="minorHAnsi"/>
                <w:szCs w:val="24"/>
                <w:lang w:val="en-CA"/>
              </w:rPr>
              <w:t>Volume</w:t>
            </w:r>
          </w:p>
        </w:tc>
        <w:tc>
          <w:tcPr>
            <w:tcW w:w="7533" w:type="dxa"/>
            <w:vAlign w:val="center"/>
          </w:tcPr>
          <w:p w14:paraId="2499336B" w14:textId="16BA0B22" w:rsidR="00BE38AB" w:rsidRPr="009A68EE" w:rsidRDefault="003A0176" w:rsidP="00A02ED3">
            <w:pPr>
              <w:spacing w:after="0"/>
              <w:jc w:val="left"/>
              <w:rPr>
                <w:rFonts w:asciiTheme="minorHAnsi" w:hAnsiTheme="minorHAnsi" w:cstheme="minorHAnsi"/>
                <w:lang w:val="en-CA"/>
              </w:rPr>
            </w:pPr>
            <w:r w:rsidRPr="009A68EE">
              <w:rPr>
                <w:rFonts w:asciiTheme="minorHAnsi" w:eastAsia="Calibri" w:hAnsiTheme="minorHAnsi" w:cstheme="minorHAnsi"/>
                <w:lang w:val="en-US"/>
              </w:rPr>
              <w:t>If large doses are administered (&gt;15 mL in children and &gt;30 mL in adults) it may be advisable to divide and infuse the dose into multiple sites. There is no limit to number of infusion sites in parallel. Infusions site should be at least 5 cm apart.</w:t>
            </w:r>
          </w:p>
        </w:tc>
      </w:tr>
      <w:tr w:rsidR="00BE38AB" w:rsidRPr="009A68EE" w14:paraId="673EEF5D" w14:textId="77777777" w:rsidTr="00DE6291">
        <w:trPr>
          <w:trHeight w:val="1830"/>
        </w:trPr>
        <w:tc>
          <w:tcPr>
            <w:tcW w:w="1687" w:type="dxa"/>
            <w:vAlign w:val="center"/>
          </w:tcPr>
          <w:p w14:paraId="1C821D95" w14:textId="77777777" w:rsidR="00BE38AB" w:rsidRPr="009A68EE" w:rsidRDefault="00BE38AB" w:rsidP="00A02ED3">
            <w:pPr>
              <w:keepNext/>
              <w:widowControl w:val="0"/>
              <w:jc w:val="left"/>
              <w:rPr>
                <w:rFonts w:asciiTheme="minorHAnsi" w:hAnsiTheme="minorHAnsi" w:cstheme="minorHAnsi"/>
                <w:szCs w:val="24"/>
                <w:lang w:val="en-CA"/>
              </w:rPr>
            </w:pPr>
            <w:r w:rsidRPr="009A68EE">
              <w:rPr>
                <w:rFonts w:asciiTheme="minorHAnsi" w:hAnsiTheme="minorHAnsi" w:cstheme="minorHAnsi"/>
                <w:szCs w:val="24"/>
                <w:lang w:val="en-CA"/>
              </w:rPr>
              <w:t>Rate</w:t>
            </w:r>
          </w:p>
        </w:tc>
        <w:tc>
          <w:tcPr>
            <w:tcW w:w="7533" w:type="dxa"/>
            <w:vAlign w:val="center"/>
          </w:tcPr>
          <w:p w14:paraId="00401FBC" w14:textId="294C375C" w:rsidR="003A0176" w:rsidRPr="009A68EE" w:rsidRDefault="00BE38AB" w:rsidP="00A02ED3">
            <w:pPr>
              <w:spacing w:after="0"/>
              <w:jc w:val="left"/>
              <w:rPr>
                <w:rFonts w:asciiTheme="minorHAnsi" w:eastAsia="Calibri" w:hAnsiTheme="minorHAnsi" w:cstheme="minorHAnsi"/>
                <w:lang w:val="en-US"/>
              </w:rPr>
            </w:pPr>
            <w:r w:rsidRPr="009A68EE">
              <w:rPr>
                <w:rFonts w:asciiTheme="minorHAnsi" w:eastAsia="Calibri" w:hAnsiTheme="minorHAnsi" w:cstheme="minorHAnsi"/>
                <w:u w:val="single"/>
                <w:lang w:val="en-US"/>
              </w:rPr>
              <w:t>Maximum recommended flow rates per hour per infusion site</w:t>
            </w:r>
            <w:r w:rsidRPr="009A68EE">
              <w:rPr>
                <w:rFonts w:asciiTheme="minorHAnsi" w:eastAsia="Calibri" w:hAnsiTheme="minorHAnsi" w:cstheme="minorHAnsi"/>
                <w:lang w:val="en-US"/>
              </w:rPr>
              <w:t xml:space="preserve"> are as follows:</w:t>
            </w:r>
          </w:p>
          <w:p w14:paraId="431C8692" w14:textId="7BF4BF89" w:rsidR="00BE38AB" w:rsidRPr="009A68EE" w:rsidRDefault="00BE38AB" w:rsidP="00A02ED3">
            <w:pPr>
              <w:spacing w:after="0"/>
              <w:jc w:val="left"/>
              <w:rPr>
                <w:rFonts w:asciiTheme="minorHAnsi" w:eastAsia="Calibri" w:hAnsiTheme="minorHAnsi" w:cstheme="minorHAnsi"/>
                <w:lang w:val="en-US"/>
              </w:rPr>
            </w:pPr>
            <w:r w:rsidRPr="009A68EE">
              <w:rPr>
                <w:rFonts w:asciiTheme="minorHAnsi" w:eastAsia="Calibri" w:hAnsiTheme="minorHAnsi" w:cstheme="minorHAnsi"/>
                <w:u w:val="single"/>
                <w:lang w:val="en-US"/>
              </w:rPr>
              <w:t>Initial infusion/s</w:t>
            </w:r>
            <w:r w:rsidRPr="009A68EE">
              <w:rPr>
                <w:rFonts w:asciiTheme="minorHAnsi" w:eastAsia="Calibri" w:hAnsiTheme="minorHAnsi" w:cstheme="minorHAnsi"/>
                <w:lang w:val="en-US"/>
              </w:rPr>
              <w:t>: 15-20 mL per hour per site.</w:t>
            </w:r>
          </w:p>
          <w:p w14:paraId="38635A6B" w14:textId="5F7E072A" w:rsidR="00BE38AB" w:rsidRPr="009A68EE" w:rsidRDefault="00B92F2D" w:rsidP="00A02ED3">
            <w:pPr>
              <w:spacing w:after="0"/>
              <w:jc w:val="left"/>
              <w:rPr>
                <w:rFonts w:asciiTheme="minorHAnsi" w:eastAsia="Calibri" w:hAnsiTheme="minorHAnsi" w:cstheme="minorHAnsi"/>
                <w:lang w:val="en-US"/>
              </w:rPr>
            </w:pPr>
            <w:r w:rsidRPr="009A68EE">
              <w:rPr>
                <w:rFonts w:asciiTheme="minorHAnsi" w:eastAsia="Calibri" w:hAnsiTheme="minorHAnsi" w:cstheme="minorHAnsi"/>
                <w:u w:val="single"/>
                <w:lang w:val="en-US"/>
              </w:rPr>
              <w:t>Subsequent infusions:</w:t>
            </w:r>
            <w:r w:rsidRPr="009A68EE">
              <w:rPr>
                <w:rFonts w:asciiTheme="minorHAnsi" w:eastAsia="Calibri" w:hAnsiTheme="minorHAnsi" w:cstheme="minorHAnsi"/>
                <w:lang w:val="en-US"/>
              </w:rPr>
              <w:t xml:space="preserve"> </w:t>
            </w:r>
            <w:r w:rsidR="00BE38AB" w:rsidRPr="009A68EE">
              <w:rPr>
                <w:rFonts w:asciiTheme="minorHAnsi" w:eastAsia="Calibri" w:hAnsiTheme="minorHAnsi" w:cstheme="minorHAnsi"/>
                <w:lang w:val="en-US"/>
              </w:rPr>
              <w:t>If well tolerated</w:t>
            </w:r>
            <w:r w:rsidR="008F5F7F">
              <w:rPr>
                <w:rFonts w:asciiTheme="minorHAnsi" w:eastAsia="Calibri" w:hAnsiTheme="minorHAnsi" w:cstheme="minorHAnsi"/>
                <w:lang w:val="en-US"/>
              </w:rPr>
              <w:t>,</w:t>
            </w:r>
            <w:r w:rsidR="00BE38AB" w:rsidRPr="009A68EE">
              <w:rPr>
                <w:rFonts w:asciiTheme="minorHAnsi" w:eastAsia="Calibri" w:hAnsiTheme="minorHAnsi" w:cstheme="minorHAnsi"/>
                <w:lang w:val="en-US"/>
              </w:rPr>
              <w:t xml:space="preserve"> </w:t>
            </w:r>
            <w:r w:rsidR="003A0176" w:rsidRPr="009A68EE">
              <w:rPr>
                <w:rFonts w:asciiTheme="minorHAnsi" w:eastAsia="Calibri" w:hAnsiTheme="minorHAnsi" w:cstheme="minorHAnsi"/>
                <w:lang w:val="en-US"/>
              </w:rPr>
              <w:t>increase to</w:t>
            </w:r>
            <w:r w:rsidR="00BE38AB" w:rsidRPr="009A68EE">
              <w:rPr>
                <w:rFonts w:asciiTheme="minorHAnsi" w:eastAsia="Calibri" w:hAnsiTheme="minorHAnsi" w:cstheme="minorHAnsi"/>
                <w:lang w:val="en-US"/>
              </w:rPr>
              <w:t xml:space="preserve"> 25 mL per hour per site.</w:t>
            </w:r>
          </w:p>
          <w:p w14:paraId="4E0D172D" w14:textId="018FA22D" w:rsidR="00BE38AB" w:rsidRPr="009A68EE" w:rsidRDefault="003A0176" w:rsidP="00A02ED3">
            <w:pPr>
              <w:spacing w:after="0"/>
              <w:jc w:val="left"/>
              <w:rPr>
                <w:rFonts w:asciiTheme="minorHAnsi" w:eastAsia="Calibri" w:hAnsiTheme="minorHAnsi" w:cstheme="minorHAnsi"/>
                <w:lang w:val="en-US"/>
              </w:rPr>
            </w:pPr>
            <w:r w:rsidRPr="009A68EE">
              <w:rPr>
                <w:rFonts w:asciiTheme="minorHAnsi" w:eastAsia="Calibri" w:hAnsiTheme="minorHAnsi" w:cstheme="minorHAnsi"/>
                <w:lang w:val="en-US"/>
              </w:rPr>
              <w:t>Thereafter the infusion rate can be further increased as per patient tolerability.</w:t>
            </w:r>
          </w:p>
        </w:tc>
      </w:tr>
    </w:tbl>
    <w:p w14:paraId="061C418E" w14:textId="370E1463" w:rsidR="00BE38AB" w:rsidRPr="009A68EE" w:rsidRDefault="00BE38AB" w:rsidP="00A02ED3">
      <w:pPr>
        <w:spacing w:after="0"/>
        <w:jc w:val="left"/>
        <w:rPr>
          <w:rFonts w:asciiTheme="minorHAnsi" w:hAnsiTheme="minorHAnsi" w:cstheme="minorHAnsi"/>
        </w:rPr>
      </w:pPr>
    </w:p>
    <w:p w14:paraId="7DB1D805" w14:textId="44788B1F" w:rsidR="00BE38AB" w:rsidRPr="009A68EE" w:rsidRDefault="00BE38AB" w:rsidP="00A02ED3">
      <w:pPr>
        <w:jc w:val="left"/>
        <w:rPr>
          <w:rFonts w:asciiTheme="minorHAnsi" w:hAnsiTheme="minorHAnsi" w:cstheme="minorHAnsi"/>
        </w:rPr>
      </w:pPr>
      <w:r w:rsidRPr="009A68EE">
        <w:rPr>
          <w:rFonts w:asciiTheme="minorHAnsi" w:hAnsiTheme="minorHAnsi" w:cstheme="minorHAnsi"/>
        </w:rPr>
        <w:t>For subcutaneous infusion using a syringe via manual push</w:t>
      </w:r>
      <w:r w:rsidR="008F5F7F">
        <w:rPr>
          <w:rFonts w:asciiTheme="minorHAnsi" w:hAnsiTheme="minorHAnsi" w:cstheme="minorHAnsi"/>
        </w:rPr>
        <w:t>:</w:t>
      </w:r>
    </w:p>
    <w:tbl>
      <w:tblPr>
        <w:tblStyle w:val="TableGrid"/>
        <w:tblW w:w="0" w:type="auto"/>
        <w:tblInd w:w="130" w:type="dxa"/>
        <w:tblLook w:val="04A0" w:firstRow="1" w:lastRow="0" w:firstColumn="1" w:lastColumn="0" w:noHBand="0" w:noVBand="1"/>
      </w:tblPr>
      <w:tblGrid>
        <w:gridCol w:w="1649"/>
        <w:gridCol w:w="7237"/>
      </w:tblGrid>
      <w:tr w:rsidR="00BE38AB" w:rsidRPr="009A68EE" w14:paraId="0E484F56" w14:textId="77777777" w:rsidTr="00DE6291">
        <w:trPr>
          <w:trHeight w:val="1433"/>
        </w:trPr>
        <w:tc>
          <w:tcPr>
            <w:tcW w:w="1687" w:type="dxa"/>
            <w:vAlign w:val="center"/>
          </w:tcPr>
          <w:p w14:paraId="0806E4D3" w14:textId="77777777" w:rsidR="00BE38AB" w:rsidRPr="009A68EE" w:rsidRDefault="00BE38AB" w:rsidP="00A02ED3">
            <w:pPr>
              <w:keepNext/>
              <w:widowControl w:val="0"/>
              <w:jc w:val="left"/>
              <w:rPr>
                <w:rFonts w:asciiTheme="minorHAnsi" w:hAnsiTheme="minorHAnsi" w:cstheme="minorHAnsi"/>
                <w:lang w:val="en-CA"/>
              </w:rPr>
            </w:pPr>
            <w:r w:rsidRPr="009A68EE">
              <w:rPr>
                <w:rFonts w:asciiTheme="minorHAnsi" w:hAnsiTheme="minorHAnsi" w:cstheme="minorHAnsi"/>
                <w:lang w:val="en-CA"/>
              </w:rPr>
              <w:t>Volume</w:t>
            </w:r>
          </w:p>
        </w:tc>
        <w:tc>
          <w:tcPr>
            <w:tcW w:w="7533" w:type="dxa"/>
            <w:vAlign w:val="center"/>
          </w:tcPr>
          <w:p w14:paraId="0B85277B" w14:textId="194BC7A0" w:rsidR="00BE38AB" w:rsidRPr="009A68EE" w:rsidRDefault="003A0176" w:rsidP="00A02ED3">
            <w:pPr>
              <w:spacing w:after="0"/>
              <w:jc w:val="left"/>
              <w:rPr>
                <w:rFonts w:asciiTheme="minorHAnsi" w:hAnsiTheme="minorHAnsi" w:cstheme="minorHAnsi"/>
                <w:lang w:val="en-US"/>
              </w:rPr>
            </w:pPr>
            <w:r w:rsidRPr="009A68EE">
              <w:rPr>
                <w:rFonts w:asciiTheme="minorHAnsi" w:eastAsia="Calibri" w:hAnsiTheme="minorHAnsi" w:cstheme="minorHAnsi"/>
                <w:lang w:val="en-US"/>
              </w:rPr>
              <w:t>If large doses are administered (&gt;15 mL in children and &gt;30 mL in adults) it may be advisable to divide and infuse the dose into multiple sites. There is no limit to number of infusion sites in parallel. Infusions site should be at least 5 cm apart.</w:t>
            </w:r>
          </w:p>
        </w:tc>
      </w:tr>
      <w:tr w:rsidR="00BE38AB" w:rsidRPr="009A68EE" w14:paraId="7E4EDB47" w14:textId="77777777" w:rsidTr="00F06231">
        <w:trPr>
          <w:trHeight w:val="784"/>
        </w:trPr>
        <w:tc>
          <w:tcPr>
            <w:tcW w:w="1687" w:type="dxa"/>
            <w:vAlign w:val="center"/>
          </w:tcPr>
          <w:p w14:paraId="07184BD2" w14:textId="77777777" w:rsidR="00BE38AB" w:rsidRPr="009A68EE" w:rsidRDefault="00BE38AB" w:rsidP="00A02ED3">
            <w:pPr>
              <w:keepNext/>
              <w:widowControl w:val="0"/>
              <w:jc w:val="left"/>
              <w:rPr>
                <w:rFonts w:asciiTheme="minorHAnsi" w:hAnsiTheme="minorHAnsi" w:cstheme="minorHAnsi"/>
                <w:lang w:val="en-CA"/>
              </w:rPr>
            </w:pPr>
            <w:r w:rsidRPr="009A68EE">
              <w:rPr>
                <w:rFonts w:asciiTheme="minorHAnsi" w:hAnsiTheme="minorHAnsi" w:cstheme="minorHAnsi"/>
                <w:lang w:val="en-CA"/>
              </w:rPr>
              <w:t>Rate</w:t>
            </w:r>
          </w:p>
        </w:tc>
        <w:tc>
          <w:tcPr>
            <w:tcW w:w="7533" w:type="dxa"/>
            <w:vAlign w:val="center"/>
          </w:tcPr>
          <w:p w14:paraId="4A2165E5" w14:textId="77777777" w:rsidR="00BE38AB" w:rsidRPr="009A68EE" w:rsidRDefault="00BE38AB" w:rsidP="00A02ED3">
            <w:pPr>
              <w:pStyle w:val="Default"/>
              <w:keepNext/>
              <w:rPr>
                <w:rFonts w:asciiTheme="minorHAnsi" w:hAnsiTheme="minorHAnsi" w:cstheme="minorHAnsi"/>
                <w:sz w:val="22"/>
                <w:szCs w:val="22"/>
                <w:lang w:val="en-US"/>
              </w:rPr>
            </w:pPr>
            <w:r w:rsidRPr="009A68EE">
              <w:rPr>
                <w:rFonts w:asciiTheme="minorHAnsi" w:hAnsiTheme="minorHAnsi" w:cstheme="minorHAnsi"/>
                <w:sz w:val="22"/>
                <w:szCs w:val="22"/>
                <w:lang w:val="en-US"/>
              </w:rPr>
              <w:t xml:space="preserve">Proposed maximum infusion rate is approximately 1-2 mL/min </w:t>
            </w:r>
            <w:r w:rsidRPr="009A68EE">
              <w:rPr>
                <w:rFonts w:asciiTheme="minorHAnsi" w:hAnsiTheme="minorHAnsi" w:cstheme="minorHAnsi"/>
                <w:sz w:val="22"/>
                <w:szCs w:val="22"/>
                <w:lang w:val="en-US"/>
              </w:rPr>
              <w:br/>
              <w:t>(60-120 mL/hour).</w:t>
            </w:r>
          </w:p>
        </w:tc>
      </w:tr>
    </w:tbl>
    <w:p w14:paraId="2AB94249" w14:textId="77777777" w:rsidR="00BE38AB" w:rsidRPr="009A68EE" w:rsidRDefault="00BE38AB" w:rsidP="00A02ED3">
      <w:pPr>
        <w:jc w:val="left"/>
        <w:rPr>
          <w:rFonts w:asciiTheme="minorHAnsi" w:hAnsiTheme="minorHAnsi" w:cstheme="minorHAnsi"/>
        </w:rPr>
      </w:pPr>
    </w:p>
    <w:p w14:paraId="50DF7DB3" w14:textId="77777777" w:rsidR="001A3992" w:rsidRPr="009A68EE" w:rsidRDefault="001A3992" w:rsidP="00A02ED3">
      <w:pPr>
        <w:pStyle w:val="Heading2"/>
        <w:spacing w:before="0" w:after="120"/>
        <w:jc w:val="left"/>
        <w:rPr>
          <w:rFonts w:asciiTheme="minorHAnsi" w:hAnsiTheme="minorHAnsi" w:cstheme="minorHAnsi"/>
        </w:rPr>
      </w:pPr>
      <w:r w:rsidRPr="009A68EE">
        <w:rPr>
          <w:rFonts w:asciiTheme="minorHAnsi" w:hAnsiTheme="minorHAnsi" w:cstheme="minorHAnsi"/>
        </w:rPr>
        <w:t>Contraindications</w:t>
      </w:r>
    </w:p>
    <w:p w14:paraId="28E61977" w14:textId="3450F46B" w:rsidR="00377724" w:rsidRPr="00EE348D" w:rsidRDefault="00377724" w:rsidP="00A02ED3">
      <w:pPr>
        <w:pStyle w:val="ListBullet2"/>
        <w:jc w:val="left"/>
        <w:rPr>
          <w:rFonts w:asciiTheme="minorHAnsi" w:hAnsiTheme="minorHAnsi" w:cstheme="minorHAnsi"/>
          <w:lang w:val="en-US"/>
        </w:rPr>
      </w:pPr>
      <w:r w:rsidRPr="009A68EE">
        <w:rPr>
          <w:rFonts w:asciiTheme="minorHAnsi" w:hAnsiTheme="minorHAnsi" w:cstheme="minorHAnsi"/>
          <w:lang w:val="en-US"/>
        </w:rPr>
        <w:t xml:space="preserve">Hypersensitivity to the active substance or to any of the excipients listed in </w:t>
      </w:r>
      <w:r w:rsidR="009B732E" w:rsidRPr="009A68EE">
        <w:rPr>
          <w:rFonts w:asciiTheme="minorHAnsi" w:hAnsiTheme="minorHAnsi" w:cstheme="minorHAnsi"/>
          <w:lang w:val="en-US"/>
        </w:rPr>
        <w:t>S</w:t>
      </w:r>
      <w:r w:rsidRPr="009A68EE">
        <w:rPr>
          <w:rFonts w:asciiTheme="minorHAnsi" w:hAnsiTheme="minorHAnsi" w:cstheme="minorHAnsi"/>
          <w:lang w:val="en-US"/>
        </w:rPr>
        <w:t>ection 6.1 (see section 4.4)</w:t>
      </w:r>
      <w:r w:rsidRPr="009A68EE">
        <w:rPr>
          <w:rFonts w:asciiTheme="minorHAnsi" w:hAnsiTheme="minorHAnsi" w:cstheme="minorHAnsi"/>
          <w:i/>
          <w:iCs/>
          <w:lang w:val="en-US"/>
        </w:rPr>
        <w:t>.</w:t>
      </w:r>
    </w:p>
    <w:p w14:paraId="00E5CD79" w14:textId="77777777" w:rsidR="008F5F7F" w:rsidRPr="009A68EE" w:rsidRDefault="008F5F7F" w:rsidP="00A02ED3">
      <w:pPr>
        <w:pStyle w:val="ListBullet2"/>
        <w:numPr>
          <w:ilvl w:val="0"/>
          <w:numId w:val="0"/>
        </w:numPr>
        <w:ind w:left="643"/>
        <w:jc w:val="left"/>
        <w:rPr>
          <w:rFonts w:asciiTheme="minorHAnsi" w:hAnsiTheme="minorHAnsi" w:cstheme="minorHAnsi"/>
          <w:lang w:val="en-US"/>
        </w:rPr>
      </w:pPr>
    </w:p>
    <w:p w14:paraId="6C8EF596" w14:textId="375CF264" w:rsidR="00035852" w:rsidRPr="009A68EE" w:rsidRDefault="00035852" w:rsidP="00A02ED3">
      <w:pPr>
        <w:pStyle w:val="ListBullet2"/>
        <w:numPr>
          <w:ilvl w:val="0"/>
          <w:numId w:val="0"/>
        </w:numPr>
        <w:spacing w:before="240"/>
        <w:ind w:left="283" w:hanging="283"/>
        <w:jc w:val="left"/>
        <w:rPr>
          <w:rFonts w:asciiTheme="minorHAnsi" w:hAnsiTheme="minorHAnsi" w:cstheme="minorHAnsi"/>
          <w:lang w:val="en-US"/>
        </w:rPr>
      </w:pPr>
      <w:r w:rsidRPr="009A68EE">
        <w:rPr>
          <w:rFonts w:asciiTheme="minorHAnsi" w:hAnsiTheme="minorHAnsi" w:cstheme="minorHAnsi"/>
        </w:rPr>
        <w:t>C</w:t>
      </w:r>
      <w:r w:rsidR="00DF5E08" w:rsidRPr="009A68EE">
        <w:rPr>
          <w:rFonts w:asciiTheme="minorHAnsi" w:hAnsiTheme="minorHAnsi" w:cstheme="minorHAnsi"/>
        </w:rPr>
        <w:t>utaquig®</w:t>
      </w:r>
      <w:r w:rsidRPr="009A68EE">
        <w:rPr>
          <w:rFonts w:asciiTheme="minorHAnsi" w:hAnsiTheme="minorHAnsi" w:cstheme="minorHAnsi"/>
        </w:rPr>
        <w:t xml:space="preserve"> </w:t>
      </w:r>
      <w:r w:rsidRPr="009A68EE">
        <w:rPr>
          <w:rFonts w:asciiTheme="minorHAnsi" w:hAnsiTheme="minorHAnsi" w:cstheme="minorHAnsi"/>
          <w:lang w:val="en-US"/>
        </w:rPr>
        <w:t xml:space="preserve">must not be given </w:t>
      </w:r>
      <w:proofErr w:type="spellStart"/>
      <w:r w:rsidRPr="009A68EE">
        <w:rPr>
          <w:rFonts w:asciiTheme="minorHAnsi" w:hAnsiTheme="minorHAnsi" w:cstheme="minorHAnsi"/>
          <w:lang w:val="en-US"/>
        </w:rPr>
        <w:t>intravascularly</w:t>
      </w:r>
      <w:proofErr w:type="spellEnd"/>
      <w:r w:rsidRPr="009A68EE">
        <w:rPr>
          <w:rFonts w:asciiTheme="minorHAnsi" w:hAnsiTheme="minorHAnsi" w:cstheme="minorHAnsi"/>
          <w:lang w:val="en-US"/>
        </w:rPr>
        <w:t>.</w:t>
      </w:r>
    </w:p>
    <w:p w14:paraId="4FE0DCA7" w14:textId="77777777" w:rsidR="001A3992" w:rsidRPr="009A68EE" w:rsidRDefault="00E74A56" w:rsidP="00A02ED3">
      <w:pPr>
        <w:pStyle w:val="Heading2"/>
        <w:spacing w:before="0" w:after="120"/>
        <w:jc w:val="left"/>
        <w:rPr>
          <w:rFonts w:asciiTheme="minorHAnsi" w:hAnsiTheme="minorHAnsi" w:cstheme="minorHAnsi"/>
        </w:rPr>
      </w:pPr>
      <w:r w:rsidRPr="009A68EE">
        <w:rPr>
          <w:rFonts w:asciiTheme="minorHAnsi" w:hAnsiTheme="minorHAnsi" w:cstheme="minorHAnsi"/>
        </w:rPr>
        <w:t>Special warnings and p</w:t>
      </w:r>
      <w:r w:rsidR="001A3992" w:rsidRPr="009A68EE">
        <w:rPr>
          <w:rFonts w:asciiTheme="minorHAnsi" w:hAnsiTheme="minorHAnsi" w:cstheme="minorHAnsi"/>
        </w:rPr>
        <w:t xml:space="preserve">recautions </w:t>
      </w:r>
      <w:r w:rsidRPr="009A68EE">
        <w:rPr>
          <w:rFonts w:asciiTheme="minorHAnsi" w:hAnsiTheme="minorHAnsi" w:cstheme="minorHAnsi"/>
        </w:rPr>
        <w:t>for use</w:t>
      </w:r>
    </w:p>
    <w:p w14:paraId="782214B3" w14:textId="72D211DB" w:rsidR="00596EDC" w:rsidRDefault="00C904E7" w:rsidP="00A02ED3">
      <w:pPr>
        <w:jc w:val="left"/>
        <w:rPr>
          <w:rFonts w:asciiTheme="minorHAnsi" w:hAnsiTheme="minorHAnsi" w:cstheme="minorHAnsi"/>
        </w:rPr>
      </w:pPr>
      <w:r w:rsidRPr="009A68EE">
        <w:rPr>
          <w:rFonts w:asciiTheme="minorHAnsi" w:hAnsiTheme="minorHAnsi" w:cstheme="minorHAnsi"/>
        </w:rPr>
        <w:t xml:space="preserve">The recommended infusion rate must be closely followed (see </w:t>
      </w:r>
      <w:r w:rsidR="00B8001C" w:rsidRPr="009A68EE">
        <w:rPr>
          <w:rFonts w:asciiTheme="minorHAnsi" w:hAnsiTheme="minorHAnsi" w:cstheme="minorHAnsi"/>
        </w:rPr>
        <w:t xml:space="preserve">Section 4.2 </w:t>
      </w:r>
      <w:r w:rsidR="008D375A" w:rsidRPr="009A68EE">
        <w:rPr>
          <w:rFonts w:asciiTheme="minorHAnsi" w:hAnsiTheme="minorHAnsi" w:cstheme="minorHAnsi"/>
          <w:bCs/>
        </w:rPr>
        <w:t>DOSE AND METHOD OF ADMINISTRATION</w:t>
      </w:r>
      <w:r w:rsidRPr="009A68EE">
        <w:rPr>
          <w:rFonts w:asciiTheme="minorHAnsi" w:hAnsiTheme="minorHAnsi" w:cstheme="minorHAnsi"/>
        </w:rPr>
        <w:t xml:space="preserve">). Patients </w:t>
      </w:r>
      <w:r w:rsidR="00377724" w:rsidRPr="009A68EE">
        <w:rPr>
          <w:rFonts w:asciiTheme="minorHAnsi" w:hAnsiTheme="minorHAnsi" w:cstheme="minorHAnsi"/>
        </w:rPr>
        <w:t>should</w:t>
      </w:r>
      <w:r w:rsidRPr="009A68EE">
        <w:rPr>
          <w:rFonts w:asciiTheme="minorHAnsi" w:hAnsiTheme="minorHAnsi" w:cstheme="minorHAnsi"/>
        </w:rPr>
        <w:t xml:space="preserve"> be closely monitored and carefully observed for any symptoms throughout the infusion period.</w:t>
      </w:r>
    </w:p>
    <w:p w14:paraId="744C7235" w14:textId="7C165ADB" w:rsidR="00377724" w:rsidRPr="009A68EE" w:rsidRDefault="00377724" w:rsidP="00A02ED3">
      <w:pPr>
        <w:jc w:val="left"/>
        <w:rPr>
          <w:rFonts w:asciiTheme="minorHAnsi" w:hAnsiTheme="minorHAnsi" w:cstheme="minorHAnsi"/>
        </w:rPr>
      </w:pPr>
      <w:r w:rsidRPr="009A68EE">
        <w:rPr>
          <w:rFonts w:asciiTheme="minorHAnsi" w:hAnsiTheme="minorHAnsi" w:cstheme="minorHAnsi"/>
        </w:rPr>
        <w:t>C</w:t>
      </w:r>
      <w:r w:rsidR="00DF5E08" w:rsidRPr="009A68EE">
        <w:rPr>
          <w:rFonts w:asciiTheme="minorHAnsi" w:hAnsiTheme="minorHAnsi" w:cstheme="minorHAnsi"/>
        </w:rPr>
        <w:t>utaquig®</w:t>
      </w:r>
      <w:r w:rsidR="003A0176" w:rsidRPr="009A68EE">
        <w:rPr>
          <w:rFonts w:asciiTheme="minorHAnsi" w:hAnsiTheme="minorHAnsi" w:cstheme="minorHAnsi"/>
        </w:rPr>
        <w:t xml:space="preserve"> is for subcutaneous use only and must not be given intravascularly. </w:t>
      </w:r>
      <w:r w:rsidRPr="009A68EE">
        <w:rPr>
          <w:rFonts w:asciiTheme="minorHAnsi" w:hAnsiTheme="minorHAnsi" w:cstheme="minorHAnsi"/>
        </w:rPr>
        <w:t xml:space="preserve">If </w:t>
      </w:r>
      <w:r w:rsidR="00DF5E08" w:rsidRPr="009A68EE">
        <w:rPr>
          <w:rFonts w:asciiTheme="minorHAnsi" w:hAnsiTheme="minorHAnsi" w:cstheme="minorHAnsi"/>
        </w:rPr>
        <w:t>cutaquig®</w:t>
      </w:r>
      <w:r w:rsidRPr="009A68EE">
        <w:rPr>
          <w:rFonts w:asciiTheme="minorHAnsi" w:hAnsiTheme="minorHAnsi" w:cstheme="minorHAnsi"/>
        </w:rPr>
        <w:t xml:space="preserve"> is accidentally administered into a blood vessel patients could develop shock.</w:t>
      </w:r>
      <w:r w:rsidR="003A0176" w:rsidRPr="009A68EE">
        <w:rPr>
          <w:rFonts w:asciiTheme="minorHAnsi" w:hAnsiTheme="minorHAnsi" w:cstheme="minorHAnsi"/>
        </w:rPr>
        <w:t xml:space="preserve"> C</w:t>
      </w:r>
      <w:r w:rsidR="00DF5E08" w:rsidRPr="009A68EE">
        <w:rPr>
          <w:rFonts w:asciiTheme="minorHAnsi" w:hAnsiTheme="minorHAnsi" w:cstheme="minorHAnsi"/>
        </w:rPr>
        <w:t>utaquig®</w:t>
      </w:r>
      <w:r w:rsidR="003A0176" w:rsidRPr="009A68EE">
        <w:rPr>
          <w:rFonts w:asciiTheme="minorHAnsi" w:hAnsiTheme="minorHAnsi" w:cstheme="minorHAnsi"/>
        </w:rPr>
        <w:t xml:space="preserve"> must not be administered intramuscularly in case of severe thrombocytopenia and in other disorders of haemostasis.</w:t>
      </w:r>
    </w:p>
    <w:p w14:paraId="272E2540" w14:textId="031D8F1B" w:rsidR="00C904E7" w:rsidRPr="009A68EE" w:rsidRDefault="00C904E7" w:rsidP="00A02ED3">
      <w:pPr>
        <w:spacing w:before="240" w:after="120" w:line="240" w:lineRule="auto"/>
        <w:jc w:val="left"/>
        <w:rPr>
          <w:rFonts w:asciiTheme="minorHAnsi" w:hAnsiTheme="minorHAnsi" w:cstheme="minorHAnsi"/>
        </w:rPr>
      </w:pPr>
      <w:r w:rsidRPr="009A68EE">
        <w:rPr>
          <w:rFonts w:asciiTheme="minorHAnsi" w:hAnsiTheme="minorHAnsi" w:cstheme="minorHAnsi"/>
        </w:rPr>
        <w:t>Potential complications can often be avoided by ensuring that patients</w:t>
      </w:r>
      <w:r w:rsidR="009E3A76">
        <w:rPr>
          <w:rFonts w:asciiTheme="minorHAnsi" w:hAnsiTheme="minorHAnsi" w:cstheme="minorHAnsi"/>
        </w:rPr>
        <w:t xml:space="preserve"> are</w:t>
      </w:r>
      <w:r w:rsidRPr="009A68EE">
        <w:rPr>
          <w:rFonts w:asciiTheme="minorHAnsi" w:hAnsiTheme="minorHAnsi" w:cstheme="minorHAnsi"/>
        </w:rPr>
        <w:t>:</w:t>
      </w:r>
    </w:p>
    <w:p w14:paraId="3057D5CD" w14:textId="1A6FAF05" w:rsidR="00C904E7" w:rsidRPr="009A68EE" w:rsidRDefault="00C904E7" w:rsidP="00A02ED3">
      <w:pPr>
        <w:numPr>
          <w:ilvl w:val="0"/>
          <w:numId w:val="15"/>
        </w:numPr>
        <w:overflowPunct w:val="0"/>
        <w:autoSpaceDE w:val="0"/>
        <w:autoSpaceDN w:val="0"/>
        <w:adjustRightInd w:val="0"/>
        <w:spacing w:before="120" w:after="120" w:line="340" w:lineRule="exact"/>
        <w:jc w:val="left"/>
        <w:textAlignment w:val="baseline"/>
        <w:rPr>
          <w:rFonts w:asciiTheme="minorHAnsi" w:hAnsiTheme="minorHAnsi" w:cstheme="minorHAnsi"/>
          <w:szCs w:val="24"/>
          <w:lang w:eastAsia="en-GB"/>
        </w:rPr>
      </w:pPr>
      <w:r w:rsidRPr="009A68EE">
        <w:rPr>
          <w:rFonts w:asciiTheme="minorHAnsi" w:hAnsiTheme="minorHAnsi" w:cstheme="minorHAnsi"/>
          <w:szCs w:val="24"/>
          <w:lang w:eastAsia="en-GB"/>
        </w:rPr>
        <w:t>not sensitive to human normal immunoglobulin by initially inject</w:t>
      </w:r>
      <w:r w:rsidR="00AA1625" w:rsidRPr="009A68EE">
        <w:rPr>
          <w:rFonts w:asciiTheme="minorHAnsi" w:hAnsiTheme="minorHAnsi" w:cstheme="minorHAnsi"/>
          <w:szCs w:val="24"/>
          <w:lang w:eastAsia="en-GB"/>
        </w:rPr>
        <w:t>ing the product slowly.</w:t>
      </w:r>
    </w:p>
    <w:p w14:paraId="34B1F33D" w14:textId="499A1A26" w:rsidR="00C904E7" w:rsidRPr="009A68EE" w:rsidRDefault="00C904E7" w:rsidP="00A02ED3">
      <w:pPr>
        <w:numPr>
          <w:ilvl w:val="0"/>
          <w:numId w:val="15"/>
        </w:numPr>
        <w:overflowPunct w:val="0"/>
        <w:autoSpaceDE w:val="0"/>
        <w:autoSpaceDN w:val="0"/>
        <w:adjustRightInd w:val="0"/>
        <w:spacing w:before="120" w:after="120"/>
        <w:jc w:val="left"/>
        <w:textAlignment w:val="baseline"/>
        <w:rPr>
          <w:rFonts w:asciiTheme="minorHAnsi" w:hAnsiTheme="minorHAnsi" w:cstheme="minorHAnsi"/>
          <w:szCs w:val="24"/>
          <w:lang w:eastAsia="en-GB"/>
        </w:rPr>
      </w:pPr>
      <w:r w:rsidRPr="009A68EE">
        <w:rPr>
          <w:rFonts w:asciiTheme="minorHAnsi" w:hAnsiTheme="minorHAnsi" w:cstheme="minorHAnsi"/>
          <w:szCs w:val="24"/>
          <w:lang w:eastAsia="en-GB"/>
        </w:rPr>
        <w:t xml:space="preserve">carefully monitored for any symptoms throughout the infusion period. In particular, patients naive to human normal immunoglobulin, patients switched from an alternative </w:t>
      </w:r>
      <w:r w:rsidR="003A0176" w:rsidRPr="009A68EE">
        <w:rPr>
          <w:rFonts w:asciiTheme="minorHAnsi" w:hAnsiTheme="minorHAnsi" w:cstheme="minorHAnsi"/>
          <w:szCs w:val="24"/>
          <w:lang w:eastAsia="en-GB"/>
        </w:rPr>
        <w:t>immunoglobulin</w:t>
      </w:r>
      <w:r w:rsidRPr="009A68EE">
        <w:rPr>
          <w:rFonts w:asciiTheme="minorHAnsi" w:hAnsiTheme="minorHAnsi" w:cstheme="minorHAnsi"/>
          <w:szCs w:val="24"/>
          <w:lang w:eastAsia="en-GB"/>
        </w:rPr>
        <w:t xml:space="preserve"> product or when there has been a long interval since the previous infusion should be monitored during the first infusion and for the first hour after the first infusion, in order to detect potential adverse signs. All other patients should be observed for at least 20 minutes after administration.</w:t>
      </w:r>
    </w:p>
    <w:p w14:paraId="29CD35DE" w14:textId="77777777" w:rsidR="00C904E7" w:rsidRPr="009A68EE" w:rsidRDefault="00C904E7" w:rsidP="00A02ED3">
      <w:pPr>
        <w:jc w:val="left"/>
        <w:rPr>
          <w:rFonts w:asciiTheme="minorHAnsi" w:hAnsiTheme="minorHAnsi" w:cstheme="minorHAnsi"/>
        </w:rPr>
      </w:pPr>
      <w:r w:rsidRPr="009A68EE">
        <w:rPr>
          <w:rFonts w:asciiTheme="minorHAnsi" w:hAnsiTheme="minorHAnsi" w:cstheme="minorHAnsi"/>
        </w:rPr>
        <w:t>In case of adverse reaction, either the rate of administration must be reduced or the infusion stopped. The treatment required depends on the nature and severity of the adverse reaction.</w:t>
      </w:r>
    </w:p>
    <w:p w14:paraId="65B363F0" w14:textId="77777777" w:rsidR="00527402" w:rsidRPr="009A68EE" w:rsidRDefault="00527402" w:rsidP="00A02ED3">
      <w:pPr>
        <w:pStyle w:val="Heading4"/>
        <w:jc w:val="left"/>
        <w:rPr>
          <w:rFonts w:asciiTheme="minorHAnsi" w:hAnsiTheme="minorHAnsi" w:cstheme="minorHAnsi"/>
        </w:rPr>
      </w:pPr>
      <w:r w:rsidRPr="009A68EE">
        <w:rPr>
          <w:rFonts w:asciiTheme="minorHAnsi" w:hAnsiTheme="minorHAnsi" w:cstheme="minorHAnsi"/>
        </w:rPr>
        <w:t>Hypersensitivity</w:t>
      </w:r>
    </w:p>
    <w:p w14:paraId="2E0DD644" w14:textId="7CFAC91B" w:rsidR="00527402" w:rsidRPr="009A68EE" w:rsidRDefault="00AA1625" w:rsidP="00A02ED3">
      <w:pPr>
        <w:jc w:val="left"/>
        <w:rPr>
          <w:rFonts w:asciiTheme="minorHAnsi" w:hAnsiTheme="minorHAnsi" w:cstheme="minorHAnsi"/>
          <w:lang w:val="en-US"/>
        </w:rPr>
      </w:pPr>
      <w:r w:rsidRPr="009A68EE">
        <w:rPr>
          <w:rFonts w:asciiTheme="minorHAnsi" w:hAnsiTheme="minorHAnsi" w:cstheme="minorHAnsi"/>
          <w:lang w:val="en-US"/>
        </w:rPr>
        <w:t xml:space="preserve">True allergic reactions are rare. They can particularly occur in patients with anti-IgA antibodies who should be treated with particular caution. Patients with anti-IgA antibodies, in whom treatment with subcutaneous IgG products remains the only option, should be treated with </w:t>
      </w:r>
      <w:r w:rsidR="00DF5E08" w:rsidRPr="009A68EE">
        <w:rPr>
          <w:rFonts w:asciiTheme="minorHAnsi" w:hAnsiTheme="minorHAnsi" w:cstheme="minorHAnsi"/>
          <w:lang w:val="en-US"/>
        </w:rPr>
        <w:t>cutaquig®</w:t>
      </w:r>
      <w:r w:rsidRPr="009A68EE">
        <w:rPr>
          <w:rFonts w:asciiTheme="minorHAnsi" w:hAnsiTheme="minorHAnsi" w:cstheme="minorHAnsi"/>
          <w:lang w:val="en-US"/>
        </w:rPr>
        <w:t xml:space="preserve"> only under close medical supervision.</w:t>
      </w:r>
    </w:p>
    <w:p w14:paraId="08DBDAAE" w14:textId="0D7DA517" w:rsidR="00AA1625" w:rsidRPr="009A68EE" w:rsidRDefault="00AA1625" w:rsidP="00A02ED3">
      <w:pPr>
        <w:jc w:val="left"/>
        <w:rPr>
          <w:rFonts w:asciiTheme="minorHAnsi" w:hAnsiTheme="minorHAnsi" w:cstheme="minorHAnsi"/>
          <w:lang w:val="en-US"/>
        </w:rPr>
      </w:pPr>
      <w:r w:rsidRPr="009A68EE">
        <w:rPr>
          <w:rFonts w:asciiTheme="minorHAnsi" w:hAnsiTheme="minorHAnsi" w:cstheme="minorHAnsi"/>
          <w:lang w:val="en-US"/>
        </w:rPr>
        <w:t>Suspicion of allergic or anaphylactic type reactions requires immediate discontinuation of the injection. In case of shock, standard medical treatment for shock should be implemented.</w:t>
      </w:r>
    </w:p>
    <w:p w14:paraId="63CF5C98" w14:textId="77777777" w:rsidR="00527402" w:rsidRPr="009A68EE" w:rsidRDefault="00527402" w:rsidP="00A02ED3">
      <w:pPr>
        <w:jc w:val="left"/>
        <w:rPr>
          <w:rFonts w:asciiTheme="minorHAnsi" w:hAnsiTheme="minorHAnsi" w:cstheme="minorHAnsi"/>
        </w:rPr>
      </w:pPr>
      <w:r w:rsidRPr="009A68EE">
        <w:rPr>
          <w:rFonts w:asciiTheme="minorHAnsi" w:hAnsiTheme="minorHAnsi" w:cstheme="minorHAnsi"/>
        </w:rPr>
        <w:t>Rarely, human normal immunoglobulin can induce a fall in blood pressure with anaphylactic reaction, even in patients who had tolerated previous treatment with human normal immunoglobulin.</w:t>
      </w:r>
    </w:p>
    <w:p w14:paraId="25202244" w14:textId="77777777" w:rsidR="00527402" w:rsidRPr="009A68EE" w:rsidRDefault="00527402" w:rsidP="00A02ED3">
      <w:pPr>
        <w:pStyle w:val="Heading4"/>
        <w:jc w:val="left"/>
        <w:rPr>
          <w:rFonts w:asciiTheme="minorHAnsi" w:hAnsiTheme="minorHAnsi" w:cstheme="minorHAnsi"/>
        </w:rPr>
      </w:pPr>
      <w:r w:rsidRPr="009A68EE">
        <w:rPr>
          <w:rFonts w:asciiTheme="minorHAnsi" w:hAnsiTheme="minorHAnsi" w:cstheme="minorHAnsi"/>
        </w:rPr>
        <w:t>Thromboembolism</w:t>
      </w:r>
    </w:p>
    <w:p w14:paraId="5CCF4585" w14:textId="2D68B798" w:rsidR="00527402" w:rsidRPr="009A68EE" w:rsidRDefault="00AA1625" w:rsidP="00A02ED3">
      <w:pPr>
        <w:jc w:val="left"/>
        <w:rPr>
          <w:rFonts w:asciiTheme="minorHAnsi" w:hAnsiTheme="minorHAnsi" w:cstheme="minorHAnsi"/>
        </w:rPr>
      </w:pPr>
      <w:r w:rsidRPr="009A68EE">
        <w:rPr>
          <w:rFonts w:asciiTheme="minorHAnsi" w:hAnsiTheme="minorHAnsi" w:cstheme="minorHAnsi"/>
          <w:lang w:val="en-US"/>
        </w:rPr>
        <w:t>Arterial and venous thromboembolic events including myocardial infarction, stroke, deep venous thrombosis and pulmonary embolism have been associated with the use of immunoglobulins.</w:t>
      </w:r>
    </w:p>
    <w:p w14:paraId="60162A08" w14:textId="33D1AD8E" w:rsidR="00AA1625" w:rsidRPr="009A68EE" w:rsidRDefault="00AA1625" w:rsidP="00A02ED3">
      <w:pPr>
        <w:jc w:val="left"/>
        <w:rPr>
          <w:rFonts w:asciiTheme="minorHAnsi" w:hAnsiTheme="minorHAnsi" w:cstheme="minorHAnsi"/>
          <w:lang w:val="en-US"/>
        </w:rPr>
      </w:pPr>
      <w:r w:rsidRPr="009A68EE">
        <w:rPr>
          <w:rFonts w:asciiTheme="minorHAnsi" w:hAnsiTheme="minorHAnsi" w:cstheme="minorHAnsi"/>
          <w:lang w:val="en-US"/>
        </w:rPr>
        <w:t>Caution should be exercised in patients with pre</w:t>
      </w:r>
      <w:r w:rsidR="009E3A76">
        <w:rPr>
          <w:rFonts w:asciiTheme="minorHAnsi" w:hAnsiTheme="minorHAnsi" w:cstheme="minorHAnsi"/>
          <w:lang w:val="en-US"/>
        </w:rPr>
        <w:t>-</w:t>
      </w:r>
      <w:r w:rsidRPr="009A68EE">
        <w:rPr>
          <w:rFonts w:asciiTheme="minorHAnsi" w:hAnsiTheme="minorHAnsi" w:cstheme="minorHAnsi"/>
          <w:lang w:val="en-US"/>
        </w:rPr>
        <w:t xml:space="preserve">existing risk factors for thrombotic events (such as advanced age, hypertension, diabetes mellitus and a history of vascular disease or thrombotic episodes, patients with acquired or inherited </w:t>
      </w:r>
      <w:proofErr w:type="spellStart"/>
      <w:r w:rsidRPr="009A68EE">
        <w:rPr>
          <w:rFonts w:asciiTheme="minorHAnsi" w:hAnsiTheme="minorHAnsi" w:cstheme="minorHAnsi"/>
          <w:lang w:val="en-US"/>
        </w:rPr>
        <w:t>thrombophilic</w:t>
      </w:r>
      <w:proofErr w:type="spellEnd"/>
      <w:r w:rsidRPr="009A68EE">
        <w:rPr>
          <w:rFonts w:asciiTheme="minorHAnsi" w:hAnsiTheme="minorHAnsi" w:cstheme="minorHAnsi"/>
          <w:lang w:val="en-US"/>
        </w:rPr>
        <w:t xml:space="preserve"> disorders, patients with prolonged periods of </w:t>
      </w:r>
      <w:proofErr w:type="spellStart"/>
      <w:r w:rsidRPr="009A68EE">
        <w:rPr>
          <w:rFonts w:asciiTheme="minorHAnsi" w:hAnsiTheme="minorHAnsi" w:cstheme="minorHAnsi"/>
          <w:lang w:val="en-US"/>
        </w:rPr>
        <w:t>immobili</w:t>
      </w:r>
      <w:r w:rsidR="003742ED" w:rsidRPr="009A68EE">
        <w:rPr>
          <w:rFonts w:asciiTheme="minorHAnsi" w:hAnsiTheme="minorHAnsi" w:cstheme="minorHAnsi"/>
          <w:lang w:val="en-US"/>
        </w:rPr>
        <w:t>s</w:t>
      </w:r>
      <w:r w:rsidRPr="009A68EE">
        <w:rPr>
          <w:rFonts w:asciiTheme="minorHAnsi" w:hAnsiTheme="minorHAnsi" w:cstheme="minorHAnsi"/>
          <w:lang w:val="en-US"/>
        </w:rPr>
        <w:t>ation</w:t>
      </w:r>
      <w:proofErr w:type="spellEnd"/>
      <w:r w:rsidRPr="009A68EE">
        <w:rPr>
          <w:rFonts w:asciiTheme="minorHAnsi" w:hAnsiTheme="minorHAnsi" w:cstheme="minorHAnsi"/>
          <w:lang w:val="en-US"/>
        </w:rPr>
        <w:t xml:space="preserve">, severely hypovolemic patients, </w:t>
      </w:r>
      <w:r w:rsidR="009E3A76">
        <w:rPr>
          <w:rFonts w:asciiTheme="minorHAnsi" w:hAnsiTheme="minorHAnsi" w:cstheme="minorHAnsi"/>
          <w:lang w:val="en-US"/>
        </w:rPr>
        <w:t xml:space="preserve">and </w:t>
      </w:r>
      <w:r w:rsidRPr="009A68EE">
        <w:rPr>
          <w:rFonts w:asciiTheme="minorHAnsi" w:hAnsiTheme="minorHAnsi" w:cstheme="minorHAnsi"/>
          <w:lang w:val="en-US"/>
        </w:rPr>
        <w:t>patients with diseases w</w:t>
      </w:r>
      <w:r w:rsidR="00DE6291" w:rsidRPr="009A68EE">
        <w:rPr>
          <w:rFonts w:asciiTheme="minorHAnsi" w:hAnsiTheme="minorHAnsi" w:cstheme="minorHAnsi"/>
          <w:lang w:val="en-US"/>
        </w:rPr>
        <w:t>hich increase blood viscosity).</w:t>
      </w:r>
    </w:p>
    <w:p w14:paraId="4D57508B" w14:textId="13B5AB67" w:rsidR="00AA1625" w:rsidRPr="009A68EE" w:rsidRDefault="00AA1625" w:rsidP="00A02ED3">
      <w:pPr>
        <w:jc w:val="left"/>
        <w:rPr>
          <w:rFonts w:asciiTheme="minorHAnsi" w:hAnsiTheme="minorHAnsi" w:cstheme="minorHAnsi"/>
          <w:lang w:val="en-US"/>
        </w:rPr>
      </w:pPr>
      <w:r w:rsidRPr="009A68EE">
        <w:rPr>
          <w:rFonts w:asciiTheme="minorHAnsi" w:hAnsiTheme="minorHAnsi" w:cstheme="minorHAnsi"/>
          <w:lang w:val="en-US"/>
        </w:rPr>
        <w:t>Patients should be informed about first symptoms of thromboembolic events including shortness of breath, pain and swelling of a limb, focal neurological deficits and chest pain and should be advised to contact their physician imme</w:t>
      </w:r>
      <w:r w:rsidR="00DE6291" w:rsidRPr="009A68EE">
        <w:rPr>
          <w:rFonts w:asciiTheme="minorHAnsi" w:hAnsiTheme="minorHAnsi" w:cstheme="minorHAnsi"/>
          <w:lang w:val="en-US"/>
        </w:rPr>
        <w:t>diately upon onset of symptoms.</w:t>
      </w:r>
    </w:p>
    <w:p w14:paraId="36BADE47" w14:textId="35A139DB" w:rsidR="00527402" w:rsidRPr="009A68EE" w:rsidRDefault="00527402" w:rsidP="00A02ED3">
      <w:pPr>
        <w:jc w:val="left"/>
        <w:rPr>
          <w:rFonts w:asciiTheme="minorHAnsi" w:hAnsiTheme="minorHAnsi" w:cstheme="minorHAnsi"/>
          <w:lang w:val="en-GB"/>
        </w:rPr>
      </w:pPr>
      <w:r w:rsidRPr="009A68EE">
        <w:rPr>
          <w:rFonts w:asciiTheme="minorHAnsi" w:hAnsiTheme="minorHAnsi" w:cstheme="minorHAnsi"/>
        </w:rPr>
        <w:t xml:space="preserve">In patients at risk for thromboembolic adverse reactions, </w:t>
      </w:r>
      <w:r w:rsidR="00AA1625" w:rsidRPr="009A68EE">
        <w:rPr>
          <w:rFonts w:asciiTheme="minorHAnsi" w:hAnsiTheme="minorHAnsi" w:cstheme="minorHAnsi"/>
        </w:rPr>
        <w:t>c</w:t>
      </w:r>
      <w:r w:rsidR="00DF5E08" w:rsidRPr="009A68EE">
        <w:rPr>
          <w:rFonts w:asciiTheme="minorHAnsi" w:hAnsiTheme="minorHAnsi" w:cstheme="minorHAnsi"/>
        </w:rPr>
        <w:t>utaquig®</w:t>
      </w:r>
      <w:r w:rsidRPr="009A68EE">
        <w:rPr>
          <w:rFonts w:asciiTheme="minorHAnsi" w:hAnsiTheme="minorHAnsi" w:cstheme="minorHAnsi"/>
        </w:rPr>
        <w:t xml:space="preserve"> should be administered at the minimum rate of infusion and dose practicable.</w:t>
      </w:r>
      <w:r w:rsidR="00AA1625" w:rsidRPr="009A68EE">
        <w:rPr>
          <w:rFonts w:asciiTheme="minorHAnsi" w:hAnsiTheme="minorHAnsi" w:cstheme="minorHAnsi"/>
        </w:rPr>
        <w:t xml:space="preserve"> </w:t>
      </w:r>
      <w:r w:rsidR="00AA1625" w:rsidRPr="009A68EE">
        <w:rPr>
          <w:rFonts w:asciiTheme="minorHAnsi" w:hAnsiTheme="minorHAnsi" w:cstheme="minorHAnsi"/>
          <w:lang w:val="en-US"/>
        </w:rPr>
        <w:t>Patients should be sufficiently hydrated before use of immunoglobulins.</w:t>
      </w:r>
    </w:p>
    <w:p w14:paraId="1C20ABA5" w14:textId="77777777" w:rsidR="00527402" w:rsidRPr="009A68EE" w:rsidRDefault="00527402" w:rsidP="00A02ED3">
      <w:pPr>
        <w:pStyle w:val="Heading4"/>
        <w:jc w:val="left"/>
        <w:rPr>
          <w:rFonts w:asciiTheme="minorHAnsi" w:hAnsiTheme="minorHAnsi" w:cstheme="minorHAnsi"/>
        </w:rPr>
      </w:pPr>
      <w:r w:rsidRPr="009A68EE">
        <w:rPr>
          <w:rFonts w:asciiTheme="minorHAnsi" w:hAnsiTheme="minorHAnsi" w:cstheme="minorHAnsi"/>
        </w:rPr>
        <w:t>Aseptic meningitis syndrome</w:t>
      </w:r>
    </w:p>
    <w:p w14:paraId="270B0161" w14:textId="026740A4" w:rsidR="00AA1625" w:rsidRPr="009A68EE" w:rsidRDefault="00AA1625" w:rsidP="00A02ED3">
      <w:pPr>
        <w:jc w:val="left"/>
        <w:rPr>
          <w:rFonts w:asciiTheme="minorHAnsi" w:hAnsiTheme="minorHAnsi" w:cstheme="minorHAnsi"/>
        </w:rPr>
      </w:pPr>
      <w:r w:rsidRPr="009A68EE">
        <w:rPr>
          <w:rFonts w:asciiTheme="minorHAnsi" w:hAnsiTheme="minorHAnsi" w:cstheme="minorHAnsi"/>
        </w:rPr>
        <w:t>Aseptic meningitis syndrome has been reported to occur in association with subcutaneous immunoglobulin treatment; the symptoms usually begin within several hours to 2 days following treatment. Discontinuation of immunoglobulin treatment may result in remission of AMS within several days without sequelae.</w:t>
      </w:r>
    </w:p>
    <w:p w14:paraId="6C40A447" w14:textId="37E9FAA6" w:rsidR="00AA1625" w:rsidRPr="009A68EE" w:rsidRDefault="00AA1625" w:rsidP="00A02ED3">
      <w:pPr>
        <w:jc w:val="left"/>
        <w:rPr>
          <w:rFonts w:asciiTheme="minorHAnsi" w:hAnsiTheme="minorHAnsi" w:cstheme="minorHAnsi"/>
        </w:rPr>
      </w:pPr>
      <w:r w:rsidRPr="009A68EE">
        <w:rPr>
          <w:rFonts w:asciiTheme="minorHAnsi" w:hAnsiTheme="minorHAnsi" w:cstheme="minorHAnsi"/>
        </w:rPr>
        <w:t xml:space="preserve">Patients should be informed about first symptoms which </w:t>
      </w:r>
      <w:r w:rsidR="009E3A76">
        <w:rPr>
          <w:rFonts w:asciiTheme="minorHAnsi" w:hAnsiTheme="minorHAnsi" w:cstheme="minorHAnsi"/>
        </w:rPr>
        <w:t>include</w:t>
      </w:r>
      <w:r w:rsidR="009E3A76" w:rsidRPr="009A68EE">
        <w:rPr>
          <w:rFonts w:asciiTheme="minorHAnsi" w:hAnsiTheme="minorHAnsi" w:cstheme="minorHAnsi"/>
        </w:rPr>
        <w:t xml:space="preserve"> </w:t>
      </w:r>
      <w:r w:rsidRPr="009A68EE">
        <w:rPr>
          <w:rFonts w:asciiTheme="minorHAnsi" w:hAnsiTheme="minorHAnsi" w:cstheme="minorHAnsi"/>
        </w:rPr>
        <w:t>severe headache, neck stiffness, drowsiness, fever, photophobia, nausea, and vomiting.</w:t>
      </w:r>
    </w:p>
    <w:p w14:paraId="52804D79" w14:textId="77777777" w:rsidR="00527402" w:rsidRPr="009A68EE" w:rsidRDefault="00527402" w:rsidP="00A02ED3">
      <w:pPr>
        <w:pStyle w:val="Heading4"/>
        <w:jc w:val="left"/>
        <w:rPr>
          <w:rFonts w:asciiTheme="minorHAnsi" w:hAnsiTheme="minorHAnsi" w:cstheme="minorHAnsi"/>
        </w:rPr>
      </w:pPr>
      <w:r w:rsidRPr="009A68EE">
        <w:rPr>
          <w:rFonts w:asciiTheme="minorHAnsi" w:hAnsiTheme="minorHAnsi" w:cstheme="minorHAnsi"/>
        </w:rPr>
        <w:t>Sodium content</w:t>
      </w:r>
    </w:p>
    <w:p w14:paraId="07AE853E" w14:textId="2F3AF4CC" w:rsidR="00AA1625" w:rsidRPr="009A68EE" w:rsidRDefault="00AA1625" w:rsidP="00A02ED3">
      <w:pPr>
        <w:jc w:val="left"/>
        <w:rPr>
          <w:rFonts w:asciiTheme="minorHAnsi" w:hAnsiTheme="minorHAnsi" w:cstheme="minorHAnsi"/>
        </w:rPr>
      </w:pPr>
      <w:r w:rsidRPr="009A68EE">
        <w:rPr>
          <w:rFonts w:asciiTheme="minorHAnsi" w:hAnsiTheme="minorHAnsi" w:cstheme="minorHAnsi"/>
        </w:rPr>
        <w:t xml:space="preserve">This medicinal product contains 33.1 mg sodium per vial of 48 </w:t>
      </w:r>
      <w:r w:rsidR="00DE6291" w:rsidRPr="009A68EE">
        <w:rPr>
          <w:rFonts w:asciiTheme="minorHAnsi" w:hAnsiTheme="minorHAnsi" w:cstheme="minorHAnsi"/>
        </w:rPr>
        <w:t>mL</w:t>
      </w:r>
      <w:r w:rsidRPr="009A68EE">
        <w:rPr>
          <w:rFonts w:asciiTheme="minorHAnsi" w:hAnsiTheme="minorHAnsi" w:cstheme="minorHAnsi"/>
        </w:rPr>
        <w:t xml:space="preserve"> and 13.8 mg per vial of 20 m</w:t>
      </w:r>
      <w:r w:rsidR="00984A47" w:rsidRPr="009A68EE">
        <w:rPr>
          <w:rFonts w:asciiTheme="minorHAnsi" w:hAnsiTheme="minorHAnsi" w:cstheme="minorHAnsi"/>
        </w:rPr>
        <w:t>L</w:t>
      </w:r>
      <w:r w:rsidRPr="009A68EE">
        <w:rPr>
          <w:rFonts w:asciiTheme="minorHAnsi" w:hAnsiTheme="minorHAnsi" w:cstheme="minorHAnsi"/>
        </w:rPr>
        <w:t>, equivalent to 1.7% and 0.7%, respectively of the WHO recommended maximum daily intake of 2 g sodium for an adult.</w:t>
      </w:r>
    </w:p>
    <w:p w14:paraId="0047132B" w14:textId="77777777" w:rsidR="00527402" w:rsidRPr="009A68EE" w:rsidRDefault="00527402" w:rsidP="00A02ED3">
      <w:pPr>
        <w:pStyle w:val="Heading4"/>
        <w:jc w:val="left"/>
        <w:rPr>
          <w:rFonts w:asciiTheme="minorHAnsi" w:hAnsiTheme="minorHAnsi" w:cstheme="minorHAnsi"/>
        </w:rPr>
      </w:pPr>
      <w:r w:rsidRPr="009A68EE">
        <w:rPr>
          <w:rFonts w:asciiTheme="minorHAnsi" w:hAnsiTheme="minorHAnsi" w:cstheme="minorHAnsi"/>
        </w:rPr>
        <w:t>Transmissible agents</w:t>
      </w:r>
    </w:p>
    <w:p w14:paraId="68F11F00" w14:textId="6AC5E5FA" w:rsidR="008470EF" w:rsidRPr="009A68EE" w:rsidRDefault="008470EF" w:rsidP="00A02ED3">
      <w:pPr>
        <w:jc w:val="left"/>
        <w:rPr>
          <w:rFonts w:asciiTheme="minorHAnsi" w:hAnsiTheme="minorHAnsi" w:cstheme="minorHAnsi"/>
        </w:rPr>
      </w:pPr>
      <w:r w:rsidRPr="009A68EE">
        <w:rPr>
          <w:rFonts w:asciiTheme="minorHAnsi" w:hAnsiTheme="minorHAnsi" w:cstheme="minorHAnsi"/>
        </w:rPr>
        <w:t>C</w:t>
      </w:r>
      <w:r w:rsidR="00DF5E08" w:rsidRPr="009A68EE">
        <w:rPr>
          <w:rFonts w:asciiTheme="minorHAnsi" w:hAnsiTheme="minorHAnsi" w:cstheme="minorHAnsi"/>
        </w:rPr>
        <w:t>utaquig®</w:t>
      </w:r>
      <w:r w:rsidRPr="009A68EE">
        <w:rPr>
          <w:rFonts w:asciiTheme="minorHAnsi" w:hAnsiTheme="minorHAnsi" w:cstheme="minorHAnsi"/>
        </w:rPr>
        <w:t xml:space="preserve"> is made from human plasma. Standard measures to prevent infections resulting from the use of medicinal products prepared from human blood or plasma include selection of donors, screening of individual donations and plasma pools for specific markers of infection and the inclusion of effective manufacturing steps for inactivation/removal of viruses. Despite this, when medicinal products prepared from human blood or plasma are administered, the possibility of transmitting infective agents cannot be totally excluded. This also applies to unknown or emerging viruses and other pathogens.</w:t>
      </w:r>
    </w:p>
    <w:p w14:paraId="63086158" w14:textId="047AAED1" w:rsidR="008470EF" w:rsidRPr="009A68EE" w:rsidRDefault="008470EF" w:rsidP="00A02ED3">
      <w:pPr>
        <w:jc w:val="left"/>
        <w:rPr>
          <w:rFonts w:asciiTheme="minorHAnsi" w:hAnsiTheme="minorHAnsi" w:cstheme="minorHAnsi"/>
        </w:rPr>
      </w:pPr>
      <w:r w:rsidRPr="009A68EE">
        <w:rPr>
          <w:rFonts w:asciiTheme="minorHAnsi" w:hAnsiTheme="minorHAnsi" w:cstheme="minorHAnsi"/>
        </w:rPr>
        <w:t>The measures taken are considered effective for enveloped viruses such as human immunodeficiency virus (HIV), hepatitis B virus (HBV) and hepatitis C virus (HCV).</w:t>
      </w:r>
    </w:p>
    <w:p w14:paraId="213F43D7" w14:textId="719132EF" w:rsidR="008470EF" w:rsidRPr="009A68EE" w:rsidRDefault="008470EF" w:rsidP="00A02ED3">
      <w:pPr>
        <w:jc w:val="left"/>
        <w:rPr>
          <w:rFonts w:asciiTheme="minorHAnsi" w:hAnsiTheme="minorHAnsi" w:cstheme="minorHAnsi"/>
        </w:rPr>
      </w:pPr>
      <w:r w:rsidRPr="009A68EE">
        <w:rPr>
          <w:rFonts w:asciiTheme="minorHAnsi" w:hAnsiTheme="minorHAnsi" w:cstheme="minorHAnsi"/>
        </w:rPr>
        <w:t>The measures taken may be of limited value against non-enveloped viruses such as hepatitis A virus (HAV) and parvovirus B19.</w:t>
      </w:r>
    </w:p>
    <w:p w14:paraId="17B54D45" w14:textId="77777777" w:rsidR="00527402" w:rsidRPr="009A68EE" w:rsidRDefault="00527402" w:rsidP="00A02ED3">
      <w:pPr>
        <w:jc w:val="left"/>
        <w:rPr>
          <w:rFonts w:asciiTheme="minorHAnsi" w:hAnsiTheme="minorHAnsi" w:cstheme="minorHAnsi"/>
        </w:rPr>
      </w:pPr>
      <w:r w:rsidRPr="009A68EE">
        <w:rPr>
          <w:rFonts w:asciiTheme="minorHAnsi" w:hAnsiTheme="minorHAnsi" w:cstheme="minorHAnsi"/>
        </w:rPr>
        <w:t>There is reassuring clinical experience regarding the lack of hepatitis A or parvovirus B19 transmission with immunoglobulins and it is also assumed that the antibody content makes an important contribution to the viral safety.</w:t>
      </w:r>
    </w:p>
    <w:p w14:paraId="5FDF457B" w14:textId="0670AED5" w:rsidR="00B92F2D" w:rsidRPr="009A68EE" w:rsidRDefault="008470EF" w:rsidP="00A02ED3">
      <w:pPr>
        <w:jc w:val="left"/>
        <w:rPr>
          <w:rFonts w:asciiTheme="minorHAnsi" w:hAnsiTheme="minorHAnsi" w:cstheme="minorHAnsi"/>
        </w:rPr>
      </w:pPr>
      <w:r w:rsidRPr="009A68EE">
        <w:rPr>
          <w:rFonts w:asciiTheme="minorHAnsi" w:hAnsiTheme="minorHAnsi" w:cstheme="minorHAnsi"/>
        </w:rPr>
        <w:t xml:space="preserve">It is strongly recommended that every time that </w:t>
      </w:r>
      <w:r w:rsidR="00DF5E08" w:rsidRPr="009A68EE">
        <w:rPr>
          <w:rFonts w:asciiTheme="minorHAnsi" w:hAnsiTheme="minorHAnsi" w:cstheme="minorHAnsi"/>
        </w:rPr>
        <w:t>cutaquig®</w:t>
      </w:r>
      <w:r w:rsidRPr="009A68EE">
        <w:rPr>
          <w:rFonts w:asciiTheme="minorHAnsi" w:hAnsiTheme="minorHAnsi" w:cstheme="minorHAnsi"/>
        </w:rPr>
        <w:t xml:space="preserve"> is administered to a patient, the name and batch number of the product are recorded in order to maintain a link between the patient and the batch of the product.</w:t>
      </w:r>
    </w:p>
    <w:p w14:paraId="49AFEBD7" w14:textId="77777777" w:rsidR="001A3992" w:rsidRPr="009A68EE" w:rsidRDefault="001A3992" w:rsidP="00A02ED3">
      <w:pPr>
        <w:pStyle w:val="Heading3"/>
        <w:spacing w:before="0" w:after="120"/>
        <w:jc w:val="left"/>
        <w:rPr>
          <w:rFonts w:asciiTheme="minorHAnsi" w:hAnsiTheme="minorHAnsi" w:cstheme="minorHAnsi"/>
        </w:rPr>
      </w:pPr>
      <w:r w:rsidRPr="009A68EE">
        <w:rPr>
          <w:rFonts w:asciiTheme="minorHAnsi" w:hAnsiTheme="minorHAnsi" w:cstheme="minorHAnsi"/>
        </w:rPr>
        <w:t>Use in the elderly</w:t>
      </w:r>
    </w:p>
    <w:p w14:paraId="7CF7615B" w14:textId="57C3F96D" w:rsidR="0041578A" w:rsidRPr="009A68EE" w:rsidRDefault="00E56EAE" w:rsidP="00A02ED3">
      <w:pPr>
        <w:jc w:val="left"/>
        <w:rPr>
          <w:rFonts w:asciiTheme="minorHAnsi" w:hAnsiTheme="minorHAnsi" w:cstheme="minorHAnsi"/>
          <w:lang w:val="en-US"/>
        </w:rPr>
      </w:pPr>
      <w:r w:rsidRPr="009A68EE">
        <w:rPr>
          <w:rFonts w:asciiTheme="minorHAnsi" w:hAnsiTheme="minorHAnsi" w:cstheme="minorHAnsi"/>
          <w:lang w:val="en-US"/>
        </w:rPr>
        <w:t xml:space="preserve">In the clinical trial </w:t>
      </w:r>
      <w:r w:rsidR="00DF5E08" w:rsidRPr="009A68EE">
        <w:rPr>
          <w:rFonts w:asciiTheme="minorHAnsi" w:hAnsiTheme="minorHAnsi" w:cstheme="minorHAnsi"/>
          <w:lang w:val="en-US"/>
        </w:rPr>
        <w:t>cutaquig®</w:t>
      </w:r>
      <w:r w:rsidRPr="009A68EE">
        <w:rPr>
          <w:rFonts w:asciiTheme="minorHAnsi" w:hAnsiTheme="minorHAnsi" w:cstheme="minorHAnsi"/>
          <w:lang w:val="en-US"/>
        </w:rPr>
        <w:t xml:space="preserve"> was evaluated in 3 patients older than 65 years. </w:t>
      </w:r>
      <w:r w:rsidR="00984A47" w:rsidRPr="009A68EE">
        <w:rPr>
          <w:rFonts w:asciiTheme="minorHAnsi" w:hAnsiTheme="minorHAnsi" w:cstheme="minorHAnsi"/>
        </w:rPr>
        <w:t>Although this is only limited data, it is expected that the same warnings, precautions and risk factors apply to the elderly population</w:t>
      </w:r>
      <w:r w:rsidR="00B92F2D" w:rsidRPr="009A68EE">
        <w:rPr>
          <w:rFonts w:asciiTheme="minorHAnsi" w:hAnsiTheme="minorHAnsi" w:cstheme="minorHAnsi"/>
        </w:rPr>
        <w:t>.</w:t>
      </w:r>
    </w:p>
    <w:p w14:paraId="395EE07D" w14:textId="77777777" w:rsidR="001A3992" w:rsidRPr="009A68EE" w:rsidRDefault="001A3992" w:rsidP="00A02ED3">
      <w:pPr>
        <w:pStyle w:val="Heading3"/>
        <w:spacing w:before="0" w:after="120"/>
        <w:jc w:val="left"/>
        <w:rPr>
          <w:rFonts w:asciiTheme="minorHAnsi" w:hAnsiTheme="minorHAnsi" w:cstheme="minorHAnsi"/>
        </w:rPr>
      </w:pPr>
      <w:r w:rsidRPr="009A68EE">
        <w:rPr>
          <w:rFonts w:asciiTheme="minorHAnsi" w:hAnsiTheme="minorHAnsi" w:cstheme="minorHAnsi"/>
        </w:rPr>
        <w:t>Paediatric use</w:t>
      </w:r>
    </w:p>
    <w:p w14:paraId="7D76A3EC" w14:textId="2E893C02" w:rsidR="00E56EAE" w:rsidRPr="009A68EE" w:rsidRDefault="00984A47" w:rsidP="00A02ED3">
      <w:pPr>
        <w:spacing w:afterLines="120" w:after="288"/>
        <w:jc w:val="left"/>
        <w:rPr>
          <w:rFonts w:asciiTheme="minorHAnsi" w:hAnsiTheme="minorHAnsi" w:cstheme="minorHAnsi"/>
          <w:lang w:val="en-US"/>
        </w:rPr>
      </w:pPr>
      <w:r w:rsidRPr="009A68EE">
        <w:rPr>
          <w:rFonts w:asciiTheme="minorHAnsi" w:hAnsiTheme="minorHAnsi" w:cstheme="minorHAnsi"/>
          <w:lang w:val="en-US"/>
        </w:rPr>
        <w:t>C</w:t>
      </w:r>
      <w:r w:rsidR="00DF5E08" w:rsidRPr="009A68EE">
        <w:rPr>
          <w:rFonts w:asciiTheme="minorHAnsi" w:hAnsiTheme="minorHAnsi" w:cstheme="minorHAnsi"/>
          <w:lang w:val="en-US"/>
        </w:rPr>
        <w:t>utaquig®</w:t>
      </w:r>
      <w:r w:rsidRPr="009A68EE">
        <w:rPr>
          <w:rFonts w:asciiTheme="minorHAnsi" w:hAnsiTheme="minorHAnsi" w:cstheme="minorHAnsi"/>
          <w:lang w:val="en-US"/>
        </w:rPr>
        <w:t xml:space="preserve"> was evaluated in 22 paediatric subjects (15 children [between 2 and &lt;12 years of age] and 7 adolescents [between 12 and &lt;16 years of age]) with primary immunodeficiency disease. Data from these paediatric patients showed a similar safety profile in paediatric and adult patients </w:t>
      </w:r>
      <w:r w:rsidR="00011740" w:rsidRPr="009A68EE">
        <w:rPr>
          <w:rFonts w:asciiTheme="minorHAnsi" w:hAnsiTheme="minorHAnsi" w:cstheme="minorHAnsi"/>
          <w:lang w:val="en-US"/>
        </w:rPr>
        <w:t xml:space="preserve">receiving </w:t>
      </w:r>
      <w:r w:rsidR="00DF5E08" w:rsidRPr="009A68EE">
        <w:rPr>
          <w:rFonts w:asciiTheme="minorHAnsi" w:hAnsiTheme="minorHAnsi" w:cstheme="minorHAnsi"/>
          <w:lang w:val="en-US"/>
        </w:rPr>
        <w:t>c</w:t>
      </w:r>
      <w:r w:rsidR="00011740" w:rsidRPr="009A68EE">
        <w:rPr>
          <w:rFonts w:asciiTheme="minorHAnsi" w:hAnsiTheme="minorHAnsi" w:cstheme="minorHAnsi"/>
          <w:lang w:val="en-US"/>
        </w:rPr>
        <w:t>utaquig®</w:t>
      </w:r>
      <w:r w:rsidR="00DE6291" w:rsidRPr="009A68EE">
        <w:rPr>
          <w:rFonts w:asciiTheme="minorHAnsi" w:hAnsiTheme="minorHAnsi" w:cstheme="minorHAnsi"/>
          <w:lang w:val="en-US"/>
        </w:rPr>
        <w:t>.</w:t>
      </w:r>
      <w:r w:rsidR="00DE74C8">
        <w:rPr>
          <w:rFonts w:asciiTheme="minorHAnsi" w:hAnsiTheme="minorHAnsi" w:cstheme="minorHAnsi"/>
          <w:lang w:val="en-US"/>
        </w:rPr>
        <w:t xml:space="preserve"> </w:t>
      </w:r>
      <w:r w:rsidR="00054C64">
        <w:rPr>
          <w:rFonts w:asciiTheme="minorHAnsi" w:hAnsiTheme="minorHAnsi" w:cstheme="minorHAnsi"/>
        </w:rPr>
        <w:t>Cutaquig</w:t>
      </w:r>
      <w:r w:rsidR="00054C64" w:rsidRPr="009A68EE">
        <w:rPr>
          <w:rFonts w:asciiTheme="minorHAnsi" w:hAnsiTheme="minorHAnsi" w:cstheme="minorHAnsi"/>
        </w:rPr>
        <w:t>®</w:t>
      </w:r>
      <w:r w:rsidR="00054C64">
        <w:rPr>
          <w:rFonts w:asciiTheme="minorHAnsi" w:hAnsiTheme="minorHAnsi" w:cstheme="minorHAnsi"/>
        </w:rPr>
        <w:t xml:space="preserve"> has not been studied in children under 2 years of age. </w:t>
      </w:r>
    </w:p>
    <w:p w14:paraId="09C5C722" w14:textId="77777777" w:rsidR="00E11695" w:rsidRPr="009A68EE" w:rsidRDefault="001A3992" w:rsidP="00A02ED3">
      <w:pPr>
        <w:pStyle w:val="Heading3"/>
        <w:spacing w:before="0" w:after="120"/>
        <w:jc w:val="left"/>
        <w:rPr>
          <w:rFonts w:asciiTheme="minorHAnsi" w:hAnsiTheme="minorHAnsi" w:cstheme="minorHAnsi"/>
        </w:rPr>
      </w:pPr>
      <w:r w:rsidRPr="009A68EE">
        <w:rPr>
          <w:rFonts w:asciiTheme="minorHAnsi" w:hAnsiTheme="minorHAnsi" w:cstheme="minorHAnsi"/>
        </w:rPr>
        <w:t>Effects on laboratory tests</w:t>
      </w:r>
    </w:p>
    <w:p w14:paraId="0375218C" w14:textId="77777777" w:rsidR="00E11695" w:rsidRPr="009A68EE" w:rsidRDefault="00E11695" w:rsidP="00A02ED3">
      <w:pPr>
        <w:pStyle w:val="Heading4"/>
        <w:jc w:val="left"/>
        <w:rPr>
          <w:rFonts w:asciiTheme="minorHAnsi" w:hAnsiTheme="minorHAnsi" w:cstheme="minorHAnsi"/>
        </w:rPr>
      </w:pPr>
      <w:r w:rsidRPr="009A68EE">
        <w:rPr>
          <w:rFonts w:asciiTheme="minorHAnsi" w:hAnsiTheme="minorHAnsi" w:cstheme="minorHAnsi"/>
        </w:rPr>
        <w:t>Interference with serological testing</w:t>
      </w:r>
    </w:p>
    <w:p w14:paraId="3F94A232" w14:textId="77777777" w:rsidR="00E11695" w:rsidRPr="009A68EE" w:rsidRDefault="00E11695" w:rsidP="00A02ED3">
      <w:pPr>
        <w:jc w:val="left"/>
        <w:rPr>
          <w:rFonts w:asciiTheme="minorHAnsi" w:hAnsiTheme="minorHAnsi" w:cstheme="minorHAnsi"/>
        </w:rPr>
      </w:pPr>
      <w:r w:rsidRPr="009A68EE">
        <w:rPr>
          <w:rFonts w:asciiTheme="minorHAnsi" w:hAnsiTheme="minorHAnsi" w:cstheme="minorHAnsi"/>
        </w:rPr>
        <w:t>After injection of immunoglobulin the transitory rise of various passively transferred antibodies in the patient’s blood may result in misleading positive results in serological testing.</w:t>
      </w:r>
    </w:p>
    <w:p w14:paraId="441F23B1" w14:textId="77777777" w:rsidR="00E11695" w:rsidRPr="009A68EE" w:rsidRDefault="00E11695" w:rsidP="00A02ED3">
      <w:pPr>
        <w:spacing w:afterLines="120" w:after="288"/>
        <w:jc w:val="left"/>
        <w:rPr>
          <w:rFonts w:asciiTheme="minorHAnsi" w:hAnsiTheme="minorHAnsi" w:cstheme="minorHAnsi"/>
        </w:rPr>
      </w:pPr>
      <w:r w:rsidRPr="009A68EE">
        <w:rPr>
          <w:rFonts w:asciiTheme="minorHAnsi" w:hAnsiTheme="minorHAnsi" w:cstheme="minorHAnsi"/>
        </w:rPr>
        <w:t>Passive transmission of antibodies to erythrocyte antigens, e.g. A, B or D may interfere with some serological tests for red cell antibodies, for example the direct antiglobulin test (DAT, e.g. Coombs’ Test).</w:t>
      </w:r>
    </w:p>
    <w:p w14:paraId="79A91ABC" w14:textId="77777777" w:rsidR="001A3992" w:rsidRPr="009A68EE" w:rsidRDefault="001A3992" w:rsidP="00A02ED3">
      <w:pPr>
        <w:pStyle w:val="Heading2"/>
        <w:keepNext/>
        <w:keepLines/>
        <w:spacing w:before="0" w:after="120"/>
        <w:jc w:val="left"/>
        <w:rPr>
          <w:rFonts w:asciiTheme="minorHAnsi" w:hAnsiTheme="minorHAnsi" w:cstheme="minorHAnsi"/>
        </w:rPr>
      </w:pPr>
      <w:r w:rsidRPr="009A68EE">
        <w:rPr>
          <w:rFonts w:asciiTheme="minorHAnsi" w:hAnsiTheme="minorHAnsi" w:cstheme="minorHAnsi"/>
        </w:rPr>
        <w:t>Interactions with other medicines and other forms of interactions</w:t>
      </w:r>
    </w:p>
    <w:p w14:paraId="3C92AA5F" w14:textId="77777777" w:rsidR="00596EDC" w:rsidRPr="00596EDC" w:rsidRDefault="00596EDC" w:rsidP="00A02ED3">
      <w:pPr>
        <w:pStyle w:val="Heading4"/>
        <w:jc w:val="left"/>
        <w:rPr>
          <w:rFonts w:asciiTheme="minorHAnsi" w:hAnsiTheme="minorHAnsi" w:cstheme="minorHAnsi"/>
          <w:bCs/>
        </w:rPr>
      </w:pPr>
      <w:r w:rsidRPr="00596EDC">
        <w:rPr>
          <w:rFonts w:asciiTheme="minorHAnsi" w:hAnsiTheme="minorHAnsi" w:cstheme="minorHAnsi"/>
          <w:bCs/>
        </w:rPr>
        <w:t>Blood glucose testing</w:t>
      </w:r>
    </w:p>
    <w:p w14:paraId="4DE4D606" w14:textId="7AA85418" w:rsidR="00596EDC" w:rsidRPr="00E8136D" w:rsidRDefault="009C382F" w:rsidP="00A02ED3">
      <w:pPr>
        <w:spacing w:afterLines="120" w:after="288"/>
        <w:jc w:val="left"/>
        <w:rPr>
          <w:rFonts w:asciiTheme="minorHAnsi" w:hAnsiTheme="minorHAnsi" w:cstheme="minorHAnsi"/>
        </w:rPr>
      </w:pPr>
      <w:r w:rsidRPr="009A68EE">
        <w:rPr>
          <w:rFonts w:asciiTheme="minorHAnsi" w:hAnsiTheme="minorHAnsi" w:cstheme="minorHAnsi"/>
          <w:lang w:val="en-US"/>
        </w:rPr>
        <w:t>Cutaquig®</w:t>
      </w:r>
      <w:r w:rsidR="00596EDC" w:rsidRPr="00E8136D">
        <w:rPr>
          <w:rFonts w:asciiTheme="minorHAnsi" w:hAnsiTheme="minorHAnsi" w:cstheme="minorHAnsi"/>
        </w:rPr>
        <w:t xml:space="preserve"> contains maltose as </w:t>
      </w:r>
      <w:r w:rsidR="00F14891">
        <w:rPr>
          <w:rFonts w:asciiTheme="minorHAnsi" w:hAnsiTheme="minorHAnsi" w:cstheme="minorHAnsi"/>
        </w:rPr>
        <w:t xml:space="preserve">an </w:t>
      </w:r>
      <w:r w:rsidR="00596EDC" w:rsidRPr="00E8136D">
        <w:rPr>
          <w:rFonts w:asciiTheme="minorHAnsi" w:hAnsiTheme="minorHAnsi" w:cstheme="minorHAnsi"/>
        </w:rPr>
        <w:t>excipient (maximally 90 mg of maltose per ml) which can be misinterpreted as glucose by certain types of blood glucose testing systems. Due to the potential for falsely elevated glucose readings, only testing systems that are glucose-specific should be used to test or monitor blood glucose levels in diabetic patients.</w:t>
      </w:r>
    </w:p>
    <w:p w14:paraId="67738B8A" w14:textId="6AA81970" w:rsidR="00346E62" w:rsidRPr="009A68EE" w:rsidRDefault="00346E62" w:rsidP="00A02ED3">
      <w:pPr>
        <w:pStyle w:val="Heading4"/>
        <w:jc w:val="left"/>
        <w:rPr>
          <w:rFonts w:asciiTheme="minorHAnsi" w:hAnsiTheme="minorHAnsi" w:cstheme="minorHAnsi"/>
          <w:bCs/>
        </w:rPr>
      </w:pPr>
      <w:r w:rsidRPr="009A68EE">
        <w:rPr>
          <w:rFonts w:asciiTheme="minorHAnsi" w:hAnsiTheme="minorHAnsi" w:cstheme="minorHAnsi"/>
          <w:bCs/>
        </w:rPr>
        <w:t>Live attenuated virus vaccines</w:t>
      </w:r>
    </w:p>
    <w:p w14:paraId="56BD270A" w14:textId="77777777" w:rsidR="00346E62" w:rsidRPr="009A68EE" w:rsidRDefault="00346E62" w:rsidP="00A02ED3">
      <w:pPr>
        <w:spacing w:afterLines="120" w:after="288"/>
        <w:jc w:val="left"/>
        <w:rPr>
          <w:rFonts w:asciiTheme="minorHAnsi" w:hAnsiTheme="minorHAnsi" w:cstheme="minorHAnsi"/>
        </w:rPr>
      </w:pPr>
      <w:r w:rsidRPr="009A68EE">
        <w:rPr>
          <w:rFonts w:asciiTheme="minorHAnsi" w:hAnsiTheme="minorHAnsi" w:cstheme="minorHAnsi"/>
        </w:rPr>
        <w:t>Immunoglobulin administration may impair for a period of at least 6 weeks and up to 3 months the efficacy of live attenuated virus vaccines such as measles, rubella, mumps</w:t>
      </w:r>
      <w:r w:rsidR="008F3FD1" w:rsidRPr="009A68EE">
        <w:rPr>
          <w:rFonts w:asciiTheme="minorHAnsi" w:hAnsiTheme="minorHAnsi" w:cstheme="minorHAnsi"/>
        </w:rPr>
        <w:t>,</w:t>
      </w:r>
      <w:r w:rsidR="00727E33" w:rsidRPr="009A68EE">
        <w:rPr>
          <w:rFonts w:asciiTheme="minorHAnsi" w:hAnsiTheme="minorHAnsi" w:cstheme="minorHAnsi"/>
        </w:rPr>
        <w:t xml:space="preserve"> </w:t>
      </w:r>
      <w:r w:rsidR="008F3FD1" w:rsidRPr="009A68EE">
        <w:rPr>
          <w:rFonts w:asciiTheme="minorHAnsi" w:hAnsiTheme="minorHAnsi" w:cstheme="minorHAnsi"/>
        </w:rPr>
        <w:t xml:space="preserve">oral rotavirus, influenza </w:t>
      </w:r>
      <w:r w:rsidRPr="009A68EE">
        <w:rPr>
          <w:rFonts w:asciiTheme="minorHAnsi" w:hAnsiTheme="minorHAnsi" w:cstheme="minorHAnsi"/>
        </w:rPr>
        <w:t>and varicella.</w:t>
      </w:r>
    </w:p>
    <w:p w14:paraId="318F98C7" w14:textId="5B4087DC" w:rsidR="00346E62" w:rsidRPr="009A68EE" w:rsidRDefault="00346E62" w:rsidP="00A02ED3">
      <w:pPr>
        <w:spacing w:afterLines="120" w:after="288"/>
        <w:jc w:val="left"/>
        <w:rPr>
          <w:rFonts w:asciiTheme="minorHAnsi" w:hAnsiTheme="minorHAnsi" w:cstheme="minorHAnsi"/>
        </w:rPr>
      </w:pPr>
      <w:r w:rsidRPr="009A68EE">
        <w:rPr>
          <w:rFonts w:asciiTheme="minorHAnsi" w:hAnsiTheme="minorHAnsi" w:cstheme="minorHAnsi"/>
        </w:rPr>
        <w:t>After administration of this product, an interval of 3 months should elapse before vaccination with live attenuated virus vaccines. In the case of measles, this impairment may persist for up to 1 year. Therefore, patients receiving</w:t>
      </w:r>
      <w:r w:rsidR="006D6322">
        <w:rPr>
          <w:rFonts w:asciiTheme="minorHAnsi" w:hAnsiTheme="minorHAnsi" w:cstheme="minorHAnsi"/>
        </w:rPr>
        <w:t xml:space="preserve"> a</w:t>
      </w:r>
      <w:r w:rsidRPr="009A68EE">
        <w:rPr>
          <w:rFonts w:asciiTheme="minorHAnsi" w:hAnsiTheme="minorHAnsi" w:cstheme="minorHAnsi"/>
        </w:rPr>
        <w:t xml:space="preserve"> measles vaccine should have their antibody status checked.</w:t>
      </w:r>
      <w:r w:rsidR="00E56EAE" w:rsidRPr="009A68EE">
        <w:rPr>
          <w:rFonts w:asciiTheme="minorHAnsi" w:hAnsiTheme="minorHAnsi" w:cstheme="minorHAnsi"/>
        </w:rPr>
        <w:t xml:space="preserve"> Refer to </w:t>
      </w:r>
      <w:r w:rsidR="00EA69F8" w:rsidRPr="009A68EE">
        <w:rPr>
          <w:rFonts w:asciiTheme="minorHAnsi" w:hAnsiTheme="minorHAnsi" w:cstheme="minorHAnsi"/>
        </w:rPr>
        <w:t xml:space="preserve">the </w:t>
      </w:r>
      <w:r w:rsidR="00E56EAE" w:rsidRPr="009A68EE">
        <w:rPr>
          <w:rFonts w:asciiTheme="minorHAnsi" w:hAnsiTheme="minorHAnsi" w:cstheme="minorHAnsi"/>
        </w:rPr>
        <w:t>Australian Immunisation Handbook for clinical practice recommendations.</w:t>
      </w:r>
    </w:p>
    <w:p w14:paraId="6CE4E494" w14:textId="77777777" w:rsidR="001A3992" w:rsidRPr="009A68EE" w:rsidRDefault="001A3992" w:rsidP="00A02ED3">
      <w:pPr>
        <w:pStyle w:val="Heading2"/>
        <w:spacing w:before="0" w:after="120"/>
        <w:jc w:val="left"/>
        <w:rPr>
          <w:rFonts w:asciiTheme="minorHAnsi" w:hAnsiTheme="minorHAnsi" w:cstheme="minorHAnsi"/>
        </w:rPr>
      </w:pPr>
      <w:r w:rsidRPr="009A68EE">
        <w:rPr>
          <w:rFonts w:asciiTheme="minorHAnsi" w:hAnsiTheme="minorHAnsi" w:cstheme="minorHAnsi"/>
        </w:rPr>
        <w:t>Fer</w:t>
      </w:r>
      <w:r w:rsidR="00CA17E5" w:rsidRPr="009A68EE">
        <w:rPr>
          <w:rFonts w:asciiTheme="minorHAnsi" w:hAnsiTheme="minorHAnsi" w:cstheme="minorHAnsi"/>
        </w:rPr>
        <w:t>tility, pregnancy and lactation</w:t>
      </w:r>
    </w:p>
    <w:p w14:paraId="2421FD40" w14:textId="77777777" w:rsidR="001A3992" w:rsidRPr="009A68EE" w:rsidRDefault="001A3992" w:rsidP="00A02ED3">
      <w:pPr>
        <w:pStyle w:val="Heading3"/>
        <w:spacing w:before="0" w:after="120"/>
        <w:jc w:val="left"/>
        <w:rPr>
          <w:rFonts w:asciiTheme="minorHAnsi" w:hAnsiTheme="minorHAnsi" w:cstheme="minorHAnsi"/>
        </w:rPr>
      </w:pPr>
      <w:r w:rsidRPr="009A68EE">
        <w:rPr>
          <w:rFonts w:asciiTheme="minorHAnsi" w:hAnsiTheme="minorHAnsi" w:cstheme="minorHAnsi"/>
        </w:rPr>
        <w:t>Effects on fertility</w:t>
      </w:r>
    </w:p>
    <w:p w14:paraId="46FD40EA" w14:textId="7DFEE3EA" w:rsidR="00200090" w:rsidRPr="009A68EE" w:rsidRDefault="00E56EAE" w:rsidP="00A02ED3">
      <w:pPr>
        <w:jc w:val="left"/>
        <w:rPr>
          <w:rFonts w:asciiTheme="minorHAnsi" w:hAnsiTheme="minorHAnsi" w:cstheme="minorHAnsi"/>
          <w:lang w:val="en-GB"/>
        </w:rPr>
      </w:pPr>
      <w:r w:rsidRPr="009A68EE">
        <w:rPr>
          <w:rFonts w:asciiTheme="minorHAnsi" w:hAnsiTheme="minorHAnsi" w:cstheme="minorHAnsi"/>
        </w:rPr>
        <w:t>Animal fertility studies have not been conducted with c</w:t>
      </w:r>
      <w:r w:rsidR="00DF5E08" w:rsidRPr="009A68EE">
        <w:rPr>
          <w:rFonts w:asciiTheme="minorHAnsi" w:hAnsiTheme="minorHAnsi" w:cstheme="minorHAnsi"/>
        </w:rPr>
        <w:t>utaquig®</w:t>
      </w:r>
      <w:r w:rsidRPr="009A68EE">
        <w:rPr>
          <w:rFonts w:asciiTheme="minorHAnsi" w:hAnsiTheme="minorHAnsi" w:cstheme="minorHAnsi"/>
        </w:rPr>
        <w:t xml:space="preserve">. </w:t>
      </w:r>
      <w:r w:rsidR="00200090" w:rsidRPr="009A68EE">
        <w:rPr>
          <w:rFonts w:asciiTheme="minorHAnsi" w:hAnsiTheme="minorHAnsi" w:cstheme="minorHAnsi"/>
        </w:rPr>
        <w:t>Clinical experience with immunoglobulins suggests that no harmful effects on fertility are to be expected.</w:t>
      </w:r>
    </w:p>
    <w:p w14:paraId="7CB0217A" w14:textId="77777777" w:rsidR="001A3992" w:rsidRPr="009A68EE" w:rsidRDefault="00E11695" w:rsidP="00A02ED3">
      <w:pPr>
        <w:pStyle w:val="Heading3"/>
        <w:spacing w:before="0" w:after="120"/>
        <w:jc w:val="left"/>
        <w:rPr>
          <w:rFonts w:asciiTheme="minorHAnsi" w:hAnsiTheme="minorHAnsi" w:cstheme="minorHAnsi"/>
        </w:rPr>
      </w:pPr>
      <w:r w:rsidRPr="009A68EE">
        <w:rPr>
          <w:rFonts w:asciiTheme="minorHAnsi" w:hAnsiTheme="minorHAnsi" w:cstheme="minorHAnsi"/>
        </w:rPr>
        <w:t>Use in pregnancy</w:t>
      </w:r>
    </w:p>
    <w:p w14:paraId="0C0148AC" w14:textId="22E4BA44" w:rsidR="00200090" w:rsidRPr="009A68EE" w:rsidRDefault="00EA3604" w:rsidP="00A02ED3">
      <w:pPr>
        <w:jc w:val="left"/>
        <w:rPr>
          <w:rFonts w:asciiTheme="minorHAnsi" w:hAnsiTheme="minorHAnsi" w:cstheme="minorHAnsi"/>
        </w:rPr>
      </w:pPr>
      <w:r w:rsidRPr="00EA3604">
        <w:rPr>
          <w:rFonts w:asciiTheme="minorHAnsi" w:hAnsiTheme="minorHAnsi" w:cstheme="minorHAnsi"/>
        </w:rPr>
        <w:t xml:space="preserve">Animal reproduction studies have not been conducted with </w:t>
      </w:r>
      <w:r w:rsidR="00A02996">
        <w:rPr>
          <w:rFonts w:asciiTheme="minorHAnsi" w:hAnsiTheme="minorHAnsi" w:cstheme="minorHAnsi"/>
        </w:rPr>
        <w:t>c</w:t>
      </w:r>
      <w:r w:rsidRPr="00EA3604">
        <w:rPr>
          <w:rFonts w:asciiTheme="minorHAnsi" w:hAnsiTheme="minorHAnsi" w:cstheme="minorHAnsi"/>
        </w:rPr>
        <w:t>utaquig®.</w:t>
      </w:r>
      <w:r>
        <w:rPr>
          <w:rFonts w:asciiTheme="minorHAnsi" w:hAnsiTheme="minorHAnsi" w:cstheme="minorHAnsi"/>
        </w:rPr>
        <w:t xml:space="preserve"> </w:t>
      </w:r>
      <w:r w:rsidR="00200090" w:rsidRPr="009A68EE">
        <w:rPr>
          <w:rFonts w:asciiTheme="minorHAnsi" w:hAnsiTheme="minorHAnsi" w:cstheme="minorHAnsi"/>
        </w:rPr>
        <w:t xml:space="preserve">The safety of </w:t>
      </w:r>
      <w:r w:rsidR="00E56EAE" w:rsidRPr="009A68EE">
        <w:rPr>
          <w:rFonts w:asciiTheme="minorHAnsi" w:hAnsiTheme="minorHAnsi" w:cstheme="minorHAnsi"/>
        </w:rPr>
        <w:t>c</w:t>
      </w:r>
      <w:r w:rsidR="00DF5E08" w:rsidRPr="009A68EE">
        <w:rPr>
          <w:rFonts w:asciiTheme="minorHAnsi" w:hAnsiTheme="minorHAnsi" w:cstheme="minorHAnsi"/>
        </w:rPr>
        <w:t>utaquig®</w:t>
      </w:r>
      <w:r w:rsidR="00200090" w:rsidRPr="009A68EE">
        <w:rPr>
          <w:rFonts w:asciiTheme="minorHAnsi" w:hAnsiTheme="minorHAnsi" w:cstheme="minorHAnsi"/>
        </w:rPr>
        <w:t xml:space="preserve"> for use in human pregnancy has not been established in controlled clinical trials and therefore should only be given with caution to pregnant women and breast-feeding mothers. </w:t>
      </w:r>
      <w:r w:rsidR="00E56EAE" w:rsidRPr="009A68EE">
        <w:rPr>
          <w:rFonts w:asciiTheme="minorHAnsi" w:hAnsiTheme="minorHAnsi" w:cstheme="minorHAnsi"/>
        </w:rPr>
        <w:t>Immunoglobulin</w:t>
      </w:r>
      <w:r w:rsidR="00200090" w:rsidRPr="009A68EE">
        <w:rPr>
          <w:rFonts w:asciiTheme="minorHAnsi" w:hAnsiTheme="minorHAnsi" w:cstheme="minorHAnsi"/>
        </w:rPr>
        <w:t xml:space="preserve"> products have been shown to cross the placenta, increasingly during the third trimester. Clinical experience with immunoglobulins suggests that no harmful effects on the course of pregnancy, or on the fetus and the neonate are to be expected.</w:t>
      </w:r>
    </w:p>
    <w:p w14:paraId="2ACE3231" w14:textId="4368586B" w:rsidR="00E56EAE" w:rsidRPr="009A68EE" w:rsidRDefault="00E56EAE" w:rsidP="00A02ED3">
      <w:pPr>
        <w:jc w:val="left"/>
        <w:rPr>
          <w:rFonts w:asciiTheme="minorHAnsi" w:hAnsiTheme="minorHAnsi" w:cstheme="minorHAnsi"/>
        </w:rPr>
      </w:pPr>
      <w:r w:rsidRPr="009A68EE">
        <w:rPr>
          <w:rFonts w:asciiTheme="minorHAnsi" w:hAnsiTheme="minorHAnsi" w:cstheme="minorHAnsi"/>
        </w:rPr>
        <w:t>Continued treatment of the pregnant woman ensures a passive immunity for the neonate.</w:t>
      </w:r>
    </w:p>
    <w:p w14:paraId="284DB1FF" w14:textId="77777777" w:rsidR="001A3992" w:rsidRPr="009A68EE" w:rsidRDefault="001A3992" w:rsidP="00A02ED3">
      <w:pPr>
        <w:pStyle w:val="Heading3"/>
        <w:spacing w:before="0" w:after="120"/>
        <w:jc w:val="left"/>
        <w:rPr>
          <w:rFonts w:asciiTheme="minorHAnsi" w:hAnsiTheme="minorHAnsi" w:cstheme="minorHAnsi"/>
        </w:rPr>
      </w:pPr>
      <w:r w:rsidRPr="009A68EE">
        <w:rPr>
          <w:rFonts w:asciiTheme="minorHAnsi" w:hAnsiTheme="minorHAnsi" w:cstheme="minorHAnsi"/>
        </w:rPr>
        <w:t>Use i</w:t>
      </w:r>
      <w:r w:rsidR="00E11695" w:rsidRPr="009A68EE">
        <w:rPr>
          <w:rFonts w:asciiTheme="minorHAnsi" w:hAnsiTheme="minorHAnsi" w:cstheme="minorHAnsi"/>
        </w:rPr>
        <w:t>n lactation</w:t>
      </w:r>
    </w:p>
    <w:p w14:paraId="47B2505D" w14:textId="77777777" w:rsidR="00200090" w:rsidRPr="009A68EE" w:rsidRDefault="00200090" w:rsidP="00A02ED3">
      <w:pPr>
        <w:spacing w:afterLines="120" w:after="288"/>
        <w:jc w:val="left"/>
        <w:rPr>
          <w:rFonts w:asciiTheme="minorHAnsi" w:hAnsiTheme="minorHAnsi" w:cstheme="minorHAnsi"/>
        </w:rPr>
      </w:pPr>
      <w:r w:rsidRPr="009A68EE">
        <w:rPr>
          <w:rFonts w:asciiTheme="minorHAnsi" w:hAnsiTheme="minorHAnsi" w:cstheme="minorHAnsi"/>
        </w:rPr>
        <w:t>Immunoglobulins are excreted into the milk and may contribute to protecting the neonate from pathogens which have a mucosal portal of entry.</w:t>
      </w:r>
    </w:p>
    <w:p w14:paraId="1EC1D9A0" w14:textId="6E287C27" w:rsidR="001A3992" w:rsidRPr="009A68EE" w:rsidRDefault="001A3992" w:rsidP="00A02ED3">
      <w:pPr>
        <w:pStyle w:val="Heading2"/>
        <w:spacing w:before="0" w:after="120"/>
        <w:jc w:val="left"/>
        <w:rPr>
          <w:rFonts w:asciiTheme="minorHAnsi" w:hAnsiTheme="minorHAnsi" w:cstheme="minorHAnsi"/>
        </w:rPr>
      </w:pPr>
      <w:r w:rsidRPr="009A68EE">
        <w:rPr>
          <w:rFonts w:asciiTheme="minorHAnsi" w:hAnsiTheme="minorHAnsi" w:cstheme="minorHAnsi"/>
        </w:rPr>
        <w:t>Effects on ability to d</w:t>
      </w:r>
      <w:r w:rsidR="00DE6291" w:rsidRPr="009A68EE">
        <w:rPr>
          <w:rFonts w:asciiTheme="minorHAnsi" w:hAnsiTheme="minorHAnsi" w:cstheme="minorHAnsi"/>
        </w:rPr>
        <w:t>rive and use machines</w:t>
      </w:r>
    </w:p>
    <w:p w14:paraId="0DC6A0CD" w14:textId="61E98A5C" w:rsidR="0041578A" w:rsidRPr="009A68EE" w:rsidRDefault="00011740" w:rsidP="00A02ED3">
      <w:pPr>
        <w:spacing w:afterLines="120" w:after="288"/>
        <w:jc w:val="left"/>
        <w:rPr>
          <w:rFonts w:asciiTheme="minorHAnsi" w:hAnsiTheme="minorHAnsi" w:cstheme="minorHAnsi"/>
        </w:rPr>
      </w:pPr>
      <w:r w:rsidRPr="009A68EE">
        <w:rPr>
          <w:rFonts w:asciiTheme="minorHAnsi" w:hAnsiTheme="minorHAnsi" w:cstheme="minorHAnsi"/>
        </w:rPr>
        <w:t>Cutaquig®</w:t>
      </w:r>
      <w:r w:rsidR="008B5B8A" w:rsidRPr="009A68EE">
        <w:rPr>
          <w:rFonts w:asciiTheme="minorHAnsi" w:hAnsiTheme="minorHAnsi" w:cstheme="minorHAnsi"/>
        </w:rPr>
        <w:t xml:space="preserve"> has no or negligible influence on the ability to drive and use machines.</w:t>
      </w:r>
    </w:p>
    <w:p w14:paraId="18138B80" w14:textId="77777777" w:rsidR="001A3992" w:rsidRPr="009A68EE" w:rsidRDefault="001A3992" w:rsidP="00A02ED3">
      <w:pPr>
        <w:pStyle w:val="Heading2"/>
        <w:keepNext/>
        <w:keepLines/>
        <w:spacing w:before="0" w:after="120"/>
        <w:jc w:val="left"/>
        <w:rPr>
          <w:rFonts w:asciiTheme="minorHAnsi" w:hAnsiTheme="minorHAnsi" w:cstheme="minorHAnsi"/>
        </w:rPr>
      </w:pPr>
      <w:r w:rsidRPr="009A68EE">
        <w:rPr>
          <w:rFonts w:asciiTheme="minorHAnsi" w:hAnsiTheme="minorHAnsi" w:cstheme="minorHAnsi"/>
        </w:rPr>
        <w:t>Adverse effects (Undesirable effects)</w:t>
      </w:r>
    </w:p>
    <w:p w14:paraId="132811B5" w14:textId="27A05CD6" w:rsidR="00E56EAE" w:rsidRPr="009A68EE" w:rsidRDefault="00E56EAE" w:rsidP="00A02ED3">
      <w:pPr>
        <w:jc w:val="left"/>
        <w:rPr>
          <w:rFonts w:asciiTheme="minorHAnsi" w:hAnsiTheme="minorHAnsi" w:cstheme="minorHAnsi"/>
        </w:rPr>
      </w:pPr>
      <w:r w:rsidRPr="009A68EE">
        <w:rPr>
          <w:rFonts w:asciiTheme="minorHAnsi" w:hAnsiTheme="minorHAnsi" w:cstheme="minorHAnsi"/>
        </w:rPr>
        <w:t>Adverse reactions such as chills, headache, dizziness, fever, vomiting, allergic reactions, nausea, arthralgia, low blood pressure and moderate low back pain may occur occasionally.</w:t>
      </w:r>
    </w:p>
    <w:p w14:paraId="31433933" w14:textId="538F5309" w:rsidR="00E56EAE" w:rsidRPr="009A68EE" w:rsidRDefault="00E56EAE" w:rsidP="00A02ED3">
      <w:pPr>
        <w:jc w:val="left"/>
        <w:rPr>
          <w:rFonts w:asciiTheme="minorHAnsi" w:hAnsiTheme="minorHAnsi" w:cstheme="minorHAnsi"/>
        </w:rPr>
      </w:pPr>
      <w:r w:rsidRPr="009A68EE">
        <w:rPr>
          <w:rFonts w:asciiTheme="minorHAnsi" w:hAnsiTheme="minorHAnsi" w:cstheme="minorHAnsi"/>
        </w:rPr>
        <w:t>Rarely human normal immunoglobulins may cause a sudden fall in blood pressure and, in isolated cases, anaphylactic shock, even when the patient has shown no hypersensitivity to previous administration.</w:t>
      </w:r>
    </w:p>
    <w:p w14:paraId="7DDC97CC" w14:textId="16E4E9FC" w:rsidR="00AF6636" w:rsidRPr="009A68EE" w:rsidRDefault="00E56EAE" w:rsidP="00A02ED3">
      <w:pPr>
        <w:jc w:val="left"/>
        <w:rPr>
          <w:rFonts w:asciiTheme="minorHAnsi" w:hAnsiTheme="minorHAnsi" w:cstheme="minorHAnsi"/>
        </w:rPr>
      </w:pPr>
      <w:r w:rsidRPr="009A68EE">
        <w:rPr>
          <w:rFonts w:asciiTheme="minorHAnsi" w:hAnsiTheme="minorHAnsi" w:cstheme="minorHAnsi"/>
        </w:rPr>
        <w:t>Local reactions at infusion sites: swelling, soreness, redness, induration, local heat, itching, bruising and rash, may frequently occur. These reactions normally decrease in frequency with ongoing treatment.</w:t>
      </w:r>
    </w:p>
    <w:p w14:paraId="12B86D77" w14:textId="77777777" w:rsidR="00AF6636" w:rsidRPr="009A68EE" w:rsidRDefault="00AF6636" w:rsidP="00A02ED3">
      <w:pPr>
        <w:jc w:val="left"/>
        <w:rPr>
          <w:rStyle w:val="Strong"/>
          <w:rFonts w:asciiTheme="minorHAnsi" w:hAnsiTheme="minorHAnsi" w:cstheme="minorHAnsi"/>
        </w:rPr>
      </w:pPr>
      <w:r w:rsidRPr="009A68EE">
        <w:rPr>
          <w:rStyle w:val="Strong"/>
          <w:rFonts w:asciiTheme="minorHAnsi" w:hAnsiTheme="minorHAnsi" w:cstheme="minorHAnsi"/>
        </w:rPr>
        <w:t>Tabulated list of adverse reactions</w:t>
      </w:r>
    </w:p>
    <w:p w14:paraId="4421077E" w14:textId="3A5EC9D3" w:rsidR="00E56EAE" w:rsidRPr="009A68EE" w:rsidRDefault="00E56EAE" w:rsidP="00A02ED3">
      <w:pPr>
        <w:jc w:val="left"/>
        <w:rPr>
          <w:rFonts w:asciiTheme="minorHAnsi" w:hAnsiTheme="minorHAnsi" w:cstheme="minorHAnsi"/>
        </w:rPr>
      </w:pPr>
      <w:r w:rsidRPr="009A68EE">
        <w:rPr>
          <w:rFonts w:asciiTheme="minorHAnsi" w:hAnsiTheme="minorHAnsi" w:cstheme="minorHAnsi"/>
        </w:rPr>
        <w:t xml:space="preserve">Clinical safety data are based on the pivotal Phase III open-label, single-arm, prospective, multicentre study of </w:t>
      </w:r>
      <w:r w:rsidR="00DF5E08" w:rsidRPr="009A68EE">
        <w:rPr>
          <w:rFonts w:asciiTheme="minorHAnsi" w:hAnsiTheme="minorHAnsi" w:cstheme="minorHAnsi"/>
        </w:rPr>
        <w:t>cutaquig®</w:t>
      </w:r>
      <w:r w:rsidRPr="009A68EE">
        <w:rPr>
          <w:rFonts w:asciiTheme="minorHAnsi" w:hAnsiTheme="minorHAnsi" w:cstheme="minorHAnsi"/>
        </w:rPr>
        <w:t xml:space="preserve"> in subjects with PID, previously treated with </w:t>
      </w:r>
      <w:r w:rsidR="00EA69F8" w:rsidRPr="009A68EE">
        <w:rPr>
          <w:rFonts w:asciiTheme="minorHAnsi" w:hAnsiTheme="minorHAnsi" w:cstheme="minorHAnsi"/>
        </w:rPr>
        <w:t>intravenous immunoglobulin (</w:t>
      </w:r>
      <w:r w:rsidRPr="009A68EE">
        <w:rPr>
          <w:rFonts w:asciiTheme="minorHAnsi" w:hAnsiTheme="minorHAnsi" w:cstheme="minorHAnsi"/>
        </w:rPr>
        <w:t>IVIG</w:t>
      </w:r>
      <w:r w:rsidR="00EA69F8" w:rsidRPr="009A68EE">
        <w:rPr>
          <w:rFonts w:asciiTheme="minorHAnsi" w:hAnsiTheme="minorHAnsi" w:cstheme="minorHAnsi"/>
        </w:rPr>
        <w:t>)</w:t>
      </w:r>
      <w:r w:rsidRPr="009A68EE">
        <w:rPr>
          <w:rFonts w:asciiTheme="minorHAnsi" w:hAnsiTheme="minorHAnsi" w:cstheme="minorHAnsi"/>
        </w:rPr>
        <w:t xml:space="preserve"> for at least 6 months. This study was conducted in Europe and North America.</w:t>
      </w:r>
    </w:p>
    <w:p w14:paraId="42294CAF" w14:textId="65CFC1BA" w:rsidR="00E56EAE" w:rsidRPr="009A68EE" w:rsidRDefault="00E56EAE" w:rsidP="00A02ED3">
      <w:pPr>
        <w:jc w:val="left"/>
        <w:rPr>
          <w:rFonts w:asciiTheme="minorHAnsi" w:hAnsiTheme="minorHAnsi" w:cstheme="minorHAnsi"/>
        </w:rPr>
      </w:pPr>
      <w:r w:rsidRPr="009A68EE">
        <w:rPr>
          <w:rFonts w:asciiTheme="minorHAnsi" w:hAnsiTheme="minorHAnsi" w:cstheme="minorHAnsi"/>
        </w:rPr>
        <w:t xml:space="preserve">In this study, the safety of </w:t>
      </w:r>
      <w:r w:rsidR="00DF5E08" w:rsidRPr="009A68EE">
        <w:rPr>
          <w:rFonts w:asciiTheme="minorHAnsi" w:hAnsiTheme="minorHAnsi" w:cstheme="minorHAnsi"/>
        </w:rPr>
        <w:t>cutaquig®</w:t>
      </w:r>
      <w:r w:rsidRPr="009A68EE">
        <w:rPr>
          <w:rFonts w:asciiTheme="minorHAnsi" w:hAnsiTheme="minorHAnsi" w:cstheme="minorHAnsi"/>
        </w:rPr>
        <w:t xml:space="preserve"> was evaluated i</w:t>
      </w:r>
      <w:r w:rsidR="00DF5E08" w:rsidRPr="009A68EE">
        <w:rPr>
          <w:rFonts w:asciiTheme="minorHAnsi" w:hAnsiTheme="minorHAnsi" w:cstheme="minorHAnsi"/>
        </w:rPr>
        <w:t>n 60 subjects. A total of 3534 cutaquig®</w:t>
      </w:r>
      <w:r w:rsidRPr="009A68EE">
        <w:rPr>
          <w:rFonts w:asciiTheme="minorHAnsi" w:hAnsiTheme="minorHAnsi" w:cstheme="minorHAnsi"/>
        </w:rPr>
        <w:t xml:space="preserve"> infusions were administered. </w:t>
      </w:r>
    </w:p>
    <w:p w14:paraId="484C278D" w14:textId="23776815" w:rsidR="00AF6636" w:rsidRPr="009A68EE" w:rsidRDefault="007F6475" w:rsidP="00A02ED3">
      <w:pPr>
        <w:jc w:val="left"/>
        <w:rPr>
          <w:rFonts w:asciiTheme="minorHAnsi" w:hAnsiTheme="minorHAnsi" w:cstheme="minorHAnsi"/>
        </w:rPr>
      </w:pPr>
      <w:r w:rsidRPr="009A68EE">
        <w:rPr>
          <w:rFonts w:asciiTheme="minorHAnsi" w:hAnsiTheme="minorHAnsi" w:cstheme="minorHAnsi"/>
        </w:rPr>
        <w:t xml:space="preserve">Table 1 </w:t>
      </w:r>
      <w:r w:rsidR="00AF6636" w:rsidRPr="009A68EE">
        <w:rPr>
          <w:rFonts w:asciiTheme="minorHAnsi" w:hAnsiTheme="minorHAnsi" w:cstheme="minorHAnsi"/>
        </w:rPr>
        <w:t xml:space="preserve">below </w:t>
      </w:r>
      <w:r w:rsidRPr="009A68EE">
        <w:rPr>
          <w:rFonts w:asciiTheme="minorHAnsi" w:hAnsiTheme="minorHAnsi" w:cstheme="minorHAnsi"/>
        </w:rPr>
        <w:t xml:space="preserve">presents adverse drug reactions (ADR) </w:t>
      </w:r>
      <w:r w:rsidR="00AF6636" w:rsidRPr="009A68EE">
        <w:rPr>
          <w:rFonts w:asciiTheme="minorHAnsi" w:hAnsiTheme="minorHAnsi" w:cstheme="minorHAnsi"/>
        </w:rPr>
        <w:t>according to the MedDRA system organ classification (SOC and Preferred Term Level).</w:t>
      </w:r>
    </w:p>
    <w:p w14:paraId="16FCE876" w14:textId="33B9BEB9" w:rsidR="00AF6636" w:rsidRDefault="00AF6636" w:rsidP="00A02ED3">
      <w:pPr>
        <w:jc w:val="left"/>
        <w:rPr>
          <w:rFonts w:asciiTheme="minorHAnsi" w:hAnsiTheme="minorHAnsi" w:cstheme="minorHAnsi"/>
        </w:rPr>
      </w:pPr>
      <w:r w:rsidRPr="009A68EE">
        <w:rPr>
          <w:rFonts w:asciiTheme="minorHAnsi" w:hAnsiTheme="minorHAnsi" w:cstheme="minorHAnsi"/>
        </w:rPr>
        <w:t xml:space="preserve">Within each </w:t>
      </w:r>
      <w:r w:rsidR="002D2302">
        <w:rPr>
          <w:rFonts w:asciiTheme="minorHAnsi" w:hAnsiTheme="minorHAnsi" w:cstheme="minorHAnsi"/>
        </w:rPr>
        <w:t>o</w:t>
      </w:r>
      <w:r w:rsidR="002D2302" w:rsidRPr="009A68EE">
        <w:rPr>
          <w:rFonts w:asciiTheme="minorHAnsi" w:hAnsiTheme="minorHAnsi" w:cstheme="minorHAnsi"/>
        </w:rPr>
        <w:t xml:space="preserve">rgan </w:t>
      </w:r>
      <w:r w:rsidR="002D2302">
        <w:rPr>
          <w:rFonts w:asciiTheme="minorHAnsi" w:hAnsiTheme="minorHAnsi" w:cstheme="minorHAnsi"/>
        </w:rPr>
        <w:t>c</w:t>
      </w:r>
      <w:r w:rsidR="002D2302" w:rsidRPr="009A68EE">
        <w:rPr>
          <w:rFonts w:asciiTheme="minorHAnsi" w:hAnsiTheme="minorHAnsi" w:cstheme="minorHAnsi"/>
        </w:rPr>
        <w:t>lass</w:t>
      </w:r>
      <w:r w:rsidRPr="009A68EE">
        <w:rPr>
          <w:rFonts w:asciiTheme="minorHAnsi" w:hAnsiTheme="minorHAnsi" w:cstheme="minorHAnsi"/>
        </w:rPr>
        <w:t>, adverse reactions are presented in order of decreasing frequency.</w:t>
      </w:r>
    </w:p>
    <w:p w14:paraId="77D699CB" w14:textId="7ED6F1BC" w:rsidR="00A02996" w:rsidRDefault="00A02996" w:rsidP="00A02ED3">
      <w:pPr>
        <w:jc w:val="left"/>
        <w:rPr>
          <w:rFonts w:asciiTheme="minorHAnsi" w:hAnsiTheme="minorHAnsi" w:cstheme="minorHAnsi"/>
        </w:rPr>
      </w:pPr>
    </w:p>
    <w:p w14:paraId="1704B635" w14:textId="77777777" w:rsidR="00A02996" w:rsidRPr="009A68EE" w:rsidRDefault="00A02996" w:rsidP="00A02ED3">
      <w:pPr>
        <w:jc w:val="left"/>
        <w:rPr>
          <w:rFonts w:asciiTheme="minorHAnsi" w:hAnsiTheme="minorHAnsi" w:cstheme="minorHAnsi"/>
        </w:rPr>
      </w:pPr>
    </w:p>
    <w:p w14:paraId="7F6EBBF3" w14:textId="2FF18E7D" w:rsidR="00AF6636" w:rsidRPr="009A68EE" w:rsidRDefault="0092168A" w:rsidP="00A02ED3">
      <w:pPr>
        <w:spacing w:after="0"/>
        <w:jc w:val="left"/>
        <w:rPr>
          <w:rFonts w:asciiTheme="minorHAnsi" w:hAnsiTheme="minorHAnsi" w:cstheme="minorHAnsi"/>
          <w:b/>
        </w:rPr>
      </w:pPr>
      <w:r w:rsidRPr="009A68EE">
        <w:rPr>
          <w:rFonts w:asciiTheme="minorHAnsi" w:hAnsiTheme="minorHAnsi" w:cstheme="minorHAnsi"/>
          <w:b/>
        </w:rPr>
        <w:t xml:space="preserve">Table 1 </w:t>
      </w:r>
      <w:r w:rsidR="009E556E" w:rsidRPr="00B5537C">
        <w:rPr>
          <w:b/>
          <w:lang w:val="en-CA"/>
        </w:rPr>
        <w:t>Causally and temporally associated (72 hrs) AEs*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693"/>
        <w:gridCol w:w="1877"/>
        <w:gridCol w:w="2041"/>
      </w:tblGrid>
      <w:tr w:rsidR="00E56EAE" w:rsidRPr="009A68EE" w14:paraId="298A2F6E" w14:textId="77777777" w:rsidTr="002D2302">
        <w:trPr>
          <w:tblHeader/>
        </w:trPr>
        <w:tc>
          <w:tcPr>
            <w:tcW w:w="2405" w:type="dxa"/>
          </w:tcPr>
          <w:p w14:paraId="71EA2E36" w14:textId="77777777" w:rsidR="00E56EAE" w:rsidRPr="009A68EE" w:rsidRDefault="00E56EAE" w:rsidP="00A02ED3">
            <w:pPr>
              <w:pStyle w:val="Default"/>
              <w:keepNext/>
              <w:keepLines/>
              <w:rPr>
                <w:rFonts w:asciiTheme="minorHAnsi" w:hAnsiTheme="minorHAnsi" w:cstheme="minorHAnsi"/>
                <w:b/>
                <w:bCs/>
                <w:sz w:val="22"/>
                <w:szCs w:val="22"/>
                <w:lang w:val="en-US"/>
              </w:rPr>
            </w:pPr>
            <w:r w:rsidRPr="009A68EE">
              <w:rPr>
                <w:rFonts w:asciiTheme="minorHAnsi" w:hAnsiTheme="minorHAnsi" w:cstheme="minorHAnsi"/>
                <w:b/>
                <w:bCs/>
                <w:sz w:val="22"/>
                <w:szCs w:val="22"/>
                <w:lang w:val="en-US"/>
              </w:rPr>
              <w:t>MedDRA System Organ Class (SOC)</w:t>
            </w:r>
          </w:p>
        </w:tc>
        <w:tc>
          <w:tcPr>
            <w:tcW w:w="2693" w:type="dxa"/>
          </w:tcPr>
          <w:p w14:paraId="3FFBBB9D" w14:textId="60F41E70" w:rsidR="00E56EAE" w:rsidRPr="009A68EE" w:rsidRDefault="00E56EAE" w:rsidP="00A02ED3">
            <w:pPr>
              <w:pStyle w:val="Default"/>
              <w:keepNext/>
              <w:keepLines/>
              <w:rPr>
                <w:rFonts w:asciiTheme="minorHAnsi" w:hAnsiTheme="minorHAnsi" w:cstheme="minorHAnsi"/>
                <w:b/>
                <w:bCs/>
                <w:sz w:val="22"/>
                <w:szCs w:val="22"/>
                <w:lang w:val="en-US"/>
              </w:rPr>
            </w:pPr>
            <w:r w:rsidRPr="009A68EE">
              <w:rPr>
                <w:rFonts w:asciiTheme="minorHAnsi" w:hAnsiTheme="minorHAnsi" w:cstheme="minorHAnsi"/>
                <w:b/>
                <w:bCs/>
                <w:sz w:val="22"/>
                <w:szCs w:val="22"/>
                <w:lang w:val="en-US"/>
              </w:rPr>
              <w:t xml:space="preserve">Adverse </w:t>
            </w:r>
            <w:r w:rsidR="009E556E">
              <w:rPr>
                <w:rFonts w:asciiTheme="minorHAnsi" w:hAnsiTheme="minorHAnsi" w:cstheme="minorHAnsi"/>
                <w:b/>
                <w:bCs/>
                <w:sz w:val="22"/>
                <w:szCs w:val="22"/>
                <w:lang w:val="en-US"/>
              </w:rPr>
              <w:t>event</w:t>
            </w:r>
          </w:p>
        </w:tc>
        <w:tc>
          <w:tcPr>
            <w:tcW w:w="1877" w:type="dxa"/>
          </w:tcPr>
          <w:p w14:paraId="37594263" w14:textId="2CF37D9D" w:rsidR="00E56EAE" w:rsidRPr="009A68EE" w:rsidRDefault="00C60090" w:rsidP="00A02ED3">
            <w:pPr>
              <w:pStyle w:val="Default"/>
              <w:keepNext/>
              <w:keepLines/>
              <w:rPr>
                <w:rFonts w:asciiTheme="minorHAnsi" w:hAnsiTheme="minorHAnsi" w:cstheme="minorHAnsi"/>
                <w:b/>
                <w:bCs/>
                <w:sz w:val="22"/>
                <w:szCs w:val="22"/>
                <w:lang w:val="en-US"/>
              </w:rPr>
            </w:pPr>
            <w:r>
              <w:rPr>
                <w:rFonts w:asciiTheme="minorHAnsi" w:hAnsiTheme="minorHAnsi" w:cstheme="minorHAnsi"/>
                <w:b/>
                <w:bCs/>
                <w:sz w:val="22"/>
                <w:szCs w:val="22"/>
                <w:lang w:val="en-US"/>
              </w:rPr>
              <w:t>Number (%) of subjects (N=60)</w:t>
            </w:r>
          </w:p>
        </w:tc>
        <w:tc>
          <w:tcPr>
            <w:tcW w:w="2041" w:type="dxa"/>
          </w:tcPr>
          <w:p w14:paraId="7654AD53" w14:textId="1AD5235D" w:rsidR="00E56EAE" w:rsidRPr="009A68EE" w:rsidRDefault="00C60090" w:rsidP="00A02ED3">
            <w:pPr>
              <w:pStyle w:val="Default"/>
              <w:keepNext/>
              <w:keepLines/>
              <w:rPr>
                <w:rFonts w:asciiTheme="minorHAnsi" w:hAnsiTheme="minorHAnsi" w:cstheme="minorHAnsi"/>
                <w:b/>
                <w:bCs/>
                <w:sz w:val="22"/>
                <w:szCs w:val="22"/>
                <w:lang w:val="en-US"/>
              </w:rPr>
            </w:pPr>
            <w:r>
              <w:rPr>
                <w:rFonts w:asciiTheme="minorHAnsi" w:hAnsiTheme="minorHAnsi" w:cstheme="minorHAnsi"/>
                <w:b/>
                <w:bCs/>
                <w:sz w:val="22"/>
                <w:szCs w:val="22"/>
                <w:lang w:val="en-US"/>
              </w:rPr>
              <w:t>Number (Rate) of AEs (N=3534)</w:t>
            </w:r>
          </w:p>
        </w:tc>
      </w:tr>
      <w:tr w:rsidR="00E56EAE" w:rsidRPr="009A68EE" w14:paraId="03853300" w14:textId="77777777" w:rsidTr="002D2302">
        <w:tc>
          <w:tcPr>
            <w:tcW w:w="2405" w:type="dxa"/>
          </w:tcPr>
          <w:p w14:paraId="354A668E" w14:textId="77777777" w:rsidR="00E56EAE" w:rsidRPr="009A68EE" w:rsidRDefault="00E56EAE" w:rsidP="00A02ED3">
            <w:pPr>
              <w:jc w:val="left"/>
              <w:rPr>
                <w:rFonts w:asciiTheme="minorHAnsi" w:hAnsiTheme="minorHAnsi" w:cstheme="minorHAnsi"/>
                <w:lang w:val="en-US"/>
              </w:rPr>
            </w:pPr>
            <w:r w:rsidRPr="009A68EE">
              <w:rPr>
                <w:rFonts w:asciiTheme="minorHAnsi" w:hAnsiTheme="minorHAnsi" w:cstheme="minorHAnsi"/>
                <w:lang w:val="en-US"/>
              </w:rPr>
              <w:t>Nervous system disorders</w:t>
            </w:r>
          </w:p>
        </w:tc>
        <w:tc>
          <w:tcPr>
            <w:tcW w:w="2693" w:type="dxa"/>
          </w:tcPr>
          <w:p w14:paraId="024D1607" w14:textId="77777777" w:rsidR="00E56EAE" w:rsidRPr="009A68EE" w:rsidRDefault="00E56EAE" w:rsidP="00A02ED3">
            <w:pPr>
              <w:pStyle w:val="Default"/>
              <w:numPr>
                <w:ilvl w:val="0"/>
                <w:numId w:val="19"/>
              </w:numPr>
              <w:spacing w:after="20"/>
              <w:ind w:left="176" w:hanging="176"/>
              <w:rPr>
                <w:rFonts w:asciiTheme="minorHAnsi" w:hAnsiTheme="minorHAnsi" w:cstheme="minorHAnsi"/>
                <w:sz w:val="22"/>
                <w:szCs w:val="22"/>
                <w:lang w:val="en-US"/>
              </w:rPr>
            </w:pPr>
            <w:r w:rsidRPr="009A68EE">
              <w:rPr>
                <w:rFonts w:asciiTheme="minorHAnsi" w:hAnsiTheme="minorHAnsi" w:cstheme="minorHAnsi"/>
                <w:sz w:val="22"/>
                <w:szCs w:val="22"/>
                <w:lang w:val="en-US"/>
              </w:rPr>
              <w:t>Headache</w:t>
            </w:r>
          </w:p>
        </w:tc>
        <w:tc>
          <w:tcPr>
            <w:tcW w:w="1877" w:type="dxa"/>
          </w:tcPr>
          <w:p w14:paraId="6252C61C" w14:textId="7DBA6738" w:rsidR="00E56EAE" w:rsidRPr="009A68EE" w:rsidRDefault="00C60090" w:rsidP="00A02ED3">
            <w:pPr>
              <w:pStyle w:val="Default"/>
              <w:spacing w:after="20"/>
              <w:rPr>
                <w:rFonts w:asciiTheme="minorHAnsi" w:hAnsiTheme="minorHAnsi" w:cstheme="minorHAnsi"/>
                <w:sz w:val="22"/>
                <w:szCs w:val="22"/>
                <w:lang w:val="en-US"/>
              </w:rPr>
            </w:pPr>
            <w:r>
              <w:rPr>
                <w:rFonts w:asciiTheme="minorHAnsi" w:hAnsiTheme="minorHAnsi" w:cstheme="minorHAnsi"/>
                <w:sz w:val="22"/>
                <w:szCs w:val="22"/>
                <w:lang w:val="en-US"/>
              </w:rPr>
              <w:t>2 (3.3)</w:t>
            </w:r>
          </w:p>
        </w:tc>
        <w:tc>
          <w:tcPr>
            <w:tcW w:w="2041" w:type="dxa"/>
          </w:tcPr>
          <w:p w14:paraId="1C870987" w14:textId="7316D7A3" w:rsidR="00E56EAE" w:rsidRPr="009A68EE" w:rsidRDefault="00C60090" w:rsidP="00A02ED3">
            <w:pPr>
              <w:pStyle w:val="Default"/>
              <w:spacing w:after="20"/>
              <w:rPr>
                <w:rFonts w:asciiTheme="minorHAnsi" w:hAnsiTheme="minorHAnsi" w:cstheme="minorHAnsi"/>
                <w:sz w:val="22"/>
                <w:szCs w:val="22"/>
                <w:lang w:val="en-US"/>
              </w:rPr>
            </w:pPr>
            <w:r>
              <w:rPr>
                <w:rFonts w:asciiTheme="minorHAnsi" w:hAnsiTheme="minorHAnsi" w:cstheme="minorHAnsi"/>
                <w:sz w:val="22"/>
                <w:szCs w:val="22"/>
                <w:lang w:val="en-US"/>
              </w:rPr>
              <w:t>3 (&lt;0.001)</w:t>
            </w:r>
          </w:p>
        </w:tc>
      </w:tr>
      <w:tr w:rsidR="00E56EAE" w:rsidRPr="009A68EE" w14:paraId="2EBDA7C9" w14:textId="77777777" w:rsidTr="002D2302">
        <w:tc>
          <w:tcPr>
            <w:tcW w:w="2405" w:type="dxa"/>
          </w:tcPr>
          <w:p w14:paraId="280227E5" w14:textId="77777777" w:rsidR="00E56EAE" w:rsidRPr="009A68EE" w:rsidRDefault="00E56EAE" w:rsidP="00A02ED3">
            <w:pPr>
              <w:jc w:val="left"/>
              <w:rPr>
                <w:rFonts w:asciiTheme="minorHAnsi" w:hAnsiTheme="minorHAnsi" w:cstheme="minorHAnsi"/>
                <w:lang w:val="en-US"/>
              </w:rPr>
            </w:pPr>
            <w:r w:rsidRPr="009A68EE">
              <w:rPr>
                <w:rFonts w:asciiTheme="minorHAnsi" w:hAnsiTheme="minorHAnsi" w:cstheme="minorHAnsi"/>
                <w:lang w:val="en-US"/>
              </w:rPr>
              <w:t>Gastrointestinal disorders</w:t>
            </w:r>
          </w:p>
        </w:tc>
        <w:tc>
          <w:tcPr>
            <w:tcW w:w="2693" w:type="dxa"/>
          </w:tcPr>
          <w:p w14:paraId="75C14C10" w14:textId="77777777" w:rsidR="00E56EAE" w:rsidRPr="009A68EE" w:rsidRDefault="00E56EAE" w:rsidP="00A02ED3">
            <w:pPr>
              <w:pStyle w:val="Default"/>
              <w:numPr>
                <w:ilvl w:val="0"/>
                <w:numId w:val="19"/>
              </w:numPr>
              <w:spacing w:after="20"/>
              <w:ind w:left="176" w:hanging="176"/>
              <w:rPr>
                <w:rFonts w:asciiTheme="minorHAnsi" w:hAnsiTheme="minorHAnsi" w:cstheme="minorHAnsi"/>
                <w:sz w:val="22"/>
                <w:szCs w:val="22"/>
                <w:lang w:val="en-US"/>
              </w:rPr>
            </w:pPr>
            <w:r w:rsidRPr="009A68EE">
              <w:rPr>
                <w:rFonts w:asciiTheme="minorHAnsi" w:hAnsiTheme="minorHAnsi" w:cstheme="minorHAnsi"/>
                <w:sz w:val="22"/>
                <w:szCs w:val="22"/>
                <w:lang w:val="en-US"/>
              </w:rPr>
              <w:t>Abdominal distension</w:t>
            </w:r>
          </w:p>
          <w:p w14:paraId="138FF3C8" w14:textId="77777777" w:rsidR="00E56EAE" w:rsidRPr="009A68EE" w:rsidRDefault="00E56EAE" w:rsidP="00A02ED3">
            <w:pPr>
              <w:pStyle w:val="Default"/>
              <w:numPr>
                <w:ilvl w:val="0"/>
                <w:numId w:val="19"/>
              </w:numPr>
              <w:spacing w:after="20"/>
              <w:ind w:left="176" w:hanging="176"/>
              <w:rPr>
                <w:rFonts w:asciiTheme="minorHAnsi" w:hAnsiTheme="minorHAnsi" w:cstheme="minorHAnsi"/>
                <w:sz w:val="22"/>
                <w:szCs w:val="22"/>
                <w:lang w:val="en-US"/>
              </w:rPr>
            </w:pPr>
            <w:r w:rsidRPr="009A68EE">
              <w:rPr>
                <w:rFonts w:asciiTheme="minorHAnsi" w:hAnsiTheme="minorHAnsi" w:cstheme="minorHAnsi"/>
                <w:sz w:val="22"/>
                <w:szCs w:val="22"/>
                <w:lang w:val="en-US"/>
              </w:rPr>
              <w:t xml:space="preserve">Abdominal pain </w:t>
            </w:r>
          </w:p>
          <w:p w14:paraId="1487FDC6" w14:textId="77777777" w:rsidR="00E56EAE" w:rsidRPr="009A68EE" w:rsidRDefault="00E56EAE" w:rsidP="00A02ED3">
            <w:pPr>
              <w:pStyle w:val="Default"/>
              <w:numPr>
                <w:ilvl w:val="0"/>
                <w:numId w:val="19"/>
              </w:numPr>
              <w:spacing w:after="20"/>
              <w:ind w:left="176" w:hanging="176"/>
              <w:rPr>
                <w:rFonts w:asciiTheme="minorHAnsi" w:hAnsiTheme="minorHAnsi" w:cstheme="minorHAnsi"/>
                <w:sz w:val="22"/>
                <w:szCs w:val="22"/>
                <w:lang w:val="en-US"/>
              </w:rPr>
            </w:pPr>
            <w:r w:rsidRPr="009A68EE">
              <w:rPr>
                <w:rFonts w:asciiTheme="minorHAnsi" w:hAnsiTheme="minorHAnsi" w:cstheme="minorHAnsi"/>
                <w:sz w:val="22"/>
                <w:szCs w:val="22"/>
                <w:lang w:val="en-US"/>
              </w:rPr>
              <w:t>Vomiting</w:t>
            </w:r>
          </w:p>
        </w:tc>
        <w:tc>
          <w:tcPr>
            <w:tcW w:w="1877" w:type="dxa"/>
          </w:tcPr>
          <w:p w14:paraId="401F5EA9" w14:textId="4E5B71A3" w:rsidR="00E56EAE" w:rsidRPr="009A68EE" w:rsidRDefault="00C60090" w:rsidP="00A02ED3">
            <w:pPr>
              <w:pStyle w:val="Default"/>
              <w:spacing w:after="20"/>
              <w:rPr>
                <w:rFonts w:asciiTheme="minorHAnsi" w:hAnsiTheme="minorHAnsi" w:cstheme="minorHAnsi"/>
                <w:sz w:val="22"/>
                <w:szCs w:val="22"/>
              </w:rPr>
            </w:pPr>
            <w:r>
              <w:rPr>
                <w:rFonts w:asciiTheme="minorHAnsi" w:hAnsiTheme="minorHAnsi" w:cstheme="minorHAnsi"/>
                <w:sz w:val="22"/>
                <w:szCs w:val="22"/>
              </w:rPr>
              <w:t>1 (1.7)</w:t>
            </w:r>
          </w:p>
          <w:p w14:paraId="4F07B639" w14:textId="77777777" w:rsidR="00C60090" w:rsidRPr="009A68EE" w:rsidRDefault="00C60090" w:rsidP="00A02ED3">
            <w:pPr>
              <w:pStyle w:val="Default"/>
              <w:spacing w:after="20"/>
              <w:rPr>
                <w:rFonts w:asciiTheme="minorHAnsi" w:hAnsiTheme="minorHAnsi" w:cstheme="minorHAnsi"/>
                <w:sz w:val="22"/>
                <w:szCs w:val="22"/>
              </w:rPr>
            </w:pPr>
            <w:r>
              <w:rPr>
                <w:rFonts w:asciiTheme="minorHAnsi" w:hAnsiTheme="minorHAnsi" w:cstheme="minorHAnsi"/>
                <w:sz w:val="22"/>
                <w:szCs w:val="22"/>
              </w:rPr>
              <w:t>1 (1.7)</w:t>
            </w:r>
          </w:p>
          <w:p w14:paraId="277B82E9" w14:textId="77777777" w:rsidR="00C60090" w:rsidRPr="009A68EE" w:rsidRDefault="00C60090" w:rsidP="00A02ED3">
            <w:pPr>
              <w:pStyle w:val="Default"/>
              <w:spacing w:after="20"/>
              <w:rPr>
                <w:rFonts w:asciiTheme="minorHAnsi" w:hAnsiTheme="minorHAnsi" w:cstheme="minorHAnsi"/>
                <w:sz w:val="22"/>
                <w:szCs w:val="22"/>
              </w:rPr>
            </w:pPr>
            <w:r>
              <w:rPr>
                <w:rFonts w:asciiTheme="minorHAnsi" w:hAnsiTheme="minorHAnsi" w:cstheme="minorHAnsi"/>
                <w:sz w:val="22"/>
                <w:szCs w:val="22"/>
              </w:rPr>
              <w:t>1 (1.7)</w:t>
            </w:r>
          </w:p>
          <w:p w14:paraId="689BF1DA" w14:textId="5AA3C8FE" w:rsidR="00E56EAE" w:rsidRPr="009A68EE" w:rsidRDefault="00E56EAE" w:rsidP="00A02ED3">
            <w:pPr>
              <w:pStyle w:val="Default"/>
              <w:spacing w:after="20"/>
              <w:rPr>
                <w:rFonts w:asciiTheme="minorHAnsi" w:hAnsiTheme="minorHAnsi" w:cstheme="minorHAnsi"/>
                <w:sz w:val="22"/>
                <w:szCs w:val="22"/>
              </w:rPr>
            </w:pPr>
          </w:p>
        </w:tc>
        <w:tc>
          <w:tcPr>
            <w:tcW w:w="2041" w:type="dxa"/>
          </w:tcPr>
          <w:p w14:paraId="419A2032" w14:textId="5862A9F0" w:rsidR="00E56EAE" w:rsidRPr="009A68EE" w:rsidRDefault="00C60090" w:rsidP="00A02ED3">
            <w:pPr>
              <w:pStyle w:val="Default"/>
              <w:spacing w:after="20"/>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lang w:val="en-US"/>
              </w:rPr>
              <w:t>(&lt;0.001)</w:t>
            </w:r>
          </w:p>
          <w:p w14:paraId="04919267" w14:textId="77777777" w:rsidR="00C60090" w:rsidRPr="009A68EE" w:rsidRDefault="00C60090" w:rsidP="00A02ED3">
            <w:pPr>
              <w:pStyle w:val="Default"/>
              <w:spacing w:after="20"/>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lang w:val="en-US"/>
              </w:rPr>
              <w:t>(&lt;0.001)</w:t>
            </w:r>
          </w:p>
          <w:p w14:paraId="20A5868D" w14:textId="77777777" w:rsidR="00C60090" w:rsidRPr="009A68EE" w:rsidRDefault="00C60090" w:rsidP="00A02ED3">
            <w:pPr>
              <w:pStyle w:val="Default"/>
              <w:spacing w:after="20"/>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lang w:val="en-US"/>
              </w:rPr>
              <w:t>(&lt;0.001)</w:t>
            </w:r>
          </w:p>
          <w:p w14:paraId="3508D41A" w14:textId="113337E1" w:rsidR="00E56EAE" w:rsidRPr="009A68EE" w:rsidRDefault="00E56EAE" w:rsidP="00A02ED3">
            <w:pPr>
              <w:pStyle w:val="Default"/>
              <w:spacing w:after="20"/>
              <w:rPr>
                <w:rFonts w:asciiTheme="minorHAnsi" w:hAnsiTheme="minorHAnsi" w:cstheme="minorHAnsi"/>
                <w:sz w:val="22"/>
                <w:szCs w:val="22"/>
              </w:rPr>
            </w:pPr>
          </w:p>
        </w:tc>
      </w:tr>
      <w:tr w:rsidR="00E56EAE" w:rsidRPr="009A68EE" w14:paraId="787770EB" w14:textId="77777777" w:rsidTr="002D2302">
        <w:tc>
          <w:tcPr>
            <w:tcW w:w="2405" w:type="dxa"/>
          </w:tcPr>
          <w:p w14:paraId="3CDAA8A8" w14:textId="77777777" w:rsidR="00E56EAE" w:rsidRPr="009A68EE" w:rsidRDefault="00E56EAE" w:rsidP="00A02ED3">
            <w:pPr>
              <w:jc w:val="left"/>
              <w:rPr>
                <w:rFonts w:asciiTheme="minorHAnsi" w:hAnsiTheme="minorHAnsi" w:cstheme="minorHAnsi"/>
                <w:lang w:val="en-US"/>
              </w:rPr>
            </w:pPr>
            <w:r w:rsidRPr="009A68EE">
              <w:rPr>
                <w:rFonts w:asciiTheme="minorHAnsi" w:hAnsiTheme="minorHAnsi" w:cstheme="minorHAnsi"/>
                <w:lang w:val="en-US"/>
              </w:rPr>
              <w:t>Musculoskeletal and connective tissue disorders</w:t>
            </w:r>
          </w:p>
        </w:tc>
        <w:tc>
          <w:tcPr>
            <w:tcW w:w="2693" w:type="dxa"/>
          </w:tcPr>
          <w:p w14:paraId="2B84F852" w14:textId="77777777" w:rsidR="00E56EAE" w:rsidRPr="009A68EE" w:rsidRDefault="00E56EAE" w:rsidP="00A02ED3">
            <w:pPr>
              <w:pStyle w:val="Default"/>
              <w:numPr>
                <w:ilvl w:val="0"/>
                <w:numId w:val="19"/>
              </w:numPr>
              <w:spacing w:after="20"/>
              <w:ind w:left="176" w:hanging="176"/>
              <w:rPr>
                <w:rFonts w:asciiTheme="minorHAnsi" w:hAnsiTheme="minorHAnsi" w:cstheme="minorHAnsi"/>
                <w:sz w:val="22"/>
                <w:szCs w:val="22"/>
                <w:lang w:val="en-US"/>
              </w:rPr>
            </w:pPr>
            <w:r w:rsidRPr="009A68EE">
              <w:rPr>
                <w:rFonts w:asciiTheme="minorHAnsi" w:hAnsiTheme="minorHAnsi" w:cstheme="minorHAnsi"/>
                <w:sz w:val="22"/>
                <w:szCs w:val="22"/>
                <w:lang w:val="en-US"/>
              </w:rPr>
              <w:t>Myalgia</w:t>
            </w:r>
          </w:p>
        </w:tc>
        <w:tc>
          <w:tcPr>
            <w:tcW w:w="1877" w:type="dxa"/>
          </w:tcPr>
          <w:p w14:paraId="7A2197A5" w14:textId="77777777" w:rsidR="00C60090" w:rsidRPr="009A68EE" w:rsidRDefault="00C60090" w:rsidP="00A02ED3">
            <w:pPr>
              <w:pStyle w:val="Default"/>
              <w:spacing w:after="20"/>
              <w:rPr>
                <w:rFonts w:asciiTheme="minorHAnsi" w:hAnsiTheme="minorHAnsi" w:cstheme="minorHAnsi"/>
                <w:sz w:val="22"/>
                <w:szCs w:val="22"/>
              </w:rPr>
            </w:pPr>
            <w:r>
              <w:rPr>
                <w:rFonts w:asciiTheme="minorHAnsi" w:hAnsiTheme="minorHAnsi" w:cstheme="minorHAnsi"/>
                <w:sz w:val="22"/>
                <w:szCs w:val="22"/>
              </w:rPr>
              <w:t>1 (1.7)</w:t>
            </w:r>
          </w:p>
          <w:p w14:paraId="2737199D" w14:textId="74F35EA5" w:rsidR="00E56EAE" w:rsidRPr="009A68EE" w:rsidRDefault="00E56EAE" w:rsidP="00A02ED3">
            <w:pPr>
              <w:pStyle w:val="Default"/>
              <w:spacing w:after="20"/>
              <w:rPr>
                <w:rFonts w:asciiTheme="minorHAnsi" w:hAnsiTheme="minorHAnsi" w:cstheme="minorHAnsi"/>
                <w:sz w:val="22"/>
                <w:szCs w:val="22"/>
                <w:lang w:val="en-US"/>
              </w:rPr>
            </w:pPr>
          </w:p>
        </w:tc>
        <w:tc>
          <w:tcPr>
            <w:tcW w:w="2041" w:type="dxa"/>
          </w:tcPr>
          <w:p w14:paraId="505CEA31" w14:textId="77777777" w:rsidR="00C60090" w:rsidRPr="009A68EE" w:rsidRDefault="00C60090" w:rsidP="00A02ED3">
            <w:pPr>
              <w:pStyle w:val="Default"/>
              <w:spacing w:after="20"/>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lang w:val="en-US"/>
              </w:rPr>
              <w:t>(&lt;0.001)</w:t>
            </w:r>
          </w:p>
          <w:p w14:paraId="07DE5BE1" w14:textId="3782CAB7" w:rsidR="00E56EAE" w:rsidRPr="009A68EE" w:rsidRDefault="00E56EAE" w:rsidP="00A02ED3">
            <w:pPr>
              <w:pStyle w:val="Default"/>
              <w:spacing w:after="20"/>
              <w:rPr>
                <w:rFonts w:asciiTheme="minorHAnsi" w:hAnsiTheme="minorHAnsi" w:cstheme="minorHAnsi"/>
                <w:sz w:val="22"/>
                <w:szCs w:val="22"/>
                <w:lang w:val="en-US"/>
              </w:rPr>
            </w:pPr>
          </w:p>
        </w:tc>
      </w:tr>
      <w:tr w:rsidR="00E56EAE" w:rsidRPr="009A68EE" w14:paraId="2AD34ED4" w14:textId="77777777" w:rsidTr="002D2302">
        <w:tc>
          <w:tcPr>
            <w:tcW w:w="2405" w:type="dxa"/>
          </w:tcPr>
          <w:p w14:paraId="1933F1B1" w14:textId="77777777" w:rsidR="00E56EAE" w:rsidRPr="009A68EE" w:rsidRDefault="00E56EAE" w:rsidP="00A02ED3">
            <w:pPr>
              <w:jc w:val="left"/>
              <w:rPr>
                <w:rFonts w:asciiTheme="minorHAnsi" w:hAnsiTheme="minorHAnsi" w:cstheme="minorHAnsi"/>
                <w:lang w:val="en-US"/>
              </w:rPr>
            </w:pPr>
            <w:r w:rsidRPr="009A68EE">
              <w:rPr>
                <w:rFonts w:asciiTheme="minorHAnsi" w:hAnsiTheme="minorHAnsi" w:cstheme="minorHAnsi"/>
                <w:lang w:val="en-US"/>
              </w:rPr>
              <w:t>General disorders and administration site conditions</w:t>
            </w:r>
          </w:p>
        </w:tc>
        <w:tc>
          <w:tcPr>
            <w:tcW w:w="2693" w:type="dxa"/>
          </w:tcPr>
          <w:p w14:paraId="78CBD2C3" w14:textId="7EEBC326" w:rsidR="00E56EAE" w:rsidRPr="009A68EE" w:rsidRDefault="00E56EAE" w:rsidP="00A02ED3">
            <w:pPr>
              <w:pStyle w:val="Default"/>
              <w:numPr>
                <w:ilvl w:val="0"/>
                <w:numId w:val="19"/>
              </w:numPr>
              <w:spacing w:after="20"/>
              <w:ind w:left="176" w:hanging="176"/>
              <w:rPr>
                <w:rFonts w:asciiTheme="minorHAnsi" w:hAnsiTheme="minorHAnsi" w:cstheme="minorHAnsi"/>
                <w:sz w:val="22"/>
                <w:szCs w:val="22"/>
                <w:lang w:val="en-US"/>
              </w:rPr>
            </w:pPr>
            <w:r w:rsidRPr="009A68EE">
              <w:rPr>
                <w:rFonts w:asciiTheme="minorHAnsi" w:hAnsiTheme="minorHAnsi" w:cstheme="minorHAnsi"/>
                <w:sz w:val="22"/>
                <w:szCs w:val="22"/>
                <w:lang w:val="en-US"/>
              </w:rPr>
              <w:t>Injection site reaction</w:t>
            </w:r>
            <w:r w:rsidR="009E556E">
              <w:rPr>
                <w:rFonts w:asciiTheme="minorHAnsi" w:hAnsiTheme="minorHAnsi" w:cstheme="minorHAnsi"/>
                <w:sz w:val="22"/>
                <w:szCs w:val="22"/>
                <w:lang w:val="en-US"/>
              </w:rPr>
              <w:t>**</w:t>
            </w:r>
            <w:r w:rsidRPr="009A68EE">
              <w:rPr>
                <w:rFonts w:asciiTheme="minorHAnsi" w:hAnsiTheme="minorHAnsi" w:cstheme="minorHAnsi"/>
                <w:sz w:val="22"/>
                <w:szCs w:val="22"/>
                <w:lang w:val="en-US"/>
              </w:rPr>
              <w:t xml:space="preserve"> </w:t>
            </w:r>
          </w:p>
          <w:p w14:paraId="3D0FB8C7" w14:textId="77777777" w:rsidR="00E56EAE" w:rsidRPr="009A68EE" w:rsidRDefault="00E56EAE" w:rsidP="00A02ED3">
            <w:pPr>
              <w:pStyle w:val="Default"/>
              <w:numPr>
                <w:ilvl w:val="0"/>
                <w:numId w:val="19"/>
              </w:numPr>
              <w:spacing w:after="20"/>
              <w:ind w:left="176" w:hanging="176"/>
              <w:rPr>
                <w:rFonts w:asciiTheme="minorHAnsi" w:hAnsiTheme="minorHAnsi" w:cstheme="minorHAnsi"/>
                <w:sz w:val="22"/>
                <w:szCs w:val="22"/>
                <w:lang w:val="en-US"/>
              </w:rPr>
            </w:pPr>
            <w:r w:rsidRPr="009A68EE">
              <w:rPr>
                <w:rFonts w:asciiTheme="minorHAnsi" w:hAnsiTheme="minorHAnsi" w:cstheme="minorHAnsi"/>
                <w:sz w:val="22"/>
                <w:szCs w:val="22"/>
                <w:lang w:val="en-US"/>
              </w:rPr>
              <w:t>Pyrexia</w:t>
            </w:r>
          </w:p>
        </w:tc>
        <w:tc>
          <w:tcPr>
            <w:tcW w:w="1877" w:type="dxa"/>
          </w:tcPr>
          <w:p w14:paraId="1F3075AC" w14:textId="2FA7A22D" w:rsidR="00E56EAE" w:rsidRPr="009A68EE" w:rsidRDefault="00525D8F" w:rsidP="00A02ED3">
            <w:pPr>
              <w:pStyle w:val="Default"/>
              <w:spacing w:after="20"/>
              <w:rPr>
                <w:rFonts w:asciiTheme="minorHAnsi" w:hAnsiTheme="minorHAnsi" w:cstheme="minorHAnsi"/>
                <w:sz w:val="22"/>
                <w:szCs w:val="22"/>
                <w:lang w:val="en-US"/>
              </w:rPr>
            </w:pPr>
            <w:r>
              <w:rPr>
                <w:rFonts w:asciiTheme="minorHAnsi" w:hAnsiTheme="minorHAnsi" w:cstheme="minorHAnsi"/>
                <w:sz w:val="22"/>
                <w:szCs w:val="22"/>
                <w:lang w:val="en-US"/>
              </w:rPr>
              <w:t>45 (75)</w:t>
            </w:r>
          </w:p>
          <w:p w14:paraId="5CD7E921" w14:textId="4D056E11" w:rsidR="00E56EAE" w:rsidRPr="009A68EE" w:rsidRDefault="00C60090" w:rsidP="00A02ED3">
            <w:pPr>
              <w:pStyle w:val="Default"/>
              <w:spacing w:after="20"/>
              <w:rPr>
                <w:rFonts w:asciiTheme="minorHAnsi" w:hAnsiTheme="minorHAnsi" w:cstheme="minorHAnsi"/>
                <w:sz w:val="22"/>
                <w:szCs w:val="22"/>
                <w:lang w:val="en-US"/>
              </w:rPr>
            </w:pPr>
            <w:r>
              <w:rPr>
                <w:rFonts w:asciiTheme="minorHAnsi" w:hAnsiTheme="minorHAnsi" w:cstheme="minorHAnsi"/>
                <w:sz w:val="22"/>
                <w:szCs w:val="22"/>
                <w:lang w:val="en-US"/>
              </w:rPr>
              <w:t>2 (3.3)</w:t>
            </w:r>
          </w:p>
        </w:tc>
        <w:tc>
          <w:tcPr>
            <w:tcW w:w="2041" w:type="dxa"/>
          </w:tcPr>
          <w:p w14:paraId="62177E3D" w14:textId="645C5438" w:rsidR="00E56EAE" w:rsidRPr="009A68EE" w:rsidRDefault="00525D8F" w:rsidP="00A02ED3">
            <w:pPr>
              <w:pStyle w:val="Default"/>
              <w:spacing w:after="20"/>
              <w:rPr>
                <w:rFonts w:asciiTheme="minorHAnsi" w:hAnsiTheme="minorHAnsi" w:cstheme="minorHAnsi"/>
                <w:sz w:val="22"/>
                <w:szCs w:val="22"/>
                <w:lang w:val="en-US"/>
              </w:rPr>
            </w:pPr>
            <w:r>
              <w:rPr>
                <w:rFonts w:asciiTheme="minorHAnsi" w:hAnsiTheme="minorHAnsi" w:cstheme="minorHAnsi"/>
                <w:sz w:val="22"/>
                <w:szCs w:val="22"/>
                <w:lang w:val="en-US"/>
              </w:rPr>
              <w:t>824 (0</w:t>
            </w:r>
            <w:r w:rsidR="009E556E">
              <w:rPr>
                <w:rFonts w:asciiTheme="minorHAnsi" w:hAnsiTheme="minorHAnsi" w:cstheme="minorHAnsi"/>
                <w:sz w:val="22"/>
                <w:szCs w:val="22"/>
                <w:lang w:val="en-US"/>
              </w:rPr>
              <w:t>.</w:t>
            </w:r>
            <w:r>
              <w:rPr>
                <w:rFonts w:asciiTheme="minorHAnsi" w:hAnsiTheme="minorHAnsi" w:cstheme="minorHAnsi"/>
                <w:sz w:val="22"/>
                <w:szCs w:val="22"/>
                <w:lang w:val="en-US"/>
              </w:rPr>
              <w:t>23)</w:t>
            </w:r>
          </w:p>
          <w:p w14:paraId="4DE02409" w14:textId="4517E493" w:rsidR="00E56EAE" w:rsidRPr="009A68EE" w:rsidRDefault="00C60090" w:rsidP="00A02ED3">
            <w:pPr>
              <w:pStyle w:val="Default"/>
              <w:spacing w:after="20"/>
              <w:rPr>
                <w:rFonts w:asciiTheme="minorHAnsi" w:hAnsiTheme="minorHAnsi" w:cstheme="minorHAnsi"/>
                <w:sz w:val="22"/>
                <w:szCs w:val="22"/>
                <w:lang w:val="en-US"/>
              </w:rPr>
            </w:pPr>
            <w:r>
              <w:rPr>
                <w:rFonts w:asciiTheme="minorHAnsi" w:hAnsiTheme="minorHAnsi" w:cstheme="minorHAnsi"/>
                <w:sz w:val="22"/>
                <w:szCs w:val="22"/>
                <w:lang w:val="en-US"/>
              </w:rPr>
              <w:t>2 (&lt;0.001)</w:t>
            </w:r>
          </w:p>
        </w:tc>
      </w:tr>
      <w:tr w:rsidR="00E56EAE" w:rsidRPr="009A68EE" w14:paraId="313FA305" w14:textId="77777777" w:rsidTr="002D2302">
        <w:trPr>
          <w:trHeight w:val="1063"/>
        </w:trPr>
        <w:tc>
          <w:tcPr>
            <w:tcW w:w="2405" w:type="dxa"/>
          </w:tcPr>
          <w:p w14:paraId="0783E187" w14:textId="77777777" w:rsidR="00E56EAE" w:rsidRPr="009A68EE" w:rsidRDefault="00E56EAE" w:rsidP="00A02ED3">
            <w:pPr>
              <w:pStyle w:val="Default"/>
              <w:rPr>
                <w:rFonts w:asciiTheme="minorHAnsi" w:hAnsiTheme="minorHAnsi" w:cstheme="minorHAnsi"/>
                <w:sz w:val="22"/>
                <w:szCs w:val="22"/>
                <w:lang w:val="en-US"/>
              </w:rPr>
            </w:pPr>
            <w:r w:rsidRPr="009A68EE">
              <w:rPr>
                <w:rFonts w:asciiTheme="minorHAnsi" w:hAnsiTheme="minorHAnsi" w:cstheme="minorHAnsi"/>
                <w:sz w:val="22"/>
                <w:szCs w:val="22"/>
                <w:lang w:val="en-US"/>
              </w:rPr>
              <w:t>Investigations</w:t>
            </w:r>
          </w:p>
        </w:tc>
        <w:tc>
          <w:tcPr>
            <w:tcW w:w="2693" w:type="dxa"/>
          </w:tcPr>
          <w:p w14:paraId="696FA898" w14:textId="77777777" w:rsidR="00E56EAE" w:rsidRPr="009A68EE" w:rsidRDefault="00E56EAE" w:rsidP="00A02ED3">
            <w:pPr>
              <w:pStyle w:val="Default"/>
              <w:numPr>
                <w:ilvl w:val="0"/>
                <w:numId w:val="19"/>
              </w:numPr>
              <w:spacing w:after="20"/>
              <w:ind w:left="176" w:hanging="176"/>
              <w:rPr>
                <w:rFonts w:asciiTheme="minorHAnsi" w:hAnsiTheme="minorHAnsi" w:cstheme="minorHAnsi"/>
                <w:sz w:val="22"/>
                <w:szCs w:val="22"/>
                <w:lang w:val="en-US"/>
              </w:rPr>
            </w:pPr>
            <w:r w:rsidRPr="009A68EE">
              <w:rPr>
                <w:rFonts w:asciiTheme="minorHAnsi" w:hAnsiTheme="minorHAnsi" w:cstheme="minorHAnsi"/>
                <w:sz w:val="22"/>
                <w:szCs w:val="22"/>
                <w:lang w:val="en-US"/>
              </w:rPr>
              <w:t>Coombs test positive</w:t>
            </w:r>
          </w:p>
          <w:p w14:paraId="7BA3C407" w14:textId="77777777" w:rsidR="00E56EAE" w:rsidRPr="009A68EE" w:rsidRDefault="00E56EAE" w:rsidP="00A02ED3">
            <w:pPr>
              <w:pStyle w:val="Default"/>
              <w:numPr>
                <w:ilvl w:val="0"/>
                <w:numId w:val="19"/>
              </w:numPr>
              <w:spacing w:after="20"/>
              <w:ind w:left="176" w:hanging="176"/>
              <w:rPr>
                <w:rFonts w:asciiTheme="minorHAnsi" w:hAnsiTheme="minorHAnsi" w:cstheme="minorHAnsi"/>
                <w:sz w:val="22"/>
                <w:szCs w:val="22"/>
                <w:lang w:val="en-US"/>
              </w:rPr>
            </w:pPr>
            <w:r w:rsidRPr="009A68EE">
              <w:rPr>
                <w:rFonts w:asciiTheme="minorHAnsi" w:hAnsiTheme="minorHAnsi" w:cstheme="minorHAnsi"/>
                <w:sz w:val="22"/>
                <w:szCs w:val="22"/>
                <w:lang w:val="en-US"/>
              </w:rPr>
              <w:t>Free hemoglobin present</w:t>
            </w:r>
          </w:p>
          <w:p w14:paraId="54A44790" w14:textId="77777777" w:rsidR="00E56EAE" w:rsidRPr="009A68EE" w:rsidRDefault="00E56EAE" w:rsidP="00A02ED3">
            <w:pPr>
              <w:pStyle w:val="Default"/>
              <w:numPr>
                <w:ilvl w:val="0"/>
                <w:numId w:val="19"/>
              </w:numPr>
              <w:spacing w:after="20"/>
              <w:ind w:left="176" w:hanging="176"/>
              <w:rPr>
                <w:rFonts w:asciiTheme="minorHAnsi" w:hAnsiTheme="minorHAnsi" w:cstheme="minorHAnsi"/>
                <w:sz w:val="22"/>
                <w:szCs w:val="22"/>
                <w:lang w:val="en-US"/>
              </w:rPr>
            </w:pPr>
            <w:r w:rsidRPr="009A68EE">
              <w:rPr>
                <w:rFonts w:asciiTheme="minorHAnsi" w:hAnsiTheme="minorHAnsi" w:cstheme="minorHAnsi"/>
                <w:sz w:val="22"/>
                <w:szCs w:val="22"/>
                <w:lang w:val="en-US"/>
              </w:rPr>
              <w:t>Haptoglobin decreased</w:t>
            </w:r>
          </w:p>
        </w:tc>
        <w:tc>
          <w:tcPr>
            <w:tcW w:w="1877" w:type="dxa"/>
          </w:tcPr>
          <w:p w14:paraId="1442FFF3" w14:textId="77777777" w:rsidR="00525D8F" w:rsidRPr="009A68EE" w:rsidRDefault="00525D8F" w:rsidP="00A02ED3">
            <w:pPr>
              <w:pStyle w:val="Default"/>
              <w:spacing w:after="20"/>
              <w:rPr>
                <w:rFonts w:asciiTheme="minorHAnsi" w:hAnsiTheme="minorHAnsi" w:cstheme="minorHAnsi"/>
                <w:sz w:val="22"/>
                <w:szCs w:val="22"/>
              </w:rPr>
            </w:pPr>
            <w:r>
              <w:rPr>
                <w:rFonts w:asciiTheme="minorHAnsi" w:hAnsiTheme="minorHAnsi" w:cstheme="minorHAnsi"/>
                <w:sz w:val="22"/>
                <w:szCs w:val="22"/>
              </w:rPr>
              <w:t>1 (1.7)</w:t>
            </w:r>
          </w:p>
          <w:p w14:paraId="47EBDCFD" w14:textId="69E98B96" w:rsidR="00525D8F" w:rsidRPr="009A68EE" w:rsidRDefault="00525D8F" w:rsidP="00A02ED3">
            <w:pPr>
              <w:pStyle w:val="Default"/>
              <w:spacing w:after="20"/>
              <w:rPr>
                <w:rFonts w:asciiTheme="minorHAnsi" w:hAnsiTheme="minorHAnsi" w:cstheme="minorHAnsi"/>
                <w:sz w:val="22"/>
                <w:szCs w:val="22"/>
              </w:rPr>
            </w:pPr>
            <w:r>
              <w:rPr>
                <w:rFonts w:asciiTheme="minorHAnsi" w:hAnsiTheme="minorHAnsi" w:cstheme="minorHAnsi"/>
                <w:sz w:val="22"/>
                <w:szCs w:val="22"/>
                <w:lang w:val="en-US"/>
              </w:rPr>
              <w:t>2 (3.3)</w:t>
            </w:r>
            <w:r>
              <w:rPr>
                <w:rFonts w:asciiTheme="minorHAnsi" w:hAnsiTheme="minorHAnsi" w:cstheme="minorHAnsi"/>
                <w:sz w:val="22"/>
                <w:szCs w:val="22"/>
              </w:rPr>
              <w:t>1 (1.7)</w:t>
            </w:r>
          </w:p>
          <w:p w14:paraId="2365A10E" w14:textId="3F9CE670" w:rsidR="00E56EAE" w:rsidRPr="009A68EE" w:rsidRDefault="00E56EAE" w:rsidP="00A02ED3">
            <w:pPr>
              <w:pStyle w:val="Default"/>
              <w:spacing w:after="20"/>
              <w:rPr>
                <w:rFonts w:asciiTheme="minorHAnsi" w:hAnsiTheme="minorHAnsi" w:cstheme="minorHAnsi"/>
                <w:sz w:val="22"/>
                <w:szCs w:val="22"/>
                <w:lang w:val="en-US"/>
              </w:rPr>
            </w:pPr>
          </w:p>
        </w:tc>
        <w:tc>
          <w:tcPr>
            <w:tcW w:w="2041" w:type="dxa"/>
          </w:tcPr>
          <w:p w14:paraId="73B99E64" w14:textId="77777777" w:rsidR="00525D8F" w:rsidRPr="009A68EE" w:rsidRDefault="00525D8F" w:rsidP="00A02ED3">
            <w:pPr>
              <w:pStyle w:val="Default"/>
              <w:spacing w:after="20"/>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lang w:val="en-US"/>
              </w:rPr>
              <w:t>(&lt;0.001)</w:t>
            </w:r>
          </w:p>
          <w:p w14:paraId="2FDC013B" w14:textId="0D6AA7F8" w:rsidR="00525D8F" w:rsidRDefault="00525D8F" w:rsidP="00A02ED3">
            <w:pPr>
              <w:pStyle w:val="Default"/>
              <w:spacing w:after="20"/>
              <w:rPr>
                <w:rFonts w:asciiTheme="minorHAnsi" w:hAnsiTheme="minorHAnsi" w:cstheme="minorHAnsi"/>
                <w:sz w:val="22"/>
                <w:szCs w:val="22"/>
              </w:rPr>
            </w:pPr>
            <w:r>
              <w:rPr>
                <w:rFonts w:asciiTheme="minorHAnsi" w:hAnsiTheme="minorHAnsi" w:cstheme="minorHAnsi"/>
                <w:sz w:val="22"/>
                <w:szCs w:val="22"/>
                <w:lang w:val="en-US"/>
              </w:rPr>
              <w:t>2 (&lt;0.001)</w:t>
            </w:r>
          </w:p>
          <w:p w14:paraId="7360BCB5" w14:textId="59E135DB" w:rsidR="00525D8F" w:rsidRPr="009A68EE" w:rsidRDefault="00525D8F" w:rsidP="00A02ED3">
            <w:pPr>
              <w:pStyle w:val="Default"/>
              <w:spacing w:after="20"/>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lang w:val="en-US"/>
              </w:rPr>
              <w:t>(&lt;0.001)</w:t>
            </w:r>
          </w:p>
          <w:p w14:paraId="17F1C5D8" w14:textId="4FBA9CA6" w:rsidR="00E56EAE" w:rsidRPr="009A68EE" w:rsidRDefault="00E56EAE" w:rsidP="00A02ED3">
            <w:pPr>
              <w:pStyle w:val="Default"/>
              <w:spacing w:after="20"/>
              <w:rPr>
                <w:rFonts w:asciiTheme="minorHAnsi" w:hAnsiTheme="minorHAnsi" w:cstheme="minorHAnsi"/>
                <w:sz w:val="22"/>
                <w:szCs w:val="22"/>
                <w:lang w:val="en-US"/>
              </w:rPr>
            </w:pPr>
          </w:p>
        </w:tc>
      </w:tr>
    </w:tbl>
    <w:p w14:paraId="7666E820" w14:textId="77777777" w:rsidR="009E556E" w:rsidRPr="009E556E" w:rsidRDefault="009E556E" w:rsidP="00A02ED3">
      <w:pPr>
        <w:widowControl w:val="0"/>
        <w:spacing w:after="0"/>
        <w:jc w:val="left"/>
        <w:rPr>
          <w:sz w:val="18"/>
          <w:szCs w:val="18"/>
          <w:lang w:val="en-CA"/>
        </w:rPr>
      </w:pPr>
      <w:r w:rsidRPr="009E556E">
        <w:rPr>
          <w:sz w:val="18"/>
          <w:szCs w:val="18"/>
          <w:lang w:val="en-CA"/>
        </w:rPr>
        <w:t>* Excluding infections</w:t>
      </w:r>
    </w:p>
    <w:p w14:paraId="64E409EF" w14:textId="77777777" w:rsidR="009E556E" w:rsidRPr="009E556E" w:rsidRDefault="009E556E" w:rsidP="00A02ED3">
      <w:pPr>
        <w:widowControl w:val="0"/>
        <w:spacing w:after="0"/>
        <w:jc w:val="left"/>
        <w:rPr>
          <w:sz w:val="18"/>
          <w:szCs w:val="18"/>
          <w:lang w:val="en-CA"/>
        </w:rPr>
      </w:pPr>
      <w:r w:rsidRPr="009E556E">
        <w:rPr>
          <w:sz w:val="18"/>
          <w:szCs w:val="18"/>
          <w:lang w:val="en-CA"/>
        </w:rPr>
        <w:t>** Local reaction included the following events with more than 2 occurrences that took place at the injection/infusion/puncture site: erythema, redness, swelling, pruritus, oedema, pain, mass, bruising, induration, haematoma, rash, tenderness, and warmth.</w:t>
      </w:r>
    </w:p>
    <w:p w14:paraId="5892D57A" w14:textId="77777777" w:rsidR="00E56EAE" w:rsidRPr="009E556E" w:rsidRDefault="00E56EAE" w:rsidP="00A02ED3">
      <w:pPr>
        <w:spacing w:after="0"/>
        <w:jc w:val="left"/>
        <w:rPr>
          <w:rFonts w:asciiTheme="minorHAnsi" w:hAnsiTheme="minorHAnsi" w:cstheme="minorHAnsi"/>
          <w:bCs/>
          <w:lang w:val="en-CA"/>
        </w:rPr>
      </w:pPr>
    </w:p>
    <w:p w14:paraId="2531E763" w14:textId="032377FC" w:rsidR="00B41382" w:rsidRPr="00B41382" w:rsidRDefault="00B41382" w:rsidP="00A02ED3">
      <w:pPr>
        <w:spacing w:after="0"/>
        <w:jc w:val="left"/>
        <w:rPr>
          <w:rFonts w:asciiTheme="minorHAnsi" w:hAnsiTheme="minorHAnsi" w:cstheme="minorHAnsi"/>
          <w:u w:val="single"/>
        </w:rPr>
      </w:pPr>
      <w:r w:rsidRPr="00B41382">
        <w:rPr>
          <w:rFonts w:asciiTheme="minorHAnsi" w:hAnsiTheme="minorHAnsi" w:cstheme="minorHAnsi"/>
          <w:u w:val="single"/>
        </w:rPr>
        <w:t>Post</w:t>
      </w:r>
      <w:r w:rsidR="00447D15">
        <w:rPr>
          <w:rFonts w:asciiTheme="minorHAnsi" w:hAnsiTheme="minorHAnsi" w:cstheme="minorHAnsi"/>
          <w:u w:val="single"/>
        </w:rPr>
        <w:t>-</w:t>
      </w:r>
      <w:r w:rsidRPr="00B41382">
        <w:rPr>
          <w:rFonts w:asciiTheme="minorHAnsi" w:hAnsiTheme="minorHAnsi" w:cstheme="minorHAnsi"/>
          <w:u w:val="single"/>
        </w:rPr>
        <w:t>marketing experience</w:t>
      </w:r>
    </w:p>
    <w:p w14:paraId="003CBCCA" w14:textId="7BBDECCA" w:rsidR="00E56EAE" w:rsidRDefault="00E56EAE" w:rsidP="00A02ED3">
      <w:pPr>
        <w:jc w:val="left"/>
        <w:rPr>
          <w:rFonts w:asciiTheme="minorHAnsi" w:hAnsiTheme="minorHAnsi" w:cstheme="minorHAnsi"/>
        </w:rPr>
      </w:pPr>
      <w:r w:rsidRPr="009A68EE">
        <w:rPr>
          <w:rFonts w:asciiTheme="minorHAnsi" w:hAnsiTheme="minorHAnsi" w:cstheme="minorHAnsi"/>
        </w:rPr>
        <w:t xml:space="preserve">The following additional adverse reactions have been reported during post approval use of subcutaneous immunoglobulin products: face oedema, tremor, pallor, bronchospasm, dyspnoea, cough, diarrhoea, urticaria, rash, pruritus, flushing, feeling hot, feeling cold, asthenia, fatigue, influenza-like illness, malaise, injection site pain, throat tightness, </w:t>
      </w:r>
      <w:r w:rsidR="00CA35AE">
        <w:rPr>
          <w:rFonts w:asciiTheme="minorHAnsi" w:hAnsiTheme="minorHAnsi" w:cstheme="minorHAnsi"/>
        </w:rPr>
        <w:t>and</w:t>
      </w:r>
      <w:r w:rsidRPr="009A68EE">
        <w:rPr>
          <w:rFonts w:asciiTheme="minorHAnsi" w:hAnsiTheme="minorHAnsi" w:cstheme="minorHAnsi"/>
        </w:rPr>
        <w:t xml:space="preserve"> hypertension.</w:t>
      </w:r>
    </w:p>
    <w:p w14:paraId="498931D7" w14:textId="417CFE73" w:rsidR="005946B2" w:rsidRPr="002D2302" w:rsidRDefault="000A5CD0" w:rsidP="00A02ED3">
      <w:pPr>
        <w:jc w:val="left"/>
      </w:pPr>
      <w:r>
        <w:t>In addition to the A</w:t>
      </w:r>
      <w:r w:rsidR="00CA35AE">
        <w:t>D</w:t>
      </w:r>
      <w:r>
        <w:t xml:space="preserve">Rs </w:t>
      </w:r>
      <w:r w:rsidR="00E109E5">
        <w:t>observed during clinical trials and after the administration of subcutaneous immunoglobulin products</w:t>
      </w:r>
      <w:r>
        <w:t xml:space="preserve">, the following adverse reactions have been </w:t>
      </w:r>
      <w:r w:rsidR="00E109E5">
        <w:t>experienced</w:t>
      </w:r>
      <w:r>
        <w:t xml:space="preserve"> during post-approval use of cutaquig®: </w:t>
      </w:r>
      <w:r w:rsidR="001470FD">
        <w:rPr>
          <w:rFonts w:asciiTheme="minorHAnsi" w:hAnsiTheme="minorHAnsi"/>
        </w:rPr>
        <w:t>t</w:t>
      </w:r>
      <w:r w:rsidR="001470FD" w:rsidRPr="002D2302">
        <w:rPr>
          <w:rFonts w:asciiTheme="minorHAnsi" w:hAnsiTheme="minorHAnsi"/>
        </w:rPr>
        <w:t>hromboembolic event</w:t>
      </w:r>
      <w:r w:rsidR="00276AD4">
        <w:rPr>
          <w:rFonts w:asciiTheme="minorHAnsi" w:hAnsiTheme="minorHAnsi"/>
        </w:rPr>
        <w:t xml:space="preserve"> (V</w:t>
      </w:r>
      <w:r w:rsidRPr="002D2302">
        <w:rPr>
          <w:rFonts w:asciiTheme="minorHAnsi" w:hAnsiTheme="minorHAnsi"/>
        </w:rPr>
        <w:t>ascular disorders</w:t>
      </w:r>
      <w:r w:rsidR="002D2302">
        <w:rPr>
          <w:rFonts w:asciiTheme="minorHAnsi" w:hAnsiTheme="minorHAnsi"/>
        </w:rPr>
        <w:t xml:space="preserve">), </w:t>
      </w:r>
      <w:r w:rsidR="001470FD" w:rsidRPr="002D2302">
        <w:rPr>
          <w:rFonts w:asciiTheme="minorHAnsi" w:hAnsiTheme="minorHAnsi"/>
        </w:rPr>
        <w:t>aseptic meningitis</w:t>
      </w:r>
      <w:r w:rsidR="00276AD4">
        <w:rPr>
          <w:rFonts w:asciiTheme="minorHAnsi" w:hAnsiTheme="minorHAnsi"/>
        </w:rPr>
        <w:t xml:space="preserve"> (N</w:t>
      </w:r>
      <w:r w:rsidR="005946B2" w:rsidRPr="002D2302">
        <w:rPr>
          <w:rFonts w:asciiTheme="minorHAnsi" w:hAnsiTheme="minorHAnsi"/>
        </w:rPr>
        <w:t>ervous system disorders</w:t>
      </w:r>
      <w:r w:rsidR="002D2302">
        <w:rPr>
          <w:rFonts w:asciiTheme="minorHAnsi" w:hAnsiTheme="minorHAnsi"/>
        </w:rPr>
        <w:t>).</w:t>
      </w:r>
      <w:r w:rsidR="005946B2" w:rsidRPr="002D2302">
        <w:rPr>
          <w:rFonts w:asciiTheme="minorHAnsi" w:hAnsiTheme="minorHAnsi"/>
        </w:rPr>
        <w:t xml:space="preserve"> </w:t>
      </w:r>
    </w:p>
    <w:p w14:paraId="0794C7EF" w14:textId="5541DC01" w:rsidR="00E56EAE" w:rsidRPr="009A68EE" w:rsidRDefault="00E56EAE" w:rsidP="00A02ED3">
      <w:pPr>
        <w:jc w:val="left"/>
        <w:rPr>
          <w:rFonts w:asciiTheme="minorHAnsi" w:hAnsiTheme="minorHAnsi" w:cstheme="minorHAnsi"/>
        </w:rPr>
      </w:pPr>
      <w:r w:rsidRPr="009A68EE">
        <w:rPr>
          <w:rFonts w:asciiTheme="minorHAnsi" w:hAnsiTheme="minorHAnsi" w:cstheme="minorHAnsi"/>
        </w:rPr>
        <w:t>The reporting frequency of post-marketing ADR</w:t>
      </w:r>
      <w:r w:rsidR="007F6475" w:rsidRPr="009A68EE">
        <w:rPr>
          <w:rFonts w:asciiTheme="minorHAnsi" w:hAnsiTheme="minorHAnsi" w:cstheme="minorHAnsi"/>
        </w:rPr>
        <w:t>s</w:t>
      </w:r>
      <w:r w:rsidRPr="009A68EE">
        <w:rPr>
          <w:rFonts w:asciiTheme="minorHAnsi" w:hAnsiTheme="minorHAnsi" w:cstheme="minorHAnsi"/>
        </w:rPr>
        <w:t xml:space="preserve"> is unknown because the reporting is voluntary and from a population of uncertain size.</w:t>
      </w:r>
    </w:p>
    <w:p w14:paraId="4E300637" w14:textId="77777777" w:rsidR="00E56EAE" w:rsidRPr="009A68EE" w:rsidRDefault="00E56EAE" w:rsidP="00A02ED3">
      <w:pPr>
        <w:pStyle w:val="Heading3"/>
        <w:jc w:val="left"/>
        <w:rPr>
          <w:rFonts w:asciiTheme="minorHAnsi" w:hAnsiTheme="minorHAnsi" w:cstheme="minorHAnsi"/>
        </w:rPr>
      </w:pPr>
      <w:r w:rsidRPr="009A68EE">
        <w:rPr>
          <w:rFonts w:asciiTheme="minorHAnsi" w:hAnsiTheme="minorHAnsi" w:cstheme="minorHAnsi"/>
        </w:rPr>
        <w:t>Paediatric population</w:t>
      </w:r>
    </w:p>
    <w:p w14:paraId="5ABADFFE" w14:textId="4C1ABD54" w:rsidR="00E56EAE" w:rsidRPr="009A68EE" w:rsidRDefault="00B92F2D" w:rsidP="00A02ED3">
      <w:pPr>
        <w:spacing w:after="0"/>
        <w:jc w:val="left"/>
        <w:rPr>
          <w:rFonts w:asciiTheme="minorHAnsi" w:hAnsiTheme="minorHAnsi" w:cstheme="minorHAnsi"/>
        </w:rPr>
      </w:pPr>
      <w:r w:rsidRPr="009A68EE">
        <w:rPr>
          <w:rFonts w:asciiTheme="minorHAnsi" w:hAnsiTheme="minorHAnsi" w:cstheme="minorHAnsi"/>
        </w:rPr>
        <w:t xml:space="preserve">Clinical trials with cutaquig® showed a similar safety profile in paediatric and adult patients with PID. </w:t>
      </w:r>
      <w:r w:rsidR="00E56EAE" w:rsidRPr="009A68EE">
        <w:rPr>
          <w:rFonts w:asciiTheme="minorHAnsi" w:hAnsiTheme="minorHAnsi" w:cstheme="minorHAnsi"/>
        </w:rPr>
        <w:t>Frequency, type and severity of adverse reactions in children are expected to be the same as in adults.</w:t>
      </w:r>
    </w:p>
    <w:p w14:paraId="64CC353B" w14:textId="71C6D524" w:rsidR="00AF6636" w:rsidRPr="009A68EE" w:rsidRDefault="00AF6636" w:rsidP="00A02ED3">
      <w:pPr>
        <w:jc w:val="left"/>
        <w:rPr>
          <w:rFonts w:asciiTheme="minorHAnsi" w:hAnsiTheme="minorHAnsi" w:cstheme="minorHAnsi"/>
        </w:rPr>
      </w:pPr>
      <w:r w:rsidRPr="009A68EE">
        <w:rPr>
          <w:rFonts w:asciiTheme="minorHAnsi" w:hAnsiTheme="minorHAnsi" w:cstheme="minorHAnsi"/>
        </w:rPr>
        <w:t xml:space="preserve">For information on viral safety, see </w:t>
      </w:r>
      <w:r w:rsidR="0092168A" w:rsidRPr="009A68EE">
        <w:rPr>
          <w:rFonts w:asciiTheme="minorHAnsi" w:hAnsiTheme="minorHAnsi" w:cstheme="minorHAnsi"/>
        </w:rPr>
        <w:t xml:space="preserve">Section 4.4 SPECIAL WARNINGS AND </w:t>
      </w:r>
      <w:r w:rsidRPr="009A68EE">
        <w:rPr>
          <w:rFonts w:asciiTheme="minorHAnsi" w:hAnsiTheme="minorHAnsi" w:cstheme="minorHAnsi"/>
          <w:bCs/>
        </w:rPr>
        <w:t>PRECAUTIONS</w:t>
      </w:r>
      <w:r w:rsidR="0092168A" w:rsidRPr="009A68EE">
        <w:rPr>
          <w:rFonts w:asciiTheme="minorHAnsi" w:hAnsiTheme="minorHAnsi" w:cstheme="minorHAnsi"/>
          <w:bCs/>
        </w:rPr>
        <w:t xml:space="preserve"> FOR USE</w:t>
      </w:r>
      <w:r w:rsidRPr="009A68EE">
        <w:rPr>
          <w:rFonts w:asciiTheme="minorHAnsi" w:hAnsiTheme="minorHAnsi" w:cstheme="minorHAnsi"/>
        </w:rPr>
        <w:t>.</w:t>
      </w:r>
    </w:p>
    <w:p w14:paraId="64365BA1" w14:textId="2C384DE4" w:rsidR="00B92F2D" w:rsidRPr="009A68EE" w:rsidRDefault="00B92F2D" w:rsidP="00A02ED3">
      <w:pPr>
        <w:pStyle w:val="Heading3"/>
        <w:jc w:val="left"/>
        <w:rPr>
          <w:rFonts w:asciiTheme="minorHAnsi" w:hAnsiTheme="minorHAnsi" w:cstheme="minorHAnsi"/>
        </w:rPr>
      </w:pPr>
      <w:r w:rsidRPr="009A68EE">
        <w:rPr>
          <w:rFonts w:asciiTheme="minorHAnsi" w:hAnsiTheme="minorHAnsi" w:cstheme="minorHAnsi"/>
        </w:rPr>
        <w:t>Elderly Population</w:t>
      </w:r>
    </w:p>
    <w:p w14:paraId="14661B77" w14:textId="228C39D7" w:rsidR="00B92F2D" w:rsidRPr="009A68EE" w:rsidRDefault="00B92F2D" w:rsidP="00A02ED3">
      <w:pPr>
        <w:jc w:val="left"/>
        <w:rPr>
          <w:rFonts w:asciiTheme="minorHAnsi" w:hAnsiTheme="minorHAnsi" w:cstheme="minorHAnsi"/>
        </w:rPr>
      </w:pPr>
      <w:r w:rsidRPr="009A68EE">
        <w:rPr>
          <w:rFonts w:asciiTheme="minorHAnsi" w:hAnsiTheme="minorHAnsi" w:cstheme="minorHAnsi"/>
        </w:rPr>
        <w:t>Limited information available in clinical trials showed no difference in</w:t>
      </w:r>
      <w:r w:rsidR="00DE6291" w:rsidRPr="009A68EE">
        <w:rPr>
          <w:rFonts w:asciiTheme="minorHAnsi" w:hAnsiTheme="minorHAnsi" w:cstheme="minorHAnsi"/>
        </w:rPr>
        <w:t xml:space="preserve"> </w:t>
      </w:r>
      <w:r w:rsidR="00B0184B">
        <w:rPr>
          <w:rFonts w:asciiTheme="minorHAnsi" w:hAnsiTheme="minorHAnsi" w:cstheme="minorHAnsi"/>
        </w:rPr>
        <w:t xml:space="preserve">the </w:t>
      </w:r>
      <w:r w:rsidR="00DE6291" w:rsidRPr="009A68EE">
        <w:rPr>
          <w:rFonts w:asciiTheme="minorHAnsi" w:hAnsiTheme="minorHAnsi" w:cstheme="minorHAnsi"/>
        </w:rPr>
        <w:t>safety profile in patients ≥65 </w:t>
      </w:r>
      <w:r w:rsidRPr="009A68EE">
        <w:rPr>
          <w:rFonts w:asciiTheme="minorHAnsi" w:hAnsiTheme="minorHAnsi" w:cstheme="minorHAnsi"/>
        </w:rPr>
        <w:t xml:space="preserve">years of age </w:t>
      </w:r>
      <w:r w:rsidR="00811BA5" w:rsidRPr="009A68EE">
        <w:rPr>
          <w:rFonts w:asciiTheme="minorHAnsi" w:hAnsiTheme="minorHAnsi" w:cstheme="minorHAnsi"/>
        </w:rPr>
        <w:t>compared to</w:t>
      </w:r>
      <w:r w:rsidRPr="009A68EE">
        <w:rPr>
          <w:rFonts w:asciiTheme="minorHAnsi" w:hAnsiTheme="minorHAnsi" w:cstheme="minorHAnsi"/>
        </w:rPr>
        <w:t xml:space="preserve"> younger patients.</w:t>
      </w:r>
    </w:p>
    <w:p w14:paraId="09231771" w14:textId="77777777" w:rsidR="0092168A" w:rsidRPr="009A68EE" w:rsidRDefault="0092168A" w:rsidP="00A02ED3">
      <w:pPr>
        <w:pStyle w:val="Heading3"/>
        <w:jc w:val="left"/>
        <w:rPr>
          <w:rFonts w:asciiTheme="minorHAnsi" w:hAnsiTheme="minorHAnsi" w:cstheme="minorHAnsi"/>
        </w:rPr>
      </w:pPr>
      <w:r w:rsidRPr="009A68EE">
        <w:rPr>
          <w:rFonts w:asciiTheme="minorHAnsi" w:hAnsiTheme="minorHAnsi" w:cstheme="minorHAnsi"/>
        </w:rPr>
        <w:t>Reporting suspected adverse effects</w:t>
      </w:r>
    </w:p>
    <w:p w14:paraId="2246F8F5" w14:textId="77777777" w:rsidR="00A66449" w:rsidRPr="009A68EE" w:rsidRDefault="00A66449" w:rsidP="00A02ED3">
      <w:pPr>
        <w:spacing w:afterLines="120" w:after="288"/>
        <w:jc w:val="left"/>
        <w:rPr>
          <w:rFonts w:asciiTheme="minorHAnsi" w:hAnsiTheme="minorHAnsi" w:cstheme="minorHAnsi"/>
        </w:rPr>
      </w:pPr>
      <w:r w:rsidRPr="009A68EE">
        <w:rPr>
          <w:rFonts w:asciiTheme="minorHAnsi" w:hAnsiTheme="minorHAnsi" w:cstheme="minorHAnsi"/>
        </w:rPr>
        <w:t>Reporting suspected adverse reactions after registration of the medicinal product is important. It allows continued monitoring of the benefit-risk balance of the medicinal product. Healthcare professionals are asked to report any suspected adverse reactions at www.tga.gov.au/reporting-problems.</w:t>
      </w:r>
    </w:p>
    <w:p w14:paraId="17C99D9B" w14:textId="77777777" w:rsidR="001A3992" w:rsidRPr="009A68EE" w:rsidRDefault="001A3992" w:rsidP="00A02ED3">
      <w:pPr>
        <w:pStyle w:val="Heading2"/>
        <w:keepNext/>
        <w:keepLines/>
        <w:spacing w:before="0" w:after="120"/>
        <w:jc w:val="left"/>
        <w:rPr>
          <w:rFonts w:asciiTheme="minorHAnsi" w:hAnsiTheme="minorHAnsi" w:cstheme="minorHAnsi"/>
        </w:rPr>
      </w:pPr>
      <w:r w:rsidRPr="009A68EE">
        <w:rPr>
          <w:rFonts w:asciiTheme="minorHAnsi" w:hAnsiTheme="minorHAnsi" w:cstheme="minorHAnsi"/>
        </w:rPr>
        <w:t>Overdose</w:t>
      </w:r>
    </w:p>
    <w:p w14:paraId="2CB00B8A" w14:textId="264179CA" w:rsidR="00C96360" w:rsidRPr="009A68EE" w:rsidRDefault="00D7256E" w:rsidP="00A02ED3">
      <w:pPr>
        <w:jc w:val="left"/>
        <w:rPr>
          <w:rFonts w:asciiTheme="minorHAnsi" w:hAnsiTheme="minorHAnsi" w:cstheme="minorHAnsi"/>
        </w:rPr>
      </w:pPr>
      <w:r w:rsidRPr="009A68EE">
        <w:rPr>
          <w:rFonts w:asciiTheme="minorHAnsi" w:hAnsiTheme="minorHAnsi" w:cstheme="minorHAnsi"/>
        </w:rPr>
        <w:t>Consequences of an overdose are not known. In case of overdos</w:t>
      </w:r>
      <w:r w:rsidR="00B0184B">
        <w:rPr>
          <w:rFonts w:asciiTheme="minorHAnsi" w:hAnsiTheme="minorHAnsi" w:cstheme="minorHAnsi"/>
        </w:rPr>
        <w:t>e</w:t>
      </w:r>
      <w:r w:rsidRPr="009A68EE">
        <w:rPr>
          <w:rFonts w:asciiTheme="minorHAnsi" w:hAnsiTheme="minorHAnsi" w:cstheme="minorHAnsi"/>
        </w:rPr>
        <w:t xml:space="preserve"> the occurrence of adverse drug reactions should be closely monitored and, if necessary, support</w:t>
      </w:r>
      <w:r w:rsidR="00DE6291" w:rsidRPr="009A68EE">
        <w:rPr>
          <w:rFonts w:asciiTheme="minorHAnsi" w:hAnsiTheme="minorHAnsi" w:cstheme="minorHAnsi"/>
        </w:rPr>
        <w:t>ing measures should be offered.</w:t>
      </w:r>
    </w:p>
    <w:p w14:paraId="77E968F0" w14:textId="797F40AB" w:rsidR="00156813" w:rsidRPr="009A68EE" w:rsidRDefault="00A66449" w:rsidP="00A02ED3">
      <w:pPr>
        <w:jc w:val="left"/>
        <w:rPr>
          <w:rFonts w:asciiTheme="minorHAnsi" w:hAnsiTheme="minorHAnsi" w:cstheme="minorHAnsi"/>
        </w:rPr>
      </w:pPr>
      <w:r w:rsidRPr="009A68EE">
        <w:rPr>
          <w:rFonts w:asciiTheme="minorHAnsi" w:hAnsiTheme="minorHAnsi" w:cstheme="minorHAnsi"/>
        </w:rPr>
        <w:t>For information on the management of overdose, contact the Poisons Information Centre on 13 11 26 (Australia).</w:t>
      </w:r>
    </w:p>
    <w:p w14:paraId="34574968" w14:textId="77777777" w:rsidR="001A3992" w:rsidRPr="009A68EE" w:rsidRDefault="001A3992" w:rsidP="00A02ED3">
      <w:pPr>
        <w:pStyle w:val="Heading1"/>
        <w:spacing w:before="0" w:after="120"/>
        <w:jc w:val="left"/>
        <w:rPr>
          <w:rFonts w:asciiTheme="minorHAnsi" w:hAnsiTheme="minorHAnsi" w:cstheme="minorHAnsi"/>
          <w:lang w:val="en-US"/>
        </w:rPr>
      </w:pPr>
      <w:r w:rsidRPr="009A68EE">
        <w:rPr>
          <w:rFonts w:asciiTheme="minorHAnsi" w:hAnsiTheme="minorHAnsi" w:cstheme="minorHAnsi"/>
          <w:lang w:val="en-US"/>
        </w:rPr>
        <w:t>Pharmacological properties</w:t>
      </w:r>
    </w:p>
    <w:p w14:paraId="13A7DDD8" w14:textId="703F1257" w:rsidR="001A3992" w:rsidRPr="009A68EE" w:rsidRDefault="00DE6291" w:rsidP="00A02ED3">
      <w:pPr>
        <w:pStyle w:val="Heading2"/>
        <w:spacing w:before="0" w:after="120"/>
        <w:jc w:val="left"/>
        <w:rPr>
          <w:rFonts w:asciiTheme="minorHAnsi" w:hAnsiTheme="minorHAnsi" w:cstheme="minorHAnsi"/>
          <w:lang w:val="en-US"/>
        </w:rPr>
      </w:pPr>
      <w:r w:rsidRPr="009A68EE">
        <w:rPr>
          <w:rFonts w:asciiTheme="minorHAnsi" w:hAnsiTheme="minorHAnsi" w:cstheme="minorHAnsi"/>
          <w:lang w:val="en-US"/>
        </w:rPr>
        <w:t>Pharmacodynamic properties</w:t>
      </w:r>
    </w:p>
    <w:p w14:paraId="29F670C0" w14:textId="31B23276" w:rsidR="00B0149B" w:rsidRPr="009A68EE" w:rsidRDefault="00B0149B" w:rsidP="00A02ED3">
      <w:pPr>
        <w:jc w:val="left"/>
        <w:rPr>
          <w:rFonts w:asciiTheme="minorHAnsi" w:hAnsiTheme="minorHAnsi" w:cstheme="minorHAnsi"/>
        </w:rPr>
      </w:pPr>
      <w:r w:rsidRPr="009A68EE">
        <w:rPr>
          <w:rFonts w:asciiTheme="minorHAnsi" w:hAnsiTheme="minorHAnsi" w:cstheme="minorHAnsi"/>
        </w:rPr>
        <w:t xml:space="preserve">Pharmacotherapeutic group: immune sera and immunoglobulins: immunoglobulins, normal human, solution for </w:t>
      </w:r>
      <w:r w:rsidR="00FB7411" w:rsidRPr="009A68EE">
        <w:rPr>
          <w:rFonts w:asciiTheme="minorHAnsi" w:hAnsiTheme="minorHAnsi" w:cstheme="minorHAnsi"/>
        </w:rPr>
        <w:t>subcutaneous injection</w:t>
      </w:r>
      <w:r w:rsidRPr="009A68EE">
        <w:rPr>
          <w:rFonts w:asciiTheme="minorHAnsi" w:hAnsiTheme="minorHAnsi" w:cstheme="minorHAnsi"/>
        </w:rPr>
        <w:t>.</w:t>
      </w:r>
    </w:p>
    <w:p w14:paraId="6E5041F3" w14:textId="77777777" w:rsidR="00B0149B" w:rsidRPr="009A68EE" w:rsidRDefault="00B0149B" w:rsidP="00A02ED3">
      <w:pPr>
        <w:jc w:val="left"/>
        <w:rPr>
          <w:rFonts w:asciiTheme="minorHAnsi" w:hAnsiTheme="minorHAnsi" w:cstheme="minorHAnsi"/>
        </w:rPr>
      </w:pPr>
      <w:r w:rsidRPr="009A68EE">
        <w:rPr>
          <w:rFonts w:asciiTheme="minorHAnsi" w:hAnsiTheme="minorHAnsi" w:cstheme="minorHAnsi"/>
        </w:rPr>
        <w:t>ATC-Code: J06B A02</w:t>
      </w:r>
    </w:p>
    <w:p w14:paraId="17FEFD11" w14:textId="77777777" w:rsidR="009C571A" w:rsidRPr="009A68EE" w:rsidRDefault="009C571A" w:rsidP="00A02ED3">
      <w:pPr>
        <w:pStyle w:val="Heading3"/>
        <w:spacing w:before="0" w:after="120"/>
        <w:jc w:val="left"/>
        <w:rPr>
          <w:rFonts w:asciiTheme="minorHAnsi" w:hAnsiTheme="minorHAnsi" w:cstheme="minorHAnsi"/>
        </w:rPr>
      </w:pPr>
      <w:r w:rsidRPr="009A68EE">
        <w:rPr>
          <w:rFonts w:asciiTheme="minorHAnsi" w:hAnsiTheme="minorHAnsi" w:cstheme="minorHAnsi"/>
        </w:rPr>
        <w:t>Mechanism of action</w:t>
      </w:r>
    </w:p>
    <w:p w14:paraId="2C3F3D55" w14:textId="7B7B7C49" w:rsidR="00DD46A3" w:rsidRPr="009A68EE" w:rsidRDefault="00984A47" w:rsidP="00A02ED3">
      <w:pPr>
        <w:jc w:val="left"/>
        <w:rPr>
          <w:rFonts w:asciiTheme="minorHAnsi" w:hAnsiTheme="minorHAnsi" w:cstheme="minorHAnsi"/>
        </w:rPr>
      </w:pPr>
      <w:r w:rsidRPr="009A68EE">
        <w:rPr>
          <w:rFonts w:asciiTheme="minorHAnsi" w:hAnsiTheme="minorHAnsi" w:cstheme="minorHAnsi"/>
        </w:rPr>
        <w:t>C</w:t>
      </w:r>
      <w:r w:rsidR="00881B1E" w:rsidRPr="009A68EE">
        <w:rPr>
          <w:rFonts w:asciiTheme="minorHAnsi" w:hAnsiTheme="minorHAnsi" w:cstheme="minorHAnsi"/>
        </w:rPr>
        <w:t>utaquig</w:t>
      </w:r>
      <w:r w:rsidRPr="009A68EE">
        <w:rPr>
          <w:rFonts w:asciiTheme="minorHAnsi" w:hAnsiTheme="minorHAnsi" w:cstheme="minorHAnsi"/>
        </w:rPr>
        <w:t>®</w:t>
      </w:r>
      <w:r w:rsidR="00DD46A3" w:rsidRPr="009A68EE">
        <w:rPr>
          <w:rFonts w:asciiTheme="minorHAnsi" w:hAnsiTheme="minorHAnsi" w:cstheme="minorHAnsi"/>
        </w:rPr>
        <w:t xml:space="preserve"> contains mainly immunoglobulin G (IgG) with a broad spectrum of antibodies against infectious agents. It contains the IgG antibodies present in the normal population. It is usually prepared from pooled plasma from not fewer than 1000 donations.</w:t>
      </w:r>
    </w:p>
    <w:p w14:paraId="1120BCA6" w14:textId="2CB4667B" w:rsidR="00B0149B" w:rsidRPr="009A68EE" w:rsidRDefault="00984A47" w:rsidP="00A02ED3">
      <w:pPr>
        <w:jc w:val="left"/>
        <w:rPr>
          <w:rFonts w:asciiTheme="minorHAnsi" w:hAnsiTheme="minorHAnsi" w:cstheme="minorHAnsi"/>
        </w:rPr>
      </w:pPr>
      <w:r w:rsidRPr="009A68EE">
        <w:rPr>
          <w:rFonts w:asciiTheme="minorHAnsi" w:hAnsiTheme="minorHAnsi" w:cstheme="minorHAnsi"/>
        </w:rPr>
        <w:t xml:space="preserve">Cutaquig® </w:t>
      </w:r>
      <w:r w:rsidR="00DD46A3" w:rsidRPr="009A68EE">
        <w:rPr>
          <w:rFonts w:asciiTheme="minorHAnsi" w:hAnsiTheme="minorHAnsi" w:cstheme="minorHAnsi"/>
        </w:rPr>
        <w:t xml:space="preserve">has a distribution of IgG subclasses closely proportional to that in native human plasma. </w:t>
      </w:r>
      <w:r w:rsidR="00B0149B" w:rsidRPr="009A68EE">
        <w:rPr>
          <w:rFonts w:asciiTheme="minorHAnsi" w:hAnsiTheme="minorHAnsi" w:cstheme="minorHAnsi"/>
        </w:rPr>
        <w:t>Adequate doses of this medicinal product may restore abnormally low IgG levels to the normal range.</w:t>
      </w:r>
    </w:p>
    <w:p w14:paraId="6F16F6D3" w14:textId="77777777" w:rsidR="001A3992" w:rsidRPr="009A68EE" w:rsidRDefault="001A3992" w:rsidP="00A02ED3">
      <w:pPr>
        <w:pStyle w:val="Heading3"/>
        <w:spacing w:before="0" w:after="120"/>
        <w:jc w:val="left"/>
        <w:rPr>
          <w:rFonts w:asciiTheme="minorHAnsi" w:hAnsiTheme="minorHAnsi" w:cstheme="minorHAnsi"/>
          <w:lang w:val="en-US"/>
        </w:rPr>
      </w:pPr>
      <w:r w:rsidRPr="009A68EE">
        <w:rPr>
          <w:rFonts w:asciiTheme="minorHAnsi" w:hAnsiTheme="minorHAnsi" w:cstheme="minorHAnsi"/>
        </w:rPr>
        <w:t>Clinical</w:t>
      </w:r>
      <w:r w:rsidRPr="009A68EE">
        <w:rPr>
          <w:rFonts w:asciiTheme="minorHAnsi" w:hAnsiTheme="minorHAnsi" w:cstheme="minorHAnsi"/>
          <w:lang w:val="en-US"/>
        </w:rPr>
        <w:t xml:space="preserve"> trials</w:t>
      </w:r>
    </w:p>
    <w:p w14:paraId="5F07E1E1" w14:textId="59183C5A" w:rsidR="00DD46A3" w:rsidRPr="009A68EE" w:rsidRDefault="00DD46A3" w:rsidP="00A02ED3">
      <w:pPr>
        <w:jc w:val="left"/>
        <w:rPr>
          <w:rFonts w:asciiTheme="minorHAnsi" w:hAnsiTheme="minorHAnsi" w:cstheme="minorHAnsi"/>
        </w:rPr>
      </w:pPr>
      <w:r w:rsidRPr="009A68EE">
        <w:rPr>
          <w:rFonts w:asciiTheme="minorHAnsi" w:hAnsiTheme="minorHAnsi" w:cstheme="minorHAnsi"/>
        </w:rPr>
        <w:t xml:space="preserve">The safety and efficacy of </w:t>
      </w:r>
      <w:r w:rsidR="008304CA" w:rsidRPr="009A68EE">
        <w:rPr>
          <w:rFonts w:asciiTheme="minorHAnsi" w:hAnsiTheme="minorHAnsi" w:cstheme="minorHAnsi"/>
        </w:rPr>
        <w:t>c</w:t>
      </w:r>
      <w:r w:rsidR="00DF5E08" w:rsidRPr="009A68EE">
        <w:rPr>
          <w:rFonts w:asciiTheme="minorHAnsi" w:hAnsiTheme="minorHAnsi" w:cstheme="minorHAnsi"/>
        </w:rPr>
        <w:t>utaquig®</w:t>
      </w:r>
      <w:r w:rsidR="00C15C08" w:rsidRPr="009A68EE">
        <w:rPr>
          <w:rFonts w:asciiTheme="minorHAnsi" w:hAnsiTheme="minorHAnsi" w:cstheme="minorHAnsi"/>
        </w:rPr>
        <w:t xml:space="preserve"> (called octanorm in the trial)</w:t>
      </w:r>
      <w:r w:rsidRPr="009A68EE">
        <w:rPr>
          <w:rFonts w:asciiTheme="minorHAnsi" w:hAnsiTheme="minorHAnsi" w:cstheme="minorHAnsi"/>
        </w:rPr>
        <w:t xml:space="preserve"> was evaluated in </w:t>
      </w:r>
      <w:r w:rsidR="008304CA" w:rsidRPr="009A68EE">
        <w:rPr>
          <w:rFonts w:asciiTheme="minorHAnsi" w:hAnsiTheme="minorHAnsi" w:cstheme="minorHAnsi"/>
        </w:rPr>
        <w:t>a</w:t>
      </w:r>
      <w:r w:rsidRPr="009A68EE">
        <w:rPr>
          <w:rFonts w:asciiTheme="minorHAnsi" w:hAnsiTheme="minorHAnsi" w:cstheme="minorHAnsi"/>
        </w:rPr>
        <w:t xml:space="preserve"> </w:t>
      </w:r>
      <w:r w:rsidR="008304CA" w:rsidRPr="009A68EE">
        <w:rPr>
          <w:rFonts w:asciiTheme="minorHAnsi" w:hAnsiTheme="minorHAnsi" w:cstheme="minorHAnsi"/>
        </w:rPr>
        <w:t>prospective, open-label, non-controlled, single-arm, multicentre Phase 3 study</w:t>
      </w:r>
      <w:r w:rsidRPr="009A68EE">
        <w:rPr>
          <w:rFonts w:asciiTheme="minorHAnsi" w:hAnsiTheme="minorHAnsi" w:cstheme="minorHAnsi"/>
        </w:rPr>
        <w:t xml:space="preserve"> performed in </w:t>
      </w:r>
      <w:r w:rsidR="008304CA" w:rsidRPr="009A68EE">
        <w:rPr>
          <w:rFonts w:asciiTheme="minorHAnsi" w:hAnsiTheme="minorHAnsi" w:cstheme="minorHAnsi"/>
        </w:rPr>
        <w:t xml:space="preserve">18 </w:t>
      </w:r>
      <w:r w:rsidR="00984A47" w:rsidRPr="009A68EE">
        <w:rPr>
          <w:rFonts w:asciiTheme="minorHAnsi" w:hAnsiTheme="minorHAnsi" w:cstheme="minorHAnsi"/>
        </w:rPr>
        <w:t>centres</w:t>
      </w:r>
      <w:r w:rsidR="008304CA" w:rsidRPr="009A68EE">
        <w:rPr>
          <w:rFonts w:asciiTheme="minorHAnsi" w:hAnsiTheme="minorHAnsi" w:cstheme="minorHAnsi"/>
        </w:rPr>
        <w:t xml:space="preserve"> in </w:t>
      </w:r>
      <w:r w:rsidRPr="009A68EE">
        <w:rPr>
          <w:rFonts w:asciiTheme="minorHAnsi" w:hAnsiTheme="minorHAnsi" w:cstheme="minorHAnsi"/>
        </w:rPr>
        <w:t xml:space="preserve">Europe, </w:t>
      </w:r>
      <w:r w:rsidR="008304CA" w:rsidRPr="009A68EE">
        <w:rPr>
          <w:rFonts w:asciiTheme="minorHAnsi" w:hAnsiTheme="minorHAnsi" w:cstheme="minorHAnsi"/>
        </w:rPr>
        <w:t>the USA and Canada</w:t>
      </w:r>
      <w:r w:rsidRPr="009A68EE">
        <w:rPr>
          <w:rFonts w:asciiTheme="minorHAnsi" w:hAnsiTheme="minorHAnsi" w:cstheme="minorHAnsi"/>
        </w:rPr>
        <w:t>.</w:t>
      </w:r>
    </w:p>
    <w:p w14:paraId="4C715DDD" w14:textId="77777777" w:rsidR="00DD46A3" w:rsidRPr="009A68EE" w:rsidRDefault="00DD46A3" w:rsidP="00A02ED3">
      <w:pPr>
        <w:pStyle w:val="Heading4"/>
        <w:jc w:val="left"/>
        <w:rPr>
          <w:rFonts w:asciiTheme="minorHAnsi" w:hAnsiTheme="minorHAnsi" w:cstheme="minorHAnsi"/>
        </w:rPr>
      </w:pPr>
      <w:r w:rsidRPr="009A68EE">
        <w:rPr>
          <w:rFonts w:asciiTheme="minorHAnsi" w:hAnsiTheme="minorHAnsi" w:cstheme="minorHAnsi"/>
        </w:rPr>
        <w:t>Treatment of Primary Immunodeficiency Syndromes (PID)</w:t>
      </w:r>
    </w:p>
    <w:p w14:paraId="6CB5F539" w14:textId="08C40BA6" w:rsidR="008304CA" w:rsidRPr="009A68EE" w:rsidRDefault="008304CA" w:rsidP="00A02ED3">
      <w:pPr>
        <w:jc w:val="left"/>
        <w:rPr>
          <w:rFonts w:asciiTheme="minorHAnsi" w:hAnsiTheme="minorHAnsi" w:cstheme="minorHAnsi"/>
        </w:rPr>
      </w:pPr>
      <w:r w:rsidRPr="009A68EE">
        <w:rPr>
          <w:rFonts w:asciiTheme="minorHAnsi" w:hAnsiTheme="minorHAnsi" w:cstheme="minorHAnsi"/>
        </w:rPr>
        <w:t xml:space="preserve">This study aimed to evaluate the pharmacokinetics, efficacy, tolerability and safety of </w:t>
      </w:r>
      <w:r w:rsidR="00C15C08" w:rsidRPr="009A68EE">
        <w:rPr>
          <w:rFonts w:asciiTheme="minorHAnsi" w:hAnsiTheme="minorHAnsi" w:cstheme="minorHAnsi"/>
        </w:rPr>
        <w:t>c</w:t>
      </w:r>
      <w:r w:rsidR="00DF5E08" w:rsidRPr="009A68EE">
        <w:rPr>
          <w:rFonts w:asciiTheme="minorHAnsi" w:hAnsiTheme="minorHAnsi" w:cstheme="minorHAnsi"/>
        </w:rPr>
        <w:t>utaquig®</w:t>
      </w:r>
      <w:r w:rsidRPr="009A68EE">
        <w:rPr>
          <w:rFonts w:asciiTheme="minorHAnsi" w:hAnsiTheme="minorHAnsi" w:cstheme="minorHAnsi"/>
        </w:rPr>
        <w:t xml:space="preserve"> in patients with PID. It was the pivotal study for the approval of </w:t>
      </w:r>
      <w:r w:rsidR="00C15C08" w:rsidRPr="009A68EE">
        <w:rPr>
          <w:rFonts w:asciiTheme="minorHAnsi" w:hAnsiTheme="minorHAnsi" w:cstheme="minorHAnsi"/>
        </w:rPr>
        <w:t>cutaquig®</w:t>
      </w:r>
      <w:r w:rsidR="00DE6291" w:rsidRPr="009A68EE">
        <w:rPr>
          <w:rFonts w:asciiTheme="minorHAnsi" w:hAnsiTheme="minorHAnsi" w:cstheme="minorHAnsi"/>
        </w:rPr>
        <w:t xml:space="preserve"> for the treatment of PID.</w:t>
      </w:r>
    </w:p>
    <w:p w14:paraId="5249B3C9" w14:textId="403202C9" w:rsidR="008304CA" w:rsidRPr="009A68EE" w:rsidRDefault="008304CA" w:rsidP="00A02ED3">
      <w:pPr>
        <w:jc w:val="left"/>
        <w:rPr>
          <w:rFonts w:asciiTheme="minorHAnsi" w:hAnsiTheme="minorHAnsi" w:cstheme="minorHAnsi"/>
        </w:rPr>
      </w:pPr>
      <w:r w:rsidRPr="009A68EE">
        <w:rPr>
          <w:rFonts w:asciiTheme="minorHAnsi" w:hAnsiTheme="minorHAnsi" w:cstheme="minorHAnsi"/>
        </w:rPr>
        <w:t>In this</w:t>
      </w:r>
      <w:r w:rsidR="00984A47" w:rsidRPr="009A68EE">
        <w:rPr>
          <w:rFonts w:asciiTheme="minorHAnsi" w:hAnsiTheme="minorHAnsi" w:cstheme="minorHAnsi"/>
        </w:rPr>
        <w:t xml:space="preserve"> clinical trial</w:t>
      </w:r>
      <w:r w:rsidRPr="009A68EE">
        <w:rPr>
          <w:rFonts w:asciiTheme="minorHAnsi" w:hAnsiTheme="minorHAnsi" w:cstheme="minorHAnsi"/>
        </w:rPr>
        <w:t xml:space="preserve">, 60 patients received </w:t>
      </w:r>
      <w:r w:rsidR="00C15C08" w:rsidRPr="009A68EE">
        <w:rPr>
          <w:rFonts w:asciiTheme="minorHAnsi" w:hAnsiTheme="minorHAnsi" w:cstheme="minorHAnsi"/>
        </w:rPr>
        <w:t>cutaquig®</w:t>
      </w:r>
      <w:r w:rsidRPr="009A68EE">
        <w:rPr>
          <w:rFonts w:asciiTheme="minorHAnsi" w:hAnsiTheme="minorHAnsi" w:cstheme="minorHAnsi"/>
        </w:rPr>
        <w:t xml:space="preserve"> treatment over a period of about 15 months, comprising a 12-week wash-in/wash-out period followed by a 12-month efficacy phase. </w:t>
      </w:r>
      <w:r w:rsidR="005378F8">
        <w:rPr>
          <w:rFonts w:asciiTheme="minorHAnsi" w:hAnsiTheme="minorHAnsi" w:cstheme="minorHAnsi"/>
        </w:rPr>
        <w:t xml:space="preserve">The study population comprised 4 young children (2 years of age to &lt;5 years), 11 children (5 years of age to &lt;12 years), 7 adolescents (12 years of age to &lt;16 years) and 38 adults (16 years of age to ≤75). </w:t>
      </w:r>
      <w:r w:rsidRPr="009A68EE">
        <w:rPr>
          <w:rFonts w:asciiTheme="minorHAnsi" w:hAnsiTheme="minorHAnsi" w:cstheme="minorHAnsi"/>
        </w:rPr>
        <w:t xml:space="preserve">Each patient who stayed in the study for the whole period received 64 </w:t>
      </w:r>
      <w:r w:rsidR="00C15C08" w:rsidRPr="009A68EE">
        <w:rPr>
          <w:rFonts w:asciiTheme="minorHAnsi" w:hAnsiTheme="minorHAnsi" w:cstheme="minorHAnsi"/>
        </w:rPr>
        <w:t xml:space="preserve">cutaquig® </w:t>
      </w:r>
      <w:r w:rsidRPr="009A68EE">
        <w:rPr>
          <w:rFonts w:asciiTheme="minorHAnsi" w:hAnsiTheme="minorHAnsi" w:cstheme="minorHAnsi"/>
        </w:rPr>
        <w:t xml:space="preserve">SC weekly infusions. The first primary objective was to assess the efficacy of </w:t>
      </w:r>
      <w:r w:rsidR="00C15C08" w:rsidRPr="009A68EE">
        <w:rPr>
          <w:rFonts w:asciiTheme="minorHAnsi" w:hAnsiTheme="minorHAnsi" w:cstheme="minorHAnsi"/>
        </w:rPr>
        <w:t>cutaquig®</w:t>
      </w:r>
      <w:r w:rsidRPr="009A68EE">
        <w:rPr>
          <w:rFonts w:asciiTheme="minorHAnsi" w:hAnsiTheme="minorHAnsi" w:cstheme="minorHAnsi"/>
        </w:rPr>
        <w:t xml:space="preserve"> in preventing serious bacterial infections (SBI, defined as bacteraemia/sepsis, bacterial meningitis, osteomyelitis/septic arthritis, bacterial pneumonia, </w:t>
      </w:r>
      <w:r w:rsidR="009D5D8F">
        <w:rPr>
          <w:rFonts w:asciiTheme="minorHAnsi" w:hAnsiTheme="minorHAnsi" w:cstheme="minorHAnsi"/>
        </w:rPr>
        <w:t>or</w:t>
      </w:r>
      <w:r w:rsidR="009D5D8F" w:rsidRPr="009A68EE">
        <w:rPr>
          <w:rFonts w:asciiTheme="minorHAnsi" w:hAnsiTheme="minorHAnsi" w:cstheme="minorHAnsi"/>
        </w:rPr>
        <w:t xml:space="preserve"> </w:t>
      </w:r>
      <w:r w:rsidRPr="009A68EE">
        <w:rPr>
          <w:rFonts w:asciiTheme="minorHAnsi" w:hAnsiTheme="minorHAnsi" w:cstheme="minorHAnsi"/>
        </w:rPr>
        <w:t xml:space="preserve">visceral abscess) compared with historical control data. The second primary objective was to evaluate the PK characteristics of </w:t>
      </w:r>
      <w:r w:rsidR="00C15C08" w:rsidRPr="009A68EE">
        <w:rPr>
          <w:rFonts w:asciiTheme="minorHAnsi" w:hAnsiTheme="minorHAnsi" w:cstheme="minorHAnsi"/>
        </w:rPr>
        <w:t>cutaquig®</w:t>
      </w:r>
      <w:r w:rsidRPr="009A68EE">
        <w:rPr>
          <w:rFonts w:asciiTheme="minorHAnsi" w:hAnsiTheme="minorHAnsi" w:cstheme="minorHAnsi"/>
        </w:rPr>
        <w:t xml:space="preserve"> and to compare the AUC with that of IVIG.</w:t>
      </w:r>
    </w:p>
    <w:p w14:paraId="496DB984" w14:textId="1F8095B7" w:rsidR="008304CA" w:rsidRPr="009A68EE" w:rsidRDefault="008304CA" w:rsidP="00A02ED3">
      <w:pPr>
        <w:jc w:val="left"/>
        <w:rPr>
          <w:rFonts w:asciiTheme="minorHAnsi" w:hAnsiTheme="minorHAnsi" w:cstheme="minorHAnsi"/>
        </w:rPr>
      </w:pPr>
      <w:r w:rsidRPr="009A68EE">
        <w:rPr>
          <w:rFonts w:asciiTheme="minorHAnsi" w:hAnsiTheme="minorHAnsi" w:cstheme="minorHAnsi"/>
        </w:rPr>
        <w:t xml:space="preserve">In the 12-week wash-in/wash-out phase, weekly (±2 days) SC doses of </w:t>
      </w:r>
      <w:r w:rsidR="00C15C08" w:rsidRPr="009A68EE">
        <w:rPr>
          <w:rFonts w:asciiTheme="minorHAnsi" w:hAnsiTheme="minorHAnsi" w:cstheme="minorHAnsi"/>
        </w:rPr>
        <w:t>cutaquig®</w:t>
      </w:r>
      <w:r w:rsidR="00D84E58" w:rsidRPr="009A68EE">
        <w:rPr>
          <w:rFonts w:asciiTheme="minorHAnsi" w:hAnsiTheme="minorHAnsi" w:cstheme="minorHAnsi"/>
        </w:rPr>
        <w:t xml:space="preserve"> were given, at 1.5 </w:t>
      </w:r>
      <w:r w:rsidRPr="009A68EE">
        <w:rPr>
          <w:rFonts w:asciiTheme="minorHAnsi" w:hAnsiTheme="minorHAnsi" w:cstheme="minorHAnsi"/>
        </w:rPr>
        <w:t xml:space="preserve">times the previous IVIG dose adjusted for weekly dosing. After completion of the 12-week wash-in/wash-out phase, patients entered the efficacy phase during which treatment continued. The final examinations were performed 1 week after the end of the last infusion or 1 week after premature withdrawal of a patient from the study. </w:t>
      </w:r>
    </w:p>
    <w:p w14:paraId="0D7CEE4B" w14:textId="479E9886" w:rsidR="00DE6291" w:rsidRPr="009A68EE" w:rsidRDefault="008304CA" w:rsidP="00A02ED3">
      <w:pPr>
        <w:spacing w:afterLines="120" w:after="288"/>
        <w:jc w:val="left"/>
        <w:rPr>
          <w:rFonts w:asciiTheme="minorHAnsi" w:hAnsiTheme="minorHAnsi" w:cstheme="minorHAnsi"/>
        </w:rPr>
      </w:pPr>
      <w:r w:rsidRPr="009A68EE">
        <w:rPr>
          <w:rFonts w:asciiTheme="minorHAnsi" w:hAnsiTheme="minorHAnsi" w:cstheme="minorHAnsi"/>
        </w:rPr>
        <w:t xml:space="preserve">No SBIs were observed during the study. There was 1 infection (reported as severe) which resulted in hospitalisation. A total of 192 non-serious infections were observed in 51 patients in the primary observation period and 245 infections in 53 patients over the whole treatment period. The rate of other infections per person-year was 3.434 overall. Three-quarters of the infections in the primary period were mild and one-quarter moderate in intensity; there was 1 severe infection. </w:t>
      </w:r>
      <w:r w:rsidR="005976A1" w:rsidRPr="009A68EE">
        <w:rPr>
          <w:rFonts w:asciiTheme="minorHAnsi" w:hAnsiTheme="minorHAnsi" w:cstheme="minorHAnsi"/>
        </w:rPr>
        <w:t>O</w:t>
      </w:r>
      <w:r w:rsidRPr="009A68EE">
        <w:rPr>
          <w:rFonts w:asciiTheme="minorHAnsi" w:hAnsiTheme="minorHAnsi" w:cstheme="minorHAnsi"/>
        </w:rPr>
        <w:t xml:space="preserve">ther efficacy parameters calculated per patient year, such as days with use of antibiotics, absences from school or work, and episodes of fever were </w:t>
      </w:r>
      <w:r w:rsidR="005976A1" w:rsidRPr="009A68EE">
        <w:rPr>
          <w:rFonts w:asciiTheme="minorHAnsi" w:hAnsiTheme="minorHAnsi" w:cstheme="minorHAnsi"/>
        </w:rPr>
        <w:t xml:space="preserve">also </w:t>
      </w:r>
      <w:r w:rsidRPr="009A68EE">
        <w:rPr>
          <w:rFonts w:asciiTheme="minorHAnsi" w:hAnsiTheme="minorHAnsi" w:cstheme="minorHAnsi"/>
        </w:rPr>
        <w:t>in line with what has been published for other SCIGs previously developed.</w:t>
      </w:r>
    </w:p>
    <w:p w14:paraId="219EBBC7" w14:textId="61968ACC" w:rsidR="00FB3451" w:rsidRPr="009A68EE" w:rsidRDefault="00FB3451" w:rsidP="00A02ED3">
      <w:pPr>
        <w:pStyle w:val="Heading2"/>
        <w:spacing w:before="0" w:after="120"/>
        <w:ind w:left="578" w:hanging="578"/>
        <w:jc w:val="left"/>
        <w:rPr>
          <w:rFonts w:asciiTheme="minorHAnsi" w:hAnsiTheme="minorHAnsi" w:cstheme="minorHAnsi"/>
          <w:lang w:val="en-US"/>
        </w:rPr>
      </w:pPr>
      <w:r w:rsidRPr="009A68EE">
        <w:rPr>
          <w:rFonts w:asciiTheme="minorHAnsi" w:hAnsiTheme="minorHAnsi" w:cstheme="minorHAnsi"/>
          <w:lang w:val="en-US"/>
        </w:rPr>
        <w:t>PHARMACOKINETIC PROPERTIES</w:t>
      </w:r>
    </w:p>
    <w:p w14:paraId="6839F341" w14:textId="7D1F58C3" w:rsidR="00FB3451" w:rsidRPr="009A68EE" w:rsidRDefault="009C571A" w:rsidP="00A02ED3">
      <w:pPr>
        <w:pStyle w:val="Heading3"/>
        <w:spacing w:before="0" w:after="120"/>
        <w:jc w:val="left"/>
        <w:rPr>
          <w:rFonts w:asciiTheme="minorHAnsi" w:hAnsiTheme="minorHAnsi" w:cstheme="minorHAnsi"/>
        </w:rPr>
      </w:pPr>
      <w:r w:rsidRPr="009A68EE">
        <w:rPr>
          <w:rFonts w:asciiTheme="minorHAnsi" w:hAnsiTheme="minorHAnsi" w:cstheme="minorHAnsi"/>
        </w:rPr>
        <w:t>Absorption</w:t>
      </w:r>
    </w:p>
    <w:p w14:paraId="2283C563" w14:textId="0CCE6A66" w:rsidR="008304CA" w:rsidRPr="009A68EE" w:rsidRDefault="008304CA" w:rsidP="00A02ED3">
      <w:pPr>
        <w:jc w:val="left"/>
        <w:rPr>
          <w:rFonts w:asciiTheme="minorHAnsi" w:hAnsiTheme="minorHAnsi" w:cstheme="minorHAnsi"/>
        </w:rPr>
      </w:pPr>
      <w:r w:rsidRPr="009A68EE">
        <w:rPr>
          <w:rFonts w:asciiTheme="minorHAnsi" w:hAnsiTheme="minorHAnsi" w:cstheme="minorHAnsi"/>
        </w:rPr>
        <w:t xml:space="preserve">Following subcutaneous administration of </w:t>
      </w:r>
      <w:r w:rsidR="00C15C08" w:rsidRPr="009A68EE">
        <w:rPr>
          <w:rFonts w:asciiTheme="minorHAnsi" w:hAnsiTheme="minorHAnsi" w:cstheme="minorHAnsi"/>
        </w:rPr>
        <w:t>cutaquig®</w:t>
      </w:r>
      <w:r w:rsidRPr="009A68EE">
        <w:rPr>
          <w:rFonts w:asciiTheme="minorHAnsi" w:hAnsiTheme="minorHAnsi" w:cstheme="minorHAnsi"/>
        </w:rPr>
        <w:t xml:space="preserve">, peak </w:t>
      </w:r>
      <w:r w:rsidR="00E55993" w:rsidRPr="009A68EE">
        <w:rPr>
          <w:rFonts w:asciiTheme="minorHAnsi" w:hAnsiTheme="minorHAnsi" w:cstheme="minorHAnsi"/>
        </w:rPr>
        <w:t xml:space="preserve">serum levels are achieved after </w:t>
      </w:r>
      <w:r w:rsidRPr="009A68EE">
        <w:rPr>
          <w:rFonts w:asciiTheme="minorHAnsi" w:hAnsiTheme="minorHAnsi" w:cstheme="minorHAnsi"/>
        </w:rPr>
        <w:t>approximately</w:t>
      </w:r>
      <w:r w:rsidRPr="009A68EE">
        <w:rPr>
          <w:rFonts w:asciiTheme="minorHAnsi" w:hAnsiTheme="minorHAnsi" w:cstheme="minorHAnsi"/>
          <w:lang w:val="en-US"/>
        </w:rPr>
        <w:t xml:space="preserve"> </w:t>
      </w:r>
      <w:r w:rsidRPr="009A68EE">
        <w:rPr>
          <w:rFonts w:asciiTheme="minorHAnsi" w:hAnsiTheme="minorHAnsi" w:cstheme="minorHAnsi"/>
        </w:rPr>
        <w:t>2 days.</w:t>
      </w:r>
    </w:p>
    <w:p w14:paraId="30112247" w14:textId="13CBEF2A" w:rsidR="009C571A" w:rsidRPr="009A68EE" w:rsidRDefault="008304CA" w:rsidP="00A02ED3">
      <w:pPr>
        <w:pStyle w:val="Heading3"/>
        <w:spacing w:before="0" w:after="120"/>
        <w:jc w:val="left"/>
        <w:rPr>
          <w:rFonts w:asciiTheme="minorHAnsi" w:hAnsiTheme="minorHAnsi" w:cstheme="minorHAnsi"/>
        </w:rPr>
      </w:pPr>
      <w:r w:rsidRPr="009A68EE">
        <w:rPr>
          <w:rFonts w:asciiTheme="minorHAnsi" w:hAnsiTheme="minorHAnsi" w:cstheme="minorHAnsi"/>
        </w:rPr>
        <w:t>Elimination</w:t>
      </w:r>
    </w:p>
    <w:p w14:paraId="1C5CD3BD" w14:textId="77777777" w:rsidR="00DD46A3" w:rsidRPr="009A68EE" w:rsidRDefault="00DD46A3" w:rsidP="00A02ED3">
      <w:pPr>
        <w:jc w:val="left"/>
        <w:rPr>
          <w:rFonts w:asciiTheme="minorHAnsi" w:hAnsiTheme="minorHAnsi" w:cstheme="minorHAnsi"/>
        </w:rPr>
      </w:pPr>
      <w:r w:rsidRPr="009A68EE">
        <w:rPr>
          <w:rFonts w:asciiTheme="minorHAnsi" w:hAnsiTheme="minorHAnsi" w:cstheme="minorHAnsi"/>
        </w:rPr>
        <w:t>IgG and IgG-complexes are broken down in cells of the reticuloendothelial system.</w:t>
      </w:r>
    </w:p>
    <w:p w14:paraId="7D2AD094" w14:textId="22372626" w:rsidR="008304CA" w:rsidRPr="009A68EE" w:rsidRDefault="008304CA" w:rsidP="00A02ED3">
      <w:pPr>
        <w:pStyle w:val="Heading3"/>
        <w:spacing w:before="0" w:after="120"/>
        <w:jc w:val="left"/>
        <w:rPr>
          <w:rFonts w:asciiTheme="minorHAnsi" w:hAnsiTheme="minorHAnsi" w:cstheme="minorHAnsi"/>
        </w:rPr>
      </w:pPr>
      <w:r w:rsidRPr="009A68EE">
        <w:rPr>
          <w:rFonts w:asciiTheme="minorHAnsi" w:hAnsiTheme="minorHAnsi" w:cstheme="minorHAnsi"/>
        </w:rPr>
        <w:t>Primary Immunodeficiency Disease (PID)</w:t>
      </w:r>
    </w:p>
    <w:p w14:paraId="6A9E01CB" w14:textId="2EFE4D20" w:rsidR="008304CA" w:rsidRPr="009A68EE" w:rsidRDefault="008304CA" w:rsidP="00A02ED3">
      <w:pPr>
        <w:jc w:val="left"/>
        <w:rPr>
          <w:rFonts w:asciiTheme="minorHAnsi" w:hAnsiTheme="minorHAnsi" w:cstheme="minorHAnsi"/>
        </w:rPr>
      </w:pPr>
      <w:r w:rsidRPr="009A68EE">
        <w:rPr>
          <w:rFonts w:asciiTheme="minorHAnsi" w:hAnsiTheme="minorHAnsi" w:cstheme="minorHAnsi"/>
        </w:rPr>
        <w:t xml:space="preserve">In a clinical trial a total of 60 subjects with primary immune deficiency syndromes were treated with </w:t>
      </w:r>
      <w:r w:rsidR="00DF5E08" w:rsidRPr="009A68EE">
        <w:rPr>
          <w:rFonts w:asciiTheme="minorHAnsi" w:hAnsiTheme="minorHAnsi" w:cstheme="minorHAnsi"/>
        </w:rPr>
        <w:t>cutaquig®</w:t>
      </w:r>
      <w:r w:rsidRPr="009A68EE">
        <w:rPr>
          <w:rFonts w:asciiTheme="minorHAnsi" w:hAnsiTheme="minorHAnsi" w:cstheme="minorHAnsi"/>
        </w:rPr>
        <w:t xml:space="preserve"> up to 64 weeks. The mean dose administered each week was 0.176 (</w:t>
      </w:r>
      <w:r w:rsidR="002558DD" w:rsidRPr="009A68EE">
        <w:rPr>
          <w:rFonts w:asciiTheme="minorHAnsi" w:hAnsiTheme="minorHAnsi" w:cstheme="minorHAnsi"/>
        </w:rPr>
        <w:t xml:space="preserve">range: </w:t>
      </w:r>
      <w:r w:rsidRPr="009A68EE">
        <w:rPr>
          <w:rFonts w:asciiTheme="minorHAnsi" w:hAnsiTheme="minorHAnsi" w:cstheme="minorHAnsi"/>
        </w:rPr>
        <w:t>0.</w:t>
      </w:r>
      <w:r w:rsidR="002558DD" w:rsidRPr="009A68EE">
        <w:rPr>
          <w:rFonts w:asciiTheme="minorHAnsi" w:hAnsiTheme="minorHAnsi" w:cstheme="minorHAnsi"/>
        </w:rPr>
        <w:t>06</w:t>
      </w:r>
      <w:r w:rsidRPr="009A68EE">
        <w:rPr>
          <w:rFonts w:asciiTheme="minorHAnsi" w:hAnsiTheme="minorHAnsi" w:cstheme="minorHAnsi"/>
        </w:rPr>
        <w:t>-0.</w:t>
      </w:r>
      <w:r w:rsidR="002558DD" w:rsidRPr="009A68EE">
        <w:rPr>
          <w:rFonts w:asciiTheme="minorHAnsi" w:hAnsiTheme="minorHAnsi" w:cstheme="minorHAnsi"/>
        </w:rPr>
        <w:t>39</w:t>
      </w:r>
      <w:r w:rsidRPr="009A68EE">
        <w:rPr>
          <w:rFonts w:asciiTheme="minorHAnsi" w:hAnsiTheme="minorHAnsi" w:cstheme="minorHAnsi"/>
        </w:rPr>
        <w:t xml:space="preserve">) g/kg. Subjects received a total of 3534 weekly </w:t>
      </w:r>
      <w:r w:rsidR="00DF5E08" w:rsidRPr="009A68EE">
        <w:rPr>
          <w:rFonts w:asciiTheme="minorHAnsi" w:hAnsiTheme="minorHAnsi" w:cstheme="minorHAnsi"/>
        </w:rPr>
        <w:t>cutaquig®</w:t>
      </w:r>
      <w:r w:rsidRPr="009A68EE">
        <w:rPr>
          <w:rFonts w:asciiTheme="minorHAnsi" w:hAnsiTheme="minorHAnsi" w:cstheme="minorHAnsi"/>
        </w:rPr>
        <w:t xml:space="preserve"> infusions.</w:t>
      </w:r>
    </w:p>
    <w:p w14:paraId="0C11705F" w14:textId="21E0D7A2" w:rsidR="00BE38AB" w:rsidRPr="009A68EE" w:rsidRDefault="008304CA" w:rsidP="00A02ED3">
      <w:pPr>
        <w:jc w:val="left"/>
        <w:rPr>
          <w:rFonts w:asciiTheme="minorHAnsi" w:hAnsiTheme="minorHAnsi" w:cstheme="minorHAnsi"/>
        </w:rPr>
      </w:pPr>
      <w:r w:rsidRPr="009A68EE">
        <w:rPr>
          <w:rFonts w:asciiTheme="minorHAnsi" w:hAnsiTheme="minorHAnsi" w:cstheme="minorHAnsi"/>
        </w:rPr>
        <w:t xml:space="preserve">The pharmacokinetics were evaluated in a subset of </w:t>
      </w:r>
      <w:r w:rsidR="00E3146C" w:rsidRPr="009A68EE">
        <w:rPr>
          <w:rFonts w:asciiTheme="minorHAnsi" w:hAnsiTheme="minorHAnsi" w:cstheme="minorHAnsi"/>
        </w:rPr>
        <w:t>22</w:t>
      </w:r>
      <w:r w:rsidRPr="009A68EE">
        <w:rPr>
          <w:rFonts w:asciiTheme="minorHAnsi" w:hAnsiTheme="minorHAnsi" w:cstheme="minorHAnsi"/>
        </w:rPr>
        <w:t xml:space="preserve"> subjects</w:t>
      </w:r>
      <w:r w:rsidR="005378F8">
        <w:rPr>
          <w:rFonts w:asciiTheme="minorHAnsi" w:hAnsiTheme="minorHAnsi" w:cstheme="minorHAnsi"/>
        </w:rPr>
        <w:t xml:space="preserve"> (19 adult subjects and 3 p</w:t>
      </w:r>
      <w:r w:rsidR="00B81C05">
        <w:rPr>
          <w:rFonts w:asciiTheme="minorHAnsi" w:hAnsiTheme="minorHAnsi" w:cstheme="minorHAnsi"/>
        </w:rPr>
        <w:t>a</w:t>
      </w:r>
      <w:r w:rsidR="005378F8">
        <w:rPr>
          <w:rFonts w:asciiTheme="minorHAnsi" w:hAnsiTheme="minorHAnsi" w:cstheme="minorHAnsi"/>
        </w:rPr>
        <w:t>ediatric subjects)</w:t>
      </w:r>
      <w:r w:rsidRPr="009A68EE">
        <w:rPr>
          <w:rFonts w:asciiTheme="minorHAnsi" w:hAnsiTheme="minorHAnsi" w:cstheme="minorHAnsi"/>
        </w:rPr>
        <w:t xml:space="preserve"> with PID</w:t>
      </w:r>
      <w:r w:rsidR="00BE38AB" w:rsidRPr="009A68EE">
        <w:rPr>
          <w:rFonts w:asciiTheme="minorHAnsi" w:hAnsiTheme="minorHAnsi" w:cstheme="minorHAnsi"/>
        </w:rPr>
        <w:t xml:space="preserve">. </w:t>
      </w:r>
      <w:r w:rsidRPr="009A68EE">
        <w:rPr>
          <w:rFonts w:asciiTheme="minorHAnsi" w:hAnsiTheme="minorHAnsi" w:cstheme="minorHAnsi"/>
        </w:rPr>
        <w:t xml:space="preserve">By weekly infusion from week 2 onwards, the minimum trough levels ranged between 6.1 and 8.4 g/L, median IgG trough levels were at 11.5 g/L. The mean </w:t>
      </w:r>
      <w:proofErr w:type="spellStart"/>
      <w:r w:rsidRPr="009A68EE">
        <w:rPr>
          <w:rFonts w:asciiTheme="minorHAnsi" w:hAnsiTheme="minorHAnsi" w:cstheme="minorHAnsi"/>
        </w:rPr>
        <w:t>Cmax</w:t>
      </w:r>
      <w:proofErr w:type="spellEnd"/>
      <w:r w:rsidRPr="009A68EE">
        <w:rPr>
          <w:rFonts w:asciiTheme="minorHAnsi" w:hAnsiTheme="minorHAnsi" w:cstheme="minorHAnsi"/>
        </w:rPr>
        <w:t xml:space="preserve"> was 13.5 g/L and was reached after a median of 2.02 days</w:t>
      </w:r>
      <w:r w:rsidR="00437238">
        <w:rPr>
          <w:rFonts w:asciiTheme="minorHAnsi" w:hAnsiTheme="minorHAnsi" w:cstheme="minorHAnsi"/>
        </w:rPr>
        <w:t xml:space="preserve"> </w:t>
      </w:r>
      <w:r w:rsidR="00CF58A0" w:rsidRPr="009A68EE">
        <w:rPr>
          <w:rFonts w:asciiTheme="minorHAnsi" w:hAnsiTheme="minorHAnsi" w:cstheme="minorHAnsi"/>
        </w:rPr>
        <w:t>(</w:t>
      </w:r>
      <w:r w:rsidR="00CF58A0">
        <w:rPr>
          <w:rFonts w:asciiTheme="minorHAnsi" w:hAnsiTheme="minorHAnsi" w:cstheme="minorHAnsi"/>
        </w:rPr>
        <w:t>s</w:t>
      </w:r>
      <w:r w:rsidR="00CF58A0" w:rsidRPr="009A68EE">
        <w:rPr>
          <w:rFonts w:asciiTheme="minorHAnsi" w:hAnsiTheme="minorHAnsi" w:cstheme="minorHAnsi"/>
        </w:rPr>
        <w:t>ee Table 2)</w:t>
      </w:r>
      <w:r w:rsidRPr="009A68EE">
        <w:rPr>
          <w:rFonts w:asciiTheme="minorHAnsi" w:hAnsiTheme="minorHAnsi" w:cstheme="minorHAnsi"/>
        </w:rPr>
        <w:t>.</w:t>
      </w:r>
    </w:p>
    <w:p w14:paraId="54B0609E" w14:textId="77777777" w:rsidR="00A02996" w:rsidRPr="00A02996" w:rsidRDefault="00A02996" w:rsidP="00A02ED3">
      <w:pPr>
        <w:jc w:val="left"/>
        <w:rPr>
          <w:rFonts w:asciiTheme="minorHAnsi" w:hAnsiTheme="minorHAnsi" w:cstheme="minorHAnsi"/>
        </w:rPr>
      </w:pPr>
    </w:p>
    <w:p w14:paraId="37EE8A46" w14:textId="77777777" w:rsidR="00A02996" w:rsidRPr="00A02996" w:rsidRDefault="00A02996" w:rsidP="00A02ED3">
      <w:pPr>
        <w:jc w:val="left"/>
        <w:rPr>
          <w:rFonts w:asciiTheme="minorHAnsi" w:hAnsiTheme="minorHAnsi" w:cstheme="minorHAnsi"/>
        </w:rPr>
      </w:pPr>
    </w:p>
    <w:p w14:paraId="64AE08FD" w14:textId="77777777" w:rsidR="00A02996" w:rsidRPr="00A02996" w:rsidRDefault="00A02996" w:rsidP="00A02ED3">
      <w:pPr>
        <w:jc w:val="left"/>
        <w:rPr>
          <w:rFonts w:asciiTheme="minorHAnsi" w:hAnsiTheme="minorHAnsi" w:cstheme="minorHAnsi"/>
        </w:rPr>
      </w:pPr>
    </w:p>
    <w:p w14:paraId="08044050" w14:textId="77777777" w:rsidR="00A02996" w:rsidRPr="00A02996" w:rsidRDefault="00A02996" w:rsidP="00A02ED3">
      <w:pPr>
        <w:jc w:val="left"/>
        <w:rPr>
          <w:rFonts w:asciiTheme="minorHAnsi" w:hAnsiTheme="minorHAnsi" w:cstheme="minorHAnsi"/>
        </w:rPr>
      </w:pPr>
    </w:p>
    <w:p w14:paraId="499F2906" w14:textId="77777777" w:rsidR="00A02996" w:rsidRPr="00A02996" w:rsidRDefault="00A02996" w:rsidP="00A02ED3">
      <w:pPr>
        <w:jc w:val="left"/>
        <w:rPr>
          <w:rFonts w:asciiTheme="minorHAnsi" w:hAnsiTheme="minorHAnsi" w:cstheme="minorHAnsi"/>
        </w:rPr>
      </w:pPr>
    </w:p>
    <w:p w14:paraId="5F69A6C1" w14:textId="77777777" w:rsidR="00A02996" w:rsidRPr="00A02996" w:rsidRDefault="00A02996" w:rsidP="00A02ED3">
      <w:pPr>
        <w:jc w:val="left"/>
        <w:rPr>
          <w:rFonts w:asciiTheme="minorHAnsi" w:hAnsiTheme="minorHAnsi" w:cstheme="minorHAnsi"/>
        </w:rPr>
      </w:pPr>
    </w:p>
    <w:p w14:paraId="2EDEF86F" w14:textId="79F5A28B" w:rsidR="00BE38AB" w:rsidRPr="009A68EE" w:rsidRDefault="00BE38AB" w:rsidP="00A02ED3">
      <w:pPr>
        <w:jc w:val="left"/>
        <w:rPr>
          <w:rFonts w:asciiTheme="minorHAnsi" w:hAnsiTheme="minorHAnsi" w:cstheme="minorHAnsi"/>
          <w:b/>
        </w:rPr>
      </w:pPr>
      <w:r w:rsidRPr="009A68EE">
        <w:rPr>
          <w:rFonts w:asciiTheme="minorHAnsi" w:hAnsiTheme="minorHAnsi" w:cstheme="minorHAnsi"/>
          <w:b/>
        </w:rPr>
        <w:t xml:space="preserve">Table </w:t>
      </w:r>
      <w:r w:rsidR="00E3146C" w:rsidRPr="009A68EE">
        <w:rPr>
          <w:rFonts w:asciiTheme="minorHAnsi" w:hAnsiTheme="minorHAnsi" w:cstheme="minorHAnsi"/>
          <w:b/>
        </w:rPr>
        <w:t>2</w:t>
      </w:r>
      <w:r w:rsidRPr="009A68EE">
        <w:rPr>
          <w:rFonts w:asciiTheme="minorHAnsi" w:hAnsiTheme="minorHAnsi" w:cstheme="minorHAnsi"/>
          <w:b/>
        </w:rPr>
        <w:t xml:space="preserve"> Key Pharmacokinetic Parameters for </w:t>
      </w:r>
      <w:r w:rsidR="00E3146C" w:rsidRPr="009A68EE">
        <w:rPr>
          <w:rFonts w:asciiTheme="minorHAnsi" w:hAnsiTheme="minorHAnsi" w:cstheme="minorHAnsi"/>
          <w:b/>
        </w:rPr>
        <w:t>Total IgG in 22 PID Patients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summarizes the key PK parameters for CUTAQUIG in Adults."/>
      </w:tblPr>
      <w:tblGrid>
        <w:gridCol w:w="2518"/>
        <w:gridCol w:w="2033"/>
      </w:tblGrid>
      <w:tr w:rsidR="00E3146C" w:rsidRPr="009A68EE" w14:paraId="0100750A" w14:textId="3F065F09" w:rsidTr="00071A5F">
        <w:trPr>
          <w:trHeight w:val="170"/>
        </w:trPr>
        <w:tc>
          <w:tcPr>
            <w:tcW w:w="2518" w:type="dxa"/>
          </w:tcPr>
          <w:p w14:paraId="7DBCA6B1" w14:textId="3DEE47CF" w:rsidR="00E3146C" w:rsidRPr="009A68EE" w:rsidRDefault="00E3146C" w:rsidP="00A02ED3">
            <w:pPr>
              <w:pStyle w:val="ATextBericht"/>
              <w:keepNext/>
              <w:spacing w:before="30" w:after="30"/>
              <w:jc w:val="left"/>
              <w:rPr>
                <w:rFonts w:asciiTheme="minorHAnsi" w:hAnsiTheme="minorHAnsi" w:cstheme="minorHAnsi"/>
                <w:b/>
                <w:szCs w:val="24"/>
                <w:lang w:val="en-CA" w:eastAsia="de-AT"/>
              </w:rPr>
            </w:pPr>
            <w:r w:rsidRPr="009A68EE">
              <w:rPr>
                <w:rFonts w:asciiTheme="minorHAnsi" w:hAnsiTheme="minorHAnsi" w:cstheme="minorHAnsi"/>
                <w:b/>
                <w:bCs/>
                <w:sz w:val="20"/>
              </w:rPr>
              <w:t xml:space="preserve">Parameter </w:t>
            </w:r>
          </w:p>
        </w:tc>
        <w:tc>
          <w:tcPr>
            <w:tcW w:w="2033" w:type="dxa"/>
          </w:tcPr>
          <w:p w14:paraId="1B6AE7CC" w14:textId="6794EFF4" w:rsidR="00E3146C" w:rsidRPr="009A68EE" w:rsidRDefault="00E3146C" w:rsidP="00A02ED3">
            <w:pPr>
              <w:pStyle w:val="ATextBericht"/>
              <w:keepNext/>
              <w:spacing w:before="30" w:after="30"/>
              <w:jc w:val="left"/>
              <w:rPr>
                <w:rFonts w:asciiTheme="minorHAnsi" w:hAnsiTheme="minorHAnsi" w:cstheme="minorHAnsi"/>
                <w:b/>
                <w:szCs w:val="24"/>
                <w:lang w:val="en-CA" w:eastAsia="de-AT"/>
              </w:rPr>
            </w:pPr>
            <w:r w:rsidRPr="009A68EE">
              <w:rPr>
                <w:rFonts w:asciiTheme="minorHAnsi" w:hAnsiTheme="minorHAnsi" w:cstheme="minorHAnsi"/>
                <w:b/>
                <w:bCs/>
                <w:sz w:val="20"/>
              </w:rPr>
              <w:t>C</w:t>
            </w:r>
            <w:r w:rsidR="00DF5E08" w:rsidRPr="009A68EE">
              <w:rPr>
                <w:rFonts w:asciiTheme="minorHAnsi" w:hAnsiTheme="minorHAnsi" w:cstheme="minorHAnsi"/>
                <w:b/>
                <w:bCs/>
                <w:sz w:val="20"/>
              </w:rPr>
              <w:t>utaquig</w:t>
            </w:r>
            <w:r w:rsidR="00DF5E08" w:rsidRPr="009A68EE">
              <w:rPr>
                <w:rFonts w:asciiTheme="minorHAnsi" w:hAnsiTheme="minorHAnsi" w:cstheme="minorHAnsi"/>
                <w:b/>
                <w:bCs/>
                <w:sz w:val="20"/>
                <w:vertAlign w:val="superscript"/>
              </w:rPr>
              <w:t>®</w:t>
            </w:r>
            <w:r w:rsidRPr="009A68EE">
              <w:rPr>
                <w:rFonts w:asciiTheme="minorHAnsi" w:hAnsiTheme="minorHAnsi" w:cstheme="minorHAnsi"/>
                <w:b/>
                <w:bCs/>
                <w:sz w:val="13"/>
                <w:szCs w:val="13"/>
              </w:rPr>
              <w:t xml:space="preserve"> </w:t>
            </w:r>
            <w:r w:rsidRPr="009A68EE">
              <w:rPr>
                <w:rFonts w:asciiTheme="minorHAnsi" w:hAnsiTheme="minorHAnsi" w:cstheme="minorHAnsi"/>
                <w:b/>
                <w:bCs/>
                <w:sz w:val="20"/>
              </w:rPr>
              <w:t xml:space="preserve">(N=22) </w:t>
            </w:r>
          </w:p>
        </w:tc>
      </w:tr>
      <w:tr w:rsidR="00E3146C" w:rsidRPr="009A68EE" w14:paraId="79302BC7" w14:textId="6F4B2DE3" w:rsidTr="00071A5F">
        <w:trPr>
          <w:trHeight w:val="170"/>
        </w:trPr>
        <w:tc>
          <w:tcPr>
            <w:tcW w:w="2518" w:type="dxa"/>
          </w:tcPr>
          <w:p w14:paraId="0996ADF8" w14:textId="6EB1C83C" w:rsidR="00E3146C" w:rsidRPr="009A68EE" w:rsidRDefault="00E3146C" w:rsidP="00A02ED3">
            <w:pPr>
              <w:pStyle w:val="ATextBericht"/>
              <w:keepNext/>
              <w:spacing w:before="30" w:after="30"/>
              <w:jc w:val="left"/>
              <w:rPr>
                <w:rFonts w:asciiTheme="minorHAnsi" w:hAnsiTheme="minorHAnsi" w:cstheme="minorHAnsi"/>
                <w:szCs w:val="24"/>
                <w:lang w:val="en-CA" w:eastAsia="de-AT"/>
              </w:rPr>
            </w:pPr>
            <w:proofErr w:type="spellStart"/>
            <w:r w:rsidRPr="009A68EE">
              <w:rPr>
                <w:rFonts w:asciiTheme="minorHAnsi" w:hAnsiTheme="minorHAnsi" w:cstheme="minorHAnsi"/>
                <w:sz w:val="20"/>
              </w:rPr>
              <w:t>C</w:t>
            </w:r>
            <w:r w:rsidRPr="009A68EE">
              <w:rPr>
                <w:rFonts w:asciiTheme="minorHAnsi" w:hAnsiTheme="minorHAnsi" w:cstheme="minorHAnsi"/>
                <w:sz w:val="13"/>
                <w:szCs w:val="13"/>
              </w:rPr>
              <w:t>max</w:t>
            </w:r>
            <w:proofErr w:type="spellEnd"/>
            <w:r w:rsidRPr="009A68EE">
              <w:rPr>
                <w:rFonts w:asciiTheme="minorHAnsi" w:hAnsiTheme="minorHAnsi" w:cstheme="minorHAnsi"/>
                <w:sz w:val="13"/>
                <w:szCs w:val="13"/>
              </w:rPr>
              <w:t xml:space="preserve"> </w:t>
            </w:r>
            <w:r w:rsidRPr="009A68EE">
              <w:rPr>
                <w:rFonts w:asciiTheme="minorHAnsi" w:hAnsiTheme="minorHAnsi" w:cstheme="minorHAnsi"/>
                <w:sz w:val="20"/>
              </w:rPr>
              <w:t xml:space="preserve">[g/L] </w:t>
            </w:r>
          </w:p>
        </w:tc>
        <w:tc>
          <w:tcPr>
            <w:tcW w:w="2033" w:type="dxa"/>
          </w:tcPr>
          <w:p w14:paraId="66BF8CBB" w14:textId="593CED39" w:rsidR="00E3146C" w:rsidRPr="009A68EE" w:rsidRDefault="00E3146C" w:rsidP="00A02ED3">
            <w:pPr>
              <w:pStyle w:val="ATextBericht"/>
              <w:keepNext/>
              <w:spacing w:before="30" w:after="30"/>
              <w:jc w:val="left"/>
              <w:rPr>
                <w:rFonts w:asciiTheme="minorHAnsi" w:hAnsiTheme="minorHAnsi" w:cstheme="minorHAnsi"/>
                <w:szCs w:val="24"/>
                <w:lang w:val="en-CA" w:eastAsia="de-AT"/>
              </w:rPr>
            </w:pPr>
            <w:r w:rsidRPr="009A68EE">
              <w:rPr>
                <w:rFonts w:asciiTheme="minorHAnsi" w:hAnsiTheme="minorHAnsi" w:cstheme="minorHAnsi"/>
                <w:sz w:val="20"/>
              </w:rPr>
              <w:t xml:space="preserve">13.5 </w:t>
            </w:r>
          </w:p>
        </w:tc>
      </w:tr>
      <w:tr w:rsidR="00E3146C" w:rsidRPr="009A68EE" w14:paraId="73AB68FB" w14:textId="5D86D6F8" w:rsidTr="00071A5F">
        <w:trPr>
          <w:trHeight w:val="170"/>
        </w:trPr>
        <w:tc>
          <w:tcPr>
            <w:tcW w:w="2518" w:type="dxa"/>
          </w:tcPr>
          <w:p w14:paraId="480C6F52" w14:textId="7EECE5C0" w:rsidR="00E3146C" w:rsidRPr="009A68EE" w:rsidRDefault="00E3146C" w:rsidP="00A02ED3">
            <w:pPr>
              <w:pStyle w:val="ATextBericht"/>
              <w:keepNext/>
              <w:spacing w:before="30" w:after="30"/>
              <w:jc w:val="left"/>
              <w:rPr>
                <w:rFonts w:asciiTheme="minorHAnsi" w:hAnsiTheme="minorHAnsi" w:cstheme="minorHAnsi"/>
                <w:szCs w:val="24"/>
                <w:lang w:val="en-CA" w:eastAsia="de-AT"/>
              </w:rPr>
            </w:pPr>
            <w:proofErr w:type="spellStart"/>
            <w:r w:rsidRPr="009A68EE">
              <w:rPr>
                <w:rFonts w:asciiTheme="minorHAnsi" w:hAnsiTheme="minorHAnsi" w:cstheme="minorHAnsi"/>
                <w:sz w:val="20"/>
              </w:rPr>
              <w:t>C</w:t>
            </w:r>
            <w:r w:rsidRPr="009A68EE">
              <w:rPr>
                <w:rFonts w:asciiTheme="minorHAnsi" w:hAnsiTheme="minorHAnsi" w:cstheme="minorHAnsi"/>
                <w:sz w:val="13"/>
                <w:szCs w:val="13"/>
              </w:rPr>
              <w:t>min</w:t>
            </w:r>
            <w:proofErr w:type="spellEnd"/>
            <w:r w:rsidRPr="009A68EE">
              <w:rPr>
                <w:rFonts w:asciiTheme="minorHAnsi" w:hAnsiTheme="minorHAnsi" w:cstheme="minorHAnsi"/>
                <w:sz w:val="13"/>
                <w:szCs w:val="13"/>
              </w:rPr>
              <w:t xml:space="preserve"> </w:t>
            </w:r>
            <w:r w:rsidRPr="009A68EE">
              <w:rPr>
                <w:rFonts w:asciiTheme="minorHAnsi" w:hAnsiTheme="minorHAnsi" w:cstheme="minorHAnsi"/>
                <w:sz w:val="20"/>
              </w:rPr>
              <w:t xml:space="preserve">[g/L] </w:t>
            </w:r>
          </w:p>
        </w:tc>
        <w:tc>
          <w:tcPr>
            <w:tcW w:w="2033" w:type="dxa"/>
          </w:tcPr>
          <w:p w14:paraId="11D14FA6" w14:textId="50AE4C17" w:rsidR="00E3146C" w:rsidRPr="009A68EE" w:rsidRDefault="00E3146C" w:rsidP="00A02ED3">
            <w:pPr>
              <w:pStyle w:val="ATextBericht"/>
              <w:keepNext/>
              <w:spacing w:before="30" w:after="30"/>
              <w:jc w:val="left"/>
              <w:rPr>
                <w:rFonts w:asciiTheme="minorHAnsi" w:hAnsiTheme="minorHAnsi" w:cstheme="minorHAnsi"/>
                <w:szCs w:val="24"/>
                <w:lang w:val="en-CA" w:eastAsia="de-AT"/>
              </w:rPr>
            </w:pPr>
            <w:r w:rsidRPr="009A68EE">
              <w:rPr>
                <w:rFonts w:asciiTheme="minorHAnsi" w:hAnsiTheme="minorHAnsi" w:cstheme="minorHAnsi"/>
                <w:sz w:val="20"/>
              </w:rPr>
              <w:t xml:space="preserve">11.6 </w:t>
            </w:r>
          </w:p>
        </w:tc>
      </w:tr>
      <w:tr w:rsidR="00E3146C" w:rsidRPr="009A68EE" w14:paraId="25DE9784" w14:textId="25E95013" w:rsidTr="00071A5F">
        <w:trPr>
          <w:trHeight w:val="170"/>
        </w:trPr>
        <w:tc>
          <w:tcPr>
            <w:tcW w:w="2518" w:type="dxa"/>
          </w:tcPr>
          <w:p w14:paraId="11E74B17" w14:textId="171AEDE1" w:rsidR="00E3146C" w:rsidRPr="009A68EE" w:rsidRDefault="00E3146C" w:rsidP="00A02ED3">
            <w:pPr>
              <w:pStyle w:val="ATextBericht"/>
              <w:keepNext/>
              <w:spacing w:before="30" w:after="30"/>
              <w:jc w:val="left"/>
              <w:rPr>
                <w:rFonts w:asciiTheme="minorHAnsi" w:hAnsiTheme="minorHAnsi" w:cstheme="minorHAnsi"/>
                <w:szCs w:val="24"/>
                <w:lang w:val="en-CA" w:eastAsia="de-AT"/>
              </w:rPr>
            </w:pPr>
            <w:proofErr w:type="spellStart"/>
            <w:r w:rsidRPr="009A68EE">
              <w:rPr>
                <w:rFonts w:asciiTheme="minorHAnsi" w:hAnsiTheme="minorHAnsi" w:cstheme="minorHAnsi"/>
                <w:sz w:val="20"/>
              </w:rPr>
              <w:t>C</w:t>
            </w:r>
            <w:r w:rsidRPr="009A68EE">
              <w:rPr>
                <w:rFonts w:asciiTheme="minorHAnsi" w:hAnsiTheme="minorHAnsi" w:cstheme="minorHAnsi"/>
                <w:sz w:val="13"/>
                <w:szCs w:val="13"/>
              </w:rPr>
              <w:t>avg</w:t>
            </w:r>
            <w:proofErr w:type="spellEnd"/>
            <w:r w:rsidRPr="009A68EE">
              <w:rPr>
                <w:rFonts w:asciiTheme="minorHAnsi" w:hAnsiTheme="minorHAnsi" w:cstheme="minorHAnsi"/>
                <w:sz w:val="13"/>
                <w:szCs w:val="13"/>
              </w:rPr>
              <w:t xml:space="preserve"> </w:t>
            </w:r>
            <w:r w:rsidRPr="009A68EE">
              <w:rPr>
                <w:rFonts w:asciiTheme="minorHAnsi" w:hAnsiTheme="minorHAnsi" w:cstheme="minorHAnsi"/>
                <w:sz w:val="20"/>
              </w:rPr>
              <w:t xml:space="preserve">[g/L] </w:t>
            </w:r>
          </w:p>
        </w:tc>
        <w:tc>
          <w:tcPr>
            <w:tcW w:w="2033" w:type="dxa"/>
          </w:tcPr>
          <w:p w14:paraId="74921258" w14:textId="20EDA2F6" w:rsidR="00E3146C" w:rsidRPr="009A68EE" w:rsidRDefault="00E3146C" w:rsidP="00A02ED3">
            <w:pPr>
              <w:pStyle w:val="ATextBericht"/>
              <w:keepNext/>
              <w:spacing w:before="30" w:after="30"/>
              <w:jc w:val="left"/>
              <w:rPr>
                <w:rFonts w:asciiTheme="minorHAnsi" w:hAnsiTheme="minorHAnsi" w:cstheme="minorHAnsi"/>
                <w:szCs w:val="24"/>
                <w:lang w:val="en-CA" w:eastAsia="de-AT"/>
              </w:rPr>
            </w:pPr>
            <w:r w:rsidRPr="009A68EE">
              <w:rPr>
                <w:rFonts w:asciiTheme="minorHAnsi" w:hAnsiTheme="minorHAnsi" w:cstheme="minorHAnsi"/>
                <w:sz w:val="20"/>
              </w:rPr>
              <w:t xml:space="preserve">13.7 </w:t>
            </w:r>
          </w:p>
        </w:tc>
      </w:tr>
      <w:tr w:rsidR="00E3146C" w:rsidRPr="009A68EE" w14:paraId="6978A241" w14:textId="22D6B6A7" w:rsidTr="00071A5F">
        <w:trPr>
          <w:trHeight w:val="170"/>
        </w:trPr>
        <w:tc>
          <w:tcPr>
            <w:tcW w:w="2518" w:type="dxa"/>
          </w:tcPr>
          <w:p w14:paraId="67675EBE" w14:textId="23455686" w:rsidR="00E3146C" w:rsidRPr="009A68EE" w:rsidRDefault="00E3146C" w:rsidP="00A02ED3">
            <w:pPr>
              <w:pStyle w:val="ATextBericht"/>
              <w:keepNext/>
              <w:spacing w:before="30" w:after="30"/>
              <w:jc w:val="left"/>
              <w:rPr>
                <w:rFonts w:asciiTheme="minorHAnsi" w:hAnsiTheme="minorHAnsi" w:cstheme="minorHAnsi"/>
                <w:szCs w:val="24"/>
                <w:lang w:val="en-CA" w:eastAsia="de-AT"/>
              </w:rPr>
            </w:pPr>
            <w:proofErr w:type="spellStart"/>
            <w:r w:rsidRPr="009A68EE">
              <w:rPr>
                <w:rFonts w:asciiTheme="minorHAnsi" w:hAnsiTheme="minorHAnsi" w:cstheme="minorHAnsi"/>
                <w:sz w:val="20"/>
              </w:rPr>
              <w:t>T</w:t>
            </w:r>
            <w:r w:rsidRPr="009A68EE">
              <w:rPr>
                <w:rFonts w:asciiTheme="minorHAnsi" w:hAnsiTheme="minorHAnsi" w:cstheme="minorHAnsi"/>
                <w:sz w:val="13"/>
                <w:szCs w:val="13"/>
              </w:rPr>
              <w:t>max</w:t>
            </w:r>
            <w:proofErr w:type="spellEnd"/>
            <w:r w:rsidRPr="009A68EE">
              <w:rPr>
                <w:rFonts w:asciiTheme="minorHAnsi" w:hAnsiTheme="minorHAnsi" w:cstheme="minorHAnsi"/>
                <w:sz w:val="13"/>
                <w:szCs w:val="13"/>
              </w:rPr>
              <w:t xml:space="preserve"> </w:t>
            </w:r>
            <w:r w:rsidRPr="009A68EE">
              <w:rPr>
                <w:rFonts w:asciiTheme="minorHAnsi" w:hAnsiTheme="minorHAnsi" w:cstheme="minorHAnsi"/>
                <w:sz w:val="20"/>
              </w:rPr>
              <w:t>[h]</w:t>
            </w:r>
            <w:r w:rsidR="002558DD" w:rsidRPr="009A68EE">
              <w:rPr>
                <w:rFonts w:asciiTheme="minorHAnsi" w:hAnsiTheme="minorHAnsi" w:cstheme="minorHAnsi"/>
                <w:color w:val="000000"/>
                <w:sz w:val="13"/>
                <w:szCs w:val="13"/>
                <w:lang w:eastAsia="de-AT"/>
              </w:rPr>
              <w:t>#</w:t>
            </w:r>
          </w:p>
        </w:tc>
        <w:tc>
          <w:tcPr>
            <w:tcW w:w="2033" w:type="dxa"/>
          </w:tcPr>
          <w:p w14:paraId="3F3B1CBA" w14:textId="3B3A5AEE" w:rsidR="00E3146C" w:rsidRPr="009A68EE" w:rsidRDefault="00E3146C" w:rsidP="00A02ED3">
            <w:pPr>
              <w:pStyle w:val="ATextBericht"/>
              <w:keepNext/>
              <w:spacing w:before="30" w:after="30"/>
              <w:jc w:val="left"/>
              <w:rPr>
                <w:rFonts w:asciiTheme="minorHAnsi" w:hAnsiTheme="minorHAnsi" w:cstheme="minorHAnsi"/>
                <w:szCs w:val="24"/>
                <w:lang w:val="en-CA" w:eastAsia="de-AT"/>
              </w:rPr>
            </w:pPr>
            <w:r w:rsidRPr="009A68EE">
              <w:rPr>
                <w:rFonts w:asciiTheme="minorHAnsi" w:hAnsiTheme="minorHAnsi" w:cstheme="minorHAnsi"/>
                <w:sz w:val="20"/>
              </w:rPr>
              <w:t xml:space="preserve">48.4 </w:t>
            </w:r>
          </w:p>
        </w:tc>
      </w:tr>
      <w:tr w:rsidR="00E3146C" w:rsidRPr="009A68EE" w14:paraId="19E230E5" w14:textId="59C9EB41" w:rsidTr="00071A5F">
        <w:trPr>
          <w:trHeight w:val="170"/>
        </w:trPr>
        <w:tc>
          <w:tcPr>
            <w:tcW w:w="2518" w:type="dxa"/>
          </w:tcPr>
          <w:p w14:paraId="53F58276" w14:textId="6B0BB436" w:rsidR="00E3146C" w:rsidRPr="009A68EE" w:rsidRDefault="00E3146C" w:rsidP="00A02ED3">
            <w:pPr>
              <w:pStyle w:val="ATextBericht"/>
              <w:keepNext/>
              <w:spacing w:before="30" w:after="30"/>
              <w:jc w:val="left"/>
              <w:rPr>
                <w:rFonts w:asciiTheme="minorHAnsi" w:hAnsiTheme="minorHAnsi" w:cstheme="minorHAnsi"/>
                <w:szCs w:val="24"/>
                <w:lang w:val="en-CA" w:eastAsia="de-AT"/>
              </w:rPr>
            </w:pPr>
            <w:proofErr w:type="spellStart"/>
            <w:r w:rsidRPr="009A68EE">
              <w:rPr>
                <w:rFonts w:asciiTheme="minorHAnsi" w:hAnsiTheme="minorHAnsi" w:cstheme="minorHAnsi"/>
                <w:sz w:val="20"/>
              </w:rPr>
              <w:t>AUCτ</w:t>
            </w:r>
            <w:proofErr w:type="spellEnd"/>
            <w:r w:rsidRPr="009A68EE">
              <w:rPr>
                <w:rFonts w:asciiTheme="minorHAnsi" w:hAnsiTheme="minorHAnsi" w:cstheme="minorHAnsi"/>
                <w:sz w:val="20"/>
              </w:rPr>
              <w:t xml:space="preserve"> [h*g/L] </w:t>
            </w:r>
          </w:p>
        </w:tc>
        <w:tc>
          <w:tcPr>
            <w:tcW w:w="2033" w:type="dxa"/>
          </w:tcPr>
          <w:p w14:paraId="338374CA" w14:textId="66A52A40" w:rsidR="00E3146C" w:rsidRPr="009A68EE" w:rsidRDefault="00E3146C" w:rsidP="00A02ED3">
            <w:pPr>
              <w:pStyle w:val="ATextBericht"/>
              <w:keepNext/>
              <w:spacing w:before="30" w:after="30"/>
              <w:jc w:val="left"/>
              <w:rPr>
                <w:rFonts w:asciiTheme="minorHAnsi" w:hAnsiTheme="minorHAnsi" w:cstheme="minorHAnsi"/>
                <w:szCs w:val="24"/>
                <w:lang w:val="en-CA" w:eastAsia="de-AT"/>
              </w:rPr>
            </w:pPr>
            <w:r w:rsidRPr="009A68EE">
              <w:rPr>
                <w:rFonts w:asciiTheme="minorHAnsi" w:hAnsiTheme="minorHAnsi" w:cstheme="minorHAnsi"/>
                <w:sz w:val="20"/>
              </w:rPr>
              <w:t xml:space="preserve">2293 </w:t>
            </w:r>
          </w:p>
        </w:tc>
      </w:tr>
    </w:tbl>
    <w:p w14:paraId="0EF8DDCF" w14:textId="73C38626" w:rsidR="00E3146C" w:rsidRPr="009A68EE" w:rsidRDefault="00E3146C" w:rsidP="00A02ED3">
      <w:pPr>
        <w:autoSpaceDE w:val="0"/>
        <w:autoSpaceDN w:val="0"/>
        <w:adjustRightInd w:val="0"/>
        <w:spacing w:after="0" w:line="240" w:lineRule="auto"/>
        <w:jc w:val="left"/>
        <w:rPr>
          <w:rFonts w:asciiTheme="minorHAnsi" w:hAnsiTheme="minorHAnsi" w:cstheme="minorHAnsi"/>
          <w:color w:val="000000"/>
          <w:sz w:val="13"/>
          <w:szCs w:val="13"/>
          <w:lang w:val="en-US" w:eastAsia="de-AT"/>
        </w:rPr>
      </w:pPr>
      <w:r w:rsidRPr="009A68EE">
        <w:rPr>
          <w:rFonts w:asciiTheme="minorHAnsi" w:hAnsiTheme="minorHAnsi" w:cstheme="minorHAnsi"/>
          <w:sz w:val="20"/>
          <w:szCs w:val="20"/>
        </w:rPr>
        <w:t xml:space="preserve">N = number of patients; </w:t>
      </w:r>
      <w:proofErr w:type="spellStart"/>
      <w:r w:rsidRPr="009A68EE">
        <w:rPr>
          <w:rFonts w:asciiTheme="minorHAnsi" w:hAnsiTheme="minorHAnsi" w:cstheme="minorHAnsi"/>
          <w:sz w:val="20"/>
          <w:szCs w:val="20"/>
        </w:rPr>
        <w:t>AUCτ</w:t>
      </w:r>
      <w:proofErr w:type="spellEnd"/>
      <w:r w:rsidRPr="009A68EE">
        <w:rPr>
          <w:rFonts w:asciiTheme="minorHAnsi" w:hAnsiTheme="minorHAnsi" w:cstheme="minorHAnsi"/>
          <w:sz w:val="20"/>
          <w:szCs w:val="20"/>
        </w:rPr>
        <w:t xml:space="preserve"> = area under the concentration-time curve (where τ is the dosing interval); </w:t>
      </w:r>
      <w:proofErr w:type="spellStart"/>
      <w:r w:rsidRPr="009A68EE">
        <w:rPr>
          <w:rFonts w:asciiTheme="minorHAnsi" w:hAnsiTheme="minorHAnsi" w:cstheme="minorHAnsi"/>
          <w:sz w:val="20"/>
          <w:szCs w:val="20"/>
        </w:rPr>
        <w:t>C</w:t>
      </w:r>
      <w:r w:rsidR="007964B5" w:rsidRPr="009A68EE">
        <w:rPr>
          <w:rFonts w:asciiTheme="minorHAnsi" w:hAnsiTheme="minorHAnsi" w:cstheme="minorHAnsi"/>
          <w:sz w:val="13"/>
          <w:szCs w:val="13"/>
        </w:rPr>
        <w:t>max</w:t>
      </w:r>
      <w:proofErr w:type="spellEnd"/>
      <w:r w:rsidR="007964B5" w:rsidRPr="009A68EE">
        <w:rPr>
          <w:rFonts w:asciiTheme="minorHAnsi" w:hAnsiTheme="minorHAnsi" w:cstheme="minorHAnsi"/>
          <w:sz w:val="13"/>
          <w:szCs w:val="13"/>
        </w:rPr>
        <w:t> </w:t>
      </w:r>
      <w:r w:rsidR="007964B5" w:rsidRPr="009A68EE">
        <w:rPr>
          <w:rFonts w:asciiTheme="minorHAnsi" w:hAnsiTheme="minorHAnsi" w:cstheme="minorHAnsi"/>
          <w:sz w:val="20"/>
          <w:szCs w:val="20"/>
        </w:rPr>
        <w:t>= </w:t>
      </w:r>
      <w:r w:rsidRPr="009A68EE">
        <w:rPr>
          <w:rFonts w:asciiTheme="minorHAnsi" w:hAnsiTheme="minorHAnsi" w:cstheme="minorHAnsi"/>
          <w:sz w:val="20"/>
          <w:szCs w:val="20"/>
        </w:rPr>
        <w:t xml:space="preserve">maximum plasma concentration; </w:t>
      </w:r>
      <w:proofErr w:type="spellStart"/>
      <w:r w:rsidRPr="009A68EE">
        <w:rPr>
          <w:rFonts w:asciiTheme="minorHAnsi" w:hAnsiTheme="minorHAnsi" w:cstheme="minorHAnsi"/>
          <w:sz w:val="20"/>
          <w:szCs w:val="20"/>
        </w:rPr>
        <w:t>C</w:t>
      </w:r>
      <w:r w:rsidRPr="009A68EE">
        <w:rPr>
          <w:rFonts w:asciiTheme="minorHAnsi" w:hAnsiTheme="minorHAnsi" w:cstheme="minorHAnsi"/>
          <w:sz w:val="13"/>
          <w:szCs w:val="13"/>
        </w:rPr>
        <w:t>avg</w:t>
      </w:r>
      <w:proofErr w:type="spellEnd"/>
      <w:r w:rsidRPr="009A68EE">
        <w:rPr>
          <w:rFonts w:asciiTheme="minorHAnsi" w:hAnsiTheme="minorHAnsi" w:cstheme="minorHAnsi"/>
          <w:sz w:val="13"/>
          <w:szCs w:val="13"/>
        </w:rPr>
        <w:t xml:space="preserve"> </w:t>
      </w:r>
      <w:r w:rsidRPr="009A68EE">
        <w:rPr>
          <w:rFonts w:asciiTheme="minorHAnsi" w:hAnsiTheme="minorHAnsi" w:cstheme="minorHAnsi"/>
          <w:sz w:val="20"/>
          <w:szCs w:val="20"/>
        </w:rPr>
        <w:t xml:space="preserve">= average plasma concentration; </w:t>
      </w:r>
      <w:proofErr w:type="spellStart"/>
      <w:r w:rsidRPr="009A68EE">
        <w:rPr>
          <w:rFonts w:asciiTheme="minorHAnsi" w:hAnsiTheme="minorHAnsi" w:cstheme="minorHAnsi"/>
          <w:sz w:val="20"/>
          <w:szCs w:val="20"/>
        </w:rPr>
        <w:t>C</w:t>
      </w:r>
      <w:r w:rsidRPr="009A68EE">
        <w:rPr>
          <w:rFonts w:asciiTheme="minorHAnsi" w:hAnsiTheme="minorHAnsi" w:cstheme="minorHAnsi"/>
          <w:sz w:val="13"/>
          <w:szCs w:val="13"/>
        </w:rPr>
        <w:t>min</w:t>
      </w:r>
      <w:proofErr w:type="spellEnd"/>
      <w:r w:rsidRPr="009A68EE">
        <w:rPr>
          <w:rFonts w:asciiTheme="minorHAnsi" w:hAnsiTheme="minorHAnsi" w:cstheme="minorHAnsi"/>
          <w:sz w:val="13"/>
          <w:szCs w:val="13"/>
        </w:rPr>
        <w:t xml:space="preserve"> </w:t>
      </w:r>
      <w:r w:rsidRPr="009A68EE">
        <w:rPr>
          <w:rFonts w:asciiTheme="minorHAnsi" w:hAnsiTheme="minorHAnsi" w:cstheme="minorHAnsi"/>
          <w:sz w:val="20"/>
          <w:szCs w:val="20"/>
        </w:rPr>
        <w:t xml:space="preserve">= minimum plasma concentration; </w:t>
      </w:r>
      <w:proofErr w:type="spellStart"/>
      <w:r w:rsidRPr="009A68EE">
        <w:rPr>
          <w:rFonts w:asciiTheme="minorHAnsi" w:hAnsiTheme="minorHAnsi" w:cstheme="minorHAnsi"/>
          <w:sz w:val="20"/>
          <w:szCs w:val="20"/>
        </w:rPr>
        <w:t>T</w:t>
      </w:r>
      <w:r w:rsidRPr="009A68EE">
        <w:rPr>
          <w:rFonts w:asciiTheme="minorHAnsi" w:hAnsiTheme="minorHAnsi" w:cstheme="minorHAnsi"/>
          <w:sz w:val="13"/>
          <w:szCs w:val="13"/>
        </w:rPr>
        <w:t>max</w:t>
      </w:r>
      <w:proofErr w:type="spellEnd"/>
      <w:r w:rsidRPr="009A68EE">
        <w:rPr>
          <w:rFonts w:asciiTheme="minorHAnsi" w:hAnsiTheme="minorHAnsi" w:cstheme="minorHAnsi"/>
          <w:sz w:val="13"/>
          <w:szCs w:val="13"/>
        </w:rPr>
        <w:t xml:space="preserve"> </w:t>
      </w:r>
      <w:r w:rsidRPr="009A68EE">
        <w:rPr>
          <w:rFonts w:asciiTheme="minorHAnsi" w:hAnsiTheme="minorHAnsi" w:cstheme="minorHAnsi"/>
          <w:sz w:val="20"/>
          <w:szCs w:val="20"/>
        </w:rPr>
        <w:t>= time to maximum plasma concentration</w:t>
      </w:r>
    </w:p>
    <w:p w14:paraId="7B801EA2" w14:textId="60E02E44" w:rsidR="00BE38AB" w:rsidRPr="009A68EE" w:rsidRDefault="00BE38AB" w:rsidP="00A02ED3">
      <w:pPr>
        <w:autoSpaceDE w:val="0"/>
        <w:autoSpaceDN w:val="0"/>
        <w:adjustRightInd w:val="0"/>
        <w:spacing w:after="0" w:line="240" w:lineRule="auto"/>
        <w:jc w:val="left"/>
        <w:rPr>
          <w:rFonts w:asciiTheme="minorHAnsi" w:hAnsiTheme="minorHAnsi" w:cstheme="minorHAnsi"/>
          <w:color w:val="000000"/>
          <w:sz w:val="18"/>
          <w:szCs w:val="18"/>
          <w:lang w:val="en-US" w:eastAsia="de-AT"/>
        </w:rPr>
      </w:pPr>
      <w:r w:rsidRPr="009A68EE">
        <w:rPr>
          <w:rFonts w:asciiTheme="minorHAnsi" w:hAnsiTheme="minorHAnsi" w:cstheme="minorHAnsi"/>
          <w:color w:val="000000"/>
          <w:sz w:val="13"/>
          <w:szCs w:val="13"/>
          <w:lang w:val="en-US" w:eastAsia="de-AT"/>
        </w:rPr>
        <w:t xml:space="preserve"># </w:t>
      </w:r>
      <w:proofErr w:type="spellStart"/>
      <w:r w:rsidRPr="009A68EE">
        <w:rPr>
          <w:rFonts w:asciiTheme="minorHAnsi" w:hAnsiTheme="minorHAnsi" w:cstheme="minorHAnsi"/>
          <w:color w:val="000000"/>
          <w:sz w:val="18"/>
          <w:szCs w:val="18"/>
          <w:lang w:val="en-US" w:eastAsia="de-AT"/>
        </w:rPr>
        <w:t>T</w:t>
      </w:r>
      <w:r w:rsidRPr="009A68EE">
        <w:rPr>
          <w:rFonts w:asciiTheme="minorHAnsi" w:hAnsiTheme="minorHAnsi" w:cstheme="minorHAnsi"/>
          <w:color w:val="000000"/>
          <w:sz w:val="12"/>
          <w:szCs w:val="12"/>
          <w:lang w:val="en-US" w:eastAsia="de-AT"/>
        </w:rPr>
        <w:t>max</w:t>
      </w:r>
      <w:proofErr w:type="spellEnd"/>
      <w:r w:rsidRPr="009A68EE">
        <w:rPr>
          <w:rFonts w:asciiTheme="minorHAnsi" w:hAnsiTheme="minorHAnsi" w:cstheme="minorHAnsi"/>
          <w:color w:val="000000"/>
          <w:sz w:val="12"/>
          <w:szCs w:val="12"/>
          <w:lang w:val="en-US" w:eastAsia="de-AT"/>
        </w:rPr>
        <w:t xml:space="preserve"> </w:t>
      </w:r>
      <w:r w:rsidR="00E3146C" w:rsidRPr="009A68EE">
        <w:rPr>
          <w:rFonts w:asciiTheme="minorHAnsi" w:hAnsiTheme="minorHAnsi" w:cstheme="minorHAnsi"/>
          <w:color w:val="000000"/>
          <w:sz w:val="18"/>
          <w:szCs w:val="18"/>
          <w:lang w:val="en-US" w:eastAsia="de-AT"/>
        </w:rPr>
        <w:t>is presented as median, all other parameters are presented as mean values</w:t>
      </w:r>
    </w:p>
    <w:p w14:paraId="135BCD5C" w14:textId="77777777" w:rsidR="00E55993" w:rsidRPr="009A68EE" w:rsidRDefault="00E55993" w:rsidP="00A02ED3">
      <w:pPr>
        <w:autoSpaceDE w:val="0"/>
        <w:autoSpaceDN w:val="0"/>
        <w:adjustRightInd w:val="0"/>
        <w:spacing w:after="0" w:line="240" w:lineRule="auto"/>
        <w:jc w:val="left"/>
        <w:rPr>
          <w:rFonts w:asciiTheme="minorHAnsi" w:hAnsiTheme="minorHAnsi" w:cstheme="minorHAnsi"/>
          <w:color w:val="000000"/>
          <w:sz w:val="18"/>
          <w:szCs w:val="18"/>
          <w:lang w:val="en-US" w:eastAsia="de-AT"/>
        </w:rPr>
      </w:pPr>
    </w:p>
    <w:p w14:paraId="3033BA40" w14:textId="016003E2" w:rsidR="00DD46A3" w:rsidRPr="009A68EE" w:rsidRDefault="008304CA" w:rsidP="00A02ED3">
      <w:pPr>
        <w:jc w:val="left"/>
        <w:rPr>
          <w:rFonts w:asciiTheme="minorHAnsi" w:hAnsiTheme="minorHAnsi" w:cstheme="minorHAnsi"/>
        </w:rPr>
      </w:pPr>
      <w:r w:rsidRPr="009A68EE">
        <w:rPr>
          <w:rFonts w:asciiTheme="minorHAnsi" w:hAnsiTheme="minorHAnsi" w:cstheme="minorHAnsi"/>
        </w:rPr>
        <w:t xml:space="preserve">No serious bacterial infections were reported neither during the wash-in/wash-out period nor during the efficacy period in subjects receiving </w:t>
      </w:r>
      <w:r w:rsidR="00DF5E08" w:rsidRPr="009A68EE">
        <w:rPr>
          <w:rFonts w:asciiTheme="minorHAnsi" w:hAnsiTheme="minorHAnsi" w:cstheme="minorHAnsi"/>
        </w:rPr>
        <w:t>cutaquig®</w:t>
      </w:r>
      <w:r w:rsidRPr="009A68EE">
        <w:rPr>
          <w:rFonts w:asciiTheme="minorHAnsi" w:hAnsiTheme="minorHAnsi" w:cstheme="minorHAnsi"/>
        </w:rPr>
        <w:t xml:space="preserve"> within the clinical study.</w:t>
      </w:r>
    </w:p>
    <w:p w14:paraId="14F876FF" w14:textId="77777777" w:rsidR="001A3992" w:rsidRPr="009A68EE" w:rsidRDefault="001A3992" w:rsidP="00A02ED3">
      <w:pPr>
        <w:pStyle w:val="Heading2"/>
        <w:spacing w:before="0" w:after="120"/>
        <w:jc w:val="left"/>
        <w:rPr>
          <w:rFonts w:asciiTheme="minorHAnsi" w:hAnsiTheme="minorHAnsi" w:cstheme="minorHAnsi"/>
          <w:lang w:val="en-US"/>
        </w:rPr>
      </w:pPr>
      <w:r w:rsidRPr="009A68EE">
        <w:rPr>
          <w:rFonts w:asciiTheme="minorHAnsi" w:hAnsiTheme="minorHAnsi" w:cstheme="minorHAnsi"/>
          <w:lang w:val="en-US"/>
        </w:rPr>
        <w:t>Preclinical safety data</w:t>
      </w:r>
    </w:p>
    <w:p w14:paraId="1AF9DD9F" w14:textId="77777777" w:rsidR="001A3992" w:rsidRPr="009A68EE" w:rsidRDefault="001A3992" w:rsidP="00A02ED3">
      <w:pPr>
        <w:pStyle w:val="Heading3"/>
        <w:spacing w:before="0" w:after="120"/>
        <w:jc w:val="left"/>
        <w:rPr>
          <w:rFonts w:asciiTheme="minorHAnsi" w:hAnsiTheme="minorHAnsi" w:cstheme="minorHAnsi"/>
        </w:rPr>
      </w:pPr>
      <w:r w:rsidRPr="009A68EE">
        <w:rPr>
          <w:rFonts w:asciiTheme="minorHAnsi" w:hAnsiTheme="minorHAnsi" w:cstheme="minorHAnsi"/>
        </w:rPr>
        <w:t>Genotoxicity</w:t>
      </w:r>
    </w:p>
    <w:p w14:paraId="7EB7CD16" w14:textId="77777777" w:rsidR="00E74CEC" w:rsidRPr="009A68EE" w:rsidRDefault="00E74CEC" w:rsidP="00A02ED3">
      <w:pPr>
        <w:jc w:val="left"/>
        <w:rPr>
          <w:rFonts w:asciiTheme="minorHAnsi" w:hAnsiTheme="minorHAnsi" w:cstheme="minorHAnsi"/>
        </w:rPr>
      </w:pPr>
      <w:r w:rsidRPr="009A68EE">
        <w:rPr>
          <w:rFonts w:asciiTheme="minorHAnsi" w:hAnsiTheme="minorHAnsi" w:cstheme="minorHAnsi"/>
        </w:rPr>
        <w:t>Clinical experience provides no evidence for genotoxic potential of immunoglobulins.</w:t>
      </w:r>
    </w:p>
    <w:p w14:paraId="6C43CB43" w14:textId="77777777" w:rsidR="001A3992" w:rsidRPr="009A68EE" w:rsidRDefault="001A3992" w:rsidP="00A02ED3">
      <w:pPr>
        <w:pStyle w:val="Heading3"/>
        <w:spacing w:before="0" w:after="120"/>
        <w:jc w:val="left"/>
        <w:rPr>
          <w:rFonts w:asciiTheme="minorHAnsi" w:hAnsiTheme="minorHAnsi" w:cstheme="minorHAnsi"/>
          <w:lang w:val="en-US"/>
        </w:rPr>
      </w:pPr>
      <w:proofErr w:type="spellStart"/>
      <w:r w:rsidRPr="009A68EE">
        <w:rPr>
          <w:rFonts w:asciiTheme="minorHAnsi" w:hAnsiTheme="minorHAnsi" w:cstheme="minorHAnsi"/>
        </w:rPr>
        <w:t>Carcin</w:t>
      </w:r>
      <w:r w:rsidRPr="009A68EE">
        <w:rPr>
          <w:rFonts w:asciiTheme="minorHAnsi" w:hAnsiTheme="minorHAnsi" w:cstheme="minorHAnsi"/>
          <w:lang w:val="en-US"/>
        </w:rPr>
        <w:t>ogenicity</w:t>
      </w:r>
      <w:proofErr w:type="spellEnd"/>
    </w:p>
    <w:p w14:paraId="7FD9B65B" w14:textId="6110B5E8" w:rsidR="00E74CEC" w:rsidRDefault="00E74CEC" w:rsidP="00A02ED3">
      <w:pPr>
        <w:jc w:val="left"/>
        <w:rPr>
          <w:rFonts w:asciiTheme="minorHAnsi" w:hAnsiTheme="minorHAnsi" w:cstheme="minorHAnsi"/>
        </w:rPr>
      </w:pPr>
      <w:r w:rsidRPr="009A68EE">
        <w:rPr>
          <w:rFonts w:asciiTheme="minorHAnsi" w:hAnsiTheme="minorHAnsi" w:cstheme="minorHAnsi"/>
        </w:rPr>
        <w:t>Clinical experience provides no evidence for carcinogenic potential of immunoglobulins.</w:t>
      </w:r>
    </w:p>
    <w:p w14:paraId="5E35CC59" w14:textId="77777777" w:rsidR="001A3992" w:rsidRPr="009A68EE" w:rsidRDefault="001A3992" w:rsidP="00A02ED3">
      <w:pPr>
        <w:pStyle w:val="Heading1"/>
        <w:spacing w:before="0" w:after="120"/>
        <w:jc w:val="left"/>
        <w:rPr>
          <w:rFonts w:asciiTheme="minorHAnsi" w:hAnsiTheme="minorHAnsi" w:cstheme="minorHAnsi"/>
          <w:lang w:val="en-US"/>
        </w:rPr>
      </w:pPr>
      <w:r w:rsidRPr="009A68EE">
        <w:rPr>
          <w:rFonts w:asciiTheme="minorHAnsi" w:hAnsiTheme="minorHAnsi" w:cstheme="minorHAnsi"/>
          <w:lang w:val="en-US"/>
        </w:rPr>
        <w:t>Pharmaceutical particulars</w:t>
      </w:r>
    </w:p>
    <w:p w14:paraId="50ED65F2" w14:textId="65D4728A" w:rsidR="005B2812" w:rsidRPr="009A68EE" w:rsidRDefault="005B2812" w:rsidP="00A02ED3">
      <w:pPr>
        <w:pStyle w:val="Heading2"/>
        <w:spacing w:before="0" w:after="120"/>
        <w:jc w:val="left"/>
        <w:rPr>
          <w:rFonts w:asciiTheme="minorHAnsi" w:hAnsiTheme="minorHAnsi" w:cstheme="minorHAnsi"/>
          <w:lang w:val="en-US"/>
        </w:rPr>
      </w:pPr>
      <w:bookmarkStart w:id="2" w:name="_Ref522612002"/>
      <w:r w:rsidRPr="009A68EE">
        <w:rPr>
          <w:rFonts w:asciiTheme="minorHAnsi" w:hAnsiTheme="minorHAnsi" w:cstheme="minorHAnsi"/>
          <w:lang w:val="en-US"/>
        </w:rPr>
        <w:t>List of excipients</w:t>
      </w:r>
      <w:bookmarkEnd w:id="2"/>
    </w:p>
    <w:p w14:paraId="3E6CD92B" w14:textId="4D5FD3E9" w:rsidR="00D72A70" w:rsidRPr="009A68EE" w:rsidRDefault="00881B1E" w:rsidP="00A02ED3">
      <w:pPr>
        <w:spacing w:after="0"/>
        <w:ind w:left="720"/>
        <w:jc w:val="left"/>
        <w:rPr>
          <w:rFonts w:asciiTheme="minorHAnsi" w:hAnsiTheme="minorHAnsi" w:cstheme="minorHAnsi"/>
        </w:rPr>
      </w:pPr>
      <w:r w:rsidRPr="009A68EE">
        <w:rPr>
          <w:rFonts w:asciiTheme="minorHAnsi" w:hAnsiTheme="minorHAnsi" w:cstheme="minorHAnsi"/>
        </w:rPr>
        <w:t>Maltose</w:t>
      </w:r>
    </w:p>
    <w:p w14:paraId="60BEFAE0" w14:textId="4AB33FE6" w:rsidR="00881B1E" w:rsidRPr="009A68EE" w:rsidRDefault="00881B1E" w:rsidP="00A02ED3">
      <w:pPr>
        <w:spacing w:after="0"/>
        <w:ind w:left="720"/>
        <w:jc w:val="left"/>
        <w:rPr>
          <w:rFonts w:asciiTheme="minorHAnsi" w:hAnsiTheme="minorHAnsi" w:cstheme="minorHAnsi"/>
        </w:rPr>
      </w:pPr>
      <w:r w:rsidRPr="009A68EE">
        <w:rPr>
          <w:rFonts w:asciiTheme="minorHAnsi" w:hAnsiTheme="minorHAnsi" w:cstheme="minorHAnsi"/>
        </w:rPr>
        <w:t>Polysorbate 80</w:t>
      </w:r>
    </w:p>
    <w:p w14:paraId="70D421CE" w14:textId="77777777" w:rsidR="00D72A70" w:rsidRPr="009A68EE" w:rsidRDefault="00D72A70" w:rsidP="00A02ED3">
      <w:pPr>
        <w:ind w:left="709"/>
        <w:jc w:val="left"/>
        <w:rPr>
          <w:rFonts w:asciiTheme="minorHAnsi" w:hAnsiTheme="minorHAnsi" w:cstheme="minorHAnsi"/>
        </w:rPr>
      </w:pPr>
      <w:r w:rsidRPr="009A68EE">
        <w:rPr>
          <w:rFonts w:asciiTheme="minorHAnsi" w:hAnsiTheme="minorHAnsi" w:cstheme="minorHAnsi"/>
        </w:rPr>
        <w:t>Water for Injections</w:t>
      </w:r>
    </w:p>
    <w:p w14:paraId="1521DE37" w14:textId="4E8C1F26" w:rsidR="005B2812" w:rsidRPr="009A68EE" w:rsidRDefault="00DE6291" w:rsidP="00A02ED3">
      <w:pPr>
        <w:pStyle w:val="Heading2"/>
        <w:keepNext/>
        <w:keepLines/>
        <w:spacing w:before="0" w:after="120"/>
        <w:jc w:val="left"/>
        <w:rPr>
          <w:rFonts w:asciiTheme="minorHAnsi" w:hAnsiTheme="minorHAnsi" w:cstheme="minorHAnsi"/>
          <w:lang w:val="en-US"/>
        </w:rPr>
      </w:pPr>
      <w:r w:rsidRPr="009A68EE">
        <w:rPr>
          <w:rFonts w:asciiTheme="minorHAnsi" w:hAnsiTheme="minorHAnsi" w:cstheme="minorHAnsi"/>
          <w:lang w:val="en-US"/>
        </w:rPr>
        <w:t>Incompatibilities</w:t>
      </w:r>
    </w:p>
    <w:p w14:paraId="4F56998E" w14:textId="2DCAF6F9" w:rsidR="00E945A8" w:rsidRPr="009A68EE" w:rsidRDefault="00881B1E" w:rsidP="00A02ED3">
      <w:pPr>
        <w:jc w:val="left"/>
        <w:rPr>
          <w:rFonts w:asciiTheme="minorHAnsi" w:hAnsiTheme="minorHAnsi" w:cstheme="minorHAnsi"/>
        </w:rPr>
      </w:pPr>
      <w:r w:rsidRPr="009A68EE">
        <w:rPr>
          <w:rFonts w:asciiTheme="minorHAnsi" w:hAnsiTheme="minorHAnsi" w:cstheme="minorHAnsi"/>
        </w:rPr>
        <w:t xml:space="preserve">In </w:t>
      </w:r>
      <w:r w:rsidR="00AB22BA">
        <w:rPr>
          <w:rFonts w:asciiTheme="minorHAnsi" w:hAnsiTheme="minorHAnsi" w:cstheme="minorHAnsi"/>
        </w:rPr>
        <w:t xml:space="preserve">the </w:t>
      </w:r>
      <w:r w:rsidRPr="009A68EE">
        <w:rPr>
          <w:rFonts w:asciiTheme="minorHAnsi" w:hAnsiTheme="minorHAnsi" w:cstheme="minorHAnsi"/>
        </w:rPr>
        <w:t>absence of compatibility studies, c</w:t>
      </w:r>
      <w:r w:rsidR="00DF5E08" w:rsidRPr="009A68EE">
        <w:rPr>
          <w:rFonts w:asciiTheme="minorHAnsi" w:hAnsiTheme="minorHAnsi" w:cstheme="minorHAnsi"/>
        </w:rPr>
        <w:t>utaquig®</w:t>
      </w:r>
      <w:r w:rsidR="00E945A8" w:rsidRPr="009A68EE">
        <w:rPr>
          <w:rFonts w:asciiTheme="minorHAnsi" w:hAnsiTheme="minorHAnsi" w:cstheme="minorHAnsi"/>
        </w:rPr>
        <w:t xml:space="preserve"> must not be mixed with other medicinal products.</w:t>
      </w:r>
    </w:p>
    <w:p w14:paraId="484DB18E" w14:textId="7231B8B0" w:rsidR="005B2812" w:rsidRPr="009A68EE" w:rsidRDefault="00DE6291" w:rsidP="00A02ED3">
      <w:pPr>
        <w:pStyle w:val="Heading2"/>
        <w:spacing w:before="0" w:after="120"/>
        <w:jc w:val="left"/>
        <w:rPr>
          <w:rFonts w:asciiTheme="minorHAnsi" w:hAnsiTheme="minorHAnsi" w:cstheme="minorHAnsi"/>
          <w:lang w:val="en-US"/>
        </w:rPr>
      </w:pPr>
      <w:r w:rsidRPr="009A68EE">
        <w:rPr>
          <w:rFonts w:asciiTheme="minorHAnsi" w:hAnsiTheme="minorHAnsi" w:cstheme="minorHAnsi"/>
          <w:lang w:val="en-US"/>
        </w:rPr>
        <w:t>Shelf life</w:t>
      </w:r>
    </w:p>
    <w:p w14:paraId="66253051" w14:textId="2301FCDB" w:rsidR="00C91032" w:rsidRPr="009A68EE" w:rsidRDefault="00C91032" w:rsidP="00A02ED3">
      <w:pPr>
        <w:jc w:val="left"/>
        <w:rPr>
          <w:rFonts w:asciiTheme="minorHAnsi" w:hAnsiTheme="minorHAnsi" w:cstheme="minorHAnsi"/>
        </w:rPr>
      </w:pPr>
      <w:r w:rsidRPr="009A68EE">
        <w:rPr>
          <w:rFonts w:asciiTheme="minorHAnsi" w:hAnsiTheme="minorHAnsi" w:cstheme="minorHAnsi"/>
        </w:rPr>
        <w:t>Shelf life is 2 years.</w:t>
      </w:r>
    </w:p>
    <w:p w14:paraId="36F95E90" w14:textId="7414AAC2" w:rsidR="005B2812" w:rsidRPr="009A68EE" w:rsidRDefault="00DE6291" w:rsidP="00A02ED3">
      <w:pPr>
        <w:pStyle w:val="Heading2"/>
        <w:keepNext/>
        <w:keepLines/>
        <w:spacing w:before="0" w:after="120"/>
        <w:jc w:val="left"/>
        <w:rPr>
          <w:rFonts w:asciiTheme="minorHAnsi" w:hAnsiTheme="minorHAnsi" w:cstheme="minorHAnsi"/>
          <w:lang w:val="en-US"/>
        </w:rPr>
      </w:pPr>
      <w:r w:rsidRPr="009A68EE">
        <w:rPr>
          <w:rFonts w:asciiTheme="minorHAnsi" w:hAnsiTheme="minorHAnsi" w:cstheme="minorHAnsi"/>
          <w:lang w:val="en-US"/>
        </w:rPr>
        <w:t>Special precautions for storage</w:t>
      </w:r>
    </w:p>
    <w:p w14:paraId="5163B47A" w14:textId="1EC9AB55" w:rsidR="00C91032" w:rsidRPr="009A68EE" w:rsidRDefault="00C91032" w:rsidP="00A02ED3">
      <w:pPr>
        <w:spacing w:after="0"/>
        <w:jc w:val="left"/>
        <w:rPr>
          <w:rFonts w:asciiTheme="minorHAnsi" w:hAnsiTheme="minorHAnsi" w:cstheme="minorHAnsi"/>
        </w:rPr>
      </w:pPr>
      <w:r w:rsidRPr="009A68EE">
        <w:rPr>
          <w:rFonts w:asciiTheme="minorHAnsi" w:hAnsiTheme="minorHAnsi" w:cstheme="minorHAnsi"/>
        </w:rPr>
        <w:t>Store in a refrigerator (2</w:t>
      </w:r>
      <w:r w:rsidRPr="009A68EE">
        <w:rPr>
          <w:rFonts w:asciiTheme="minorHAnsi" w:hAnsiTheme="minorHAnsi" w:cstheme="minorHAnsi"/>
        </w:rPr>
        <w:sym w:font="Symbol" w:char="F0B0"/>
      </w:r>
      <w:r w:rsidRPr="009A68EE">
        <w:rPr>
          <w:rFonts w:asciiTheme="minorHAnsi" w:hAnsiTheme="minorHAnsi" w:cstheme="minorHAnsi"/>
        </w:rPr>
        <w:t>C – 8</w:t>
      </w:r>
      <w:r w:rsidRPr="009A68EE">
        <w:rPr>
          <w:rFonts w:asciiTheme="minorHAnsi" w:hAnsiTheme="minorHAnsi" w:cstheme="minorHAnsi"/>
        </w:rPr>
        <w:sym w:font="Symbol" w:char="F0B0"/>
      </w:r>
      <w:r w:rsidR="00DE6291" w:rsidRPr="009A68EE">
        <w:rPr>
          <w:rFonts w:asciiTheme="minorHAnsi" w:hAnsiTheme="minorHAnsi" w:cstheme="minorHAnsi"/>
        </w:rPr>
        <w:t>C).</w:t>
      </w:r>
    </w:p>
    <w:p w14:paraId="790F8F13" w14:textId="60E16CF5" w:rsidR="00C91032" w:rsidRPr="009A68EE" w:rsidRDefault="00DE6291" w:rsidP="00A02ED3">
      <w:pPr>
        <w:spacing w:after="0"/>
        <w:jc w:val="left"/>
        <w:rPr>
          <w:rFonts w:asciiTheme="minorHAnsi" w:hAnsiTheme="minorHAnsi" w:cstheme="minorHAnsi"/>
        </w:rPr>
      </w:pPr>
      <w:r w:rsidRPr="009A68EE">
        <w:rPr>
          <w:rFonts w:asciiTheme="minorHAnsi" w:hAnsiTheme="minorHAnsi" w:cstheme="minorHAnsi"/>
        </w:rPr>
        <w:t>Do not freeze.</w:t>
      </w:r>
    </w:p>
    <w:p w14:paraId="01636122" w14:textId="31577D43" w:rsidR="00C91032" w:rsidRDefault="00C91032" w:rsidP="00A02ED3">
      <w:pPr>
        <w:spacing w:after="0"/>
        <w:jc w:val="left"/>
        <w:rPr>
          <w:rFonts w:asciiTheme="minorHAnsi" w:hAnsiTheme="minorHAnsi" w:cstheme="minorHAnsi"/>
        </w:rPr>
      </w:pPr>
      <w:r w:rsidRPr="009A68EE">
        <w:rPr>
          <w:rFonts w:asciiTheme="minorHAnsi" w:hAnsiTheme="minorHAnsi" w:cstheme="minorHAnsi"/>
        </w:rPr>
        <w:t>Keep the vial in the outer carton in order to protect from light.</w:t>
      </w:r>
    </w:p>
    <w:p w14:paraId="23D1FABC" w14:textId="77835332" w:rsidR="00754711" w:rsidRPr="009A68EE" w:rsidRDefault="00754711" w:rsidP="00A02ED3">
      <w:pPr>
        <w:jc w:val="left"/>
        <w:rPr>
          <w:rFonts w:asciiTheme="minorHAnsi" w:hAnsiTheme="minorHAnsi" w:cstheme="minorHAnsi"/>
        </w:rPr>
      </w:pPr>
      <w:r>
        <w:rPr>
          <w:rFonts w:asciiTheme="minorHAnsi" w:hAnsiTheme="minorHAnsi" w:cstheme="minorHAnsi"/>
        </w:rPr>
        <w:t>Do not use after the expiry date.</w:t>
      </w:r>
    </w:p>
    <w:p w14:paraId="4F7B89D6" w14:textId="3D02F2C9" w:rsidR="00C91032" w:rsidRPr="009A68EE" w:rsidRDefault="00A26806" w:rsidP="00A02ED3">
      <w:pPr>
        <w:jc w:val="left"/>
        <w:rPr>
          <w:rFonts w:asciiTheme="minorHAnsi" w:hAnsiTheme="minorHAnsi" w:cstheme="minorHAnsi"/>
        </w:rPr>
      </w:pPr>
      <w:r w:rsidRPr="00345988">
        <w:t>Once removed from refrigeration, the product may be stored below 25</w:t>
      </w:r>
      <w:r w:rsidRPr="00345988">
        <w:sym w:font="Symbol" w:char="F0B0"/>
      </w:r>
      <w:r w:rsidRPr="00345988">
        <w:t xml:space="preserve">C for a single period of </w:t>
      </w:r>
      <w:r>
        <w:t>6</w:t>
      </w:r>
      <w:r w:rsidRPr="00345988">
        <w:t xml:space="preserve"> months. In this case, the product expires at the end of the </w:t>
      </w:r>
      <w:r>
        <w:t>6</w:t>
      </w:r>
      <w:r w:rsidRPr="00345988">
        <w:t>-month period - the new date of expiry should be noted on the outer carton. At the end of this period, the product</w:t>
      </w:r>
      <w:r w:rsidRPr="00345988">
        <w:rPr>
          <w:rStyle w:val="Strong"/>
          <w:b w:val="0"/>
        </w:rPr>
        <w:t xml:space="preserve"> may not be refrigerated again. Do not use after the expiry date given on the label.</w:t>
      </w:r>
    </w:p>
    <w:p w14:paraId="6023BF37" w14:textId="77777777" w:rsidR="005B2812" w:rsidRPr="009A68EE" w:rsidRDefault="005B2812" w:rsidP="00A02ED3">
      <w:pPr>
        <w:pStyle w:val="Heading2"/>
        <w:spacing w:before="0" w:after="120"/>
        <w:jc w:val="left"/>
        <w:rPr>
          <w:rFonts w:asciiTheme="minorHAnsi" w:hAnsiTheme="minorHAnsi" w:cstheme="minorHAnsi"/>
          <w:lang w:val="en-US"/>
        </w:rPr>
      </w:pPr>
      <w:r w:rsidRPr="009A68EE">
        <w:rPr>
          <w:rFonts w:asciiTheme="minorHAnsi" w:hAnsiTheme="minorHAnsi" w:cstheme="minorHAnsi"/>
          <w:lang w:val="en-US"/>
        </w:rPr>
        <w:t xml:space="preserve">Nature and contents of container </w:t>
      </w:r>
    </w:p>
    <w:p w14:paraId="64053843" w14:textId="6D9AFA59" w:rsidR="00C91032" w:rsidRPr="009A68EE" w:rsidRDefault="00C91032" w:rsidP="00A02ED3">
      <w:pPr>
        <w:jc w:val="left"/>
        <w:rPr>
          <w:rFonts w:asciiTheme="minorHAnsi" w:hAnsiTheme="minorHAnsi" w:cstheme="minorHAnsi"/>
        </w:rPr>
      </w:pPr>
      <w:r w:rsidRPr="009A68EE">
        <w:rPr>
          <w:rFonts w:asciiTheme="minorHAnsi" w:hAnsiTheme="minorHAnsi" w:cstheme="minorHAnsi"/>
        </w:rPr>
        <w:t>The primary containers are type I glass vials that are closed wi</w:t>
      </w:r>
      <w:r w:rsidR="00DE6291" w:rsidRPr="009A68EE">
        <w:rPr>
          <w:rFonts w:asciiTheme="minorHAnsi" w:hAnsiTheme="minorHAnsi" w:cstheme="minorHAnsi"/>
        </w:rPr>
        <w:t xml:space="preserve">th a </w:t>
      </w:r>
      <w:proofErr w:type="spellStart"/>
      <w:r w:rsidR="00DE6291" w:rsidRPr="009A68EE">
        <w:rPr>
          <w:rFonts w:asciiTheme="minorHAnsi" w:hAnsiTheme="minorHAnsi" w:cstheme="minorHAnsi"/>
        </w:rPr>
        <w:t>bromobutyl</w:t>
      </w:r>
      <w:proofErr w:type="spellEnd"/>
      <w:r w:rsidR="00DE6291" w:rsidRPr="009A68EE">
        <w:rPr>
          <w:rFonts w:asciiTheme="minorHAnsi" w:hAnsiTheme="minorHAnsi" w:cstheme="minorHAnsi"/>
        </w:rPr>
        <w:t xml:space="preserve"> rubber stopper.</w:t>
      </w:r>
    </w:p>
    <w:p w14:paraId="0667D773" w14:textId="77777777" w:rsidR="00C91032" w:rsidRPr="009A68EE" w:rsidRDefault="00C91032" w:rsidP="00A02ED3">
      <w:pPr>
        <w:spacing w:after="0"/>
        <w:jc w:val="left"/>
        <w:rPr>
          <w:rFonts w:asciiTheme="minorHAnsi" w:hAnsiTheme="minorHAnsi" w:cstheme="minorHAnsi"/>
        </w:rPr>
      </w:pPr>
      <w:r w:rsidRPr="009A68EE">
        <w:rPr>
          <w:rFonts w:asciiTheme="minorHAnsi" w:hAnsiTheme="minorHAnsi" w:cstheme="minorHAnsi"/>
        </w:rPr>
        <w:t>The product is supplied in the following vial sizes in packs of 1, 10 or 20:</w:t>
      </w:r>
    </w:p>
    <w:p w14:paraId="58C116B1" w14:textId="0F66FB92" w:rsidR="00C91032" w:rsidRPr="009A68EE" w:rsidRDefault="00C91032" w:rsidP="00A02ED3">
      <w:pPr>
        <w:pStyle w:val="Default"/>
        <w:numPr>
          <w:ilvl w:val="0"/>
          <w:numId w:val="18"/>
        </w:numPr>
        <w:rPr>
          <w:rFonts w:asciiTheme="minorHAnsi" w:hAnsiTheme="minorHAnsi" w:cstheme="minorHAnsi"/>
          <w:sz w:val="22"/>
          <w:szCs w:val="22"/>
          <w:lang w:val="en-GB"/>
        </w:rPr>
      </w:pPr>
      <w:r w:rsidRPr="009A68EE">
        <w:rPr>
          <w:rFonts w:asciiTheme="minorHAnsi" w:hAnsiTheme="minorHAnsi" w:cstheme="minorHAnsi"/>
          <w:sz w:val="22"/>
          <w:szCs w:val="22"/>
          <w:lang w:val="en-GB"/>
        </w:rPr>
        <w:t xml:space="preserve">6 </w:t>
      </w:r>
      <w:r w:rsidR="00DE6291" w:rsidRPr="009A68EE">
        <w:rPr>
          <w:rFonts w:asciiTheme="minorHAnsi" w:hAnsiTheme="minorHAnsi" w:cstheme="minorHAnsi"/>
          <w:sz w:val="22"/>
          <w:szCs w:val="22"/>
          <w:lang w:val="en-GB"/>
        </w:rPr>
        <w:t>mL</w:t>
      </w:r>
      <w:r w:rsidRPr="009A68EE">
        <w:rPr>
          <w:rFonts w:asciiTheme="minorHAnsi" w:hAnsiTheme="minorHAnsi" w:cstheme="minorHAnsi"/>
          <w:sz w:val="22"/>
          <w:szCs w:val="22"/>
          <w:lang w:val="en-GB"/>
        </w:rPr>
        <w:t xml:space="preserve"> containing 1 g of human normal immunoglobulin</w:t>
      </w:r>
    </w:p>
    <w:p w14:paraId="02905BD2" w14:textId="7D1A4D63" w:rsidR="00C91032" w:rsidRPr="009A68EE" w:rsidRDefault="00C91032" w:rsidP="00A02ED3">
      <w:pPr>
        <w:pStyle w:val="Default"/>
        <w:numPr>
          <w:ilvl w:val="0"/>
          <w:numId w:val="18"/>
        </w:numPr>
        <w:rPr>
          <w:rFonts w:asciiTheme="minorHAnsi" w:hAnsiTheme="minorHAnsi" w:cstheme="minorHAnsi"/>
          <w:sz w:val="22"/>
          <w:szCs w:val="22"/>
          <w:lang w:val="en-GB"/>
        </w:rPr>
      </w:pPr>
      <w:r w:rsidRPr="009A68EE">
        <w:rPr>
          <w:rFonts w:asciiTheme="minorHAnsi" w:hAnsiTheme="minorHAnsi" w:cstheme="minorHAnsi"/>
          <w:sz w:val="22"/>
          <w:szCs w:val="22"/>
          <w:lang w:val="en-GB"/>
        </w:rPr>
        <w:t xml:space="preserve">10 </w:t>
      </w:r>
      <w:r w:rsidR="00DE6291" w:rsidRPr="009A68EE">
        <w:rPr>
          <w:rFonts w:asciiTheme="minorHAnsi" w:hAnsiTheme="minorHAnsi" w:cstheme="minorHAnsi"/>
          <w:sz w:val="22"/>
          <w:szCs w:val="22"/>
          <w:lang w:val="en-GB"/>
        </w:rPr>
        <w:t>mL</w:t>
      </w:r>
      <w:r w:rsidRPr="009A68EE">
        <w:rPr>
          <w:rFonts w:asciiTheme="minorHAnsi" w:hAnsiTheme="minorHAnsi" w:cstheme="minorHAnsi"/>
          <w:sz w:val="22"/>
          <w:szCs w:val="22"/>
          <w:lang w:val="en-GB"/>
        </w:rPr>
        <w:t xml:space="preserve"> containing 1.65 g of human normal immunoglobulin</w:t>
      </w:r>
    </w:p>
    <w:p w14:paraId="771F40C2" w14:textId="2F33E232" w:rsidR="00C91032" w:rsidRPr="009A68EE" w:rsidRDefault="00C91032" w:rsidP="00A02ED3">
      <w:pPr>
        <w:pStyle w:val="Default"/>
        <w:numPr>
          <w:ilvl w:val="0"/>
          <w:numId w:val="18"/>
        </w:numPr>
        <w:rPr>
          <w:rFonts w:asciiTheme="minorHAnsi" w:hAnsiTheme="minorHAnsi" w:cstheme="minorHAnsi"/>
          <w:sz w:val="22"/>
          <w:szCs w:val="22"/>
          <w:lang w:val="en-GB"/>
        </w:rPr>
      </w:pPr>
      <w:r w:rsidRPr="009A68EE">
        <w:rPr>
          <w:rFonts w:asciiTheme="minorHAnsi" w:hAnsiTheme="minorHAnsi" w:cstheme="minorHAnsi"/>
          <w:sz w:val="22"/>
          <w:szCs w:val="22"/>
          <w:lang w:val="en-GB"/>
        </w:rPr>
        <w:t xml:space="preserve">12 </w:t>
      </w:r>
      <w:r w:rsidR="00DE6291" w:rsidRPr="009A68EE">
        <w:rPr>
          <w:rFonts w:asciiTheme="minorHAnsi" w:hAnsiTheme="minorHAnsi" w:cstheme="minorHAnsi"/>
          <w:sz w:val="22"/>
          <w:szCs w:val="22"/>
          <w:lang w:val="en-GB"/>
        </w:rPr>
        <w:t>mL</w:t>
      </w:r>
      <w:r w:rsidRPr="009A68EE">
        <w:rPr>
          <w:rFonts w:asciiTheme="minorHAnsi" w:hAnsiTheme="minorHAnsi" w:cstheme="minorHAnsi"/>
          <w:sz w:val="22"/>
          <w:szCs w:val="22"/>
          <w:lang w:val="en-GB"/>
        </w:rPr>
        <w:t xml:space="preserve"> containing 2 g of human normal immunoglobulin</w:t>
      </w:r>
    </w:p>
    <w:p w14:paraId="05043889" w14:textId="6EB908D5" w:rsidR="00C91032" w:rsidRPr="009A68EE" w:rsidRDefault="00C91032" w:rsidP="00A02ED3">
      <w:pPr>
        <w:pStyle w:val="Default"/>
        <w:numPr>
          <w:ilvl w:val="0"/>
          <w:numId w:val="18"/>
        </w:numPr>
        <w:rPr>
          <w:rFonts w:asciiTheme="minorHAnsi" w:hAnsiTheme="minorHAnsi" w:cstheme="minorHAnsi"/>
          <w:sz w:val="22"/>
          <w:szCs w:val="22"/>
          <w:lang w:val="en-GB"/>
        </w:rPr>
      </w:pPr>
      <w:r w:rsidRPr="009A68EE">
        <w:rPr>
          <w:rFonts w:asciiTheme="minorHAnsi" w:hAnsiTheme="minorHAnsi" w:cstheme="minorHAnsi"/>
          <w:sz w:val="22"/>
          <w:szCs w:val="22"/>
          <w:lang w:val="en-GB"/>
        </w:rPr>
        <w:t xml:space="preserve">20 </w:t>
      </w:r>
      <w:r w:rsidR="00DE6291" w:rsidRPr="009A68EE">
        <w:rPr>
          <w:rFonts w:asciiTheme="minorHAnsi" w:hAnsiTheme="minorHAnsi" w:cstheme="minorHAnsi"/>
          <w:sz w:val="22"/>
          <w:szCs w:val="22"/>
          <w:lang w:val="en-GB"/>
        </w:rPr>
        <w:t>mL</w:t>
      </w:r>
      <w:r w:rsidRPr="009A68EE">
        <w:rPr>
          <w:rFonts w:asciiTheme="minorHAnsi" w:hAnsiTheme="minorHAnsi" w:cstheme="minorHAnsi"/>
          <w:sz w:val="22"/>
          <w:szCs w:val="22"/>
          <w:lang w:val="en-GB"/>
        </w:rPr>
        <w:t xml:space="preserve"> containing 3.3 g of human normal immunoglobulin</w:t>
      </w:r>
    </w:p>
    <w:p w14:paraId="0DF99319" w14:textId="2308009C" w:rsidR="00C91032" w:rsidRPr="009A68EE" w:rsidRDefault="00C91032" w:rsidP="00A02ED3">
      <w:pPr>
        <w:pStyle w:val="Default"/>
        <w:numPr>
          <w:ilvl w:val="0"/>
          <w:numId w:val="18"/>
        </w:numPr>
        <w:rPr>
          <w:rFonts w:asciiTheme="minorHAnsi" w:hAnsiTheme="minorHAnsi" w:cstheme="minorHAnsi"/>
          <w:sz w:val="22"/>
          <w:szCs w:val="22"/>
          <w:lang w:val="en-GB"/>
        </w:rPr>
      </w:pPr>
      <w:r w:rsidRPr="009A68EE">
        <w:rPr>
          <w:rFonts w:asciiTheme="minorHAnsi" w:hAnsiTheme="minorHAnsi" w:cstheme="minorHAnsi"/>
          <w:sz w:val="22"/>
          <w:szCs w:val="22"/>
          <w:lang w:val="en-GB"/>
        </w:rPr>
        <w:t xml:space="preserve">24 </w:t>
      </w:r>
      <w:r w:rsidR="00DE6291" w:rsidRPr="009A68EE">
        <w:rPr>
          <w:rFonts w:asciiTheme="minorHAnsi" w:hAnsiTheme="minorHAnsi" w:cstheme="minorHAnsi"/>
          <w:sz w:val="22"/>
          <w:szCs w:val="22"/>
          <w:lang w:val="en-GB"/>
        </w:rPr>
        <w:t>mL</w:t>
      </w:r>
      <w:r w:rsidRPr="009A68EE">
        <w:rPr>
          <w:rFonts w:asciiTheme="minorHAnsi" w:hAnsiTheme="minorHAnsi" w:cstheme="minorHAnsi"/>
          <w:sz w:val="22"/>
          <w:szCs w:val="22"/>
          <w:lang w:val="en-GB"/>
        </w:rPr>
        <w:t xml:space="preserve"> containing 4 g of human normal immunoglobulin</w:t>
      </w:r>
    </w:p>
    <w:p w14:paraId="3A8CE9D1" w14:textId="3C39DE4C" w:rsidR="00C91032" w:rsidRPr="009A68EE" w:rsidRDefault="00C91032" w:rsidP="00A02ED3">
      <w:pPr>
        <w:pStyle w:val="Default"/>
        <w:numPr>
          <w:ilvl w:val="0"/>
          <w:numId w:val="18"/>
        </w:numPr>
        <w:rPr>
          <w:rFonts w:asciiTheme="minorHAnsi" w:hAnsiTheme="minorHAnsi" w:cstheme="minorHAnsi"/>
          <w:sz w:val="22"/>
          <w:szCs w:val="22"/>
          <w:lang w:val="en-GB"/>
        </w:rPr>
      </w:pPr>
      <w:r w:rsidRPr="009A68EE">
        <w:rPr>
          <w:rFonts w:asciiTheme="minorHAnsi" w:hAnsiTheme="minorHAnsi" w:cstheme="minorHAnsi"/>
          <w:sz w:val="22"/>
          <w:szCs w:val="22"/>
          <w:lang w:val="en-GB"/>
        </w:rPr>
        <w:t xml:space="preserve">48 </w:t>
      </w:r>
      <w:r w:rsidR="00DE6291" w:rsidRPr="009A68EE">
        <w:rPr>
          <w:rFonts w:asciiTheme="minorHAnsi" w:hAnsiTheme="minorHAnsi" w:cstheme="minorHAnsi"/>
          <w:sz w:val="22"/>
          <w:szCs w:val="22"/>
          <w:lang w:val="en-GB"/>
        </w:rPr>
        <w:t>mL</w:t>
      </w:r>
      <w:r w:rsidRPr="009A68EE">
        <w:rPr>
          <w:rFonts w:asciiTheme="minorHAnsi" w:hAnsiTheme="minorHAnsi" w:cstheme="minorHAnsi"/>
          <w:sz w:val="22"/>
          <w:szCs w:val="22"/>
          <w:lang w:val="en-GB"/>
        </w:rPr>
        <w:t xml:space="preserve"> containing 8 g of human normal immunoglobulin</w:t>
      </w:r>
    </w:p>
    <w:p w14:paraId="4AF2D88F" w14:textId="77777777" w:rsidR="00C91032" w:rsidRPr="009A68EE" w:rsidRDefault="00C91032" w:rsidP="00A02ED3">
      <w:pPr>
        <w:spacing w:after="0"/>
        <w:jc w:val="left"/>
        <w:rPr>
          <w:rFonts w:asciiTheme="minorHAnsi" w:hAnsiTheme="minorHAnsi" w:cstheme="minorHAnsi"/>
        </w:rPr>
      </w:pPr>
    </w:p>
    <w:p w14:paraId="616AB36C" w14:textId="77777777" w:rsidR="00C91032" w:rsidRPr="009A68EE" w:rsidRDefault="00C91032" w:rsidP="00A02ED3">
      <w:pPr>
        <w:jc w:val="left"/>
        <w:rPr>
          <w:rFonts w:asciiTheme="minorHAnsi" w:hAnsiTheme="minorHAnsi" w:cstheme="minorHAnsi"/>
        </w:rPr>
      </w:pPr>
      <w:r w:rsidRPr="009A68EE">
        <w:rPr>
          <w:rFonts w:asciiTheme="minorHAnsi" w:hAnsiTheme="minorHAnsi" w:cstheme="minorHAnsi"/>
        </w:rPr>
        <w:t>Not all pack sizes may be marketed.</w:t>
      </w:r>
    </w:p>
    <w:p w14:paraId="7D89A13E" w14:textId="59979A08" w:rsidR="005B2812" w:rsidRPr="009A68EE" w:rsidRDefault="005B2812" w:rsidP="00A02ED3">
      <w:pPr>
        <w:pStyle w:val="Heading2"/>
        <w:spacing w:before="0" w:after="120"/>
        <w:jc w:val="left"/>
        <w:rPr>
          <w:rFonts w:asciiTheme="minorHAnsi" w:hAnsiTheme="minorHAnsi" w:cstheme="minorHAnsi"/>
          <w:lang w:val="en-US"/>
        </w:rPr>
      </w:pPr>
      <w:r w:rsidRPr="009A68EE">
        <w:rPr>
          <w:rFonts w:asciiTheme="minorHAnsi" w:hAnsiTheme="minorHAnsi" w:cstheme="minorHAnsi"/>
          <w:lang w:val="en-US"/>
        </w:rPr>
        <w:t>S</w:t>
      </w:r>
      <w:r w:rsidR="00DE6291" w:rsidRPr="009A68EE">
        <w:rPr>
          <w:rFonts w:asciiTheme="minorHAnsi" w:hAnsiTheme="minorHAnsi" w:cstheme="minorHAnsi"/>
          <w:lang w:val="en-US"/>
        </w:rPr>
        <w:t>pecial precautions for disposal</w:t>
      </w:r>
    </w:p>
    <w:p w14:paraId="68F6385E" w14:textId="1B4301AA" w:rsidR="00C91032" w:rsidRPr="009A68EE" w:rsidRDefault="00C91032" w:rsidP="00A02ED3">
      <w:pPr>
        <w:jc w:val="left"/>
        <w:rPr>
          <w:rFonts w:asciiTheme="minorHAnsi" w:hAnsiTheme="minorHAnsi" w:cstheme="minorHAnsi"/>
        </w:rPr>
      </w:pPr>
      <w:r w:rsidRPr="009A68EE">
        <w:rPr>
          <w:rFonts w:asciiTheme="minorHAnsi" w:hAnsiTheme="minorHAnsi" w:cstheme="minorHAnsi"/>
        </w:rPr>
        <w:t>In Australia, any unused medicine or waste material should be disposed of by taking to your local pharmacy</w:t>
      </w:r>
      <w:r w:rsidR="00290EE9" w:rsidRPr="009A68EE">
        <w:rPr>
          <w:rFonts w:asciiTheme="minorHAnsi" w:hAnsiTheme="minorHAnsi" w:cstheme="minorHAnsi"/>
        </w:rPr>
        <w:t>.</w:t>
      </w:r>
    </w:p>
    <w:p w14:paraId="0A8F1A53" w14:textId="77777777" w:rsidR="001A3992" w:rsidRPr="009A68EE" w:rsidRDefault="001A3992" w:rsidP="00A02ED3">
      <w:pPr>
        <w:pStyle w:val="Heading2"/>
        <w:spacing w:before="0" w:after="120"/>
        <w:jc w:val="left"/>
        <w:rPr>
          <w:rFonts w:asciiTheme="minorHAnsi" w:hAnsiTheme="minorHAnsi" w:cstheme="minorHAnsi"/>
          <w:lang w:val="en-US"/>
        </w:rPr>
      </w:pPr>
      <w:r w:rsidRPr="009A68EE">
        <w:rPr>
          <w:rFonts w:asciiTheme="minorHAnsi" w:hAnsiTheme="minorHAnsi" w:cstheme="minorHAnsi"/>
          <w:lang w:val="en-US"/>
        </w:rPr>
        <w:t>Physicochemical properties</w:t>
      </w:r>
    </w:p>
    <w:p w14:paraId="2EF19927" w14:textId="53CE98AB" w:rsidR="001A3992" w:rsidRPr="009A68EE" w:rsidRDefault="001A3992" w:rsidP="00A02ED3">
      <w:pPr>
        <w:jc w:val="left"/>
        <w:rPr>
          <w:rFonts w:asciiTheme="minorHAnsi" w:hAnsiTheme="minorHAnsi" w:cstheme="minorHAnsi"/>
          <w:lang w:val="en-US"/>
        </w:rPr>
      </w:pPr>
      <w:r w:rsidRPr="009A68EE">
        <w:rPr>
          <w:rFonts w:asciiTheme="minorHAnsi" w:hAnsiTheme="minorHAnsi" w:cstheme="minorHAnsi"/>
          <w:lang w:val="en-US"/>
        </w:rPr>
        <w:t xml:space="preserve">CAS </w:t>
      </w:r>
      <w:r w:rsidR="00C91032" w:rsidRPr="009A68EE">
        <w:rPr>
          <w:rFonts w:asciiTheme="minorHAnsi" w:hAnsiTheme="minorHAnsi" w:cstheme="minorHAnsi"/>
          <w:lang w:val="en-US"/>
        </w:rPr>
        <w:t xml:space="preserve">registry </w:t>
      </w:r>
      <w:r w:rsidRPr="009A68EE">
        <w:rPr>
          <w:rFonts w:asciiTheme="minorHAnsi" w:hAnsiTheme="minorHAnsi" w:cstheme="minorHAnsi"/>
          <w:lang w:val="en-US"/>
        </w:rPr>
        <w:t>number</w:t>
      </w:r>
      <w:r w:rsidR="00D2466F" w:rsidRPr="009A68EE">
        <w:rPr>
          <w:rFonts w:asciiTheme="minorHAnsi" w:hAnsiTheme="minorHAnsi" w:cstheme="minorHAnsi"/>
          <w:lang w:val="en-US"/>
        </w:rPr>
        <w:t xml:space="preserve">: </w:t>
      </w:r>
      <w:r w:rsidR="00D2466F" w:rsidRPr="009A68EE">
        <w:rPr>
          <w:rFonts w:asciiTheme="minorHAnsi" w:hAnsiTheme="minorHAnsi" w:cstheme="minorHAnsi"/>
        </w:rPr>
        <w:t>308067-58-5</w:t>
      </w:r>
    </w:p>
    <w:p w14:paraId="710AFB5E" w14:textId="77777777" w:rsidR="001A3992" w:rsidRPr="009A68EE" w:rsidRDefault="001A3992" w:rsidP="00A02ED3">
      <w:pPr>
        <w:pStyle w:val="Heading1"/>
        <w:spacing w:before="0" w:after="120"/>
        <w:jc w:val="left"/>
        <w:rPr>
          <w:rFonts w:asciiTheme="minorHAnsi" w:hAnsiTheme="minorHAnsi" w:cstheme="minorHAnsi"/>
          <w:lang w:val="en-US"/>
        </w:rPr>
      </w:pPr>
      <w:r w:rsidRPr="009A68EE">
        <w:rPr>
          <w:rFonts w:asciiTheme="minorHAnsi" w:hAnsiTheme="minorHAnsi" w:cstheme="minorHAnsi"/>
          <w:lang w:val="en-US"/>
        </w:rPr>
        <w:t>Medicine schedule (Poisons Standard)</w:t>
      </w:r>
    </w:p>
    <w:p w14:paraId="4D5A395D" w14:textId="77777777" w:rsidR="00930F4A" w:rsidRPr="009A68EE" w:rsidRDefault="00930F4A" w:rsidP="00A02ED3">
      <w:pPr>
        <w:jc w:val="left"/>
        <w:rPr>
          <w:rFonts w:asciiTheme="minorHAnsi" w:hAnsiTheme="minorHAnsi" w:cstheme="minorHAnsi"/>
        </w:rPr>
      </w:pPr>
      <w:r w:rsidRPr="009A68EE">
        <w:rPr>
          <w:rFonts w:asciiTheme="minorHAnsi" w:hAnsiTheme="minorHAnsi" w:cstheme="minorHAnsi"/>
        </w:rPr>
        <w:t>S4</w:t>
      </w:r>
    </w:p>
    <w:p w14:paraId="19577423" w14:textId="27FD17EC" w:rsidR="00285173" w:rsidRPr="009A68EE" w:rsidRDefault="001A3992" w:rsidP="00A02ED3">
      <w:pPr>
        <w:pStyle w:val="Heading1"/>
        <w:spacing w:before="0" w:after="120"/>
        <w:jc w:val="left"/>
        <w:rPr>
          <w:rFonts w:asciiTheme="minorHAnsi" w:hAnsiTheme="minorHAnsi" w:cstheme="minorHAnsi"/>
          <w:lang w:val="en-US"/>
        </w:rPr>
      </w:pPr>
      <w:r w:rsidRPr="009A68EE">
        <w:rPr>
          <w:rFonts w:asciiTheme="minorHAnsi" w:hAnsiTheme="minorHAnsi" w:cstheme="minorHAnsi"/>
          <w:lang w:val="en-US"/>
        </w:rPr>
        <w:t>Sponsor</w:t>
      </w:r>
    </w:p>
    <w:p w14:paraId="4B0F23E7" w14:textId="77777777" w:rsidR="00930F4A" w:rsidRPr="009A68EE" w:rsidRDefault="00930F4A" w:rsidP="00A02ED3">
      <w:pPr>
        <w:spacing w:before="240"/>
        <w:jc w:val="left"/>
        <w:rPr>
          <w:rFonts w:asciiTheme="minorHAnsi" w:hAnsiTheme="minorHAnsi" w:cstheme="minorHAnsi"/>
        </w:rPr>
      </w:pPr>
      <w:r w:rsidRPr="009A68EE">
        <w:rPr>
          <w:rFonts w:asciiTheme="minorHAnsi" w:hAnsiTheme="minorHAnsi" w:cstheme="minorHAnsi"/>
        </w:rPr>
        <w:t>Octapharma Australia Pty. Ltd.</w:t>
      </w:r>
    </w:p>
    <w:p w14:paraId="1EE12FCF" w14:textId="77777777" w:rsidR="00930F4A" w:rsidRPr="009A68EE" w:rsidRDefault="00930F4A" w:rsidP="00A02ED3">
      <w:pPr>
        <w:spacing w:after="0" w:line="240" w:lineRule="auto"/>
        <w:jc w:val="left"/>
        <w:rPr>
          <w:rFonts w:asciiTheme="minorHAnsi" w:hAnsiTheme="minorHAnsi" w:cstheme="minorHAnsi"/>
        </w:rPr>
      </w:pPr>
      <w:r w:rsidRPr="009A68EE">
        <w:rPr>
          <w:rFonts w:asciiTheme="minorHAnsi" w:hAnsiTheme="minorHAnsi" w:cstheme="minorHAnsi"/>
        </w:rPr>
        <w:t>Jones Bay Wharf</w:t>
      </w:r>
      <w:r w:rsidRPr="009A68EE">
        <w:rPr>
          <w:rFonts w:asciiTheme="minorHAnsi" w:hAnsiTheme="minorHAnsi" w:cstheme="minorHAnsi"/>
        </w:rPr>
        <w:br/>
        <w:t>42/26-32 Pirrama Road</w:t>
      </w:r>
      <w:r w:rsidRPr="009A68EE">
        <w:rPr>
          <w:rFonts w:asciiTheme="minorHAnsi" w:hAnsiTheme="minorHAnsi" w:cstheme="minorHAnsi"/>
        </w:rPr>
        <w:br/>
        <w:t>Pyrmont NSW 2009</w:t>
      </w:r>
    </w:p>
    <w:p w14:paraId="3FF3D857" w14:textId="77777777" w:rsidR="00930F4A" w:rsidRPr="009A68EE" w:rsidRDefault="00930F4A" w:rsidP="00A02ED3">
      <w:pPr>
        <w:jc w:val="left"/>
        <w:rPr>
          <w:rFonts w:asciiTheme="minorHAnsi" w:hAnsiTheme="minorHAnsi" w:cstheme="minorHAnsi"/>
          <w:color w:val="000000"/>
        </w:rPr>
      </w:pPr>
      <w:r w:rsidRPr="009A68EE">
        <w:rPr>
          <w:rFonts w:asciiTheme="minorHAnsi" w:hAnsiTheme="minorHAnsi" w:cstheme="minorHAnsi"/>
          <w:color w:val="000000"/>
        </w:rPr>
        <w:t>Australia</w:t>
      </w:r>
    </w:p>
    <w:p w14:paraId="08BF47AB" w14:textId="77777777" w:rsidR="00A86B85" w:rsidRPr="009A68EE" w:rsidRDefault="00EE1E0A" w:rsidP="00A02ED3">
      <w:pPr>
        <w:jc w:val="left"/>
        <w:rPr>
          <w:rFonts w:asciiTheme="minorHAnsi" w:hAnsiTheme="minorHAnsi" w:cstheme="minorHAnsi"/>
          <w:color w:val="000000"/>
        </w:rPr>
      </w:pPr>
      <w:r w:rsidRPr="009A68EE">
        <w:rPr>
          <w:rFonts w:asciiTheme="minorHAnsi" w:hAnsiTheme="minorHAnsi" w:cstheme="minorHAnsi"/>
          <w:color w:val="000000"/>
        </w:rPr>
        <w:t>Medical</w:t>
      </w:r>
      <w:r w:rsidR="00A86B85" w:rsidRPr="009A68EE">
        <w:rPr>
          <w:rFonts w:asciiTheme="minorHAnsi" w:hAnsiTheme="minorHAnsi" w:cstheme="minorHAnsi"/>
          <w:color w:val="000000"/>
        </w:rPr>
        <w:t xml:space="preserve"> Enquiries</w:t>
      </w:r>
      <w:r w:rsidRPr="009A68EE">
        <w:rPr>
          <w:rFonts w:asciiTheme="minorHAnsi" w:hAnsiTheme="minorHAnsi" w:cstheme="minorHAnsi"/>
          <w:color w:val="000000"/>
        </w:rPr>
        <w:t>: 1800 780 169 (Australia toll free)</w:t>
      </w:r>
    </w:p>
    <w:p w14:paraId="2D2D183B" w14:textId="77777777" w:rsidR="00315640" w:rsidRPr="009A68EE" w:rsidRDefault="00315640" w:rsidP="00A02ED3">
      <w:pPr>
        <w:jc w:val="left"/>
        <w:rPr>
          <w:rFonts w:asciiTheme="minorHAnsi" w:hAnsiTheme="minorHAnsi" w:cstheme="minorHAnsi"/>
          <w:color w:val="000000"/>
        </w:rPr>
      </w:pPr>
      <w:r w:rsidRPr="009A68EE">
        <w:rPr>
          <w:rFonts w:asciiTheme="minorHAnsi" w:hAnsiTheme="minorHAnsi" w:cstheme="minorHAnsi"/>
          <w:color w:val="000000"/>
        </w:rPr>
        <w:t>Email: aumedinfo@octapharma.com</w:t>
      </w:r>
    </w:p>
    <w:p w14:paraId="3607503F" w14:textId="77777777" w:rsidR="00285173" w:rsidRPr="009A68EE" w:rsidRDefault="00930F4A" w:rsidP="00A02ED3">
      <w:pPr>
        <w:pStyle w:val="Heading1"/>
        <w:spacing w:before="0" w:after="120"/>
        <w:jc w:val="left"/>
        <w:rPr>
          <w:rFonts w:asciiTheme="minorHAnsi" w:hAnsiTheme="minorHAnsi" w:cstheme="minorHAnsi"/>
          <w:lang w:val="en-US"/>
        </w:rPr>
      </w:pPr>
      <w:r w:rsidRPr="009A68EE">
        <w:rPr>
          <w:rFonts w:asciiTheme="minorHAnsi" w:hAnsiTheme="minorHAnsi" w:cstheme="minorHAnsi"/>
          <w:lang w:val="en-US"/>
        </w:rPr>
        <w:t>Date of first approval</w:t>
      </w:r>
    </w:p>
    <w:p w14:paraId="3535A1AC" w14:textId="62A48372" w:rsidR="00C91032" w:rsidRDefault="008728DE" w:rsidP="00A02ED3">
      <w:pPr>
        <w:jc w:val="left"/>
        <w:rPr>
          <w:rFonts w:asciiTheme="minorHAnsi" w:hAnsiTheme="minorHAnsi" w:cstheme="minorHAnsi"/>
        </w:rPr>
      </w:pPr>
      <w:r>
        <w:rPr>
          <w:rFonts w:asciiTheme="minorHAnsi" w:hAnsiTheme="minorHAnsi" w:cstheme="minorHAnsi"/>
        </w:rPr>
        <w:t>03 May</w:t>
      </w:r>
      <w:r w:rsidR="00D62D59">
        <w:rPr>
          <w:rFonts w:asciiTheme="minorHAnsi" w:hAnsiTheme="minorHAnsi" w:cstheme="minorHAnsi"/>
        </w:rPr>
        <w:t xml:space="preserve"> 2021</w:t>
      </w:r>
    </w:p>
    <w:p w14:paraId="43BABB5A" w14:textId="0B778F1B" w:rsidR="00285173" w:rsidRPr="009A68EE" w:rsidRDefault="00DE6291" w:rsidP="00A02ED3">
      <w:pPr>
        <w:pStyle w:val="Heading1"/>
        <w:spacing w:before="0" w:after="120"/>
        <w:jc w:val="left"/>
        <w:rPr>
          <w:rFonts w:asciiTheme="minorHAnsi" w:hAnsiTheme="minorHAnsi" w:cstheme="minorHAnsi"/>
          <w:lang w:val="en-US"/>
        </w:rPr>
      </w:pPr>
      <w:r w:rsidRPr="009A68EE">
        <w:rPr>
          <w:rFonts w:asciiTheme="minorHAnsi" w:hAnsiTheme="minorHAnsi" w:cstheme="minorHAnsi"/>
          <w:lang w:val="en-US"/>
        </w:rPr>
        <w:t>Date of revision</w:t>
      </w:r>
    </w:p>
    <w:p w14:paraId="04B9B177" w14:textId="77777777" w:rsidR="00DE6291" w:rsidRPr="009A68EE" w:rsidRDefault="00DE6291" w:rsidP="00A02ED3">
      <w:pPr>
        <w:jc w:val="left"/>
        <w:rPr>
          <w:rFonts w:asciiTheme="minorHAnsi" w:hAnsiTheme="minorHAnsi" w:cstheme="minorHAnsi"/>
          <w:lang w:val="en-US"/>
        </w:rPr>
      </w:pPr>
    </w:p>
    <w:p w14:paraId="6DA36D99" w14:textId="77777777" w:rsidR="00E74526" w:rsidRPr="009A68EE" w:rsidRDefault="00E74526" w:rsidP="00A02ED3">
      <w:pPr>
        <w:pStyle w:val="Heading2"/>
        <w:numPr>
          <w:ilvl w:val="0"/>
          <w:numId w:val="0"/>
        </w:numPr>
        <w:spacing w:before="0" w:after="120"/>
        <w:jc w:val="left"/>
        <w:rPr>
          <w:rFonts w:asciiTheme="minorHAnsi" w:hAnsiTheme="minorHAnsi" w:cstheme="minorHAnsi"/>
          <w:lang w:val="en-US"/>
        </w:rPr>
      </w:pPr>
      <w:r w:rsidRPr="009A68EE">
        <w:rPr>
          <w:rFonts w:asciiTheme="minorHAnsi" w:hAnsiTheme="minorHAnsi" w:cstheme="minorHAnsi"/>
          <w:lang w:val="en-US"/>
        </w:rPr>
        <w:t>Summary table of changes</w:t>
      </w:r>
    </w:p>
    <w:p w14:paraId="49F20615" w14:textId="77777777" w:rsidR="00930F4A" w:rsidRPr="009A68EE" w:rsidRDefault="00930F4A" w:rsidP="00A02ED3">
      <w:pPr>
        <w:spacing w:after="120"/>
        <w:jc w:val="left"/>
        <w:rPr>
          <w:rFonts w:asciiTheme="minorHAnsi" w:hAnsiTheme="minorHAnsi" w:cstheme="minorHAnsi"/>
          <w:lang w:val="en-US"/>
        </w:rPr>
      </w:pPr>
    </w:p>
    <w:p w14:paraId="3A4B5CC0" w14:textId="22FE21D3" w:rsidR="00930F4A" w:rsidRPr="009A68EE" w:rsidRDefault="00881B1E" w:rsidP="00A02ED3">
      <w:pPr>
        <w:jc w:val="left"/>
        <w:rPr>
          <w:rFonts w:asciiTheme="minorHAnsi" w:hAnsiTheme="minorHAnsi" w:cstheme="minorHAnsi"/>
        </w:rPr>
      </w:pPr>
      <w:r w:rsidRPr="009A68EE">
        <w:rPr>
          <w:rFonts w:asciiTheme="minorHAnsi" w:hAnsiTheme="minorHAnsi" w:cstheme="minorHAnsi"/>
        </w:rPr>
        <w:t>c</w:t>
      </w:r>
      <w:r w:rsidR="00DF5E08" w:rsidRPr="009A68EE">
        <w:rPr>
          <w:rFonts w:asciiTheme="minorHAnsi" w:hAnsiTheme="minorHAnsi" w:cstheme="minorHAnsi"/>
        </w:rPr>
        <w:t>utaquig®</w:t>
      </w:r>
      <w:r w:rsidR="00930F4A" w:rsidRPr="009A68EE">
        <w:rPr>
          <w:rFonts w:asciiTheme="minorHAnsi" w:hAnsiTheme="minorHAnsi" w:cstheme="minorHAnsi"/>
        </w:rPr>
        <w:t xml:space="preserve"> is a registered trademark of Octapharma AG.</w:t>
      </w:r>
    </w:p>
    <w:sectPr w:rsidR="00930F4A" w:rsidRPr="009A68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E479E" w14:textId="77777777" w:rsidR="00C9304A" w:rsidRDefault="00C9304A" w:rsidP="001A3992">
      <w:pPr>
        <w:spacing w:after="0" w:line="240" w:lineRule="auto"/>
      </w:pPr>
      <w:r>
        <w:separator/>
      </w:r>
    </w:p>
  </w:endnote>
  <w:endnote w:type="continuationSeparator" w:id="0">
    <w:p w14:paraId="1703FE15" w14:textId="77777777" w:rsidR="00C9304A" w:rsidRDefault="00C9304A"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F22D9" w14:textId="77777777" w:rsidR="00A02ED3" w:rsidRDefault="00A02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114289309"/>
      <w:docPartObj>
        <w:docPartGallery w:val="Page Numbers (Bottom of Page)"/>
        <w:docPartUnique/>
      </w:docPartObj>
    </w:sdtPr>
    <w:sdtEndPr/>
    <w:sdtContent>
      <w:sdt>
        <w:sdtPr>
          <w:rPr>
            <w:rFonts w:asciiTheme="minorHAnsi" w:hAnsiTheme="minorHAnsi"/>
            <w:sz w:val="16"/>
            <w:szCs w:val="16"/>
          </w:rPr>
          <w:id w:val="-1769616900"/>
          <w:docPartObj>
            <w:docPartGallery w:val="Page Numbers (Top of Page)"/>
            <w:docPartUnique/>
          </w:docPartObj>
        </w:sdtPr>
        <w:sdtEndPr/>
        <w:sdtContent>
          <w:p w14:paraId="74FD007C" w14:textId="3BDCFCEC" w:rsidR="00345640" w:rsidRPr="00345640" w:rsidRDefault="00345640">
            <w:pPr>
              <w:pStyle w:val="Footer"/>
              <w:jc w:val="right"/>
              <w:rPr>
                <w:rFonts w:asciiTheme="minorHAnsi" w:hAnsiTheme="minorHAnsi"/>
                <w:sz w:val="16"/>
                <w:szCs w:val="16"/>
              </w:rPr>
            </w:pPr>
            <w:r w:rsidRPr="00345640">
              <w:rPr>
                <w:rFonts w:asciiTheme="minorHAnsi" w:hAnsiTheme="minorHAnsi"/>
                <w:sz w:val="16"/>
                <w:szCs w:val="16"/>
              </w:rPr>
              <w:t xml:space="preserve">Page </w:t>
            </w:r>
            <w:r w:rsidRPr="00345640">
              <w:rPr>
                <w:rFonts w:asciiTheme="minorHAnsi" w:hAnsiTheme="minorHAnsi"/>
                <w:bCs/>
                <w:sz w:val="16"/>
                <w:szCs w:val="16"/>
              </w:rPr>
              <w:fldChar w:fldCharType="begin"/>
            </w:r>
            <w:r w:rsidRPr="00345640">
              <w:rPr>
                <w:rFonts w:asciiTheme="minorHAnsi" w:hAnsiTheme="minorHAnsi"/>
                <w:bCs/>
                <w:sz w:val="16"/>
                <w:szCs w:val="16"/>
              </w:rPr>
              <w:instrText xml:space="preserve"> PAGE </w:instrText>
            </w:r>
            <w:r w:rsidRPr="00345640">
              <w:rPr>
                <w:rFonts w:asciiTheme="minorHAnsi" w:hAnsiTheme="minorHAnsi"/>
                <w:bCs/>
                <w:sz w:val="16"/>
                <w:szCs w:val="16"/>
              </w:rPr>
              <w:fldChar w:fldCharType="separate"/>
            </w:r>
            <w:r w:rsidR="00A02ED3">
              <w:rPr>
                <w:rFonts w:asciiTheme="minorHAnsi" w:hAnsiTheme="minorHAnsi"/>
                <w:bCs/>
                <w:noProof/>
                <w:sz w:val="16"/>
                <w:szCs w:val="16"/>
              </w:rPr>
              <w:t>13</w:t>
            </w:r>
            <w:r w:rsidRPr="00345640">
              <w:rPr>
                <w:rFonts w:asciiTheme="minorHAnsi" w:hAnsiTheme="minorHAnsi"/>
                <w:bCs/>
                <w:sz w:val="16"/>
                <w:szCs w:val="16"/>
              </w:rPr>
              <w:fldChar w:fldCharType="end"/>
            </w:r>
            <w:r w:rsidRPr="00345640">
              <w:rPr>
                <w:rFonts w:asciiTheme="minorHAnsi" w:hAnsiTheme="minorHAnsi"/>
                <w:sz w:val="16"/>
                <w:szCs w:val="16"/>
              </w:rPr>
              <w:t xml:space="preserve"> of </w:t>
            </w:r>
            <w:r w:rsidRPr="00345640">
              <w:rPr>
                <w:rFonts w:asciiTheme="minorHAnsi" w:hAnsiTheme="minorHAnsi"/>
                <w:bCs/>
                <w:sz w:val="16"/>
                <w:szCs w:val="16"/>
              </w:rPr>
              <w:fldChar w:fldCharType="begin"/>
            </w:r>
            <w:r w:rsidRPr="00345640">
              <w:rPr>
                <w:rFonts w:asciiTheme="minorHAnsi" w:hAnsiTheme="minorHAnsi"/>
                <w:bCs/>
                <w:sz w:val="16"/>
                <w:szCs w:val="16"/>
              </w:rPr>
              <w:instrText xml:space="preserve"> NUMPAGES  </w:instrText>
            </w:r>
            <w:r w:rsidRPr="00345640">
              <w:rPr>
                <w:rFonts w:asciiTheme="minorHAnsi" w:hAnsiTheme="minorHAnsi"/>
                <w:bCs/>
                <w:sz w:val="16"/>
                <w:szCs w:val="16"/>
              </w:rPr>
              <w:fldChar w:fldCharType="separate"/>
            </w:r>
            <w:r w:rsidR="00A02ED3">
              <w:rPr>
                <w:rFonts w:asciiTheme="minorHAnsi" w:hAnsiTheme="minorHAnsi"/>
                <w:bCs/>
                <w:noProof/>
                <w:sz w:val="16"/>
                <w:szCs w:val="16"/>
              </w:rPr>
              <w:t>13</w:t>
            </w:r>
            <w:r w:rsidRPr="00345640">
              <w:rPr>
                <w:rFonts w:asciiTheme="minorHAnsi" w:hAnsiTheme="minorHAnsi"/>
                <w:bCs/>
                <w:sz w:val="16"/>
                <w:szCs w:val="16"/>
              </w:rPr>
              <w:fldChar w:fldCharType="end"/>
            </w:r>
          </w:p>
        </w:sdtContent>
      </w:sdt>
    </w:sdtContent>
  </w:sdt>
  <w:p w14:paraId="3D46B8A2" w14:textId="397C6A0B" w:rsidR="00241696" w:rsidRPr="00B8074A" w:rsidRDefault="00241696" w:rsidP="00E500CB">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A7D0B" w14:textId="77777777" w:rsidR="00A02ED3" w:rsidRDefault="00A02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DE3B5" w14:textId="77777777" w:rsidR="00C9304A" w:rsidRDefault="00C9304A" w:rsidP="001A3992">
      <w:pPr>
        <w:spacing w:after="0" w:line="240" w:lineRule="auto"/>
      </w:pPr>
      <w:r>
        <w:separator/>
      </w:r>
    </w:p>
  </w:footnote>
  <w:footnote w:type="continuationSeparator" w:id="0">
    <w:p w14:paraId="0D924BF1" w14:textId="77777777" w:rsidR="00C9304A" w:rsidRDefault="00C9304A"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F277" w14:textId="77777777" w:rsidR="00A02ED3" w:rsidRDefault="00A0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472"/>
    </w:tblGrid>
    <w:tr w:rsidR="00A02ED3" w:rsidRPr="000B2145" w14:paraId="624D3FEE" w14:textId="77777777" w:rsidTr="008E0459">
      <w:trPr>
        <w:trHeight w:val="590"/>
      </w:trPr>
      <w:tc>
        <w:tcPr>
          <w:tcW w:w="8472" w:type="dxa"/>
          <w:shd w:val="clear" w:color="auto" w:fill="E4F2E0"/>
        </w:tcPr>
        <w:p w14:paraId="76597E3F" w14:textId="77777777" w:rsidR="00A02ED3" w:rsidRPr="000B2145" w:rsidRDefault="00A02ED3" w:rsidP="00A02ED3">
          <w:pPr>
            <w:pStyle w:val="Footer"/>
            <w:jc w:val="left"/>
            <w:rPr>
              <w:b/>
              <w:sz w:val="18"/>
              <w:szCs w:val="18"/>
            </w:rPr>
          </w:pPr>
          <w:r w:rsidRPr="000E7E13">
            <w:rPr>
              <w:b/>
              <w:sz w:val="18"/>
              <w:szCs w:val="18"/>
            </w:rPr>
            <w:t>Attachment 1:</w:t>
          </w:r>
          <w:r w:rsidRPr="006064DD">
            <w:rPr>
              <w:b/>
            </w:rPr>
            <w:t xml:space="preserve"> AusPAR - Cutaquig – human normal immunoglobulin - </w:t>
          </w:r>
          <w:proofErr w:type="spellStart"/>
          <w:r w:rsidRPr="006064DD">
            <w:rPr>
              <w:b/>
            </w:rPr>
            <w:t>Octapharma</w:t>
          </w:r>
          <w:proofErr w:type="spellEnd"/>
          <w:r w:rsidRPr="006064DD">
            <w:rPr>
              <w:b/>
            </w:rPr>
            <w:t xml:space="preserve"> Australia Pty Ltd - PM-2020-00473-1-2 Final 21 June 2021</w:t>
          </w:r>
          <w:r w:rsidRPr="00D256F8">
            <w:rPr>
              <w:b/>
              <w:sz w:val="18"/>
              <w:szCs w:val="18"/>
            </w:rPr>
            <w:t>.</w:t>
          </w:r>
          <w:r>
            <w:rPr>
              <w:b/>
              <w:sz w:val="18"/>
              <w:szCs w:val="18"/>
            </w:rPr>
            <w:t xml:space="preserve"> </w:t>
          </w:r>
          <w:r w:rsidRPr="000B2145">
            <w:rPr>
              <w:b/>
              <w:sz w:val="18"/>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14:paraId="6BFCC74E" w14:textId="77777777" w:rsidR="00A02ED3" w:rsidRDefault="00A02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D6604" w14:textId="77777777" w:rsidR="00A02ED3" w:rsidRDefault="00A0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2DEFDE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E0DCD"/>
    <w:multiLevelType w:val="hybridMultilevel"/>
    <w:tmpl w:val="4DF2AF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36C57"/>
    <w:multiLevelType w:val="hybridMultilevel"/>
    <w:tmpl w:val="C9A0A3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E245F3C"/>
    <w:multiLevelType w:val="hybridMultilevel"/>
    <w:tmpl w:val="86AC0922"/>
    <w:lvl w:ilvl="0" w:tplc="A0E604AC">
      <w:start w:val="1"/>
      <w:numFmt w:val="bullet"/>
      <w:lvlText w:val=""/>
      <w:lvlJc w:val="left"/>
      <w:pPr>
        <w:tabs>
          <w:tab w:val="num" w:pos="788"/>
        </w:tabs>
        <w:ind w:left="712" w:hanging="284"/>
      </w:pPr>
      <w:rPr>
        <w:rFonts w:ascii="Symbol" w:hAnsi="Symbol" w:hint="default"/>
      </w:rPr>
    </w:lvl>
    <w:lvl w:ilvl="1" w:tplc="04070003" w:tentative="1">
      <w:start w:val="1"/>
      <w:numFmt w:val="bullet"/>
      <w:lvlText w:val="o"/>
      <w:lvlJc w:val="left"/>
      <w:pPr>
        <w:tabs>
          <w:tab w:val="num" w:pos="1508"/>
        </w:tabs>
        <w:ind w:left="1508" w:hanging="360"/>
      </w:pPr>
      <w:rPr>
        <w:rFonts w:ascii="Courier New" w:hAnsi="Courier New" w:hint="default"/>
      </w:rPr>
    </w:lvl>
    <w:lvl w:ilvl="2" w:tplc="04070005" w:tentative="1">
      <w:start w:val="1"/>
      <w:numFmt w:val="bullet"/>
      <w:lvlText w:val=""/>
      <w:lvlJc w:val="left"/>
      <w:pPr>
        <w:tabs>
          <w:tab w:val="num" w:pos="2228"/>
        </w:tabs>
        <w:ind w:left="2228" w:hanging="360"/>
      </w:pPr>
      <w:rPr>
        <w:rFonts w:ascii="Wingdings" w:hAnsi="Wingdings" w:hint="default"/>
      </w:rPr>
    </w:lvl>
    <w:lvl w:ilvl="3" w:tplc="04070001" w:tentative="1">
      <w:start w:val="1"/>
      <w:numFmt w:val="bullet"/>
      <w:lvlText w:val=""/>
      <w:lvlJc w:val="left"/>
      <w:pPr>
        <w:tabs>
          <w:tab w:val="num" w:pos="2948"/>
        </w:tabs>
        <w:ind w:left="2948" w:hanging="360"/>
      </w:pPr>
      <w:rPr>
        <w:rFonts w:ascii="Symbol" w:hAnsi="Symbol" w:hint="default"/>
      </w:rPr>
    </w:lvl>
    <w:lvl w:ilvl="4" w:tplc="04070003" w:tentative="1">
      <w:start w:val="1"/>
      <w:numFmt w:val="bullet"/>
      <w:lvlText w:val="o"/>
      <w:lvlJc w:val="left"/>
      <w:pPr>
        <w:tabs>
          <w:tab w:val="num" w:pos="3668"/>
        </w:tabs>
        <w:ind w:left="3668" w:hanging="360"/>
      </w:pPr>
      <w:rPr>
        <w:rFonts w:ascii="Courier New" w:hAnsi="Courier New" w:hint="default"/>
      </w:rPr>
    </w:lvl>
    <w:lvl w:ilvl="5" w:tplc="04070005" w:tentative="1">
      <w:start w:val="1"/>
      <w:numFmt w:val="bullet"/>
      <w:lvlText w:val=""/>
      <w:lvlJc w:val="left"/>
      <w:pPr>
        <w:tabs>
          <w:tab w:val="num" w:pos="4388"/>
        </w:tabs>
        <w:ind w:left="4388" w:hanging="360"/>
      </w:pPr>
      <w:rPr>
        <w:rFonts w:ascii="Wingdings" w:hAnsi="Wingdings" w:hint="default"/>
      </w:rPr>
    </w:lvl>
    <w:lvl w:ilvl="6" w:tplc="04070001" w:tentative="1">
      <w:start w:val="1"/>
      <w:numFmt w:val="bullet"/>
      <w:lvlText w:val=""/>
      <w:lvlJc w:val="left"/>
      <w:pPr>
        <w:tabs>
          <w:tab w:val="num" w:pos="5108"/>
        </w:tabs>
        <w:ind w:left="5108" w:hanging="360"/>
      </w:pPr>
      <w:rPr>
        <w:rFonts w:ascii="Symbol" w:hAnsi="Symbol" w:hint="default"/>
      </w:rPr>
    </w:lvl>
    <w:lvl w:ilvl="7" w:tplc="04070003" w:tentative="1">
      <w:start w:val="1"/>
      <w:numFmt w:val="bullet"/>
      <w:lvlText w:val="o"/>
      <w:lvlJc w:val="left"/>
      <w:pPr>
        <w:tabs>
          <w:tab w:val="num" w:pos="5828"/>
        </w:tabs>
        <w:ind w:left="5828" w:hanging="360"/>
      </w:pPr>
      <w:rPr>
        <w:rFonts w:ascii="Courier New" w:hAnsi="Courier New" w:hint="default"/>
      </w:rPr>
    </w:lvl>
    <w:lvl w:ilvl="8" w:tplc="04070005" w:tentative="1">
      <w:start w:val="1"/>
      <w:numFmt w:val="bullet"/>
      <w:lvlText w:val=""/>
      <w:lvlJc w:val="left"/>
      <w:pPr>
        <w:tabs>
          <w:tab w:val="num" w:pos="6548"/>
        </w:tabs>
        <w:ind w:left="6548" w:hanging="360"/>
      </w:pPr>
      <w:rPr>
        <w:rFonts w:ascii="Wingdings" w:hAnsi="Wingdings" w:hint="default"/>
      </w:rPr>
    </w:lvl>
  </w:abstractNum>
  <w:abstractNum w:abstractNumId="7" w15:restartNumberingAfterBreak="0">
    <w:nsid w:val="3343518E"/>
    <w:multiLevelType w:val="hybridMultilevel"/>
    <w:tmpl w:val="0298F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A738C5"/>
    <w:multiLevelType w:val="hybridMultilevel"/>
    <w:tmpl w:val="3430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584E6D"/>
    <w:multiLevelType w:val="hybridMultilevel"/>
    <w:tmpl w:val="D9FC1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9D589E"/>
    <w:multiLevelType w:val="hybridMultilevel"/>
    <w:tmpl w:val="EC5AF6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9C4115"/>
    <w:multiLevelType w:val="hybridMultilevel"/>
    <w:tmpl w:val="F2D8FF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10"/>
  </w:num>
  <w:num w:numId="5">
    <w:abstractNumId w:val="18"/>
  </w:num>
  <w:num w:numId="6">
    <w:abstractNumId w:val="16"/>
  </w:num>
  <w:num w:numId="7">
    <w:abstractNumId w:val="13"/>
  </w:num>
  <w:num w:numId="8">
    <w:abstractNumId w:val="17"/>
  </w:num>
  <w:num w:numId="9">
    <w:abstractNumId w:val="4"/>
  </w:num>
  <w:num w:numId="10">
    <w:abstractNumId w:val="12"/>
  </w:num>
  <w:num w:numId="11">
    <w:abstractNumId w:val="0"/>
  </w:num>
  <w:num w:numId="12">
    <w:abstractNumId w:val="5"/>
  </w:num>
  <w:num w:numId="13">
    <w:abstractNumId w:val="14"/>
  </w:num>
  <w:num w:numId="14">
    <w:abstractNumId w:val="11"/>
  </w:num>
  <w:num w:numId="15">
    <w:abstractNumId w:val="2"/>
  </w:num>
  <w:num w:numId="16">
    <w:abstractNumId w:val="6"/>
  </w:num>
  <w:num w:numId="17">
    <w:abstractNumId w:val="15"/>
  </w:num>
  <w:num w:numId="18">
    <w:abstractNumId w:val="7"/>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92"/>
    <w:rsid w:val="0000345D"/>
    <w:rsid w:val="00011740"/>
    <w:rsid w:val="000145E9"/>
    <w:rsid w:val="000211A6"/>
    <w:rsid w:val="00024AC5"/>
    <w:rsid w:val="00035490"/>
    <w:rsid w:val="00035852"/>
    <w:rsid w:val="00042302"/>
    <w:rsid w:val="00051010"/>
    <w:rsid w:val="00054C64"/>
    <w:rsid w:val="00061476"/>
    <w:rsid w:val="000629B4"/>
    <w:rsid w:val="0008599C"/>
    <w:rsid w:val="00097B52"/>
    <w:rsid w:val="000A558F"/>
    <w:rsid w:val="000A5CD0"/>
    <w:rsid w:val="000B20D8"/>
    <w:rsid w:val="000C0C96"/>
    <w:rsid w:val="000E192D"/>
    <w:rsid w:val="000F1DE7"/>
    <w:rsid w:val="000F2479"/>
    <w:rsid w:val="000F2554"/>
    <w:rsid w:val="001233C0"/>
    <w:rsid w:val="00127A5D"/>
    <w:rsid w:val="0013647D"/>
    <w:rsid w:val="00143A48"/>
    <w:rsid w:val="001470FD"/>
    <w:rsid w:val="00156813"/>
    <w:rsid w:val="00165E4D"/>
    <w:rsid w:val="00177869"/>
    <w:rsid w:val="001835D3"/>
    <w:rsid w:val="001A3992"/>
    <w:rsid w:val="001B2222"/>
    <w:rsid w:val="001C5098"/>
    <w:rsid w:val="001D4493"/>
    <w:rsid w:val="00200090"/>
    <w:rsid w:val="00241696"/>
    <w:rsid w:val="00250BEA"/>
    <w:rsid w:val="002558DD"/>
    <w:rsid w:val="00265CF7"/>
    <w:rsid w:val="0026661E"/>
    <w:rsid w:val="00276AD4"/>
    <w:rsid w:val="00285173"/>
    <w:rsid w:val="00290EE9"/>
    <w:rsid w:val="002A2C32"/>
    <w:rsid w:val="002D113F"/>
    <w:rsid w:val="002D2302"/>
    <w:rsid w:val="002E21D4"/>
    <w:rsid w:val="002E277D"/>
    <w:rsid w:val="003142AC"/>
    <w:rsid w:val="00315640"/>
    <w:rsid w:val="003422FA"/>
    <w:rsid w:val="00345640"/>
    <w:rsid w:val="00346E62"/>
    <w:rsid w:val="0036172A"/>
    <w:rsid w:val="00372DAE"/>
    <w:rsid w:val="003742ED"/>
    <w:rsid w:val="00375DF3"/>
    <w:rsid w:val="00377724"/>
    <w:rsid w:val="00377E14"/>
    <w:rsid w:val="003A0176"/>
    <w:rsid w:val="003A053C"/>
    <w:rsid w:val="003A56E0"/>
    <w:rsid w:val="003A5A11"/>
    <w:rsid w:val="003D162F"/>
    <w:rsid w:val="004120C1"/>
    <w:rsid w:val="00412DDE"/>
    <w:rsid w:val="0041578A"/>
    <w:rsid w:val="004164E6"/>
    <w:rsid w:val="0042239E"/>
    <w:rsid w:val="00431ACD"/>
    <w:rsid w:val="00435C15"/>
    <w:rsid w:val="00436F29"/>
    <w:rsid w:val="00437238"/>
    <w:rsid w:val="00441CFF"/>
    <w:rsid w:val="00447D15"/>
    <w:rsid w:val="00447EC7"/>
    <w:rsid w:val="00467342"/>
    <w:rsid w:val="004845B3"/>
    <w:rsid w:val="00486C38"/>
    <w:rsid w:val="00493D33"/>
    <w:rsid w:val="004A7E15"/>
    <w:rsid w:val="004B6B19"/>
    <w:rsid w:val="004C4F62"/>
    <w:rsid w:val="004D12A4"/>
    <w:rsid w:val="004D6970"/>
    <w:rsid w:val="004E34EF"/>
    <w:rsid w:val="004E4596"/>
    <w:rsid w:val="0050622C"/>
    <w:rsid w:val="00517E76"/>
    <w:rsid w:val="005212CD"/>
    <w:rsid w:val="00525879"/>
    <w:rsid w:val="00525D8F"/>
    <w:rsid w:val="00527402"/>
    <w:rsid w:val="00535D05"/>
    <w:rsid w:val="005378F8"/>
    <w:rsid w:val="0054563C"/>
    <w:rsid w:val="005470D9"/>
    <w:rsid w:val="0057592C"/>
    <w:rsid w:val="00576532"/>
    <w:rsid w:val="00583F27"/>
    <w:rsid w:val="00586EEB"/>
    <w:rsid w:val="005946B2"/>
    <w:rsid w:val="0059577A"/>
    <w:rsid w:val="00596EDC"/>
    <w:rsid w:val="005976A1"/>
    <w:rsid w:val="005A3CE3"/>
    <w:rsid w:val="005B2369"/>
    <w:rsid w:val="005B2812"/>
    <w:rsid w:val="006018AE"/>
    <w:rsid w:val="00607AE9"/>
    <w:rsid w:val="0062352A"/>
    <w:rsid w:val="00640B13"/>
    <w:rsid w:val="00653C26"/>
    <w:rsid w:val="006552C8"/>
    <w:rsid w:val="0067043C"/>
    <w:rsid w:val="00677340"/>
    <w:rsid w:val="00693333"/>
    <w:rsid w:val="006944F0"/>
    <w:rsid w:val="006A2216"/>
    <w:rsid w:val="006B66AD"/>
    <w:rsid w:val="006C0027"/>
    <w:rsid w:val="006D244E"/>
    <w:rsid w:val="006D6322"/>
    <w:rsid w:val="006E2426"/>
    <w:rsid w:val="006E2C67"/>
    <w:rsid w:val="006F4896"/>
    <w:rsid w:val="007205C9"/>
    <w:rsid w:val="00727E33"/>
    <w:rsid w:val="00740078"/>
    <w:rsid w:val="00754711"/>
    <w:rsid w:val="00757436"/>
    <w:rsid w:val="007642F4"/>
    <w:rsid w:val="00776DB6"/>
    <w:rsid w:val="00777E56"/>
    <w:rsid w:val="00790D1B"/>
    <w:rsid w:val="007957D1"/>
    <w:rsid w:val="007964B5"/>
    <w:rsid w:val="007A42F7"/>
    <w:rsid w:val="007C66C8"/>
    <w:rsid w:val="007D3717"/>
    <w:rsid w:val="007F6475"/>
    <w:rsid w:val="007F7C7D"/>
    <w:rsid w:val="00811BA5"/>
    <w:rsid w:val="00820656"/>
    <w:rsid w:val="008304CA"/>
    <w:rsid w:val="008470EF"/>
    <w:rsid w:val="008604BE"/>
    <w:rsid w:val="008651DF"/>
    <w:rsid w:val="00866B2F"/>
    <w:rsid w:val="008728DE"/>
    <w:rsid w:val="00881B1E"/>
    <w:rsid w:val="00887957"/>
    <w:rsid w:val="008921BB"/>
    <w:rsid w:val="00894A5F"/>
    <w:rsid w:val="008B0F0A"/>
    <w:rsid w:val="008B5B8A"/>
    <w:rsid w:val="008C1FB7"/>
    <w:rsid w:val="008D30F0"/>
    <w:rsid w:val="008D375A"/>
    <w:rsid w:val="008F1A33"/>
    <w:rsid w:val="008F3FD1"/>
    <w:rsid w:val="008F5F7F"/>
    <w:rsid w:val="00905FE6"/>
    <w:rsid w:val="0092168A"/>
    <w:rsid w:val="0092541A"/>
    <w:rsid w:val="00930F4A"/>
    <w:rsid w:val="0093253E"/>
    <w:rsid w:val="00952E5C"/>
    <w:rsid w:val="00960CD5"/>
    <w:rsid w:val="009615FB"/>
    <w:rsid w:val="00984A47"/>
    <w:rsid w:val="00993344"/>
    <w:rsid w:val="009A3A2E"/>
    <w:rsid w:val="009A40A5"/>
    <w:rsid w:val="009A68EE"/>
    <w:rsid w:val="009B732E"/>
    <w:rsid w:val="009C382F"/>
    <w:rsid w:val="009C4071"/>
    <w:rsid w:val="009C571A"/>
    <w:rsid w:val="009D5D8F"/>
    <w:rsid w:val="009E3A76"/>
    <w:rsid w:val="009E556E"/>
    <w:rsid w:val="009F054F"/>
    <w:rsid w:val="00A008A8"/>
    <w:rsid w:val="00A02996"/>
    <w:rsid w:val="00A02ED3"/>
    <w:rsid w:val="00A043BB"/>
    <w:rsid w:val="00A1538E"/>
    <w:rsid w:val="00A20593"/>
    <w:rsid w:val="00A26806"/>
    <w:rsid w:val="00A36356"/>
    <w:rsid w:val="00A37A4A"/>
    <w:rsid w:val="00A64655"/>
    <w:rsid w:val="00A646CB"/>
    <w:rsid w:val="00A66449"/>
    <w:rsid w:val="00A672B6"/>
    <w:rsid w:val="00A83414"/>
    <w:rsid w:val="00A85BF8"/>
    <w:rsid w:val="00A86B85"/>
    <w:rsid w:val="00A86D37"/>
    <w:rsid w:val="00AA1625"/>
    <w:rsid w:val="00AA4D68"/>
    <w:rsid w:val="00AA728A"/>
    <w:rsid w:val="00AB22BA"/>
    <w:rsid w:val="00AD07AF"/>
    <w:rsid w:val="00AF238D"/>
    <w:rsid w:val="00AF5B95"/>
    <w:rsid w:val="00AF6636"/>
    <w:rsid w:val="00B0149B"/>
    <w:rsid w:val="00B0184B"/>
    <w:rsid w:val="00B074DA"/>
    <w:rsid w:val="00B263BD"/>
    <w:rsid w:val="00B3526D"/>
    <w:rsid w:val="00B41382"/>
    <w:rsid w:val="00B8001C"/>
    <w:rsid w:val="00B80FAD"/>
    <w:rsid w:val="00B816F6"/>
    <w:rsid w:val="00B81C05"/>
    <w:rsid w:val="00B92F2D"/>
    <w:rsid w:val="00BA64C5"/>
    <w:rsid w:val="00BA64CC"/>
    <w:rsid w:val="00BC1189"/>
    <w:rsid w:val="00BD1621"/>
    <w:rsid w:val="00BE08E7"/>
    <w:rsid w:val="00BE2A26"/>
    <w:rsid w:val="00BE38AB"/>
    <w:rsid w:val="00BE6F99"/>
    <w:rsid w:val="00C00AFA"/>
    <w:rsid w:val="00C15C08"/>
    <w:rsid w:val="00C26292"/>
    <w:rsid w:val="00C31DA5"/>
    <w:rsid w:val="00C51ACA"/>
    <w:rsid w:val="00C60090"/>
    <w:rsid w:val="00C662A3"/>
    <w:rsid w:val="00C904E7"/>
    <w:rsid w:val="00C91032"/>
    <w:rsid w:val="00C9304A"/>
    <w:rsid w:val="00C96360"/>
    <w:rsid w:val="00CA17E5"/>
    <w:rsid w:val="00CA35AE"/>
    <w:rsid w:val="00CA5B2D"/>
    <w:rsid w:val="00CB5DE1"/>
    <w:rsid w:val="00CC0094"/>
    <w:rsid w:val="00CC2857"/>
    <w:rsid w:val="00CE25BF"/>
    <w:rsid w:val="00CF0980"/>
    <w:rsid w:val="00CF58A0"/>
    <w:rsid w:val="00D2466F"/>
    <w:rsid w:val="00D60837"/>
    <w:rsid w:val="00D62D59"/>
    <w:rsid w:val="00D7256E"/>
    <w:rsid w:val="00D72A70"/>
    <w:rsid w:val="00D84E58"/>
    <w:rsid w:val="00D90B23"/>
    <w:rsid w:val="00D913A2"/>
    <w:rsid w:val="00DC079E"/>
    <w:rsid w:val="00DD46A3"/>
    <w:rsid w:val="00DE6291"/>
    <w:rsid w:val="00DE74C8"/>
    <w:rsid w:val="00DF5E08"/>
    <w:rsid w:val="00DF70DE"/>
    <w:rsid w:val="00E109E5"/>
    <w:rsid w:val="00E11695"/>
    <w:rsid w:val="00E17579"/>
    <w:rsid w:val="00E176E8"/>
    <w:rsid w:val="00E3146C"/>
    <w:rsid w:val="00E469E9"/>
    <w:rsid w:val="00E47CBC"/>
    <w:rsid w:val="00E500CB"/>
    <w:rsid w:val="00E54133"/>
    <w:rsid w:val="00E55993"/>
    <w:rsid w:val="00E56EAE"/>
    <w:rsid w:val="00E74526"/>
    <w:rsid w:val="00E74A56"/>
    <w:rsid w:val="00E74CEC"/>
    <w:rsid w:val="00E754CB"/>
    <w:rsid w:val="00E8136D"/>
    <w:rsid w:val="00E84CAD"/>
    <w:rsid w:val="00E84E41"/>
    <w:rsid w:val="00E92323"/>
    <w:rsid w:val="00E945A8"/>
    <w:rsid w:val="00EA3604"/>
    <w:rsid w:val="00EA69F8"/>
    <w:rsid w:val="00EE1E0A"/>
    <w:rsid w:val="00EE2503"/>
    <w:rsid w:val="00EE348D"/>
    <w:rsid w:val="00EE4EA1"/>
    <w:rsid w:val="00EF577F"/>
    <w:rsid w:val="00F07C36"/>
    <w:rsid w:val="00F1027D"/>
    <w:rsid w:val="00F14891"/>
    <w:rsid w:val="00F5745A"/>
    <w:rsid w:val="00F61F03"/>
    <w:rsid w:val="00F665A0"/>
    <w:rsid w:val="00F92913"/>
    <w:rsid w:val="00FA3776"/>
    <w:rsid w:val="00FB3451"/>
    <w:rsid w:val="00FB7411"/>
    <w:rsid w:val="00FC4DFF"/>
    <w:rsid w:val="00FC5E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C924"/>
  <w15:docId w15:val="{76199925-06F0-47AA-81F7-2B59DA68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D4"/>
    <w:pPr>
      <w:spacing w:after="200" w:line="276" w:lineRule="auto"/>
      <w:jc w:val="both"/>
    </w:pPr>
    <w:rPr>
      <w:sz w:val="22"/>
      <w:szCs w:val="22"/>
      <w:lang w:val="en-AU" w:eastAsia="en-US"/>
    </w:rPr>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Cambria" w:eastAsia="Times New Roman" w:hAnsi="Cambria"/>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outlineLvl w:val="1"/>
    </w:pPr>
    <w:rPr>
      <w:rFonts w:ascii="Cambria" w:hAnsi="Cambria"/>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Cambria" w:eastAsia="Times New Roman" w:hAnsi="Cambria"/>
      <w:b/>
      <w:bCs/>
    </w:rPr>
  </w:style>
  <w:style w:type="paragraph" w:styleId="Heading4">
    <w:name w:val="heading 4"/>
    <w:basedOn w:val="Heading3"/>
    <w:next w:val="Normal"/>
    <w:link w:val="Heading4Char"/>
    <w:uiPriority w:val="9"/>
    <w:unhideWhenUsed/>
    <w:qFormat/>
    <w:rsid w:val="00035490"/>
    <w:pPr>
      <w:ind w:left="0"/>
      <w:outlineLvl w:val="3"/>
    </w:pPr>
    <w:rPr>
      <w:b w:val="0"/>
      <w:bCs w:val="0"/>
      <w:i/>
      <w:iCs/>
      <w:u w:val="single"/>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3992"/>
    <w:rPr>
      <w:rFonts w:ascii="Cambria" w:eastAsia="Times New Roman" w:hAnsi="Cambria" w:cs="Times New Roman"/>
      <w:b/>
      <w:bCs/>
      <w:caps/>
      <w:sz w:val="28"/>
      <w:szCs w:val="28"/>
    </w:rPr>
  </w:style>
  <w:style w:type="character" w:customStyle="1" w:styleId="Heading2Char">
    <w:name w:val="Heading 2 Char"/>
    <w:link w:val="Heading2"/>
    <w:uiPriority w:val="9"/>
    <w:rsid w:val="001A3992"/>
    <w:rPr>
      <w:rFonts w:ascii="Cambria" w:hAnsi="Cambria"/>
      <w:b/>
      <w:smallCaps/>
      <w:sz w:val="24"/>
    </w:rPr>
  </w:style>
  <w:style w:type="character" w:customStyle="1" w:styleId="Heading3Char">
    <w:name w:val="Heading 3 Char"/>
    <w:link w:val="Heading3"/>
    <w:uiPriority w:val="9"/>
    <w:rsid w:val="001A3992"/>
    <w:rPr>
      <w:rFonts w:ascii="Cambria" w:eastAsia="Times New Roman" w:hAnsi="Cambria" w:cs="Times New Roman"/>
      <w:b/>
      <w:bCs/>
    </w:rPr>
  </w:style>
  <w:style w:type="character" w:customStyle="1" w:styleId="Heading4Char">
    <w:name w:val="Heading 4 Char"/>
    <w:link w:val="Heading4"/>
    <w:uiPriority w:val="9"/>
    <w:rsid w:val="00035490"/>
    <w:rPr>
      <w:rFonts w:ascii="Cambria" w:eastAsia="Times New Roman" w:hAnsi="Cambria"/>
      <w:i/>
      <w:iCs/>
      <w:sz w:val="22"/>
      <w:szCs w:val="22"/>
      <w:u w:val="single"/>
      <w:lang w:val="en-AU" w:eastAsia="en-US"/>
    </w:rPr>
  </w:style>
  <w:style w:type="character" w:customStyle="1" w:styleId="Heading5Char">
    <w:name w:val="Heading 5 Char"/>
    <w:link w:val="Heading5"/>
    <w:uiPriority w:val="9"/>
    <w:semiHidden/>
    <w:rsid w:val="001A3992"/>
    <w:rPr>
      <w:rFonts w:ascii="Cambria" w:eastAsia="Times New Roman" w:hAnsi="Cambria" w:cs="Times New Roman"/>
      <w:color w:val="243F60"/>
    </w:rPr>
  </w:style>
  <w:style w:type="character" w:customStyle="1" w:styleId="Heading6Char">
    <w:name w:val="Heading 6 Char"/>
    <w:link w:val="Heading6"/>
    <w:uiPriority w:val="9"/>
    <w:semiHidden/>
    <w:rsid w:val="001A3992"/>
    <w:rPr>
      <w:rFonts w:ascii="Cambria" w:eastAsia="Times New Roman" w:hAnsi="Cambria" w:cs="Times New Roman"/>
      <w:i/>
      <w:iCs/>
      <w:color w:val="243F60"/>
    </w:rPr>
  </w:style>
  <w:style w:type="character" w:customStyle="1" w:styleId="Heading7Char">
    <w:name w:val="Heading 7 Char"/>
    <w:link w:val="Heading7"/>
    <w:uiPriority w:val="9"/>
    <w:semiHidden/>
    <w:rsid w:val="001A3992"/>
    <w:rPr>
      <w:rFonts w:ascii="Cambria" w:eastAsia="Times New Roman" w:hAnsi="Cambria" w:cs="Times New Roman"/>
      <w:i/>
      <w:iCs/>
      <w:color w:val="404040"/>
    </w:rPr>
  </w:style>
  <w:style w:type="character" w:customStyle="1" w:styleId="Heading8Char">
    <w:name w:val="Heading 8 Char"/>
    <w:link w:val="Heading8"/>
    <w:uiPriority w:val="9"/>
    <w:semiHidden/>
    <w:rsid w:val="001A3992"/>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1A3992"/>
    <w:rPr>
      <w:rFonts w:ascii="Cambria" w:eastAsia="Times New Roman" w:hAnsi="Cambria" w:cs="Times New Roman"/>
      <w:i/>
      <w:iCs/>
      <w:color w:val="404040"/>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uiPriority w:val="99"/>
    <w:semiHidden/>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sz w:val="20"/>
    </w:rPr>
  </w:style>
  <w:style w:type="character" w:customStyle="1" w:styleId="FootnoteTextChar">
    <w:name w:val="Footnote Text Char"/>
    <w:link w:val="FootnoteText"/>
    <w:uiPriority w:val="99"/>
    <w:rsid w:val="001A3992"/>
    <w:rPr>
      <w:rFonts w:ascii="Calibri" w:eastAsia="Calibri" w:hAnsi="Calibri" w:cs="Times New Roman"/>
      <w:sz w:val="20"/>
    </w:rPr>
  </w:style>
  <w:style w:type="character" w:styleId="FootnoteReference">
    <w:name w:val="footnote reference"/>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uiPriority w:val="99"/>
    <w:unhideWhenUsed/>
    <w:rsid w:val="001A3992"/>
    <w:rPr>
      <w:color w:val="0000FF"/>
      <w:u w:val="single"/>
    </w:rPr>
  </w:style>
  <w:style w:type="table" w:styleId="LightGrid">
    <w:name w:val="Light Grid"/>
    <w:basedOn w:val="TableNormal"/>
    <w:uiPriority w:val="62"/>
    <w:rsid w:val="001A399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3992"/>
    <w:rPr>
      <w:rFonts w:ascii="Tahoma" w:hAnsi="Tahoma" w:cs="Tahoma"/>
      <w:sz w:val="16"/>
      <w:szCs w:val="16"/>
    </w:rPr>
  </w:style>
  <w:style w:type="paragraph" w:customStyle="1" w:styleId="ATextBericht">
    <w:name w:val="A_Text_Bericht"/>
    <w:basedOn w:val="Normal"/>
    <w:link w:val="ATextBerichtChar"/>
    <w:qFormat/>
    <w:rsid w:val="00DD46A3"/>
    <w:pPr>
      <w:spacing w:before="120" w:after="60" w:line="240" w:lineRule="auto"/>
    </w:pPr>
    <w:rPr>
      <w:rFonts w:ascii="Times New Roman" w:eastAsia="Times New Roman" w:hAnsi="Times New Roman"/>
      <w:sz w:val="24"/>
      <w:szCs w:val="20"/>
      <w:lang w:val="en-US" w:eastAsia="de-DE"/>
    </w:rPr>
  </w:style>
  <w:style w:type="paragraph" w:styleId="CommentSubject">
    <w:name w:val="annotation subject"/>
    <w:basedOn w:val="CommentText"/>
    <w:next w:val="CommentText"/>
    <w:link w:val="CommentSubjectChar"/>
    <w:uiPriority w:val="99"/>
    <w:semiHidden/>
    <w:unhideWhenUsed/>
    <w:rsid w:val="00250BEA"/>
    <w:pPr>
      <w:spacing w:line="276" w:lineRule="auto"/>
    </w:pPr>
    <w:rPr>
      <w:rFonts w:ascii="Calibri" w:hAnsi="Calibri"/>
      <w:b/>
      <w:bCs/>
    </w:rPr>
  </w:style>
  <w:style w:type="character" w:customStyle="1" w:styleId="CommentSubjectChar">
    <w:name w:val="Comment Subject Char"/>
    <w:link w:val="CommentSubject"/>
    <w:uiPriority w:val="99"/>
    <w:semiHidden/>
    <w:rsid w:val="00250BEA"/>
    <w:rPr>
      <w:rFonts w:ascii="Cambria" w:hAnsi="Cambria"/>
      <w:b/>
      <w:bCs/>
      <w:sz w:val="20"/>
      <w:szCs w:val="20"/>
      <w:lang w:val="en-AU" w:eastAsia="en-US"/>
    </w:rPr>
  </w:style>
  <w:style w:type="character" w:styleId="Strong">
    <w:name w:val="Strong"/>
    <w:qFormat/>
    <w:rsid w:val="00C00AFA"/>
    <w:rPr>
      <w:b/>
      <w:bCs/>
    </w:rPr>
  </w:style>
  <w:style w:type="paragraph" w:customStyle="1" w:styleId="Text">
    <w:name w:val="Text"/>
    <w:basedOn w:val="Normal"/>
    <w:link w:val="TextZchn"/>
    <w:rsid w:val="00AF6636"/>
    <w:pPr>
      <w:spacing w:before="120" w:after="120" w:line="340" w:lineRule="exact"/>
    </w:pPr>
    <w:rPr>
      <w:rFonts w:eastAsia="Times New Roman"/>
      <w:sz w:val="24"/>
      <w:szCs w:val="20"/>
      <w:lang w:val="en-GB" w:eastAsia="de-DE"/>
    </w:rPr>
  </w:style>
  <w:style w:type="paragraph" w:styleId="EndnoteText">
    <w:name w:val="endnote text"/>
    <w:basedOn w:val="Normal"/>
    <w:next w:val="Normal"/>
    <w:link w:val="EndnoteTextChar"/>
    <w:uiPriority w:val="99"/>
    <w:rsid w:val="00AF6636"/>
    <w:pPr>
      <w:tabs>
        <w:tab w:val="left" w:pos="567"/>
      </w:tabs>
      <w:spacing w:before="120" w:after="120" w:line="340" w:lineRule="exact"/>
    </w:pPr>
    <w:rPr>
      <w:rFonts w:eastAsia="Times New Roman"/>
      <w:lang w:val="en-GB" w:eastAsia="sv-SE"/>
    </w:rPr>
  </w:style>
  <w:style w:type="character" w:customStyle="1" w:styleId="EndnoteTextChar">
    <w:name w:val="Endnote Text Char"/>
    <w:link w:val="EndnoteText"/>
    <w:uiPriority w:val="99"/>
    <w:rsid w:val="00AF6636"/>
    <w:rPr>
      <w:rFonts w:eastAsia="Times New Roman"/>
      <w:sz w:val="22"/>
      <w:szCs w:val="22"/>
      <w:lang w:val="en-GB" w:eastAsia="sv-SE"/>
    </w:rPr>
  </w:style>
  <w:style w:type="character" w:customStyle="1" w:styleId="TextZchn">
    <w:name w:val="Text Zchn"/>
    <w:link w:val="Text"/>
    <w:rsid w:val="00AF6636"/>
    <w:rPr>
      <w:rFonts w:eastAsia="Times New Roman"/>
      <w:sz w:val="24"/>
      <w:lang w:val="en-GB" w:eastAsia="de-DE"/>
    </w:rPr>
  </w:style>
  <w:style w:type="paragraph" w:styleId="ListBullet2">
    <w:name w:val="List Bullet 2"/>
    <w:basedOn w:val="Normal"/>
    <w:uiPriority w:val="99"/>
    <w:unhideWhenUsed/>
    <w:rsid w:val="006C0027"/>
    <w:pPr>
      <w:numPr>
        <w:numId w:val="11"/>
      </w:numPr>
      <w:contextualSpacing/>
    </w:pPr>
  </w:style>
  <w:style w:type="character" w:customStyle="1" w:styleId="ListBullet2Char">
    <w:name w:val="List Bullet 2 Char"/>
    <w:uiPriority w:val="99"/>
    <w:rsid w:val="006C0027"/>
    <w:rPr>
      <w:rFonts w:ascii="Times New Roman" w:hAnsi="Times New Roman" w:cs="Times New Roman"/>
      <w:sz w:val="24"/>
      <w:szCs w:val="24"/>
      <w:lang w:val="ru-RU" w:eastAsia="de-DE"/>
    </w:rPr>
  </w:style>
  <w:style w:type="paragraph" w:customStyle="1" w:styleId="Default">
    <w:name w:val="Default"/>
    <w:rsid w:val="008F3FD1"/>
    <w:pPr>
      <w:autoSpaceDE w:val="0"/>
      <w:autoSpaceDN w:val="0"/>
      <w:adjustRightInd w:val="0"/>
    </w:pPr>
    <w:rPr>
      <w:rFonts w:ascii="Cambria" w:hAnsi="Cambria" w:cs="Cambria"/>
      <w:color w:val="000000"/>
      <w:sz w:val="24"/>
      <w:szCs w:val="24"/>
    </w:rPr>
  </w:style>
  <w:style w:type="character" w:customStyle="1" w:styleId="ATextBerichtChar">
    <w:name w:val="A_Text_Bericht Char"/>
    <w:link w:val="ATextBericht"/>
    <w:rsid w:val="00BE38AB"/>
    <w:rPr>
      <w:rFonts w:ascii="Times New Roman" w:eastAsia="Times New Roman" w:hAnsi="Times New Roman"/>
      <w:sz w:val="24"/>
      <w:lang w:val="en-US" w:eastAsia="de-DE"/>
    </w:rPr>
  </w:style>
  <w:style w:type="table" w:styleId="TableGrid">
    <w:name w:val="Table Grid"/>
    <w:basedOn w:val="TableNormal"/>
    <w:uiPriority w:val="59"/>
    <w:rsid w:val="00BE38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46CB"/>
    <w:rPr>
      <w:sz w:val="22"/>
      <w:szCs w:val="22"/>
      <w:lang w:val="en-AU" w:eastAsia="en-US"/>
    </w:rPr>
  </w:style>
  <w:style w:type="paragraph" w:styleId="NormalWeb">
    <w:name w:val="Normal (Web)"/>
    <w:basedOn w:val="Normal"/>
    <w:uiPriority w:val="99"/>
    <w:semiHidden/>
    <w:unhideWhenUsed/>
    <w:rsid w:val="00740078"/>
    <w:pPr>
      <w:spacing w:before="100" w:beforeAutospacing="1" w:after="100" w:afterAutospacing="1" w:line="240" w:lineRule="auto"/>
      <w:jc w:val="left"/>
    </w:pPr>
    <w:rPr>
      <w:rFonts w:ascii="Times New Roman" w:eastAsia="Times New Roman" w:hAnsi="Times New Roman"/>
      <w:sz w:val="24"/>
      <w:szCs w:val="24"/>
      <w:lang w:eastAsia="en-AU"/>
    </w:rPr>
  </w:style>
  <w:style w:type="paragraph" w:styleId="Header">
    <w:name w:val="header"/>
    <w:basedOn w:val="Normal"/>
    <w:link w:val="HeaderChar"/>
    <w:uiPriority w:val="99"/>
    <w:unhideWhenUsed/>
    <w:rsid w:val="00345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640"/>
    <w:rPr>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823">
      <w:bodyDiv w:val="1"/>
      <w:marLeft w:val="0"/>
      <w:marRight w:val="0"/>
      <w:marTop w:val="0"/>
      <w:marBottom w:val="0"/>
      <w:divBdr>
        <w:top w:val="none" w:sz="0" w:space="0" w:color="auto"/>
        <w:left w:val="none" w:sz="0" w:space="0" w:color="auto"/>
        <w:bottom w:val="none" w:sz="0" w:space="0" w:color="auto"/>
        <w:right w:val="none" w:sz="0" w:space="0" w:color="auto"/>
      </w:divBdr>
    </w:div>
    <w:div w:id="883181468">
      <w:bodyDiv w:val="1"/>
      <w:marLeft w:val="0"/>
      <w:marRight w:val="0"/>
      <w:marTop w:val="0"/>
      <w:marBottom w:val="0"/>
      <w:divBdr>
        <w:top w:val="none" w:sz="0" w:space="0" w:color="auto"/>
        <w:left w:val="none" w:sz="0" w:space="0" w:color="auto"/>
        <w:bottom w:val="none" w:sz="0" w:space="0" w:color="auto"/>
        <w:right w:val="none" w:sz="0" w:space="0" w:color="auto"/>
      </w:divBdr>
    </w:div>
    <w:div w:id="11271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C9E19-0E05-4C0D-8071-4DE33E96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3940</Words>
  <Characters>22262</Characters>
  <Application>Microsoft Office Word</Application>
  <DocSecurity>0</DocSecurity>
  <Lines>556</Lines>
  <Paragraphs>327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Attachment: Product Information for Human normal immunoglobulin</vt:lpstr>
      <vt:lpstr>PI template with Black Triangle</vt:lpstr>
    </vt:vector>
  </TitlesOfParts>
  <Company>Octapharma Australia Pty Ltd</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Human normal immunoglobulin</dc:title>
  <dc:subject>prescription medicines</dc:subject>
  <dc:creator>Octapharma Australia Pty Ltd</dc:creator>
  <cp:keywords>template</cp:keywords>
  <cp:lastPrinted>2021-04-26T04:08:00Z</cp:lastPrinted>
  <dcterms:created xsi:type="dcterms:W3CDTF">2021-07-08T06:15:00Z</dcterms:created>
  <dcterms:modified xsi:type="dcterms:W3CDTF">2021-07-08T06:17:00Z</dcterms:modified>
</cp:coreProperties>
</file>