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64" w:rsidRPr="00F2256D" w:rsidRDefault="00014864">
      <w:pPr>
        <w:spacing w:line="360" w:lineRule="exact"/>
        <w:jc w:val="center"/>
        <w:rPr>
          <w:rFonts w:ascii="Arial" w:hAnsi="Arial"/>
          <w:sz w:val="24"/>
        </w:rPr>
      </w:pPr>
      <w:r w:rsidRPr="00F2256D">
        <w:rPr>
          <w:rFonts w:ascii="Arial" w:hAnsi="Arial"/>
          <w:b/>
          <w:sz w:val="24"/>
          <w:u w:val="single"/>
        </w:rPr>
        <w:t>CERVARIX</w:t>
      </w:r>
      <w:r w:rsidRPr="00F2256D">
        <w:rPr>
          <w:rFonts w:ascii="Arial" w:hAnsi="Arial"/>
          <w:b/>
          <w:sz w:val="24"/>
          <w:szCs w:val="24"/>
          <w:u w:val="single"/>
          <w:vertAlign w:val="superscript"/>
        </w:rPr>
        <w:t xml:space="preserve">® </w:t>
      </w:r>
      <w:r w:rsidRPr="00F2256D">
        <w:rPr>
          <w:rFonts w:ascii="Arial" w:hAnsi="Arial"/>
          <w:b/>
          <w:sz w:val="24"/>
          <w:u w:val="single"/>
        </w:rPr>
        <w:t>PRODUCT INFORMATION</w:t>
      </w:r>
    </w:p>
    <w:p w:rsidR="00014864" w:rsidRPr="00F2256D" w:rsidRDefault="00014864">
      <w:pPr>
        <w:spacing w:line="360" w:lineRule="exact"/>
        <w:jc w:val="center"/>
        <w:rPr>
          <w:rFonts w:ascii="Arial" w:hAnsi="Arial"/>
          <w:sz w:val="24"/>
        </w:rPr>
      </w:pPr>
      <w:bookmarkStart w:id="0" w:name="_GoBack"/>
      <w:r w:rsidRPr="00F2256D">
        <w:rPr>
          <w:rFonts w:ascii="Arial" w:hAnsi="Arial"/>
          <w:sz w:val="24"/>
        </w:rPr>
        <w:t xml:space="preserve">Human Papillomavirus Vaccine Types 16 and 18 </w:t>
      </w:r>
      <w:bookmarkEnd w:id="0"/>
    </w:p>
    <w:p w:rsidR="00014864" w:rsidRPr="00F2256D" w:rsidRDefault="00014864">
      <w:pPr>
        <w:spacing w:line="360" w:lineRule="exact"/>
        <w:jc w:val="center"/>
        <w:rPr>
          <w:rFonts w:ascii="Arial" w:hAnsi="Arial"/>
          <w:sz w:val="24"/>
        </w:rPr>
      </w:pPr>
      <w:r w:rsidRPr="00F2256D">
        <w:rPr>
          <w:rFonts w:ascii="Arial" w:hAnsi="Arial"/>
          <w:sz w:val="24"/>
        </w:rPr>
        <w:t>(Recombinant, AS</w:t>
      </w:r>
      <w:r w:rsidR="00516EE7" w:rsidRPr="00F2256D">
        <w:rPr>
          <w:rFonts w:ascii="Arial" w:hAnsi="Arial"/>
          <w:sz w:val="24"/>
        </w:rPr>
        <w:t>0</w:t>
      </w:r>
      <w:r w:rsidRPr="00F2256D">
        <w:rPr>
          <w:rFonts w:ascii="Arial" w:hAnsi="Arial"/>
          <w:sz w:val="24"/>
        </w:rPr>
        <w:t xml:space="preserve">4 </w:t>
      </w:r>
      <w:proofErr w:type="spellStart"/>
      <w:r w:rsidRPr="00F2256D">
        <w:rPr>
          <w:rFonts w:ascii="Arial" w:hAnsi="Arial"/>
          <w:sz w:val="24"/>
        </w:rPr>
        <w:t>adjuvanted</w:t>
      </w:r>
      <w:proofErr w:type="spellEnd"/>
      <w:r w:rsidRPr="00F2256D">
        <w:rPr>
          <w:rFonts w:ascii="Arial" w:hAnsi="Arial"/>
          <w:sz w:val="24"/>
        </w:rPr>
        <w:t>)</w:t>
      </w:r>
    </w:p>
    <w:p w:rsidR="00014864" w:rsidRPr="00F2256D" w:rsidRDefault="00014864">
      <w:pPr>
        <w:spacing w:line="360" w:lineRule="exact"/>
        <w:rPr>
          <w:rFonts w:ascii="Arial" w:hAnsi="Arial"/>
          <w:b/>
          <w:i/>
          <w:sz w:val="24"/>
        </w:rPr>
      </w:pPr>
    </w:p>
    <w:p w:rsidR="00014864" w:rsidRPr="00F2256D" w:rsidRDefault="00014864">
      <w:pPr>
        <w:spacing w:line="360" w:lineRule="exact"/>
        <w:rPr>
          <w:rFonts w:ascii="Arial" w:hAnsi="Arial"/>
          <w:b/>
          <w:sz w:val="24"/>
        </w:rPr>
      </w:pPr>
      <w:r w:rsidRPr="00F2256D">
        <w:rPr>
          <w:rFonts w:ascii="Arial" w:hAnsi="Arial"/>
          <w:b/>
          <w:sz w:val="24"/>
        </w:rPr>
        <w:t>DESCRIPTION</w:t>
      </w:r>
    </w:p>
    <w:p w:rsidR="00014864" w:rsidRPr="00F2256D" w:rsidRDefault="00014864">
      <w:pPr>
        <w:spacing w:line="360" w:lineRule="exact"/>
        <w:rPr>
          <w:rFonts w:ascii="Arial" w:hAnsi="Arial"/>
          <w:sz w:val="24"/>
        </w:rPr>
      </w:pPr>
    </w:p>
    <w:p w:rsidR="00014864" w:rsidRPr="00F2256D" w:rsidRDefault="0025581C">
      <w:pPr>
        <w:spacing w:line="360" w:lineRule="exact"/>
        <w:rPr>
          <w:rFonts w:ascii="Arial" w:hAnsi="Arial" w:cs="Arial"/>
          <w:sz w:val="24"/>
          <w:szCs w:val="24"/>
        </w:rPr>
      </w:pPr>
      <w:r w:rsidRPr="00F2256D">
        <w:rPr>
          <w:rFonts w:ascii="Arial" w:hAnsi="Arial" w:cs="Arial"/>
          <w:sz w:val="24"/>
          <w:szCs w:val="24"/>
          <w:lang w:val="en-US"/>
        </w:rPr>
        <w:t>CERVARIX contains r</w:t>
      </w:r>
      <w:r w:rsidR="00014864" w:rsidRPr="00F2256D">
        <w:rPr>
          <w:rFonts w:ascii="Arial" w:hAnsi="Arial" w:cs="Arial"/>
          <w:sz w:val="24"/>
          <w:szCs w:val="24"/>
          <w:lang w:val="en-US"/>
        </w:rPr>
        <w:t xml:space="preserve">ecombinant C-terminally truncated L1 proteins from </w:t>
      </w:r>
      <w:r w:rsidRPr="00F2256D">
        <w:rPr>
          <w:rFonts w:ascii="Arial" w:hAnsi="Arial" w:cs="Arial"/>
          <w:sz w:val="24"/>
          <w:szCs w:val="24"/>
          <w:lang w:val="en-US"/>
        </w:rPr>
        <w:t>human papillomavirus (</w:t>
      </w:r>
      <w:r w:rsidR="00014864" w:rsidRPr="00F2256D">
        <w:rPr>
          <w:rFonts w:ascii="Arial" w:hAnsi="Arial" w:cs="Arial"/>
          <w:sz w:val="24"/>
          <w:szCs w:val="24"/>
          <w:lang w:val="en-US"/>
        </w:rPr>
        <w:t>HPV</w:t>
      </w:r>
      <w:r w:rsidRPr="00F2256D">
        <w:rPr>
          <w:rFonts w:ascii="Arial" w:hAnsi="Arial" w:cs="Arial"/>
          <w:sz w:val="24"/>
          <w:szCs w:val="24"/>
          <w:lang w:val="en-US"/>
        </w:rPr>
        <w:t>)</w:t>
      </w:r>
      <w:r w:rsidR="00014864" w:rsidRPr="00F2256D">
        <w:rPr>
          <w:rFonts w:ascii="Arial" w:hAnsi="Arial" w:cs="Arial"/>
          <w:sz w:val="24"/>
          <w:szCs w:val="24"/>
          <w:lang w:val="en-US"/>
        </w:rPr>
        <w:t xml:space="preserve"> type-16 and type-18 each assembled as virus-like particles (VLPs)</w:t>
      </w:r>
      <w:r w:rsidR="000B7FB7" w:rsidRPr="00F2256D">
        <w:rPr>
          <w:rFonts w:ascii="Arial" w:hAnsi="Arial" w:cs="Arial"/>
          <w:sz w:val="24"/>
          <w:szCs w:val="24"/>
          <w:lang w:val="en-US"/>
        </w:rPr>
        <w:t>.</w:t>
      </w:r>
      <w:r w:rsidR="00014864" w:rsidRPr="00F2256D">
        <w:rPr>
          <w:rFonts w:ascii="Arial" w:hAnsi="Arial" w:cs="Arial"/>
          <w:sz w:val="24"/>
          <w:szCs w:val="24"/>
          <w:highlight w:val="yellow"/>
          <w:lang w:val="en-US"/>
        </w:rPr>
        <w:t xml:space="preserve"> </w:t>
      </w:r>
      <w:r w:rsidR="00014864" w:rsidRPr="00F2256D">
        <w:rPr>
          <w:rFonts w:ascii="Arial" w:hAnsi="Arial" w:cs="Arial"/>
          <w:sz w:val="24"/>
          <w:szCs w:val="24"/>
        </w:rPr>
        <w:t>The HPV-16 and HPV-18 L1 antigens are prepared by</w:t>
      </w:r>
      <w:r w:rsidR="00014864" w:rsidRPr="00F2256D">
        <w:rPr>
          <w:rFonts w:ascii="Arial Bold" w:hAnsi="Arial Bold" w:cs="Arial"/>
          <w:sz w:val="24"/>
          <w:szCs w:val="24"/>
        </w:rPr>
        <w:t xml:space="preserve"> </w:t>
      </w:r>
      <w:r w:rsidR="00014864" w:rsidRPr="00F2256D">
        <w:rPr>
          <w:rFonts w:ascii="Arial" w:hAnsi="Arial" w:cs="Arial"/>
          <w:sz w:val="24"/>
          <w:szCs w:val="24"/>
        </w:rPr>
        <w:t xml:space="preserve">recombinant DNA technology using a </w:t>
      </w:r>
      <w:proofErr w:type="spellStart"/>
      <w:r w:rsidR="00014864" w:rsidRPr="00F2256D">
        <w:rPr>
          <w:rFonts w:ascii="Arial" w:hAnsi="Arial" w:cs="Arial"/>
          <w:sz w:val="24"/>
          <w:szCs w:val="24"/>
        </w:rPr>
        <w:t>Baculovirus</w:t>
      </w:r>
      <w:proofErr w:type="spellEnd"/>
      <w:r w:rsidR="00014864" w:rsidRPr="00F2256D">
        <w:rPr>
          <w:rFonts w:ascii="Arial" w:hAnsi="Arial" w:cs="Arial"/>
          <w:sz w:val="24"/>
          <w:szCs w:val="24"/>
        </w:rPr>
        <w:t xml:space="preserve"> expression system</w:t>
      </w:r>
      <w:r w:rsidR="00657E03" w:rsidRPr="00F2256D">
        <w:rPr>
          <w:rFonts w:ascii="Arial" w:hAnsi="Arial" w:cs="Arial"/>
          <w:sz w:val="24"/>
          <w:szCs w:val="24"/>
        </w:rPr>
        <w:t xml:space="preserve"> in </w:t>
      </w:r>
      <w:proofErr w:type="spellStart"/>
      <w:r w:rsidR="00224E37">
        <w:rPr>
          <w:rFonts w:ascii="Arial" w:hAnsi="Arial" w:cs="Arial"/>
          <w:i/>
          <w:sz w:val="24"/>
          <w:szCs w:val="24"/>
        </w:rPr>
        <w:t>Trichoplus</w:t>
      </w:r>
      <w:r w:rsidR="00657E03" w:rsidRPr="00F2256D">
        <w:rPr>
          <w:rFonts w:ascii="Arial" w:hAnsi="Arial" w:cs="Arial"/>
          <w:i/>
          <w:sz w:val="24"/>
          <w:szCs w:val="24"/>
        </w:rPr>
        <w:t>ia</w:t>
      </w:r>
      <w:proofErr w:type="spellEnd"/>
      <w:r w:rsidR="00657E03" w:rsidRPr="00F2256D">
        <w:rPr>
          <w:rFonts w:ascii="Arial" w:hAnsi="Arial" w:cs="Arial"/>
          <w:i/>
          <w:sz w:val="24"/>
          <w:szCs w:val="24"/>
        </w:rPr>
        <w:t xml:space="preserve"> </w:t>
      </w:r>
      <w:proofErr w:type="spellStart"/>
      <w:proofErr w:type="gramStart"/>
      <w:r w:rsidR="00657E03" w:rsidRPr="00F2256D">
        <w:rPr>
          <w:rFonts w:ascii="Arial" w:hAnsi="Arial" w:cs="Arial"/>
          <w:i/>
          <w:sz w:val="24"/>
          <w:szCs w:val="24"/>
        </w:rPr>
        <w:t>ni</w:t>
      </w:r>
      <w:proofErr w:type="spellEnd"/>
      <w:proofErr w:type="gramEnd"/>
      <w:r w:rsidR="00657E03" w:rsidRPr="00F2256D">
        <w:rPr>
          <w:rFonts w:ascii="Arial" w:hAnsi="Arial" w:cs="Arial"/>
          <w:sz w:val="24"/>
          <w:szCs w:val="24"/>
        </w:rPr>
        <w:t xml:space="preserve"> cells</w:t>
      </w:r>
      <w:r w:rsidR="00014864" w:rsidRPr="00F2256D">
        <w:rPr>
          <w:rFonts w:ascii="Arial" w:hAnsi="Arial" w:cs="Arial"/>
          <w:sz w:val="24"/>
          <w:szCs w:val="24"/>
        </w:rPr>
        <w:t xml:space="preserve">.  </w:t>
      </w:r>
    </w:p>
    <w:p w:rsidR="00014864" w:rsidRPr="00F2256D" w:rsidRDefault="00014864">
      <w:pPr>
        <w:spacing w:line="360" w:lineRule="exact"/>
        <w:rPr>
          <w:rFonts w:ascii="Arial" w:hAnsi="Arial" w:cs="Arial"/>
          <w:sz w:val="24"/>
          <w:szCs w:val="24"/>
          <w:lang w:val="en-US"/>
        </w:rPr>
      </w:pPr>
    </w:p>
    <w:p w:rsidR="00014864" w:rsidRPr="00F2256D" w:rsidRDefault="00014864">
      <w:pPr>
        <w:spacing w:line="360" w:lineRule="exact"/>
        <w:rPr>
          <w:rFonts w:ascii="Arial" w:hAnsi="Arial" w:cs="Arial"/>
          <w:sz w:val="24"/>
          <w:szCs w:val="24"/>
          <w:lang w:val="en-GB"/>
        </w:rPr>
      </w:pPr>
      <w:r w:rsidRPr="00F2256D">
        <w:rPr>
          <w:rFonts w:ascii="Arial" w:hAnsi="Arial" w:cs="Arial"/>
          <w:sz w:val="24"/>
          <w:szCs w:val="24"/>
          <w:lang w:val="en-US"/>
        </w:rPr>
        <w:t xml:space="preserve">HPV-16 and HPV-18 L1 antigens in CERVARIX are </w:t>
      </w:r>
      <w:proofErr w:type="spellStart"/>
      <w:r w:rsidRPr="00F2256D">
        <w:rPr>
          <w:rFonts w:ascii="Arial" w:hAnsi="Arial" w:cs="Arial"/>
          <w:sz w:val="24"/>
          <w:szCs w:val="24"/>
          <w:lang w:val="en-US"/>
        </w:rPr>
        <w:t>adjuvanted</w:t>
      </w:r>
      <w:proofErr w:type="spellEnd"/>
      <w:r w:rsidRPr="00F2256D">
        <w:rPr>
          <w:rFonts w:ascii="Arial" w:hAnsi="Arial" w:cs="Arial"/>
          <w:sz w:val="24"/>
          <w:szCs w:val="24"/>
          <w:lang w:val="en-US"/>
        </w:rPr>
        <w:t xml:space="preserve"> with AS04.  This AS04 adjuvant system comprises </w:t>
      </w:r>
      <w:proofErr w:type="spellStart"/>
      <w:r w:rsidRPr="00F2256D">
        <w:rPr>
          <w:rFonts w:ascii="Arial" w:hAnsi="Arial" w:cs="Arial"/>
          <w:sz w:val="24"/>
          <w:szCs w:val="24"/>
          <w:lang w:val="en-US"/>
        </w:rPr>
        <w:t>aluminium</w:t>
      </w:r>
      <w:proofErr w:type="spellEnd"/>
      <w:r w:rsidRPr="00F2256D">
        <w:rPr>
          <w:rFonts w:ascii="Arial" w:hAnsi="Arial" w:cs="Arial"/>
          <w:sz w:val="24"/>
          <w:szCs w:val="24"/>
          <w:lang w:val="en-US"/>
        </w:rPr>
        <w:t xml:space="preserve"> hydroxide (</w:t>
      </w:r>
      <w:proofErr w:type="gramStart"/>
      <w:r w:rsidRPr="00F2256D">
        <w:rPr>
          <w:rFonts w:ascii="Arial" w:hAnsi="Arial" w:cs="Arial"/>
          <w:sz w:val="24"/>
          <w:szCs w:val="24"/>
          <w:lang w:val="en-US"/>
        </w:rPr>
        <w:t>Al(</w:t>
      </w:r>
      <w:proofErr w:type="gramEnd"/>
      <w:r w:rsidRPr="00F2256D">
        <w:rPr>
          <w:rFonts w:ascii="Arial" w:hAnsi="Arial" w:cs="Arial"/>
          <w:sz w:val="24"/>
          <w:szCs w:val="24"/>
          <w:lang w:val="en-US"/>
        </w:rPr>
        <w:t>OH)</w:t>
      </w:r>
      <w:r w:rsidRPr="00F2256D">
        <w:rPr>
          <w:rFonts w:ascii="Arial" w:hAnsi="Arial" w:cs="Arial"/>
          <w:sz w:val="24"/>
          <w:szCs w:val="24"/>
          <w:vertAlign w:val="subscript"/>
          <w:lang w:val="en-US"/>
        </w:rPr>
        <w:t>3</w:t>
      </w:r>
      <w:r w:rsidRPr="00F2256D">
        <w:rPr>
          <w:rFonts w:ascii="Arial" w:hAnsi="Arial" w:cs="Arial"/>
          <w:sz w:val="24"/>
          <w:szCs w:val="24"/>
          <w:lang w:val="en-US"/>
        </w:rPr>
        <w:t xml:space="preserve">) and </w:t>
      </w:r>
      <w:r w:rsidRPr="00F2256D">
        <w:rPr>
          <w:rFonts w:ascii="Arial" w:hAnsi="Arial" w:cs="Arial"/>
          <w:sz w:val="24"/>
          <w:szCs w:val="24"/>
        </w:rPr>
        <w:t>3-</w:t>
      </w:r>
      <w:r w:rsidRPr="00F2256D">
        <w:rPr>
          <w:rFonts w:ascii="Arial" w:hAnsi="Arial" w:cs="Arial"/>
          <w:i/>
          <w:sz w:val="24"/>
          <w:szCs w:val="24"/>
        </w:rPr>
        <w:t>O</w:t>
      </w:r>
      <w:r w:rsidRPr="00F2256D">
        <w:rPr>
          <w:rFonts w:ascii="Arial" w:hAnsi="Arial" w:cs="Arial"/>
          <w:sz w:val="24"/>
          <w:szCs w:val="24"/>
        </w:rPr>
        <w:t xml:space="preserve">-desacyl-4’- </w:t>
      </w:r>
      <w:proofErr w:type="spellStart"/>
      <w:r w:rsidRPr="00F2256D">
        <w:rPr>
          <w:rFonts w:ascii="Arial" w:hAnsi="Arial" w:cs="Arial"/>
          <w:sz w:val="24"/>
          <w:szCs w:val="24"/>
        </w:rPr>
        <w:t>monophosphoryl</w:t>
      </w:r>
      <w:proofErr w:type="spellEnd"/>
      <w:r w:rsidRPr="00F2256D">
        <w:rPr>
          <w:rFonts w:ascii="Arial" w:hAnsi="Arial" w:cs="Arial"/>
          <w:sz w:val="24"/>
          <w:szCs w:val="24"/>
        </w:rPr>
        <w:t xml:space="preserve"> lipid A</w:t>
      </w:r>
      <w:r w:rsidRPr="00F2256D">
        <w:rPr>
          <w:rFonts w:ascii="Arial" w:hAnsi="Arial" w:cs="Arial"/>
          <w:sz w:val="24"/>
          <w:szCs w:val="24"/>
          <w:lang w:val="en-US"/>
        </w:rPr>
        <w:t xml:space="preserve"> (MPL).  The MPL within AS04</w:t>
      </w:r>
      <w:r w:rsidRPr="00F2256D">
        <w:rPr>
          <w:rFonts w:ascii="Arial" w:hAnsi="Arial" w:cs="Arial"/>
          <w:sz w:val="24"/>
          <w:szCs w:val="24"/>
          <w:lang w:val="en-GB"/>
        </w:rPr>
        <w:t xml:space="preserve"> enhances the initiation of the immune response through the activation of innate immunity, leading to an improved cellular and humoral adaptive immune response.  </w:t>
      </w:r>
    </w:p>
    <w:p w:rsidR="00014864" w:rsidRPr="00F2256D" w:rsidRDefault="00014864">
      <w:pPr>
        <w:spacing w:line="360" w:lineRule="exact"/>
        <w:rPr>
          <w:rFonts w:ascii="Arial" w:hAnsi="Arial" w:cs="Arial"/>
          <w:sz w:val="24"/>
          <w:szCs w:val="24"/>
          <w:lang w:val="en-GB"/>
        </w:rPr>
      </w:pPr>
    </w:p>
    <w:p w:rsidR="00014864" w:rsidRPr="00F2256D" w:rsidRDefault="00014864">
      <w:pPr>
        <w:spacing w:line="360" w:lineRule="exact"/>
        <w:rPr>
          <w:rFonts w:ascii="Arial" w:hAnsi="Arial"/>
          <w:sz w:val="24"/>
        </w:rPr>
      </w:pPr>
      <w:r w:rsidRPr="00F2256D">
        <w:rPr>
          <w:rFonts w:ascii="Arial" w:hAnsi="Arial"/>
          <w:sz w:val="24"/>
        </w:rPr>
        <w:t>Each 0.5ml dose of CERVARIX contains 20 micrograms each of HPV-</w:t>
      </w:r>
      <w:r w:rsidRPr="00F2256D">
        <w:rPr>
          <w:rFonts w:ascii="Arial" w:hAnsi="Arial" w:cs="Arial"/>
          <w:sz w:val="24"/>
          <w:szCs w:val="24"/>
        </w:rPr>
        <w:t xml:space="preserve">16 L1 and HPV-18 L1 proteins, </w:t>
      </w:r>
      <w:r w:rsidRPr="00F2256D">
        <w:rPr>
          <w:rFonts w:ascii="Arial" w:hAnsi="Arial" w:cs="Arial"/>
          <w:sz w:val="24"/>
          <w:szCs w:val="24"/>
          <w:lang w:val="en-US"/>
        </w:rPr>
        <w:t xml:space="preserve">0.5 milligrams of </w:t>
      </w:r>
      <w:proofErr w:type="gramStart"/>
      <w:r w:rsidRPr="00F2256D">
        <w:rPr>
          <w:rFonts w:ascii="Arial" w:hAnsi="Arial" w:cs="Arial"/>
          <w:sz w:val="24"/>
          <w:szCs w:val="24"/>
          <w:lang w:val="en-US"/>
        </w:rPr>
        <w:t>Al(</w:t>
      </w:r>
      <w:proofErr w:type="gramEnd"/>
      <w:r w:rsidRPr="00F2256D">
        <w:rPr>
          <w:rFonts w:ascii="Arial" w:hAnsi="Arial" w:cs="Arial"/>
          <w:sz w:val="24"/>
          <w:szCs w:val="24"/>
          <w:lang w:val="en-US"/>
        </w:rPr>
        <w:t>OH)</w:t>
      </w:r>
      <w:r w:rsidRPr="00F2256D">
        <w:rPr>
          <w:rFonts w:ascii="Arial" w:hAnsi="Arial" w:cs="Arial"/>
          <w:sz w:val="24"/>
          <w:szCs w:val="24"/>
          <w:vertAlign w:val="subscript"/>
          <w:lang w:val="en-US"/>
        </w:rPr>
        <w:t xml:space="preserve">3  </w:t>
      </w:r>
      <w:r w:rsidRPr="00F2256D">
        <w:rPr>
          <w:rFonts w:ascii="Arial" w:hAnsi="Arial" w:cs="Arial"/>
          <w:sz w:val="24"/>
          <w:szCs w:val="24"/>
          <w:lang w:val="en-US"/>
        </w:rPr>
        <w:t>and 50 micrograms of MPL</w:t>
      </w:r>
      <w:r w:rsidRPr="00F2256D">
        <w:rPr>
          <w:rFonts w:ascii="Arial" w:hAnsi="Arial" w:cs="Arial"/>
          <w:i/>
          <w:sz w:val="24"/>
          <w:szCs w:val="24"/>
        </w:rPr>
        <w:t xml:space="preserve">.  </w:t>
      </w:r>
      <w:r w:rsidRPr="00F2256D">
        <w:rPr>
          <w:rFonts w:ascii="Arial" w:hAnsi="Arial"/>
          <w:sz w:val="24"/>
        </w:rPr>
        <w:t>CERVARIX also contains sodium chloride (</w:t>
      </w:r>
      <w:proofErr w:type="spellStart"/>
      <w:r w:rsidRPr="00F2256D">
        <w:rPr>
          <w:rFonts w:ascii="Arial" w:hAnsi="Arial"/>
          <w:sz w:val="24"/>
        </w:rPr>
        <w:t>NaCl</w:t>
      </w:r>
      <w:proofErr w:type="spellEnd"/>
      <w:r w:rsidRPr="00F2256D">
        <w:rPr>
          <w:rFonts w:ascii="Arial" w:hAnsi="Arial"/>
          <w:sz w:val="24"/>
        </w:rPr>
        <w:t>) 4.4 mg, sodium phosphate - monobasic (NaH</w:t>
      </w:r>
      <w:r w:rsidRPr="00F2256D">
        <w:rPr>
          <w:rFonts w:ascii="Arial" w:hAnsi="Arial"/>
          <w:sz w:val="24"/>
          <w:szCs w:val="24"/>
          <w:vertAlign w:val="subscript"/>
        </w:rPr>
        <w:t>2</w:t>
      </w:r>
      <w:r w:rsidRPr="00F2256D">
        <w:rPr>
          <w:rFonts w:ascii="Arial" w:hAnsi="Arial"/>
          <w:sz w:val="24"/>
        </w:rPr>
        <w:t>PO</w:t>
      </w:r>
      <w:r w:rsidRPr="00F2256D">
        <w:rPr>
          <w:rFonts w:ascii="Arial" w:hAnsi="Arial"/>
          <w:sz w:val="24"/>
          <w:szCs w:val="24"/>
          <w:vertAlign w:val="subscript"/>
        </w:rPr>
        <w:t>4</w:t>
      </w:r>
      <w:r w:rsidRPr="00F2256D">
        <w:rPr>
          <w:rFonts w:ascii="Arial" w:hAnsi="Arial"/>
          <w:sz w:val="24"/>
        </w:rPr>
        <w:t>.2 H</w:t>
      </w:r>
      <w:r w:rsidRPr="00F2256D">
        <w:rPr>
          <w:rFonts w:ascii="Arial" w:hAnsi="Arial"/>
          <w:sz w:val="24"/>
          <w:szCs w:val="24"/>
          <w:vertAlign w:val="subscript"/>
        </w:rPr>
        <w:t>2</w:t>
      </w:r>
      <w:r w:rsidRPr="00F2256D">
        <w:rPr>
          <w:rFonts w:ascii="Arial" w:hAnsi="Arial"/>
          <w:sz w:val="24"/>
        </w:rPr>
        <w:t>O) 624 micrograms and water for injection as excipients.  CERVARIX does not contain a preservative.</w:t>
      </w:r>
    </w:p>
    <w:p w:rsidR="00014864" w:rsidRPr="00F2256D" w:rsidRDefault="00014864">
      <w:pPr>
        <w:spacing w:line="360" w:lineRule="exact"/>
        <w:rPr>
          <w:rFonts w:ascii="Arial" w:hAnsi="Arial"/>
          <w:sz w:val="24"/>
        </w:rPr>
      </w:pPr>
    </w:p>
    <w:p w:rsidR="00014864" w:rsidRPr="00F2256D" w:rsidRDefault="00014864">
      <w:pPr>
        <w:spacing w:line="360" w:lineRule="exact"/>
        <w:rPr>
          <w:rFonts w:ascii="Arial" w:hAnsi="Arial"/>
          <w:b/>
          <w:sz w:val="24"/>
        </w:rPr>
      </w:pPr>
      <w:r w:rsidRPr="00F2256D">
        <w:rPr>
          <w:rFonts w:ascii="Arial" w:hAnsi="Arial"/>
          <w:b/>
          <w:sz w:val="24"/>
        </w:rPr>
        <w:t>PHARMACOLOGY</w:t>
      </w:r>
    </w:p>
    <w:p w:rsidR="00014864" w:rsidRPr="00F2256D" w:rsidRDefault="00014864">
      <w:pPr>
        <w:spacing w:line="360" w:lineRule="exact"/>
        <w:rPr>
          <w:rFonts w:ascii="Arial" w:hAnsi="Arial"/>
          <w:b/>
          <w:sz w:val="24"/>
        </w:rPr>
      </w:pPr>
    </w:p>
    <w:p w:rsidR="00D05741" w:rsidRPr="00F2256D" w:rsidRDefault="00D05741" w:rsidP="00D05741">
      <w:pPr>
        <w:spacing w:line="360" w:lineRule="exact"/>
        <w:rPr>
          <w:rFonts w:ascii="Arial" w:hAnsi="Arial" w:cs="Arial"/>
          <w:sz w:val="24"/>
          <w:szCs w:val="24"/>
        </w:rPr>
      </w:pPr>
      <w:r w:rsidRPr="00F2256D">
        <w:rPr>
          <w:rFonts w:ascii="Arial" w:hAnsi="Arial" w:cs="Arial"/>
          <w:sz w:val="24"/>
          <w:szCs w:val="24"/>
        </w:rPr>
        <w:t>Epidemiological evidence confirms that persistent infection with oncogenic (high-risk) HPV types is the primary cause of cervical cancer and most precursor lesions.  Persistent infection with at least one oncogenic HPV type is a necessary causal factor for pre-cancerous high-grade cervical epithelial abnormalities, for example, cervical intraepithelial neoplasia (CIN).</w:t>
      </w:r>
    </w:p>
    <w:p w:rsidR="00D05741" w:rsidRPr="00F2256D" w:rsidRDefault="00D05741" w:rsidP="00D05741">
      <w:pPr>
        <w:spacing w:line="360" w:lineRule="exact"/>
        <w:rPr>
          <w:rFonts w:ascii="Arial" w:hAnsi="Arial" w:cs="Arial"/>
          <w:sz w:val="24"/>
          <w:szCs w:val="24"/>
        </w:rPr>
      </w:pPr>
    </w:p>
    <w:p w:rsidR="00224E37" w:rsidRDefault="00224E37" w:rsidP="00224E37">
      <w:pPr>
        <w:spacing w:line="360" w:lineRule="exact"/>
        <w:rPr>
          <w:rFonts w:ascii="Arial" w:hAnsi="Arial" w:cs="Arial"/>
          <w:sz w:val="24"/>
          <w:szCs w:val="24"/>
        </w:rPr>
      </w:pPr>
      <w:r>
        <w:rPr>
          <w:rFonts w:ascii="Arial" w:hAnsi="Arial" w:cs="Arial"/>
          <w:sz w:val="24"/>
          <w:szCs w:val="24"/>
        </w:rPr>
        <w:t>Invasive cervical cancer includes squamous cervical carcinoma (84%) and adenocarcinoma (16%, up to 20% in developed countries with screening programs).</w:t>
      </w:r>
    </w:p>
    <w:p w:rsidR="00224E37" w:rsidRDefault="00224E37" w:rsidP="00224E37">
      <w:pPr>
        <w:spacing w:line="360" w:lineRule="exact"/>
        <w:rPr>
          <w:rFonts w:ascii="Arial" w:hAnsi="Arial" w:cs="Arial"/>
          <w:sz w:val="24"/>
          <w:szCs w:val="24"/>
        </w:rPr>
      </w:pPr>
      <w:r>
        <w:rPr>
          <w:rFonts w:ascii="Arial" w:hAnsi="Arial" w:cs="Arial"/>
          <w:sz w:val="24"/>
          <w:szCs w:val="24"/>
        </w:rPr>
        <w:t>HPV-16 and HPV-18 are responsible for approximately 70% of cervical cancers across all regions worldwide.</w:t>
      </w:r>
    </w:p>
    <w:p w:rsidR="00224E37" w:rsidRDefault="00224E37" w:rsidP="00224E37">
      <w:pPr>
        <w:spacing w:line="360" w:lineRule="exact"/>
        <w:rPr>
          <w:rFonts w:ascii="Arial" w:hAnsi="Arial" w:cs="Arial"/>
          <w:sz w:val="24"/>
          <w:szCs w:val="24"/>
        </w:rPr>
      </w:pPr>
    </w:p>
    <w:p w:rsidR="00D05741" w:rsidRPr="00F2256D" w:rsidRDefault="00224E37" w:rsidP="00224E37">
      <w:pPr>
        <w:spacing w:line="360" w:lineRule="exact"/>
        <w:rPr>
          <w:rFonts w:ascii="Arial" w:hAnsi="Arial" w:cs="Arial"/>
          <w:sz w:val="24"/>
          <w:szCs w:val="24"/>
        </w:rPr>
      </w:pPr>
      <w:r>
        <w:rPr>
          <w:rFonts w:ascii="Arial" w:hAnsi="Arial" w:cs="Arial"/>
          <w:sz w:val="24"/>
          <w:szCs w:val="24"/>
        </w:rPr>
        <w:t>Othe</w:t>
      </w:r>
      <w:r w:rsidR="0050528D">
        <w:rPr>
          <w:rFonts w:ascii="Arial" w:hAnsi="Arial" w:cs="Arial"/>
          <w:sz w:val="24"/>
          <w:szCs w:val="24"/>
        </w:rPr>
        <w:t xml:space="preserve">r oncogenic HPV types (HPV-31, </w:t>
      </w:r>
      <w:r>
        <w:rPr>
          <w:rFonts w:ascii="Arial" w:hAnsi="Arial" w:cs="Arial"/>
          <w:sz w:val="24"/>
          <w:szCs w:val="24"/>
        </w:rPr>
        <w:t xml:space="preserve">33, </w:t>
      </w:r>
      <w:r w:rsidRPr="00D57923">
        <w:rPr>
          <w:rFonts w:ascii="Arial" w:hAnsi="Arial" w:cs="Arial"/>
          <w:sz w:val="24"/>
          <w:szCs w:val="24"/>
        </w:rPr>
        <w:t>35,</w:t>
      </w:r>
      <w:r w:rsidR="0050528D">
        <w:rPr>
          <w:rFonts w:ascii="Arial" w:hAnsi="Arial" w:cs="Arial"/>
          <w:sz w:val="24"/>
          <w:szCs w:val="24"/>
        </w:rPr>
        <w:t xml:space="preserve"> 39, 45, 51, 52, 56, 58, 59, 66, </w:t>
      </w:r>
      <w:proofErr w:type="gramStart"/>
      <w:r>
        <w:rPr>
          <w:rFonts w:ascii="Arial" w:hAnsi="Arial" w:cs="Arial"/>
          <w:sz w:val="24"/>
          <w:szCs w:val="24"/>
        </w:rPr>
        <w:t>68</w:t>
      </w:r>
      <w:proofErr w:type="gramEnd"/>
      <w:r>
        <w:rPr>
          <w:rFonts w:ascii="Arial" w:hAnsi="Arial" w:cs="Arial"/>
          <w:sz w:val="24"/>
          <w:szCs w:val="24"/>
        </w:rPr>
        <w:t>) can also cause cervical cancer. The 5 most common types identified in cervic</w:t>
      </w:r>
      <w:r w:rsidR="0050528D">
        <w:rPr>
          <w:rFonts w:ascii="Arial" w:hAnsi="Arial" w:cs="Arial"/>
          <w:sz w:val="24"/>
          <w:szCs w:val="24"/>
        </w:rPr>
        <w:t xml:space="preserve">al cancer are HPV-16, 18, 33, 45 and </w:t>
      </w:r>
      <w:r>
        <w:rPr>
          <w:rFonts w:ascii="Arial" w:hAnsi="Arial" w:cs="Arial"/>
          <w:sz w:val="24"/>
          <w:szCs w:val="24"/>
        </w:rPr>
        <w:t>31.</w:t>
      </w:r>
    </w:p>
    <w:p w:rsidR="00876B7A" w:rsidRPr="00F2256D" w:rsidRDefault="00876B7A" w:rsidP="00D05741">
      <w:pPr>
        <w:spacing w:line="360" w:lineRule="exact"/>
        <w:rPr>
          <w:rFonts w:ascii="Arial" w:hAnsi="Arial" w:cs="Arial"/>
          <w:sz w:val="24"/>
          <w:szCs w:val="24"/>
        </w:rPr>
      </w:pPr>
    </w:p>
    <w:p w:rsidR="00D05741" w:rsidRPr="00F2256D" w:rsidRDefault="00D05741" w:rsidP="00D05741">
      <w:pPr>
        <w:spacing w:line="360" w:lineRule="exact"/>
        <w:rPr>
          <w:rFonts w:ascii="Arial" w:hAnsi="Arial" w:cs="Arial"/>
          <w:b/>
          <w:sz w:val="24"/>
          <w:szCs w:val="24"/>
          <w:u w:val="single"/>
        </w:rPr>
      </w:pPr>
    </w:p>
    <w:p w:rsidR="00014864" w:rsidRPr="00F2256D" w:rsidRDefault="00014864">
      <w:pPr>
        <w:spacing w:line="360" w:lineRule="exact"/>
        <w:rPr>
          <w:rFonts w:ascii="Arial" w:hAnsi="Arial"/>
          <w:b/>
          <w:sz w:val="24"/>
        </w:rPr>
      </w:pPr>
      <w:r w:rsidRPr="00F2256D">
        <w:rPr>
          <w:rFonts w:ascii="Arial" w:hAnsi="Arial"/>
          <w:b/>
          <w:sz w:val="24"/>
        </w:rPr>
        <w:t>Mechanism of action</w:t>
      </w:r>
    </w:p>
    <w:p w:rsidR="00014864" w:rsidRPr="00F2256D" w:rsidRDefault="006249FB">
      <w:pPr>
        <w:spacing w:line="360" w:lineRule="exact"/>
        <w:rPr>
          <w:rFonts w:ascii="Arial" w:hAnsi="Arial" w:cs="Arial"/>
          <w:sz w:val="24"/>
          <w:szCs w:val="24"/>
        </w:rPr>
      </w:pPr>
      <w:r w:rsidRPr="00F2256D">
        <w:rPr>
          <w:rFonts w:ascii="Arial" w:hAnsi="Arial" w:cs="Arial"/>
          <w:sz w:val="24"/>
          <w:szCs w:val="24"/>
        </w:rPr>
        <w:t>CERVARIX</w:t>
      </w:r>
      <w:r w:rsidR="00014864" w:rsidRPr="00F2256D">
        <w:rPr>
          <w:rFonts w:ascii="Arial" w:hAnsi="Arial" w:cs="Arial"/>
          <w:sz w:val="24"/>
          <w:szCs w:val="24"/>
        </w:rPr>
        <w:t xml:space="preserve"> is a recombinant vaccine prepared from VLPs of the major L1 protein of HPV types 16 and 18. </w:t>
      </w:r>
      <w:r w:rsidRPr="00F2256D">
        <w:rPr>
          <w:rFonts w:ascii="Arial" w:hAnsi="Arial" w:cs="Arial"/>
          <w:sz w:val="24"/>
          <w:szCs w:val="24"/>
        </w:rPr>
        <w:t xml:space="preserve"> </w:t>
      </w:r>
      <w:r w:rsidR="00014864" w:rsidRPr="00F2256D">
        <w:rPr>
          <w:rFonts w:ascii="Arial" w:hAnsi="Arial" w:cs="Arial"/>
          <w:sz w:val="24"/>
          <w:szCs w:val="24"/>
        </w:rPr>
        <w:t xml:space="preserve">Since VLPs contain no viral DNA, they cannot infect cells </w:t>
      </w:r>
      <w:r w:rsidRPr="00F2256D">
        <w:rPr>
          <w:rFonts w:ascii="Arial" w:hAnsi="Arial" w:cs="Arial"/>
          <w:sz w:val="24"/>
          <w:szCs w:val="24"/>
        </w:rPr>
        <w:t xml:space="preserve">or </w:t>
      </w:r>
      <w:r w:rsidR="00014864" w:rsidRPr="00F2256D">
        <w:rPr>
          <w:rFonts w:ascii="Arial" w:hAnsi="Arial" w:cs="Arial"/>
          <w:sz w:val="24"/>
          <w:szCs w:val="24"/>
        </w:rPr>
        <w:t xml:space="preserve">reproduce.  Animal studies </w:t>
      </w:r>
      <w:r w:rsidRPr="00F2256D">
        <w:rPr>
          <w:rFonts w:ascii="Arial" w:hAnsi="Arial" w:cs="Arial"/>
          <w:sz w:val="24"/>
          <w:szCs w:val="24"/>
        </w:rPr>
        <w:t>suggest</w:t>
      </w:r>
      <w:r w:rsidR="00014864" w:rsidRPr="00F2256D">
        <w:rPr>
          <w:rFonts w:ascii="Arial" w:hAnsi="Arial" w:cs="Arial"/>
          <w:sz w:val="24"/>
          <w:szCs w:val="24"/>
        </w:rPr>
        <w:t xml:space="preserve"> that the efficacy of </w:t>
      </w:r>
      <w:r w:rsidRPr="00F2256D">
        <w:rPr>
          <w:rFonts w:ascii="Arial" w:hAnsi="Arial" w:cs="Arial"/>
          <w:sz w:val="24"/>
          <w:szCs w:val="24"/>
        </w:rPr>
        <w:t>VLPs</w:t>
      </w:r>
      <w:r w:rsidR="00014864" w:rsidRPr="00F2256D">
        <w:rPr>
          <w:rFonts w:ascii="Arial" w:hAnsi="Arial" w:cs="Arial"/>
          <w:sz w:val="24"/>
          <w:szCs w:val="24"/>
        </w:rPr>
        <w:t xml:space="preserve"> is largely mediated by the development of a humoral immune response and cell-mediated </w:t>
      </w:r>
      <w:r w:rsidRPr="00F2256D">
        <w:rPr>
          <w:rFonts w:ascii="Arial" w:hAnsi="Arial" w:cs="Arial"/>
          <w:sz w:val="24"/>
          <w:szCs w:val="24"/>
        </w:rPr>
        <w:t>immunity</w:t>
      </w:r>
      <w:r w:rsidR="00014864" w:rsidRPr="00F2256D">
        <w:rPr>
          <w:rFonts w:ascii="Arial" w:hAnsi="Arial" w:cs="Arial"/>
          <w:sz w:val="24"/>
          <w:szCs w:val="24"/>
        </w:rPr>
        <w:t>.</w:t>
      </w:r>
    </w:p>
    <w:p w:rsidR="00876B7A" w:rsidRPr="00F2256D" w:rsidRDefault="00876B7A">
      <w:pPr>
        <w:spacing w:line="360" w:lineRule="exact"/>
        <w:rPr>
          <w:rFonts w:ascii="Arial" w:hAnsi="Arial" w:cs="Arial"/>
          <w:sz w:val="24"/>
          <w:szCs w:val="24"/>
        </w:rPr>
      </w:pPr>
    </w:p>
    <w:p w:rsidR="00876B7A" w:rsidRPr="00F2256D" w:rsidRDefault="00876B7A">
      <w:pPr>
        <w:spacing w:line="360" w:lineRule="exact"/>
        <w:rPr>
          <w:rFonts w:ascii="Arial" w:hAnsi="Arial" w:cs="Arial"/>
          <w:sz w:val="24"/>
          <w:szCs w:val="24"/>
        </w:rPr>
      </w:pPr>
      <w:r w:rsidRPr="00F2256D">
        <w:rPr>
          <w:rFonts w:ascii="Arial" w:hAnsi="Arial"/>
          <w:color w:val="000000"/>
          <w:sz w:val="24"/>
          <w:szCs w:val="24"/>
        </w:rPr>
        <w:t>Transudation of anti-HPV IgG antibodies from the serum to the cervical mucosa is thought to be the primary mechanism of protection against persistent oncogenic HPV infection, the necessary cause of cervical cancer.</w:t>
      </w:r>
    </w:p>
    <w:p w:rsidR="00014864" w:rsidRPr="00F2256D" w:rsidRDefault="00014864">
      <w:pPr>
        <w:spacing w:line="360" w:lineRule="exact"/>
        <w:rPr>
          <w:rFonts w:ascii="Arial" w:hAnsi="Arial" w:cs="Arial"/>
          <w:sz w:val="24"/>
          <w:szCs w:val="24"/>
        </w:rPr>
      </w:pPr>
    </w:p>
    <w:p w:rsidR="00014864" w:rsidRPr="00F2256D" w:rsidRDefault="00931B36">
      <w:pPr>
        <w:spacing w:line="360" w:lineRule="exact"/>
        <w:rPr>
          <w:rFonts w:ascii="Arial" w:hAnsi="Arial" w:cs="Arial"/>
          <w:strike/>
          <w:snapToGrid w:val="0"/>
          <w:color w:val="000000"/>
          <w:sz w:val="24"/>
          <w:szCs w:val="24"/>
        </w:rPr>
      </w:pPr>
      <w:r w:rsidRPr="00F2256D">
        <w:rPr>
          <w:rFonts w:ascii="Arial" w:hAnsi="Arial" w:cs="Arial"/>
          <w:sz w:val="24"/>
          <w:szCs w:val="24"/>
        </w:rPr>
        <w:t>CERVARIX</w:t>
      </w:r>
      <w:r w:rsidR="00014864" w:rsidRPr="00F2256D">
        <w:rPr>
          <w:rFonts w:ascii="Arial" w:hAnsi="Arial" w:cs="Arial"/>
          <w:sz w:val="24"/>
          <w:szCs w:val="24"/>
        </w:rPr>
        <w:t xml:space="preserve"> is </w:t>
      </w:r>
      <w:proofErr w:type="spellStart"/>
      <w:r w:rsidR="00014864" w:rsidRPr="00F2256D">
        <w:rPr>
          <w:rFonts w:ascii="Arial" w:hAnsi="Arial" w:cs="Arial"/>
          <w:sz w:val="24"/>
          <w:szCs w:val="24"/>
        </w:rPr>
        <w:t>adjuvanted</w:t>
      </w:r>
      <w:proofErr w:type="spellEnd"/>
      <w:r w:rsidR="00014864" w:rsidRPr="00F2256D">
        <w:rPr>
          <w:rFonts w:ascii="Arial" w:hAnsi="Arial" w:cs="Arial"/>
          <w:sz w:val="24"/>
          <w:szCs w:val="24"/>
        </w:rPr>
        <w:t xml:space="preserve"> with AS04</w:t>
      </w:r>
      <w:r w:rsidRPr="00F2256D">
        <w:rPr>
          <w:rFonts w:ascii="Arial" w:hAnsi="Arial" w:cs="Arial"/>
          <w:sz w:val="24"/>
          <w:szCs w:val="24"/>
        </w:rPr>
        <w:t>.</w:t>
      </w:r>
      <w:r w:rsidR="00014864" w:rsidRPr="00F2256D">
        <w:rPr>
          <w:rFonts w:ascii="Arial" w:hAnsi="Arial" w:cs="Arial"/>
          <w:sz w:val="24"/>
          <w:szCs w:val="24"/>
        </w:rPr>
        <w:t xml:space="preserve"> </w:t>
      </w:r>
      <w:r w:rsidRPr="00F2256D">
        <w:rPr>
          <w:rFonts w:ascii="Arial" w:hAnsi="Arial" w:cs="Arial"/>
          <w:sz w:val="24"/>
          <w:szCs w:val="24"/>
        </w:rPr>
        <w:t xml:space="preserve"> I</w:t>
      </w:r>
      <w:r w:rsidR="00014864" w:rsidRPr="00F2256D">
        <w:rPr>
          <w:rFonts w:ascii="Arial" w:hAnsi="Arial" w:cs="Arial"/>
          <w:sz w:val="24"/>
          <w:szCs w:val="24"/>
        </w:rPr>
        <w:t xml:space="preserve">n clinical trials </w:t>
      </w:r>
      <w:r w:rsidRPr="00F2256D">
        <w:rPr>
          <w:rFonts w:ascii="Arial" w:hAnsi="Arial" w:cs="Arial"/>
          <w:sz w:val="24"/>
          <w:szCs w:val="24"/>
        </w:rPr>
        <w:t xml:space="preserve">CERVARIX </w:t>
      </w:r>
      <w:proofErr w:type="spellStart"/>
      <w:r w:rsidRPr="00F2256D">
        <w:rPr>
          <w:rFonts w:ascii="Arial" w:hAnsi="Arial" w:cs="Arial"/>
          <w:sz w:val="24"/>
          <w:szCs w:val="24"/>
        </w:rPr>
        <w:t>adjuvanted</w:t>
      </w:r>
      <w:proofErr w:type="spellEnd"/>
      <w:r w:rsidRPr="00F2256D">
        <w:rPr>
          <w:rFonts w:ascii="Arial" w:hAnsi="Arial" w:cs="Arial"/>
          <w:sz w:val="24"/>
          <w:szCs w:val="24"/>
        </w:rPr>
        <w:t xml:space="preserve"> with AS04 </w:t>
      </w:r>
      <w:r w:rsidR="00014864" w:rsidRPr="00F2256D">
        <w:rPr>
          <w:rFonts w:ascii="Arial" w:hAnsi="Arial" w:cs="Arial"/>
          <w:snapToGrid w:val="0"/>
          <w:color w:val="000000"/>
          <w:sz w:val="24"/>
          <w:szCs w:val="24"/>
        </w:rPr>
        <w:t xml:space="preserve">compared to the same antigens </w:t>
      </w:r>
      <w:proofErr w:type="spellStart"/>
      <w:r w:rsidR="00014864" w:rsidRPr="00F2256D">
        <w:rPr>
          <w:rFonts w:ascii="Arial" w:hAnsi="Arial" w:cs="Arial"/>
          <w:snapToGrid w:val="0"/>
          <w:color w:val="000000"/>
          <w:sz w:val="24"/>
          <w:szCs w:val="24"/>
        </w:rPr>
        <w:t>adjuvanted</w:t>
      </w:r>
      <w:proofErr w:type="spellEnd"/>
      <w:r w:rsidR="00014864" w:rsidRPr="00F2256D">
        <w:rPr>
          <w:rFonts w:ascii="Arial" w:hAnsi="Arial" w:cs="Arial"/>
          <w:snapToGrid w:val="0"/>
          <w:color w:val="000000"/>
          <w:sz w:val="24"/>
          <w:szCs w:val="24"/>
        </w:rPr>
        <w:t xml:space="preserve"> with aluminium </w:t>
      </w:r>
      <w:r w:rsidRPr="00F2256D">
        <w:rPr>
          <w:rFonts w:ascii="Arial" w:hAnsi="Arial" w:cs="Arial"/>
          <w:snapToGrid w:val="0"/>
          <w:color w:val="000000"/>
          <w:sz w:val="24"/>
          <w:szCs w:val="24"/>
        </w:rPr>
        <w:t>hydroxide</w:t>
      </w:r>
      <w:r w:rsidR="00014864" w:rsidRPr="00F2256D">
        <w:rPr>
          <w:rFonts w:ascii="Arial" w:hAnsi="Arial" w:cs="Arial"/>
          <w:snapToGrid w:val="0"/>
          <w:color w:val="000000"/>
          <w:sz w:val="24"/>
          <w:szCs w:val="24"/>
        </w:rPr>
        <w:t xml:space="preserve"> alone</w:t>
      </w:r>
      <w:r w:rsidRPr="00F2256D">
        <w:rPr>
          <w:rFonts w:ascii="Arial" w:hAnsi="Arial" w:cs="Arial"/>
          <w:snapToGrid w:val="0"/>
          <w:color w:val="000000"/>
          <w:sz w:val="24"/>
          <w:szCs w:val="24"/>
        </w:rPr>
        <w:t xml:space="preserve"> showed:</w:t>
      </w:r>
    </w:p>
    <w:p w:rsidR="00931B36" w:rsidRPr="00F2256D" w:rsidRDefault="00931B36" w:rsidP="00931B36">
      <w:pPr>
        <w:numPr>
          <w:ilvl w:val="0"/>
          <w:numId w:val="13"/>
        </w:numPr>
        <w:spacing w:line="360" w:lineRule="exact"/>
        <w:rPr>
          <w:rFonts w:ascii="Arial" w:hAnsi="Arial" w:cs="Arial"/>
          <w:snapToGrid w:val="0"/>
          <w:color w:val="000000"/>
          <w:sz w:val="24"/>
          <w:szCs w:val="24"/>
        </w:rPr>
      </w:pPr>
      <w:r w:rsidRPr="00F2256D">
        <w:rPr>
          <w:rFonts w:ascii="Arial" w:hAnsi="Arial" w:cs="Arial"/>
          <w:snapToGrid w:val="0"/>
          <w:color w:val="000000"/>
          <w:sz w:val="24"/>
          <w:szCs w:val="24"/>
        </w:rPr>
        <w:t xml:space="preserve">significantly higher antibody titres at least 2 fold higher (at </w:t>
      </w:r>
      <w:r w:rsidR="003D2ECB" w:rsidRPr="00F2256D">
        <w:rPr>
          <w:rFonts w:ascii="Arial" w:hAnsi="Arial" w:cs="Arial"/>
          <w:snapToGrid w:val="0"/>
          <w:color w:val="000000"/>
          <w:sz w:val="24"/>
          <w:szCs w:val="24"/>
        </w:rPr>
        <w:t xml:space="preserve">all </w:t>
      </w:r>
      <w:r w:rsidRPr="00F2256D">
        <w:rPr>
          <w:rFonts w:ascii="Arial" w:hAnsi="Arial" w:cs="Arial"/>
          <w:snapToGrid w:val="0"/>
          <w:color w:val="000000"/>
          <w:sz w:val="24"/>
          <w:szCs w:val="24"/>
        </w:rPr>
        <w:t>time points analysed up to 4 years after first dose);</w:t>
      </w:r>
    </w:p>
    <w:p w:rsidR="00931B36" w:rsidRPr="00F2256D" w:rsidRDefault="00931B36" w:rsidP="00931B36">
      <w:pPr>
        <w:numPr>
          <w:ilvl w:val="0"/>
          <w:numId w:val="13"/>
        </w:numPr>
        <w:spacing w:line="360" w:lineRule="exact"/>
        <w:rPr>
          <w:rFonts w:ascii="Arial" w:hAnsi="Arial" w:cs="Arial"/>
          <w:snapToGrid w:val="0"/>
          <w:color w:val="000000"/>
          <w:sz w:val="24"/>
          <w:szCs w:val="24"/>
        </w:rPr>
      </w:pPr>
      <w:r w:rsidRPr="00F2256D">
        <w:rPr>
          <w:rFonts w:ascii="Arial" w:hAnsi="Arial" w:cs="Arial"/>
          <w:snapToGrid w:val="0"/>
          <w:color w:val="000000"/>
          <w:sz w:val="24"/>
          <w:szCs w:val="24"/>
        </w:rPr>
        <w:t xml:space="preserve">significantly higher functional </w:t>
      </w:r>
      <w:r w:rsidRPr="00F2256D">
        <w:rPr>
          <w:rFonts w:ascii="Arial" w:hAnsi="Arial" w:cs="Arial" w:hint="eastAsia"/>
          <w:snapToGrid w:val="0"/>
          <w:color w:val="000000"/>
          <w:sz w:val="24"/>
          <w:szCs w:val="24"/>
        </w:rPr>
        <w:t>antibody</w:t>
      </w:r>
      <w:r w:rsidRPr="00F2256D">
        <w:rPr>
          <w:rFonts w:ascii="Arial" w:hAnsi="Arial" w:cs="Arial"/>
          <w:snapToGrid w:val="0"/>
          <w:color w:val="000000"/>
          <w:sz w:val="24"/>
          <w:szCs w:val="24"/>
        </w:rPr>
        <w:t xml:space="preserve"> titres</w:t>
      </w:r>
      <w:r w:rsidR="003D2ECB" w:rsidRPr="00F2256D">
        <w:rPr>
          <w:rFonts w:ascii="Arial" w:hAnsi="Arial" w:cs="Arial"/>
          <w:snapToGrid w:val="0"/>
          <w:color w:val="000000"/>
          <w:sz w:val="24"/>
          <w:szCs w:val="24"/>
        </w:rPr>
        <w:t xml:space="preserve"> (analysed up to 4 years after first dose)</w:t>
      </w:r>
      <w:r w:rsidRPr="00F2256D">
        <w:rPr>
          <w:rFonts w:ascii="Arial" w:hAnsi="Arial" w:cs="Arial"/>
          <w:snapToGrid w:val="0"/>
          <w:color w:val="000000"/>
          <w:sz w:val="24"/>
          <w:szCs w:val="24"/>
        </w:rPr>
        <w:t>;</w:t>
      </w:r>
    </w:p>
    <w:p w:rsidR="00931B36" w:rsidRPr="00F2256D" w:rsidRDefault="00931B36" w:rsidP="00931B36">
      <w:pPr>
        <w:numPr>
          <w:ilvl w:val="0"/>
          <w:numId w:val="13"/>
        </w:numPr>
        <w:spacing w:line="360" w:lineRule="exact"/>
        <w:rPr>
          <w:rFonts w:ascii="Arial" w:hAnsi="Arial" w:cs="Arial"/>
          <w:snapToGrid w:val="0"/>
          <w:color w:val="000000"/>
          <w:sz w:val="24"/>
          <w:szCs w:val="24"/>
        </w:rPr>
      </w:pPr>
      <w:r w:rsidRPr="00F2256D">
        <w:rPr>
          <w:rFonts w:ascii="Arial" w:hAnsi="Arial" w:cs="Arial"/>
          <w:snapToGrid w:val="0"/>
          <w:color w:val="000000"/>
          <w:sz w:val="24"/>
          <w:szCs w:val="24"/>
        </w:rPr>
        <w:t xml:space="preserve">B cell memory </w:t>
      </w:r>
      <w:proofErr w:type="gramStart"/>
      <w:r w:rsidRPr="00F2256D">
        <w:rPr>
          <w:rFonts w:ascii="Arial" w:hAnsi="Arial" w:cs="Arial"/>
          <w:snapToGrid w:val="0"/>
          <w:color w:val="000000"/>
          <w:sz w:val="24"/>
          <w:szCs w:val="24"/>
        </w:rPr>
        <w:t>frequency approximately 2 fol</w:t>
      </w:r>
      <w:r w:rsidR="0060335A" w:rsidRPr="00F2256D">
        <w:rPr>
          <w:rFonts w:ascii="Arial" w:hAnsi="Arial" w:cs="Arial"/>
          <w:snapToGrid w:val="0"/>
          <w:color w:val="000000"/>
          <w:sz w:val="24"/>
          <w:szCs w:val="24"/>
        </w:rPr>
        <w:t>d</w:t>
      </w:r>
      <w:proofErr w:type="gramEnd"/>
      <w:r w:rsidRPr="00F2256D">
        <w:rPr>
          <w:rFonts w:ascii="Arial" w:hAnsi="Arial" w:cs="Arial"/>
          <w:snapToGrid w:val="0"/>
          <w:color w:val="000000"/>
          <w:sz w:val="24"/>
          <w:szCs w:val="24"/>
        </w:rPr>
        <w:t xml:space="preserve"> higher (at </w:t>
      </w:r>
      <w:r w:rsidR="003D2ECB" w:rsidRPr="00F2256D">
        <w:rPr>
          <w:rFonts w:ascii="Arial" w:hAnsi="Arial" w:cs="Arial"/>
          <w:snapToGrid w:val="0"/>
          <w:color w:val="000000"/>
          <w:sz w:val="24"/>
          <w:szCs w:val="24"/>
        </w:rPr>
        <w:t xml:space="preserve">all </w:t>
      </w:r>
      <w:r w:rsidRPr="00F2256D">
        <w:rPr>
          <w:rFonts w:ascii="Arial" w:hAnsi="Arial" w:cs="Arial"/>
          <w:snapToGrid w:val="0"/>
          <w:color w:val="000000"/>
          <w:sz w:val="24"/>
          <w:szCs w:val="24"/>
        </w:rPr>
        <w:t xml:space="preserve">time </w:t>
      </w:r>
      <w:r w:rsidR="0060335A" w:rsidRPr="00F2256D">
        <w:rPr>
          <w:rFonts w:ascii="Arial" w:hAnsi="Arial" w:cs="Arial"/>
          <w:snapToGrid w:val="0"/>
          <w:color w:val="000000"/>
          <w:sz w:val="24"/>
          <w:szCs w:val="24"/>
        </w:rPr>
        <w:t xml:space="preserve">points analysed up to </w:t>
      </w:r>
      <w:r w:rsidR="003D2ECB" w:rsidRPr="00F2256D">
        <w:rPr>
          <w:rFonts w:ascii="Arial" w:hAnsi="Arial" w:cs="Arial"/>
          <w:snapToGrid w:val="0"/>
          <w:color w:val="000000"/>
          <w:sz w:val="24"/>
          <w:szCs w:val="24"/>
        </w:rPr>
        <w:t>2 years after first dose).</w:t>
      </w:r>
    </w:p>
    <w:p w:rsidR="00014864" w:rsidRDefault="00014864">
      <w:pPr>
        <w:spacing w:line="360" w:lineRule="exact"/>
        <w:rPr>
          <w:rFonts w:ascii="Arial" w:hAnsi="Arial" w:cs="Arial"/>
          <w:sz w:val="24"/>
          <w:szCs w:val="24"/>
        </w:rPr>
      </w:pPr>
    </w:p>
    <w:p w:rsidR="00375BD3" w:rsidRPr="003C6F11" w:rsidRDefault="00375BD3" w:rsidP="00375BD3">
      <w:pPr>
        <w:rPr>
          <w:rFonts w:ascii="Arial" w:hAnsi="Arial" w:cs="Arial"/>
          <w:i/>
          <w:color w:val="000000"/>
          <w:sz w:val="24"/>
          <w:szCs w:val="24"/>
        </w:rPr>
      </w:pPr>
      <w:r w:rsidRPr="003C6F11">
        <w:rPr>
          <w:rFonts w:ascii="Arial" w:hAnsi="Arial" w:cs="Arial"/>
          <w:i/>
          <w:color w:val="000000"/>
          <w:sz w:val="24"/>
          <w:szCs w:val="24"/>
        </w:rPr>
        <w:t>Evidence of Anamnestic (Immune Memory) Response:</w:t>
      </w:r>
    </w:p>
    <w:p w:rsidR="00375BD3" w:rsidRPr="003C6F11" w:rsidRDefault="00375BD3" w:rsidP="00375BD3">
      <w:pPr>
        <w:rPr>
          <w:rFonts w:ascii="Arial" w:hAnsi="Arial" w:cs="Arial"/>
          <w:color w:val="000000"/>
          <w:sz w:val="24"/>
          <w:szCs w:val="24"/>
        </w:rPr>
      </w:pPr>
      <w:r w:rsidRPr="003C6F11">
        <w:rPr>
          <w:rFonts w:ascii="Arial" w:hAnsi="Arial" w:cs="Arial"/>
          <w:color w:val="000000"/>
          <w:sz w:val="24"/>
          <w:szCs w:val="24"/>
        </w:rPr>
        <w:t xml:space="preserve">The administration of a challenge dose after a mean of 6.8 years following the first vaccination elicited an anamnestic immune response to HPV-16 and HPV-18 (by ELISA and </w:t>
      </w:r>
      <w:proofErr w:type="spellStart"/>
      <w:r w:rsidRPr="003C6F11">
        <w:rPr>
          <w:rFonts w:ascii="Arial" w:hAnsi="Arial" w:cs="Arial"/>
          <w:color w:val="000000"/>
          <w:sz w:val="24"/>
          <w:szCs w:val="24"/>
        </w:rPr>
        <w:t>pseudovirion</w:t>
      </w:r>
      <w:proofErr w:type="spellEnd"/>
      <w:r w:rsidRPr="003C6F11">
        <w:rPr>
          <w:rFonts w:ascii="Arial" w:hAnsi="Arial" w:cs="Arial"/>
          <w:color w:val="000000"/>
          <w:sz w:val="24"/>
          <w:szCs w:val="24"/>
        </w:rPr>
        <w:t>-based neutralizing assay) at day 7. One month after the challenge dose, GMTs exceeded those observed one month after the primary vaccination course.</w:t>
      </w:r>
    </w:p>
    <w:p w:rsidR="00014864" w:rsidRPr="00F2256D" w:rsidRDefault="00014864">
      <w:pPr>
        <w:spacing w:line="360" w:lineRule="exact"/>
        <w:rPr>
          <w:rFonts w:ascii="Arial" w:hAnsi="Arial"/>
          <w:b/>
          <w:sz w:val="24"/>
        </w:rPr>
      </w:pPr>
    </w:p>
    <w:p w:rsidR="00014864" w:rsidRPr="00F2256D" w:rsidRDefault="00014864">
      <w:pPr>
        <w:spacing w:line="360" w:lineRule="exact"/>
        <w:rPr>
          <w:rFonts w:ascii="Arial" w:hAnsi="Arial"/>
          <w:b/>
          <w:sz w:val="24"/>
        </w:rPr>
      </w:pPr>
      <w:r w:rsidRPr="00F2256D">
        <w:rPr>
          <w:rFonts w:ascii="Arial" w:hAnsi="Arial"/>
          <w:b/>
          <w:sz w:val="24"/>
        </w:rPr>
        <w:t xml:space="preserve">CLINICAL </w:t>
      </w:r>
      <w:r w:rsidR="0050528D">
        <w:rPr>
          <w:rFonts w:ascii="Arial" w:hAnsi="Arial"/>
          <w:b/>
          <w:sz w:val="24"/>
        </w:rPr>
        <w:t>TRIALS</w:t>
      </w:r>
    </w:p>
    <w:p w:rsidR="00014864" w:rsidRPr="00F2256D" w:rsidRDefault="00014864">
      <w:pPr>
        <w:spacing w:line="360" w:lineRule="exact"/>
        <w:rPr>
          <w:rFonts w:ascii="Arial" w:hAnsi="Arial" w:cs="Arial"/>
          <w:b/>
          <w:sz w:val="24"/>
          <w:szCs w:val="24"/>
        </w:rPr>
      </w:pPr>
    </w:p>
    <w:p w:rsidR="00014864" w:rsidRPr="00F2256D" w:rsidRDefault="00014864">
      <w:pPr>
        <w:spacing w:line="360" w:lineRule="exact"/>
        <w:rPr>
          <w:rFonts w:ascii="Arial" w:hAnsi="Arial" w:cs="Arial"/>
          <w:b/>
          <w:sz w:val="24"/>
          <w:szCs w:val="24"/>
        </w:rPr>
      </w:pPr>
      <w:r w:rsidRPr="00F2256D">
        <w:rPr>
          <w:rFonts w:ascii="Arial" w:hAnsi="Arial" w:cs="Arial"/>
          <w:b/>
          <w:sz w:val="24"/>
          <w:szCs w:val="24"/>
        </w:rPr>
        <w:t>Vaccine Efficacy</w:t>
      </w:r>
    </w:p>
    <w:p w:rsidR="00CC6850" w:rsidRDefault="00CC6850" w:rsidP="00B01C60">
      <w:pPr>
        <w:spacing w:line="360" w:lineRule="exact"/>
        <w:rPr>
          <w:rFonts w:ascii="Arial" w:hAnsi="Arial" w:cs="Arial"/>
          <w:sz w:val="24"/>
          <w:szCs w:val="24"/>
        </w:rPr>
      </w:pPr>
    </w:p>
    <w:p w:rsidR="00CC6850" w:rsidRDefault="00CC6850" w:rsidP="00B01C60">
      <w:pPr>
        <w:spacing w:line="360" w:lineRule="exact"/>
        <w:rPr>
          <w:rFonts w:ascii="Arial" w:hAnsi="Arial" w:cs="Arial"/>
          <w:b/>
          <w:sz w:val="24"/>
          <w:szCs w:val="24"/>
        </w:rPr>
      </w:pPr>
      <w:r w:rsidRPr="00CC6850">
        <w:rPr>
          <w:rFonts w:ascii="Arial" w:hAnsi="Arial" w:cs="Arial"/>
          <w:b/>
          <w:sz w:val="24"/>
          <w:szCs w:val="24"/>
        </w:rPr>
        <w:t>Clinical efficacy in women aged 15 to 25 years</w:t>
      </w:r>
    </w:p>
    <w:p w:rsidR="00CC6850" w:rsidRPr="00CC6850" w:rsidRDefault="00CC6850" w:rsidP="00B01C60">
      <w:pPr>
        <w:spacing w:line="360" w:lineRule="exact"/>
        <w:rPr>
          <w:rFonts w:ascii="Arial" w:hAnsi="Arial" w:cs="Arial"/>
          <w:b/>
          <w:sz w:val="24"/>
          <w:szCs w:val="24"/>
        </w:rPr>
      </w:pPr>
    </w:p>
    <w:p w:rsidR="00014864" w:rsidRPr="00F2256D" w:rsidRDefault="00014864" w:rsidP="00B01C60">
      <w:pPr>
        <w:spacing w:line="360" w:lineRule="exact"/>
        <w:rPr>
          <w:rFonts w:ascii="Arial" w:hAnsi="Arial" w:cs="Arial"/>
          <w:sz w:val="24"/>
          <w:szCs w:val="24"/>
        </w:rPr>
      </w:pPr>
      <w:r w:rsidRPr="00F2256D">
        <w:rPr>
          <w:rFonts w:ascii="Arial" w:hAnsi="Arial" w:cs="Arial"/>
          <w:sz w:val="24"/>
          <w:szCs w:val="24"/>
        </w:rPr>
        <w:t xml:space="preserve">The efficacy of CERVARIX </w:t>
      </w:r>
      <w:r w:rsidR="00224E37">
        <w:rPr>
          <w:rFonts w:ascii="Arial" w:hAnsi="Arial" w:cs="Arial"/>
          <w:bCs/>
          <w:sz w:val="24"/>
          <w:szCs w:val="24"/>
        </w:rPr>
        <w:t>was</w:t>
      </w:r>
      <w:r w:rsidRPr="00F2256D">
        <w:rPr>
          <w:rFonts w:ascii="Arial" w:hAnsi="Arial" w:cs="Arial"/>
          <w:sz w:val="24"/>
          <w:szCs w:val="24"/>
        </w:rPr>
        <w:t xml:space="preserve"> assessed in 2 controlled, double-blind, randomised Phase II and III clinical studies (HPV-001/007 and HPV-008) that included a total of 19,778 women aged 15 to 25 years. </w:t>
      </w:r>
      <w:r w:rsidR="00284E92" w:rsidRPr="00F2256D">
        <w:rPr>
          <w:rFonts w:ascii="Arial" w:hAnsi="Arial" w:cs="Arial"/>
          <w:sz w:val="24"/>
          <w:szCs w:val="24"/>
        </w:rPr>
        <w:t xml:space="preserve"> </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Clinical trial HPV-001/007 </w:t>
      </w:r>
      <w:r w:rsidR="00224E37">
        <w:rPr>
          <w:rFonts w:ascii="Arial" w:hAnsi="Arial" w:cs="Arial"/>
          <w:bCs/>
          <w:sz w:val="24"/>
          <w:szCs w:val="24"/>
        </w:rPr>
        <w:t>was a</w:t>
      </w:r>
      <w:r w:rsidRPr="00F2256D">
        <w:rPr>
          <w:rFonts w:ascii="Arial" w:hAnsi="Arial" w:cs="Arial"/>
          <w:bCs/>
          <w:sz w:val="24"/>
          <w:szCs w:val="24"/>
        </w:rPr>
        <w:t xml:space="preserve"> study</w:t>
      </w:r>
      <w:r w:rsidRPr="00F2256D">
        <w:rPr>
          <w:rFonts w:ascii="Arial" w:hAnsi="Arial" w:cs="Arial"/>
          <w:sz w:val="24"/>
          <w:szCs w:val="24"/>
        </w:rPr>
        <w:t xml:space="preserve"> conducted in North America and Latin America.  </w:t>
      </w:r>
      <w:r w:rsidR="00972C03" w:rsidRPr="00D63EB7">
        <w:rPr>
          <w:rFonts w:ascii="Arial" w:hAnsi="Arial" w:cs="Arial"/>
          <w:sz w:val="24"/>
          <w:szCs w:val="24"/>
        </w:rPr>
        <w:t>Study HPV-023 followed-up subjects from the Brazil</w:t>
      </w:r>
      <w:r w:rsidR="00972C03">
        <w:rPr>
          <w:rFonts w:ascii="Arial" w:hAnsi="Arial" w:cs="Arial"/>
          <w:sz w:val="24"/>
          <w:szCs w:val="24"/>
        </w:rPr>
        <w:t>ian cohort of study 001/007</w:t>
      </w:r>
      <w:r w:rsidR="00972C03" w:rsidRPr="00D63EB7">
        <w:rPr>
          <w:rFonts w:ascii="Arial" w:hAnsi="Arial" w:cs="Arial"/>
          <w:sz w:val="24"/>
          <w:szCs w:val="24"/>
        </w:rPr>
        <w:t>.</w:t>
      </w:r>
      <w:r w:rsidR="00972C03">
        <w:rPr>
          <w:rFonts w:ascii="Arial" w:hAnsi="Arial" w:cs="Arial"/>
          <w:sz w:val="24"/>
          <w:szCs w:val="24"/>
        </w:rPr>
        <w:t xml:space="preserve"> </w:t>
      </w:r>
      <w:r w:rsidRPr="00F2256D">
        <w:rPr>
          <w:rFonts w:ascii="Arial" w:hAnsi="Arial" w:cs="Arial"/>
          <w:sz w:val="24"/>
          <w:szCs w:val="24"/>
        </w:rPr>
        <w:t xml:space="preserve">Study entry criteria were: negative for oncogenic HPV DNA (HPV-16, 18, 31, 33, 35, 39, 45, 51, </w:t>
      </w:r>
      <w:r w:rsidRPr="00F2256D">
        <w:rPr>
          <w:rFonts w:ascii="Arial" w:hAnsi="Arial" w:cs="Arial"/>
          <w:sz w:val="24"/>
          <w:szCs w:val="24"/>
        </w:rPr>
        <w:lastRenderedPageBreak/>
        <w:t xml:space="preserve">52, 56, 58, 59, 66 and 68) in cervical samples, seronegative for HPV-16 and HPV-18 antibodies and normal cytology.  These characteristics are representative of a population </w:t>
      </w:r>
      <w:r w:rsidR="00224E37">
        <w:rPr>
          <w:rFonts w:ascii="Arial" w:hAnsi="Arial" w:cs="Arial"/>
          <w:sz w:val="24"/>
          <w:szCs w:val="24"/>
        </w:rPr>
        <w:t xml:space="preserve">presumed naïve </w:t>
      </w:r>
      <w:r w:rsidRPr="00F2256D">
        <w:rPr>
          <w:rFonts w:ascii="Arial" w:hAnsi="Arial" w:cs="Arial"/>
          <w:sz w:val="24"/>
          <w:szCs w:val="24"/>
        </w:rPr>
        <w:t>to oncogenic HPV types prior to vaccination.</w:t>
      </w:r>
    </w:p>
    <w:p w:rsidR="00014864" w:rsidRPr="00F2256D" w:rsidRDefault="00014864">
      <w:pPr>
        <w:spacing w:line="360" w:lineRule="exact"/>
        <w:rPr>
          <w:rFonts w:ascii="Arial" w:hAnsi="Arial" w:cs="Arial"/>
          <w:sz w:val="24"/>
          <w:szCs w:val="24"/>
        </w:rPr>
      </w:pPr>
    </w:p>
    <w:p w:rsidR="00014864" w:rsidRPr="00F2256D" w:rsidRDefault="00014864" w:rsidP="00284E92">
      <w:pPr>
        <w:spacing w:line="360" w:lineRule="exact"/>
        <w:rPr>
          <w:rFonts w:ascii="Arial" w:hAnsi="Arial" w:cs="Arial"/>
          <w:b/>
          <w:sz w:val="24"/>
          <w:szCs w:val="24"/>
          <w:u w:val="single"/>
        </w:rPr>
      </w:pPr>
      <w:r w:rsidRPr="00F2256D">
        <w:rPr>
          <w:rFonts w:ascii="Arial" w:hAnsi="Arial" w:cs="Arial"/>
          <w:sz w:val="24"/>
          <w:szCs w:val="24"/>
        </w:rPr>
        <w:t xml:space="preserve">Clinical trial HPV-008 is an on-going study conducted in </w:t>
      </w:r>
      <w:smartTag w:uri="urn:schemas-microsoft-com:office:smarttags" w:element="place">
        <w:r w:rsidRPr="00F2256D">
          <w:rPr>
            <w:rFonts w:ascii="Arial" w:hAnsi="Arial" w:cs="Arial"/>
            <w:sz w:val="24"/>
            <w:szCs w:val="24"/>
          </w:rPr>
          <w:t>North America</w:t>
        </w:r>
      </w:smartTag>
      <w:r w:rsidRPr="00F2256D">
        <w:rPr>
          <w:rFonts w:ascii="Arial" w:hAnsi="Arial" w:cs="Arial"/>
          <w:sz w:val="24"/>
          <w:szCs w:val="24"/>
        </w:rPr>
        <w:t xml:space="preserve">, </w:t>
      </w:r>
      <w:smartTag w:uri="urn:schemas-microsoft-com:office:smarttags" w:element="place">
        <w:r w:rsidRPr="00F2256D">
          <w:rPr>
            <w:rFonts w:ascii="Arial" w:hAnsi="Arial" w:cs="Arial"/>
            <w:sz w:val="24"/>
            <w:szCs w:val="24"/>
          </w:rPr>
          <w:t>Latin America</w:t>
        </w:r>
      </w:smartTag>
      <w:r w:rsidRPr="00F2256D">
        <w:rPr>
          <w:rFonts w:ascii="Arial" w:hAnsi="Arial" w:cs="Arial"/>
          <w:sz w:val="24"/>
          <w:szCs w:val="24"/>
        </w:rPr>
        <w:t xml:space="preserve">, </w:t>
      </w:r>
      <w:smartTag w:uri="urn:schemas-microsoft-com:office:smarttags" w:element="place">
        <w:r w:rsidRPr="00F2256D">
          <w:rPr>
            <w:rFonts w:ascii="Arial" w:hAnsi="Arial" w:cs="Arial"/>
            <w:sz w:val="24"/>
            <w:szCs w:val="24"/>
          </w:rPr>
          <w:t>Europe</w:t>
        </w:r>
      </w:smartTag>
      <w:r w:rsidRPr="00F2256D">
        <w:rPr>
          <w:rFonts w:ascii="Arial" w:hAnsi="Arial" w:cs="Arial"/>
          <w:sz w:val="24"/>
          <w:szCs w:val="24"/>
        </w:rPr>
        <w:t xml:space="preserve">, Asia Pacific and </w:t>
      </w:r>
      <w:smartTag w:uri="urn:schemas-microsoft-com:office:smarttags" w:element="country-region">
        <w:smartTag w:uri="urn:schemas-microsoft-com:office:smarttags" w:element="place">
          <w:r w:rsidRPr="00F2256D">
            <w:rPr>
              <w:rFonts w:ascii="Arial" w:hAnsi="Arial" w:cs="Arial"/>
              <w:sz w:val="24"/>
              <w:szCs w:val="24"/>
            </w:rPr>
            <w:t>Australia</w:t>
          </w:r>
        </w:smartTag>
      </w:smartTag>
      <w:r w:rsidRPr="00F2256D">
        <w:rPr>
          <w:rFonts w:ascii="Arial" w:hAnsi="Arial" w:cs="Arial"/>
          <w:sz w:val="24"/>
          <w:szCs w:val="24"/>
        </w:rPr>
        <w:t>.  Pre-vaccination samples were collected for oncogenic HPV DNA (HPV-16, 18, 31, 33, 35, 39, 45, 51, 52, 56, 58, 59, 66 and 68</w:t>
      </w:r>
      <w:proofErr w:type="gramStart"/>
      <w:r w:rsidRPr="00F2256D">
        <w:rPr>
          <w:rFonts w:ascii="Arial" w:hAnsi="Arial" w:cs="Arial"/>
          <w:sz w:val="24"/>
          <w:szCs w:val="24"/>
        </w:rPr>
        <w:t>) testing</w:t>
      </w:r>
      <w:proofErr w:type="gramEnd"/>
      <w:r w:rsidRPr="00F2256D">
        <w:rPr>
          <w:rFonts w:ascii="Arial" w:hAnsi="Arial" w:cs="Arial"/>
          <w:sz w:val="24"/>
          <w:szCs w:val="24"/>
        </w:rPr>
        <w:t xml:space="preserve"> and serum testing for HPV-16 and HPV-18 antibodies.  Women were vaccinated regardless of baseline cytology and HPV </w:t>
      </w:r>
      <w:r w:rsidR="00224E37">
        <w:rPr>
          <w:rFonts w:ascii="Arial" w:hAnsi="Arial" w:cs="Arial"/>
          <w:sz w:val="24"/>
          <w:szCs w:val="24"/>
        </w:rPr>
        <w:t xml:space="preserve">serological and </w:t>
      </w:r>
      <w:smartTag w:uri="urn:schemas-microsoft-com:office:smarttags" w:element="stockticker">
        <w:r w:rsidR="00224E37">
          <w:rPr>
            <w:rFonts w:ascii="Arial" w:hAnsi="Arial" w:cs="Arial"/>
            <w:sz w:val="24"/>
            <w:szCs w:val="24"/>
          </w:rPr>
          <w:t>DNA</w:t>
        </w:r>
      </w:smartTag>
      <w:r w:rsidR="00224E37">
        <w:rPr>
          <w:rFonts w:ascii="Arial" w:hAnsi="Arial" w:cs="Arial"/>
          <w:sz w:val="24"/>
          <w:szCs w:val="24"/>
        </w:rPr>
        <w:t xml:space="preserve"> </w:t>
      </w:r>
      <w:r w:rsidR="00224E37" w:rsidRPr="00F2256D">
        <w:rPr>
          <w:rFonts w:ascii="Arial" w:hAnsi="Arial" w:cs="Arial"/>
          <w:sz w:val="24"/>
          <w:szCs w:val="24"/>
        </w:rPr>
        <w:t xml:space="preserve">status.  These characteristics are representative of a population </w:t>
      </w:r>
      <w:r w:rsidR="00224E37" w:rsidRPr="00D57923">
        <w:rPr>
          <w:rFonts w:ascii="Arial" w:hAnsi="Arial" w:cs="Arial"/>
          <w:sz w:val="24"/>
          <w:szCs w:val="24"/>
        </w:rPr>
        <w:t>which includes women with or without evidence of past and/or current HPV infection</w:t>
      </w:r>
      <w:r w:rsidR="00224E37" w:rsidRPr="00F2256D">
        <w:rPr>
          <w:rFonts w:ascii="Arial" w:hAnsi="Arial" w:cs="Arial"/>
          <w:sz w:val="24"/>
          <w:szCs w:val="24"/>
        </w:rPr>
        <w:t>.</w:t>
      </w:r>
      <w:r w:rsidRPr="00F2256D">
        <w:rPr>
          <w:rFonts w:ascii="Arial" w:hAnsi="Arial" w:cs="Arial"/>
          <w:sz w:val="24"/>
          <w:szCs w:val="24"/>
        </w:rPr>
        <w:t xml:space="preserve">  </w:t>
      </w:r>
    </w:p>
    <w:p w:rsidR="00014864" w:rsidRPr="00F2256D" w:rsidRDefault="00014864">
      <w:pPr>
        <w:spacing w:line="360" w:lineRule="exact"/>
        <w:rPr>
          <w:rFonts w:ascii="Arial" w:hAnsi="Arial" w:cs="Arial"/>
          <w:sz w:val="24"/>
          <w:szCs w:val="24"/>
        </w:rPr>
      </w:pPr>
    </w:p>
    <w:p w:rsidR="00014864" w:rsidRPr="00F2256D" w:rsidRDefault="00284E92">
      <w:pPr>
        <w:spacing w:line="360" w:lineRule="exact"/>
        <w:rPr>
          <w:rFonts w:ascii="Arial" w:hAnsi="Arial" w:cs="Arial"/>
          <w:sz w:val="24"/>
          <w:szCs w:val="24"/>
        </w:rPr>
      </w:pPr>
      <w:r w:rsidRPr="00F2256D">
        <w:rPr>
          <w:rFonts w:ascii="Arial" w:hAnsi="Arial" w:cs="Arial"/>
          <w:sz w:val="24"/>
          <w:szCs w:val="24"/>
        </w:rPr>
        <w:t>S</w:t>
      </w:r>
      <w:r w:rsidR="00014864" w:rsidRPr="00F2256D">
        <w:rPr>
          <w:rFonts w:ascii="Arial" w:hAnsi="Arial" w:cs="Arial"/>
          <w:sz w:val="24"/>
          <w:szCs w:val="24"/>
        </w:rPr>
        <w:t>ubjects initially infected with a particular HPV type were not eligible for the efficacy assessment of that type.</w:t>
      </w:r>
    </w:p>
    <w:p w:rsidR="00014864" w:rsidRPr="00F2256D" w:rsidRDefault="00014864">
      <w:pPr>
        <w:spacing w:line="360" w:lineRule="exact"/>
        <w:rPr>
          <w:rFonts w:ascii="Arial" w:hAnsi="Arial" w:cs="Arial"/>
          <w:sz w:val="24"/>
          <w:szCs w:val="24"/>
        </w:rPr>
      </w:pPr>
    </w:p>
    <w:p w:rsidR="00014864" w:rsidRPr="00F2256D" w:rsidRDefault="00014864" w:rsidP="00284E92">
      <w:pPr>
        <w:spacing w:line="360" w:lineRule="exact"/>
        <w:rPr>
          <w:rFonts w:ascii="Arial" w:hAnsi="Arial" w:cs="Arial"/>
          <w:bCs/>
          <w:sz w:val="24"/>
          <w:szCs w:val="24"/>
        </w:rPr>
      </w:pPr>
      <w:r w:rsidRPr="00F2256D">
        <w:rPr>
          <w:rFonts w:ascii="Arial" w:hAnsi="Arial" w:cs="Arial"/>
          <w:bCs/>
          <w:sz w:val="24"/>
          <w:szCs w:val="24"/>
        </w:rPr>
        <w:t>The primary endpoints in study HPV-001/007 are incident HPV-16 and/or HPV-18 infections.</w:t>
      </w:r>
    </w:p>
    <w:p w:rsidR="00014864" w:rsidRPr="00F2256D" w:rsidRDefault="00014864">
      <w:pPr>
        <w:spacing w:line="360" w:lineRule="exact"/>
        <w:rPr>
          <w:rFonts w:ascii="Arial" w:hAnsi="Arial" w:cs="Arial"/>
          <w:bCs/>
          <w:sz w:val="24"/>
          <w:szCs w:val="24"/>
        </w:rPr>
      </w:pPr>
    </w:p>
    <w:p w:rsidR="00014864" w:rsidRPr="00F2256D" w:rsidRDefault="00014864">
      <w:pPr>
        <w:spacing w:line="360" w:lineRule="exact"/>
        <w:rPr>
          <w:rFonts w:ascii="Arial" w:hAnsi="Arial" w:cs="Arial"/>
          <w:bCs/>
          <w:sz w:val="24"/>
          <w:szCs w:val="24"/>
        </w:rPr>
      </w:pPr>
      <w:r w:rsidRPr="00F2256D">
        <w:rPr>
          <w:rFonts w:ascii="Arial" w:hAnsi="Arial" w:cs="Arial"/>
          <w:bCs/>
          <w:sz w:val="24"/>
          <w:szCs w:val="24"/>
        </w:rPr>
        <w:t xml:space="preserve">The primary endpoint in study HPV-008 is HPV-16 or HPV-18 related CIN2+. </w:t>
      </w:r>
    </w:p>
    <w:p w:rsidR="00014864" w:rsidRPr="00F2256D" w:rsidRDefault="00014864">
      <w:pPr>
        <w:spacing w:line="360" w:lineRule="exact"/>
        <w:rPr>
          <w:rFonts w:ascii="Arial" w:hAnsi="Arial" w:cs="Arial"/>
          <w:b/>
          <w:bCs/>
          <w:sz w:val="24"/>
          <w:szCs w:val="24"/>
          <w:u w:val="single"/>
        </w:rPr>
      </w:pPr>
    </w:p>
    <w:p w:rsidR="00014864" w:rsidRPr="00F2256D" w:rsidRDefault="00014864">
      <w:pPr>
        <w:spacing w:line="360" w:lineRule="exact"/>
        <w:ind w:right="1701"/>
        <w:rPr>
          <w:rFonts w:ascii="Arial" w:hAnsi="Arial" w:cs="Arial"/>
          <w:sz w:val="24"/>
          <w:szCs w:val="24"/>
        </w:rPr>
      </w:pPr>
      <w:r w:rsidRPr="00F2256D">
        <w:rPr>
          <w:rFonts w:ascii="Arial" w:hAnsi="Arial" w:cs="Arial"/>
          <w:sz w:val="24"/>
          <w:szCs w:val="24"/>
        </w:rPr>
        <w:t>In both studies the following endpoints were evaluated:</w:t>
      </w:r>
    </w:p>
    <w:p w:rsidR="00014864" w:rsidRPr="00F2256D" w:rsidRDefault="00014864">
      <w:pPr>
        <w:spacing w:line="360" w:lineRule="exact"/>
        <w:ind w:right="1701"/>
        <w:rPr>
          <w:rFonts w:ascii="Arial" w:hAnsi="Arial" w:cs="Arial"/>
          <w:sz w:val="24"/>
          <w:szCs w:val="24"/>
        </w:rPr>
      </w:pPr>
    </w:p>
    <w:p w:rsidR="00014864" w:rsidRPr="00F2256D" w:rsidRDefault="00014864" w:rsidP="0068035F">
      <w:pPr>
        <w:numPr>
          <w:ilvl w:val="0"/>
          <w:numId w:val="11"/>
        </w:numPr>
        <w:spacing w:after="100" w:afterAutospacing="1" w:line="360" w:lineRule="exact"/>
        <w:ind w:left="714" w:right="141" w:hanging="357"/>
        <w:rPr>
          <w:rFonts w:ascii="Arial" w:hAnsi="Arial" w:cs="Arial"/>
          <w:sz w:val="24"/>
          <w:szCs w:val="24"/>
        </w:rPr>
      </w:pPr>
      <w:r w:rsidRPr="00F2256D">
        <w:rPr>
          <w:rFonts w:ascii="Arial" w:hAnsi="Arial" w:cs="Arial"/>
          <w:sz w:val="24"/>
          <w:szCs w:val="24"/>
        </w:rPr>
        <w:t>CIN2+ (cervical intraepithelial neoplasia grade 2 and higher grade lesions)</w:t>
      </w:r>
    </w:p>
    <w:p w:rsidR="00014864" w:rsidRPr="00F2256D" w:rsidRDefault="00014864" w:rsidP="0068035F">
      <w:pPr>
        <w:numPr>
          <w:ilvl w:val="0"/>
          <w:numId w:val="11"/>
        </w:numPr>
        <w:spacing w:after="100" w:afterAutospacing="1" w:line="360" w:lineRule="exact"/>
        <w:ind w:left="714" w:right="141" w:hanging="357"/>
        <w:rPr>
          <w:rFonts w:ascii="Arial" w:hAnsi="Arial" w:cs="Arial"/>
          <w:sz w:val="24"/>
          <w:szCs w:val="24"/>
        </w:rPr>
      </w:pPr>
      <w:r w:rsidRPr="00F2256D">
        <w:rPr>
          <w:rFonts w:ascii="Arial" w:hAnsi="Arial" w:cs="Arial"/>
          <w:sz w:val="24"/>
          <w:szCs w:val="24"/>
        </w:rPr>
        <w:t>CIN1+ (cervical intraepithelial neoplasia grade 1 and higher grade lesions)</w:t>
      </w:r>
    </w:p>
    <w:p w:rsidR="00014864" w:rsidRPr="00F2256D" w:rsidRDefault="00014864" w:rsidP="0068035F">
      <w:pPr>
        <w:numPr>
          <w:ilvl w:val="0"/>
          <w:numId w:val="11"/>
        </w:numPr>
        <w:spacing w:after="100" w:afterAutospacing="1" w:line="360" w:lineRule="exact"/>
        <w:ind w:left="714" w:right="141" w:hanging="357"/>
        <w:rPr>
          <w:rFonts w:ascii="Arial" w:hAnsi="Arial" w:cs="Arial"/>
          <w:sz w:val="24"/>
          <w:szCs w:val="24"/>
        </w:rPr>
      </w:pPr>
      <w:r w:rsidRPr="00F2256D">
        <w:rPr>
          <w:rFonts w:ascii="Arial" w:hAnsi="Arial" w:cs="Arial"/>
          <w:sz w:val="24"/>
          <w:szCs w:val="24"/>
        </w:rPr>
        <w:t>Cytological abnormalities including atypical squamous cells of undetermined significance (ASC-US), low grade squamous intraepithelial lesions (LSIL), high grade squamous intraepithelial lesions (HSIL) and ASC-US of suspected high grade (ASC-H).</w:t>
      </w:r>
    </w:p>
    <w:p w:rsidR="00224E37" w:rsidRPr="00F2256D" w:rsidRDefault="00224E37" w:rsidP="00224E37">
      <w:pPr>
        <w:numPr>
          <w:ilvl w:val="0"/>
          <w:numId w:val="11"/>
        </w:numPr>
        <w:spacing w:after="100" w:afterAutospacing="1" w:line="360" w:lineRule="exact"/>
        <w:ind w:left="714" w:hanging="357"/>
        <w:rPr>
          <w:rFonts w:ascii="Arial" w:hAnsi="Arial" w:cs="Arial"/>
          <w:sz w:val="24"/>
          <w:szCs w:val="24"/>
        </w:rPr>
      </w:pPr>
      <w:r w:rsidRPr="00F2256D">
        <w:rPr>
          <w:rFonts w:ascii="Arial" w:hAnsi="Arial" w:cs="Arial"/>
          <w:sz w:val="24"/>
          <w:szCs w:val="24"/>
        </w:rPr>
        <w:t>12 month persistent infection (i.e. at least 2 positive specimens for the same HPV type over</w:t>
      </w:r>
      <w:r>
        <w:rPr>
          <w:rFonts w:ascii="Arial" w:hAnsi="Arial" w:cs="Arial"/>
          <w:sz w:val="24"/>
          <w:szCs w:val="24"/>
        </w:rPr>
        <w:t xml:space="preserve"> a minimum interval of 10 months</w:t>
      </w:r>
      <w:r w:rsidRPr="00F2256D">
        <w:rPr>
          <w:rFonts w:ascii="Arial" w:hAnsi="Arial" w:cs="Arial"/>
          <w:sz w:val="24"/>
          <w:szCs w:val="24"/>
        </w:rPr>
        <w:t>)</w:t>
      </w:r>
    </w:p>
    <w:p w:rsidR="00224E37" w:rsidRPr="00F2256D" w:rsidRDefault="00224E37" w:rsidP="00224E37">
      <w:pPr>
        <w:numPr>
          <w:ilvl w:val="0"/>
          <w:numId w:val="11"/>
        </w:numPr>
        <w:spacing w:after="100" w:afterAutospacing="1" w:line="360" w:lineRule="exact"/>
        <w:ind w:left="714" w:hanging="357"/>
        <w:rPr>
          <w:rFonts w:ascii="Arial" w:hAnsi="Arial" w:cs="Arial"/>
          <w:sz w:val="24"/>
          <w:szCs w:val="24"/>
        </w:rPr>
      </w:pPr>
      <w:r w:rsidRPr="00F2256D">
        <w:rPr>
          <w:rFonts w:ascii="Arial" w:hAnsi="Arial" w:cs="Arial"/>
          <w:sz w:val="24"/>
          <w:szCs w:val="24"/>
        </w:rPr>
        <w:t>6 month persistent infection (i.e. at least 2 positive specimens for the same HPV type over</w:t>
      </w:r>
      <w:r>
        <w:rPr>
          <w:rFonts w:ascii="Arial" w:hAnsi="Arial" w:cs="Arial"/>
          <w:sz w:val="24"/>
          <w:szCs w:val="24"/>
        </w:rPr>
        <w:t xml:space="preserve"> a minimum interval of 5 months</w:t>
      </w:r>
      <w:r w:rsidRPr="00F2256D">
        <w:rPr>
          <w:rFonts w:ascii="Arial" w:hAnsi="Arial" w:cs="Arial"/>
          <w:sz w:val="24"/>
          <w:szCs w:val="24"/>
        </w:rPr>
        <w:t>).</w:t>
      </w:r>
    </w:p>
    <w:p w:rsidR="00224E37" w:rsidRPr="00224E37" w:rsidRDefault="00224E37" w:rsidP="00224E37">
      <w:pPr>
        <w:rPr>
          <w:rFonts w:ascii="Arial" w:hAnsi="Arial" w:cs="Arial"/>
          <w:color w:val="000000"/>
          <w:sz w:val="24"/>
          <w:szCs w:val="24"/>
        </w:rPr>
      </w:pPr>
      <w:r w:rsidRPr="00224E37">
        <w:rPr>
          <w:rFonts w:ascii="Arial" w:hAnsi="Arial" w:cs="Arial"/>
          <w:color w:val="000000"/>
          <w:sz w:val="24"/>
          <w:szCs w:val="24"/>
        </w:rPr>
        <w:t>In study HPV-008, the following endpoints were also evaluated:</w:t>
      </w:r>
    </w:p>
    <w:p w:rsidR="00224E37" w:rsidRPr="00224E37" w:rsidRDefault="00224E37" w:rsidP="00224E37">
      <w:pPr>
        <w:widowControl/>
        <w:numPr>
          <w:ilvl w:val="0"/>
          <w:numId w:val="19"/>
        </w:numPr>
        <w:adjustRightInd/>
        <w:jc w:val="left"/>
        <w:textAlignment w:val="auto"/>
        <w:rPr>
          <w:rFonts w:ascii="Arial" w:hAnsi="Arial" w:cs="Arial"/>
          <w:color w:val="000000"/>
          <w:sz w:val="24"/>
          <w:szCs w:val="24"/>
        </w:rPr>
      </w:pPr>
      <w:smartTag w:uri="urn:schemas-microsoft-com:office:smarttags" w:element="stockticker">
        <w:r w:rsidRPr="00224E37">
          <w:rPr>
            <w:rFonts w:ascii="Arial" w:hAnsi="Arial" w:cs="Arial"/>
            <w:color w:val="000000"/>
            <w:sz w:val="24"/>
            <w:szCs w:val="24"/>
          </w:rPr>
          <w:t>CIN</w:t>
        </w:r>
      </w:smartTag>
      <w:r w:rsidRPr="00224E37">
        <w:rPr>
          <w:rFonts w:ascii="Arial" w:hAnsi="Arial" w:cs="Arial"/>
          <w:color w:val="000000"/>
          <w:sz w:val="24"/>
          <w:szCs w:val="24"/>
        </w:rPr>
        <w:t>3+ (cervical intraepithelial neoplasia grade 3 and higher grade lesions)</w:t>
      </w:r>
    </w:p>
    <w:p w:rsidR="00224E37" w:rsidRPr="00224E37" w:rsidRDefault="00224E37" w:rsidP="00224E37">
      <w:pPr>
        <w:widowControl/>
        <w:numPr>
          <w:ilvl w:val="0"/>
          <w:numId w:val="19"/>
        </w:numPr>
        <w:adjustRightInd/>
        <w:jc w:val="left"/>
        <w:textAlignment w:val="auto"/>
        <w:rPr>
          <w:rFonts w:ascii="Arial" w:hAnsi="Arial" w:cs="Arial"/>
          <w:color w:val="000000"/>
          <w:sz w:val="24"/>
          <w:szCs w:val="24"/>
        </w:rPr>
      </w:pPr>
      <w:r w:rsidRPr="00224E37">
        <w:rPr>
          <w:rFonts w:ascii="Arial" w:hAnsi="Arial" w:cs="Arial"/>
          <w:color w:val="000000"/>
          <w:sz w:val="24"/>
          <w:szCs w:val="24"/>
        </w:rPr>
        <w:t>VIN1+ (vulvar intraepithelial neoplasia grade 1 and higher grade lesions)</w:t>
      </w:r>
    </w:p>
    <w:p w:rsidR="00224E37" w:rsidRPr="00224E37" w:rsidRDefault="00224E37" w:rsidP="00224E37">
      <w:pPr>
        <w:widowControl/>
        <w:numPr>
          <w:ilvl w:val="0"/>
          <w:numId w:val="19"/>
        </w:numPr>
        <w:adjustRightInd/>
        <w:jc w:val="left"/>
        <w:textAlignment w:val="auto"/>
        <w:rPr>
          <w:rFonts w:ascii="Arial" w:hAnsi="Arial" w:cs="Arial"/>
          <w:color w:val="000000"/>
          <w:sz w:val="24"/>
          <w:szCs w:val="24"/>
        </w:rPr>
      </w:pPr>
      <w:r w:rsidRPr="00224E37">
        <w:rPr>
          <w:rFonts w:ascii="Arial" w:hAnsi="Arial" w:cs="Arial"/>
          <w:color w:val="000000"/>
          <w:sz w:val="24"/>
          <w:szCs w:val="24"/>
        </w:rPr>
        <w:t>VaIN1+ (vaginal intraepithelial neoplasia grade 1 and higher grade lesions)</w:t>
      </w:r>
    </w:p>
    <w:p w:rsidR="00224E37" w:rsidRPr="00224E37" w:rsidRDefault="00224E37" w:rsidP="00224E37">
      <w:pPr>
        <w:rPr>
          <w:rFonts w:ascii="Arial" w:hAnsi="Arial" w:cs="Arial"/>
          <w:i/>
          <w:color w:val="000000"/>
          <w:sz w:val="24"/>
          <w:szCs w:val="24"/>
        </w:rPr>
      </w:pPr>
    </w:p>
    <w:p w:rsidR="00224E37" w:rsidRPr="00224E37" w:rsidRDefault="00224E37" w:rsidP="00224E37">
      <w:pPr>
        <w:rPr>
          <w:rFonts w:ascii="Arial" w:hAnsi="Arial" w:cs="Arial"/>
          <w:color w:val="000000"/>
          <w:sz w:val="24"/>
          <w:szCs w:val="24"/>
        </w:rPr>
      </w:pPr>
      <w:r w:rsidRPr="00224E37">
        <w:rPr>
          <w:rFonts w:ascii="Arial" w:hAnsi="Arial" w:cs="Arial"/>
          <w:color w:val="000000"/>
          <w:sz w:val="24"/>
          <w:szCs w:val="24"/>
        </w:rPr>
        <w:t>Cervical intraepithelial neoplasia (</w:t>
      </w:r>
      <w:smartTag w:uri="urn:schemas-microsoft-com:office:smarttags" w:element="stockticker">
        <w:r w:rsidRPr="00224E37">
          <w:rPr>
            <w:rFonts w:ascii="Arial" w:hAnsi="Arial" w:cs="Arial"/>
            <w:color w:val="000000"/>
            <w:sz w:val="24"/>
            <w:szCs w:val="24"/>
          </w:rPr>
          <w:t>CIN</w:t>
        </w:r>
      </w:smartTag>
      <w:r w:rsidRPr="00224E37">
        <w:rPr>
          <w:rFonts w:ascii="Arial" w:hAnsi="Arial" w:cs="Arial"/>
          <w:color w:val="000000"/>
          <w:sz w:val="24"/>
          <w:szCs w:val="24"/>
        </w:rPr>
        <w:t>) grade 2 and 3 (</w:t>
      </w:r>
      <w:smartTag w:uri="urn:schemas-microsoft-com:office:smarttags" w:element="stockticker">
        <w:r w:rsidRPr="00224E37">
          <w:rPr>
            <w:rFonts w:ascii="Arial" w:hAnsi="Arial" w:cs="Arial"/>
            <w:color w:val="000000"/>
            <w:sz w:val="24"/>
            <w:szCs w:val="24"/>
          </w:rPr>
          <w:t>CIN</w:t>
        </w:r>
      </w:smartTag>
      <w:r w:rsidRPr="00224E37">
        <w:rPr>
          <w:rFonts w:ascii="Arial" w:hAnsi="Arial" w:cs="Arial"/>
          <w:color w:val="000000"/>
          <w:sz w:val="24"/>
          <w:szCs w:val="24"/>
        </w:rPr>
        <w:t xml:space="preserve">2+) was used in the clinical trials </w:t>
      </w:r>
      <w:r w:rsidRPr="00224E37">
        <w:rPr>
          <w:rFonts w:ascii="Arial" w:hAnsi="Arial" w:cs="Arial"/>
          <w:color w:val="000000"/>
          <w:sz w:val="24"/>
          <w:szCs w:val="24"/>
        </w:rPr>
        <w:lastRenderedPageBreak/>
        <w:t xml:space="preserve">as a surrogate marker for cervical cancer. Persistent infection that lasts for at least 6 month has also been shown to be a relevant surrogate marker for cervical cancer. Although </w:t>
      </w:r>
      <w:smartTag w:uri="urn:schemas-microsoft-com:office:smarttags" w:element="stockticker">
        <w:r w:rsidRPr="00224E37">
          <w:rPr>
            <w:rFonts w:ascii="Arial" w:hAnsi="Arial" w:cs="Arial"/>
            <w:color w:val="000000"/>
            <w:sz w:val="24"/>
            <w:szCs w:val="24"/>
          </w:rPr>
          <w:t>CIN</w:t>
        </w:r>
      </w:smartTag>
      <w:r w:rsidRPr="00224E37">
        <w:rPr>
          <w:rFonts w:ascii="Arial" w:hAnsi="Arial" w:cs="Arial"/>
          <w:color w:val="000000"/>
          <w:sz w:val="24"/>
          <w:szCs w:val="24"/>
        </w:rPr>
        <w:t>1 is not a surrogate marker for cervical cancer, these lesions require medical follow-up.</w:t>
      </w:r>
    </w:p>
    <w:p w:rsidR="00671D56" w:rsidRDefault="00671D56">
      <w:pPr>
        <w:spacing w:line="360" w:lineRule="exact"/>
        <w:rPr>
          <w:rFonts w:ascii="Arial" w:hAnsi="Arial" w:cs="Arial"/>
          <w:b/>
          <w:sz w:val="24"/>
          <w:szCs w:val="24"/>
        </w:rPr>
      </w:pPr>
    </w:p>
    <w:p w:rsidR="00014864" w:rsidRPr="00F2256D" w:rsidRDefault="00224E37">
      <w:pPr>
        <w:spacing w:line="360" w:lineRule="exact"/>
        <w:rPr>
          <w:rFonts w:ascii="Arial" w:hAnsi="Arial" w:cs="Arial"/>
          <w:b/>
          <w:sz w:val="24"/>
          <w:szCs w:val="24"/>
          <w:u w:val="single"/>
        </w:rPr>
      </w:pPr>
      <w:r>
        <w:rPr>
          <w:rFonts w:ascii="Arial" w:hAnsi="Arial" w:cs="Arial"/>
          <w:b/>
          <w:sz w:val="24"/>
          <w:szCs w:val="24"/>
        </w:rPr>
        <w:t>1. Stud</w:t>
      </w:r>
      <w:r w:rsidR="00170B59">
        <w:rPr>
          <w:rFonts w:ascii="Arial" w:hAnsi="Arial" w:cs="Arial"/>
          <w:b/>
          <w:sz w:val="24"/>
          <w:szCs w:val="24"/>
        </w:rPr>
        <w:t>ies</w:t>
      </w:r>
      <w:r>
        <w:rPr>
          <w:rFonts w:ascii="Arial" w:hAnsi="Arial" w:cs="Arial"/>
          <w:b/>
          <w:sz w:val="24"/>
          <w:szCs w:val="24"/>
        </w:rPr>
        <w:t xml:space="preserve"> HPV-001/007</w:t>
      </w:r>
      <w:r w:rsidR="00170B59">
        <w:rPr>
          <w:rFonts w:ascii="Arial" w:hAnsi="Arial" w:cs="Arial"/>
          <w:b/>
          <w:sz w:val="24"/>
          <w:szCs w:val="24"/>
        </w:rPr>
        <w:t>/023</w:t>
      </w:r>
      <w:r>
        <w:rPr>
          <w:rFonts w:ascii="Arial" w:hAnsi="Arial" w:cs="Arial"/>
          <w:b/>
          <w:sz w:val="24"/>
          <w:szCs w:val="24"/>
        </w:rPr>
        <w:t xml:space="preserve"> – Vaccine efficacy against HPV-16/18 in women naïve to oncogenic HPV types</w:t>
      </w:r>
    </w:p>
    <w:p w:rsidR="002C54CD" w:rsidRPr="002C54CD" w:rsidRDefault="00224E37" w:rsidP="002C54CD">
      <w:pPr>
        <w:rPr>
          <w:rFonts w:ascii="Arial" w:hAnsi="Arial" w:cs="Arial"/>
          <w:sz w:val="24"/>
          <w:szCs w:val="24"/>
        </w:rPr>
      </w:pPr>
      <w:r w:rsidRPr="009B174F">
        <w:rPr>
          <w:rFonts w:ascii="Arial" w:hAnsi="Arial" w:cs="Arial"/>
          <w:sz w:val="24"/>
          <w:szCs w:val="24"/>
        </w:rPr>
        <w:t>Efficacy results for the endpoints associated with HPV-16 and/or HPV-18 (HPV-16/18) observed in study HPV-001/007</w:t>
      </w:r>
      <w:r>
        <w:rPr>
          <w:rFonts w:ascii="Arial" w:hAnsi="Arial" w:cs="Arial"/>
          <w:sz w:val="24"/>
          <w:szCs w:val="24"/>
        </w:rPr>
        <w:t xml:space="preserve"> through 6.4 years after the first vaccine dose</w:t>
      </w:r>
      <w:r w:rsidRPr="009B174F">
        <w:rPr>
          <w:rFonts w:ascii="Arial" w:hAnsi="Arial" w:cs="Arial"/>
          <w:sz w:val="24"/>
          <w:szCs w:val="24"/>
        </w:rPr>
        <w:t xml:space="preserve"> </w:t>
      </w:r>
      <w:proofErr w:type="gramStart"/>
      <w:r w:rsidRPr="009B174F">
        <w:rPr>
          <w:rFonts w:ascii="Arial" w:hAnsi="Arial" w:cs="Arial"/>
          <w:sz w:val="24"/>
          <w:szCs w:val="24"/>
        </w:rPr>
        <w:t>are</w:t>
      </w:r>
      <w:proofErr w:type="gramEnd"/>
      <w:r w:rsidRPr="009B174F">
        <w:rPr>
          <w:rFonts w:ascii="Arial" w:hAnsi="Arial" w:cs="Arial"/>
          <w:sz w:val="24"/>
          <w:szCs w:val="24"/>
        </w:rPr>
        <w:t xml:space="preserve"> presented in Table 1.</w:t>
      </w:r>
    </w:p>
    <w:p w:rsidR="0050528D" w:rsidRDefault="0050528D" w:rsidP="00224E37">
      <w:pPr>
        <w:rPr>
          <w:b/>
          <w:sz w:val="22"/>
          <w:szCs w:val="22"/>
        </w:rPr>
      </w:pPr>
    </w:p>
    <w:p w:rsidR="00224E37" w:rsidRDefault="00224E37" w:rsidP="00224E37">
      <w:pPr>
        <w:rPr>
          <w:b/>
          <w:sz w:val="22"/>
          <w:szCs w:val="22"/>
        </w:rPr>
      </w:pPr>
      <w:r>
        <w:rPr>
          <w:b/>
          <w:sz w:val="22"/>
          <w:szCs w:val="22"/>
        </w:rPr>
        <w:t>Table 1: Vaccine efficacy results from Study HPV 001/007 associated with HPV-16/18</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200"/>
        <w:gridCol w:w="2760"/>
        <w:gridCol w:w="1560"/>
        <w:gridCol w:w="1800"/>
      </w:tblGrid>
      <w:tr w:rsidR="00224E37" w:rsidRPr="006762B9" w:rsidTr="00C4507A">
        <w:tc>
          <w:tcPr>
            <w:tcW w:w="2388" w:type="dxa"/>
          </w:tcPr>
          <w:p w:rsidR="00224E37" w:rsidRPr="006762B9" w:rsidRDefault="00834630" w:rsidP="00C4507A">
            <w:pPr>
              <w:spacing w:line="240" w:lineRule="auto"/>
              <w:jc w:val="center"/>
              <w:rPr>
                <w:b/>
              </w:rPr>
            </w:pPr>
            <w:r w:rsidRPr="00834630">
              <w:rPr>
                <w:b/>
              </w:rPr>
              <w:t>Endpoint</w:t>
            </w:r>
          </w:p>
        </w:tc>
        <w:tc>
          <w:tcPr>
            <w:tcW w:w="1200" w:type="dxa"/>
          </w:tcPr>
          <w:p w:rsidR="00224E37" w:rsidRPr="006762B9" w:rsidRDefault="00834630" w:rsidP="00C4507A">
            <w:pPr>
              <w:spacing w:line="240" w:lineRule="auto"/>
              <w:jc w:val="center"/>
              <w:rPr>
                <w:b/>
              </w:rPr>
            </w:pPr>
            <w:r w:rsidRPr="00834630">
              <w:rPr>
                <w:b/>
              </w:rPr>
              <w:t>Cervarix</w:t>
            </w:r>
          </w:p>
          <w:p w:rsidR="00224E37" w:rsidRPr="006762B9" w:rsidRDefault="00834630" w:rsidP="00C4507A">
            <w:pPr>
              <w:spacing w:line="240" w:lineRule="auto"/>
              <w:jc w:val="center"/>
              <w:rPr>
                <w:b/>
              </w:rPr>
            </w:pPr>
            <w:r w:rsidRPr="00834630">
              <w:rPr>
                <w:b/>
              </w:rPr>
              <w:t>n/N</w:t>
            </w:r>
          </w:p>
        </w:tc>
        <w:tc>
          <w:tcPr>
            <w:tcW w:w="2760" w:type="dxa"/>
          </w:tcPr>
          <w:p w:rsidR="00224E37" w:rsidRPr="006762B9" w:rsidRDefault="00834630" w:rsidP="00C4507A">
            <w:pPr>
              <w:spacing w:line="240" w:lineRule="auto"/>
              <w:jc w:val="center"/>
              <w:rPr>
                <w:b/>
              </w:rPr>
            </w:pPr>
            <w:r w:rsidRPr="00834630">
              <w:rPr>
                <w:b/>
              </w:rPr>
              <w:t>Control (Al hydroxide) n/N</w:t>
            </w:r>
          </w:p>
        </w:tc>
        <w:tc>
          <w:tcPr>
            <w:tcW w:w="1560" w:type="dxa"/>
          </w:tcPr>
          <w:p w:rsidR="00224E37" w:rsidRPr="006762B9" w:rsidRDefault="00834630" w:rsidP="00C4507A">
            <w:pPr>
              <w:spacing w:line="240" w:lineRule="auto"/>
              <w:jc w:val="center"/>
              <w:rPr>
                <w:b/>
              </w:rPr>
            </w:pPr>
            <w:r w:rsidRPr="00834630">
              <w:rPr>
                <w:b/>
              </w:rPr>
              <w:t>% Efficacy</w:t>
            </w:r>
          </w:p>
        </w:tc>
        <w:tc>
          <w:tcPr>
            <w:tcW w:w="1800" w:type="dxa"/>
          </w:tcPr>
          <w:p w:rsidR="00224E37" w:rsidRPr="006762B9" w:rsidRDefault="00834630" w:rsidP="00C4507A">
            <w:pPr>
              <w:spacing w:line="240" w:lineRule="auto"/>
              <w:jc w:val="center"/>
              <w:rPr>
                <w:b/>
              </w:rPr>
            </w:pPr>
            <w:r w:rsidRPr="00834630">
              <w:rPr>
                <w:b/>
              </w:rPr>
              <w:t>95% CI</w:t>
            </w:r>
          </w:p>
        </w:tc>
      </w:tr>
      <w:tr w:rsidR="00224E37" w:rsidRPr="006762B9" w:rsidTr="00C4507A">
        <w:tc>
          <w:tcPr>
            <w:tcW w:w="2388" w:type="dxa"/>
          </w:tcPr>
          <w:p w:rsidR="00224E37" w:rsidRPr="006762B9" w:rsidRDefault="00834630" w:rsidP="00C4507A">
            <w:pPr>
              <w:spacing w:after="120" w:line="240" w:lineRule="auto"/>
            </w:pPr>
            <w:r w:rsidRPr="00834630">
              <w:t>Incident Infection*</w:t>
            </w:r>
          </w:p>
        </w:tc>
        <w:tc>
          <w:tcPr>
            <w:tcW w:w="1200" w:type="dxa"/>
          </w:tcPr>
          <w:p w:rsidR="00224E37" w:rsidRPr="006762B9" w:rsidRDefault="00834630" w:rsidP="00C4507A">
            <w:pPr>
              <w:spacing w:after="120" w:line="240" w:lineRule="auto"/>
              <w:jc w:val="center"/>
            </w:pPr>
            <w:r w:rsidRPr="00834630">
              <w:t>4/401</w:t>
            </w:r>
          </w:p>
        </w:tc>
        <w:tc>
          <w:tcPr>
            <w:tcW w:w="2760" w:type="dxa"/>
          </w:tcPr>
          <w:p w:rsidR="00224E37" w:rsidRPr="006762B9" w:rsidRDefault="00834630" w:rsidP="00C4507A">
            <w:pPr>
              <w:spacing w:after="120" w:line="240" w:lineRule="auto"/>
              <w:jc w:val="center"/>
            </w:pPr>
            <w:r w:rsidRPr="00834630">
              <w:t>70/372</w:t>
            </w:r>
          </w:p>
        </w:tc>
        <w:tc>
          <w:tcPr>
            <w:tcW w:w="1560" w:type="dxa"/>
          </w:tcPr>
          <w:p w:rsidR="00224E37" w:rsidRPr="006762B9" w:rsidRDefault="00834630" w:rsidP="00C4507A">
            <w:pPr>
              <w:spacing w:after="120" w:line="240" w:lineRule="auto"/>
              <w:jc w:val="center"/>
            </w:pPr>
            <w:r w:rsidRPr="00834630">
              <w:t>95.3</w:t>
            </w:r>
          </w:p>
        </w:tc>
        <w:tc>
          <w:tcPr>
            <w:tcW w:w="1800" w:type="dxa"/>
          </w:tcPr>
          <w:p w:rsidR="00224E37" w:rsidRPr="006762B9" w:rsidRDefault="00834630" w:rsidP="00C4507A">
            <w:pPr>
              <w:spacing w:after="120" w:line="240" w:lineRule="auto"/>
              <w:jc w:val="center"/>
            </w:pPr>
            <w:r w:rsidRPr="00834630">
              <w:t>87.4;98.7</w:t>
            </w:r>
          </w:p>
        </w:tc>
      </w:tr>
      <w:tr w:rsidR="00224E37" w:rsidRPr="006762B9" w:rsidTr="00C4507A">
        <w:tc>
          <w:tcPr>
            <w:tcW w:w="2388" w:type="dxa"/>
          </w:tcPr>
          <w:p w:rsidR="00224E37" w:rsidRPr="006762B9" w:rsidRDefault="00834630" w:rsidP="00C4507A">
            <w:pPr>
              <w:spacing w:after="120" w:line="240" w:lineRule="auto"/>
            </w:pPr>
            <w:bookmarkStart w:id="1" w:name="OLE_LINK2"/>
            <w:r w:rsidRPr="00834630">
              <w:t>6 month persistent</w:t>
            </w:r>
            <w:bookmarkEnd w:id="1"/>
            <w:r w:rsidRPr="00834630">
              <w:t xml:space="preserve"> infection*</w:t>
            </w:r>
          </w:p>
        </w:tc>
        <w:tc>
          <w:tcPr>
            <w:tcW w:w="1200" w:type="dxa"/>
          </w:tcPr>
          <w:p w:rsidR="00224E37" w:rsidRPr="006762B9" w:rsidRDefault="00834630" w:rsidP="00C4507A">
            <w:pPr>
              <w:spacing w:after="120" w:line="240" w:lineRule="auto"/>
              <w:jc w:val="center"/>
            </w:pPr>
            <w:r w:rsidRPr="00834630">
              <w:t>0/401</w:t>
            </w:r>
          </w:p>
        </w:tc>
        <w:tc>
          <w:tcPr>
            <w:tcW w:w="2760" w:type="dxa"/>
          </w:tcPr>
          <w:p w:rsidR="00224E37" w:rsidRPr="006762B9" w:rsidRDefault="00834630" w:rsidP="00C4507A">
            <w:pPr>
              <w:spacing w:after="120" w:line="240" w:lineRule="auto"/>
              <w:jc w:val="center"/>
            </w:pPr>
            <w:r w:rsidRPr="00834630">
              <w:t>34/372</w:t>
            </w:r>
          </w:p>
        </w:tc>
        <w:tc>
          <w:tcPr>
            <w:tcW w:w="1560" w:type="dxa"/>
          </w:tcPr>
          <w:p w:rsidR="00224E37" w:rsidRPr="006762B9" w:rsidRDefault="00834630" w:rsidP="00C4507A">
            <w:pPr>
              <w:spacing w:after="120" w:line="240" w:lineRule="auto"/>
              <w:jc w:val="center"/>
            </w:pPr>
            <w:r w:rsidRPr="00834630">
              <w:t>100.0</w:t>
            </w:r>
          </w:p>
        </w:tc>
        <w:tc>
          <w:tcPr>
            <w:tcW w:w="1800" w:type="dxa"/>
          </w:tcPr>
          <w:p w:rsidR="00224E37" w:rsidRPr="006762B9" w:rsidRDefault="00834630" w:rsidP="00C4507A">
            <w:pPr>
              <w:spacing w:after="120" w:line="240" w:lineRule="auto"/>
              <w:jc w:val="center"/>
            </w:pPr>
            <w:r w:rsidRPr="00834630">
              <w:t>90.0;100.0</w:t>
            </w:r>
          </w:p>
        </w:tc>
      </w:tr>
      <w:tr w:rsidR="00224E37" w:rsidRPr="006762B9" w:rsidTr="00C4507A">
        <w:tc>
          <w:tcPr>
            <w:tcW w:w="2388" w:type="dxa"/>
          </w:tcPr>
          <w:p w:rsidR="00224E37" w:rsidRPr="006762B9" w:rsidRDefault="00834630" w:rsidP="00C4507A">
            <w:pPr>
              <w:spacing w:after="120" w:line="240" w:lineRule="auto"/>
            </w:pPr>
            <w:r w:rsidRPr="00834630">
              <w:t>12 month persistent infection*</w:t>
            </w:r>
          </w:p>
        </w:tc>
        <w:tc>
          <w:tcPr>
            <w:tcW w:w="1200" w:type="dxa"/>
          </w:tcPr>
          <w:p w:rsidR="00224E37" w:rsidRPr="006762B9" w:rsidRDefault="00834630" w:rsidP="00C4507A">
            <w:pPr>
              <w:spacing w:after="120" w:line="240" w:lineRule="auto"/>
              <w:jc w:val="center"/>
            </w:pPr>
            <w:r w:rsidRPr="00834630">
              <w:t>0/401</w:t>
            </w:r>
          </w:p>
        </w:tc>
        <w:tc>
          <w:tcPr>
            <w:tcW w:w="2760" w:type="dxa"/>
          </w:tcPr>
          <w:p w:rsidR="00224E37" w:rsidRPr="006762B9" w:rsidRDefault="00834630" w:rsidP="00C4507A">
            <w:pPr>
              <w:spacing w:after="120" w:line="240" w:lineRule="auto"/>
              <w:jc w:val="center"/>
            </w:pPr>
            <w:r w:rsidRPr="00834630">
              <w:t>20/372</w:t>
            </w:r>
          </w:p>
        </w:tc>
        <w:tc>
          <w:tcPr>
            <w:tcW w:w="1560" w:type="dxa"/>
          </w:tcPr>
          <w:p w:rsidR="00224E37" w:rsidRPr="006762B9" w:rsidRDefault="00834630" w:rsidP="00C4507A">
            <w:pPr>
              <w:spacing w:after="120" w:line="240" w:lineRule="auto"/>
              <w:jc w:val="center"/>
            </w:pPr>
            <w:r w:rsidRPr="00834630">
              <w:t>100.0</w:t>
            </w:r>
          </w:p>
        </w:tc>
        <w:tc>
          <w:tcPr>
            <w:tcW w:w="1800" w:type="dxa"/>
          </w:tcPr>
          <w:p w:rsidR="00224E37" w:rsidRPr="006762B9" w:rsidRDefault="00834630" w:rsidP="00C4507A">
            <w:pPr>
              <w:spacing w:after="120" w:line="240" w:lineRule="auto"/>
              <w:jc w:val="center"/>
            </w:pPr>
            <w:r w:rsidRPr="00834630">
              <w:t>81.8;100.0</w:t>
            </w:r>
          </w:p>
        </w:tc>
      </w:tr>
      <w:tr w:rsidR="00224E37" w:rsidRPr="006762B9" w:rsidTr="00C4507A">
        <w:tc>
          <w:tcPr>
            <w:tcW w:w="2388" w:type="dxa"/>
          </w:tcPr>
          <w:p w:rsidR="00224E37" w:rsidRPr="006762B9" w:rsidRDefault="00834630" w:rsidP="00C4507A">
            <w:pPr>
              <w:spacing w:after="120" w:line="240" w:lineRule="auto"/>
            </w:pPr>
            <w:r w:rsidRPr="00834630">
              <w:t>ASC-US**</w:t>
            </w:r>
          </w:p>
        </w:tc>
        <w:tc>
          <w:tcPr>
            <w:tcW w:w="1200" w:type="dxa"/>
          </w:tcPr>
          <w:p w:rsidR="00224E37" w:rsidRPr="006762B9" w:rsidRDefault="00834630" w:rsidP="00C4507A">
            <w:pPr>
              <w:spacing w:after="120" w:line="240" w:lineRule="auto"/>
              <w:jc w:val="center"/>
            </w:pPr>
            <w:r w:rsidRPr="00834630">
              <w:t>1/505</w:t>
            </w:r>
          </w:p>
        </w:tc>
        <w:tc>
          <w:tcPr>
            <w:tcW w:w="2760" w:type="dxa"/>
          </w:tcPr>
          <w:p w:rsidR="00224E37" w:rsidRPr="006762B9" w:rsidRDefault="00834630" w:rsidP="00C4507A">
            <w:pPr>
              <w:spacing w:after="120" w:line="240" w:lineRule="auto"/>
              <w:jc w:val="center"/>
            </w:pPr>
            <w:r w:rsidRPr="00834630">
              <w:t>31/497</w:t>
            </w:r>
          </w:p>
        </w:tc>
        <w:tc>
          <w:tcPr>
            <w:tcW w:w="1560" w:type="dxa"/>
          </w:tcPr>
          <w:p w:rsidR="00224E37" w:rsidRPr="006762B9" w:rsidRDefault="00834630" w:rsidP="00C4507A">
            <w:pPr>
              <w:spacing w:after="120" w:line="240" w:lineRule="auto"/>
              <w:jc w:val="center"/>
            </w:pPr>
            <w:r w:rsidRPr="00834630">
              <w:t>97.3</w:t>
            </w:r>
          </w:p>
        </w:tc>
        <w:tc>
          <w:tcPr>
            <w:tcW w:w="1800" w:type="dxa"/>
          </w:tcPr>
          <w:p w:rsidR="00224E37" w:rsidRPr="006762B9" w:rsidRDefault="00834630" w:rsidP="00C4507A">
            <w:pPr>
              <w:spacing w:after="120" w:line="240" w:lineRule="auto"/>
              <w:jc w:val="center"/>
            </w:pPr>
            <w:r w:rsidRPr="00834630">
              <w:t>83.6;99.9</w:t>
            </w:r>
          </w:p>
        </w:tc>
      </w:tr>
      <w:tr w:rsidR="00224E37" w:rsidRPr="006762B9" w:rsidTr="00C4507A">
        <w:tc>
          <w:tcPr>
            <w:tcW w:w="2388" w:type="dxa"/>
          </w:tcPr>
          <w:p w:rsidR="00224E37" w:rsidRPr="006762B9" w:rsidRDefault="00834630" w:rsidP="00C4507A">
            <w:pPr>
              <w:spacing w:after="120" w:line="240" w:lineRule="auto"/>
            </w:pPr>
            <w:smartTag w:uri="urn:schemas-microsoft-com:office:smarttags" w:element="stockticker">
              <w:r w:rsidRPr="00834630">
                <w:t>CIN</w:t>
              </w:r>
            </w:smartTag>
            <w:r w:rsidRPr="00834630">
              <w:t>1+**</w:t>
            </w:r>
          </w:p>
        </w:tc>
        <w:tc>
          <w:tcPr>
            <w:tcW w:w="1200" w:type="dxa"/>
          </w:tcPr>
          <w:p w:rsidR="00224E37" w:rsidRPr="006762B9" w:rsidRDefault="00834630" w:rsidP="00C4507A">
            <w:pPr>
              <w:spacing w:after="120" w:line="240" w:lineRule="auto"/>
              <w:jc w:val="center"/>
            </w:pPr>
            <w:r w:rsidRPr="00834630">
              <w:t>0/481</w:t>
            </w:r>
          </w:p>
        </w:tc>
        <w:tc>
          <w:tcPr>
            <w:tcW w:w="2760" w:type="dxa"/>
          </w:tcPr>
          <w:p w:rsidR="00224E37" w:rsidRPr="006762B9" w:rsidRDefault="00834630" w:rsidP="00C4507A">
            <w:pPr>
              <w:spacing w:after="120" w:line="240" w:lineRule="auto"/>
              <w:jc w:val="center"/>
            </w:pPr>
            <w:r w:rsidRPr="00834630">
              <w:t>15/470</w:t>
            </w:r>
          </w:p>
        </w:tc>
        <w:tc>
          <w:tcPr>
            <w:tcW w:w="1560" w:type="dxa"/>
          </w:tcPr>
          <w:p w:rsidR="00224E37" w:rsidRPr="006762B9" w:rsidRDefault="00834630" w:rsidP="00C4507A">
            <w:pPr>
              <w:spacing w:after="120" w:line="240" w:lineRule="auto"/>
              <w:jc w:val="center"/>
            </w:pPr>
            <w:r w:rsidRPr="00834630">
              <w:t>100.0</w:t>
            </w:r>
          </w:p>
        </w:tc>
        <w:tc>
          <w:tcPr>
            <w:tcW w:w="1800" w:type="dxa"/>
          </w:tcPr>
          <w:p w:rsidR="00224E37" w:rsidRPr="006762B9" w:rsidRDefault="00834630" w:rsidP="00C4507A">
            <w:pPr>
              <w:spacing w:after="120" w:line="240" w:lineRule="auto"/>
              <w:jc w:val="center"/>
            </w:pPr>
            <w:r w:rsidRPr="00834630">
              <w:t>73.4;100.0</w:t>
            </w:r>
          </w:p>
        </w:tc>
      </w:tr>
      <w:tr w:rsidR="00224E37" w:rsidRPr="006762B9" w:rsidTr="00C4507A">
        <w:tc>
          <w:tcPr>
            <w:tcW w:w="2388" w:type="dxa"/>
          </w:tcPr>
          <w:p w:rsidR="00224E37" w:rsidRPr="006762B9" w:rsidRDefault="00834630" w:rsidP="00C4507A">
            <w:pPr>
              <w:spacing w:after="120" w:line="240" w:lineRule="auto"/>
            </w:pPr>
            <w:smartTag w:uri="urn:schemas-microsoft-com:office:smarttags" w:element="stockticker">
              <w:r w:rsidRPr="00834630">
                <w:t>CIN</w:t>
              </w:r>
            </w:smartTag>
            <w:r w:rsidRPr="00834630">
              <w:t>2+**</w:t>
            </w:r>
          </w:p>
        </w:tc>
        <w:tc>
          <w:tcPr>
            <w:tcW w:w="1200" w:type="dxa"/>
          </w:tcPr>
          <w:p w:rsidR="00224E37" w:rsidRPr="006762B9" w:rsidRDefault="00834630" w:rsidP="00C4507A">
            <w:pPr>
              <w:spacing w:after="120" w:line="240" w:lineRule="auto"/>
              <w:jc w:val="center"/>
            </w:pPr>
            <w:r w:rsidRPr="00834630">
              <w:t>0/481</w:t>
            </w:r>
          </w:p>
        </w:tc>
        <w:tc>
          <w:tcPr>
            <w:tcW w:w="2760" w:type="dxa"/>
          </w:tcPr>
          <w:p w:rsidR="00224E37" w:rsidRPr="006762B9" w:rsidRDefault="00834630" w:rsidP="00C4507A">
            <w:pPr>
              <w:spacing w:after="120" w:line="240" w:lineRule="auto"/>
              <w:jc w:val="center"/>
            </w:pPr>
            <w:r w:rsidRPr="00834630">
              <w:t>9/470</w:t>
            </w:r>
          </w:p>
        </w:tc>
        <w:tc>
          <w:tcPr>
            <w:tcW w:w="1560" w:type="dxa"/>
          </w:tcPr>
          <w:p w:rsidR="00224E37" w:rsidRPr="006762B9" w:rsidRDefault="00834630" w:rsidP="00C4507A">
            <w:pPr>
              <w:spacing w:after="120" w:line="240" w:lineRule="auto"/>
              <w:jc w:val="center"/>
            </w:pPr>
            <w:r w:rsidRPr="00834630">
              <w:t>100.0</w:t>
            </w:r>
          </w:p>
        </w:tc>
        <w:tc>
          <w:tcPr>
            <w:tcW w:w="1800" w:type="dxa"/>
          </w:tcPr>
          <w:p w:rsidR="00224E37" w:rsidRPr="006762B9" w:rsidRDefault="00834630" w:rsidP="00C4507A">
            <w:pPr>
              <w:spacing w:after="120" w:line="240" w:lineRule="auto"/>
              <w:jc w:val="center"/>
            </w:pPr>
            <w:r w:rsidRPr="00834630">
              <w:t>51.3;100.0</w:t>
            </w:r>
          </w:p>
        </w:tc>
      </w:tr>
    </w:tbl>
    <w:p w:rsidR="00224E37" w:rsidRPr="00F2256D" w:rsidRDefault="00224E37" w:rsidP="00224E37">
      <w:pPr>
        <w:spacing w:line="240" w:lineRule="auto"/>
        <w:rPr>
          <w:rFonts w:ascii="Arial" w:hAnsi="Arial" w:cs="Arial"/>
          <w:lang w:val="en-US"/>
        </w:rPr>
      </w:pPr>
      <w:r w:rsidRPr="00F2256D">
        <w:rPr>
          <w:rFonts w:ascii="Arial" w:hAnsi="Arial" w:cs="Arial"/>
          <w:lang w:val="en-US"/>
        </w:rPr>
        <w:t xml:space="preserve">*ATP cohort = All women in HPV-007 who received three doses of CERVARIX or placebo in HPV-001, and who were negative for high-risk HPV </w:t>
      </w:r>
      <w:smartTag w:uri="urn:schemas-microsoft-com:office:smarttags" w:element="stockticker">
        <w:r w:rsidRPr="00F2256D">
          <w:rPr>
            <w:rFonts w:ascii="Arial" w:hAnsi="Arial" w:cs="Arial"/>
            <w:lang w:val="en-US"/>
          </w:rPr>
          <w:t>DNA</w:t>
        </w:r>
      </w:smartTag>
      <w:r w:rsidRPr="00F2256D">
        <w:rPr>
          <w:rFonts w:ascii="Arial" w:hAnsi="Arial" w:cs="Arial"/>
          <w:lang w:val="en-US"/>
        </w:rPr>
        <w:t xml:space="preserve"> and seronegative for HPV-16 and HPV-18 at month 0, and negative for HPV-16 and HPV-18 </w:t>
      </w:r>
      <w:smartTag w:uri="urn:schemas-microsoft-com:office:smarttags" w:element="stockticker">
        <w:r w:rsidRPr="00F2256D">
          <w:rPr>
            <w:rFonts w:ascii="Arial" w:hAnsi="Arial" w:cs="Arial"/>
            <w:lang w:val="en-US"/>
          </w:rPr>
          <w:t>DNA</w:t>
        </w:r>
      </w:smartTag>
      <w:r w:rsidRPr="00F2256D">
        <w:rPr>
          <w:rFonts w:ascii="Arial" w:hAnsi="Arial" w:cs="Arial"/>
          <w:lang w:val="en-US"/>
        </w:rPr>
        <w:t xml:space="preserve"> at month 6.</w:t>
      </w:r>
    </w:p>
    <w:p w:rsidR="00224E37" w:rsidRPr="00F2256D" w:rsidRDefault="00224E37" w:rsidP="00224E37">
      <w:pPr>
        <w:spacing w:line="240" w:lineRule="auto"/>
        <w:rPr>
          <w:rFonts w:ascii="Arial" w:hAnsi="Arial" w:cs="Arial"/>
          <w:lang w:val="en-US"/>
        </w:rPr>
      </w:pPr>
      <w:r w:rsidRPr="00F2256D">
        <w:rPr>
          <w:rFonts w:ascii="Arial" w:hAnsi="Arial" w:cs="Arial"/>
          <w:lang w:val="en-US"/>
        </w:rPr>
        <w:t>** Total cohort = All women who had received at least one dose of CERVARIX or placebo in HPV-001, and who had any data available for outcome measurement in HPV-007.</w:t>
      </w:r>
    </w:p>
    <w:p w:rsidR="00224E37" w:rsidRPr="00F2256D" w:rsidRDefault="00224E37" w:rsidP="00224E37">
      <w:pPr>
        <w:spacing w:line="240" w:lineRule="auto"/>
        <w:rPr>
          <w:rFonts w:ascii="Arial" w:hAnsi="Arial" w:cs="Arial"/>
          <w:lang w:val="en-US"/>
        </w:rPr>
      </w:pPr>
      <w:r w:rsidRPr="00F2256D">
        <w:rPr>
          <w:rFonts w:ascii="Arial" w:hAnsi="Arial" w:cs="Arial"/>
          <w:lang w:val="en-US"/>
        </w:rPr>
        <w:t>N = Number of subjects in specific cohort</w:t>
      </w:r>
    </w:p>
    <w:p w:rsidR="00224E37" w:rsidRDefault="00224E37" w:rsidP="00224E37">
      <w:pPr>
        <w:spacing w:line="360" w:lineRule="exact"/>
        <w:rPr>
          <w:rFonts w:ascii="Arial" w:hAnsi="Arial" w:cs="Arial"/>
          <w:lang w:val="en-US"/>
        </w:rPr>
      </w:pPr>
      <w:r w:rsidRPr="00F2256D">
        <w:rPr>
          <w:rFonts w:ascii="Arial" w:hAnsi="Arial" w:cs="Arial"/>
          <w:lang w:val="en-US"/>
        </w:rPr>
        <w:t>n = number of cases</w:t>
      </w:r>
    </w:p>
    <w:p w:rsidR="00224E37" w:rsidRDefault="00224E37" w:rsidP="00224E37">
      <w:pPr>
        <w:spacing w:line="360" w:lineRule="exact"/>
        <w:rPr>
          <w:rFonts w:ascii="Arial" w:hAnsi="Arial" w:cs="Arial"/>
          <w:lang w:val="en-US"/>
        </w:rPr>
      </w:pPr>
    </w:p>
    <w:p w:rsidR="00014864" w:rsidRDefault="00014864" w:rsidP="00224E37">
      <w:pPr>
        <w:spacing w:line="360" w:lineRule="exact"/>
        <w:rPr>
          <w:rFonts w:ascii="Arial" w:hAnsi="Arial" w:cs="Arial"/>
          <w:sz w:val="24"/>
          <w:szCs w:val="24"/>
        </w:rPr>
      </w:pPr>
      <w:r w:rsidRPr="00F2256D">
        <w:rPr>
          <w:rFonts w:ascii="Arial" w:hAnsi="Arial" w:cs="Arial"/>
          <w:sz w:val="24"/>
          <w:szCs w:val="24"/>
        </w:rPr>
        <w:t xml:space="preserve">In summary, sustained efficacy of the vaccine was demonstrated against HPV-16 and/or HPV-18 persistent infections, as well as against cytological abnormalities and histopathological lesions. </w:t>
      </w:r>
    </w:p>
    <w:p w:rsidR="00224E37" w:rsidRDefault="00224E37" w:rsidP="00224E37">
      <w:pPr>
        <w:spacing w:line="360" w:lineRule="exact"/>
        <w:rPr>
          <w:rFonts w:ascii="Arial" w:hAnsi="Arial" w:cs="Arial"/>
          <w:sz w:val="24"/>
          <w:szCs w:val="24"/>
        </w:rPr>
      </w:pPr>
    </w:p>
    <w:p w:rsidR="00170B59" w:rsidRDefault="00170B59" w:rsidP="00170B59">
      <w:pPr>
        <w:spacing w:line="360" w:lineRule="exact"/>
        <w:rPr>
          <w:rFonts w:ascii="Arial" w:hAnsi="Arial" w:cs="Arial"/>
          <w:sz w:val="24"/>
          <w:szCs w:val="24"/>
        </w:rPr>
      </w:pPr>
      <w:r w:rsidRPr="00D63EB7">
        <w:rPr>
          <w:rFonts w:ascii="Arial" w:hAnsi="Arial" w:cs="Arial"/>
          <w:sz w:val="24"/>
          <w:szCs w:val="24"/>
        </w:rPr>
        <w:t>In study HPV-023, subjects (N=437) were followed-up to 9.4 years (approximately 113 months) after dose one. There were no new cases of infection or histopathological lesions associated with HPV-16/18 in the vaccine group. In the placebo group, there were 4 cases of 6-month persistent infection, 1 case of 12-month persistent infection and 1 case of CIN1+ associated with HPV-16/18.</w:t>
      </w:r>
    </w:p>
    <w:p w:rsidR="00170B59" w:rsidRDefault="00170B59" w:rsidP="00170B59">
      <w:pPr>
        <w:spacing w:line="360" w:lineRule="exact"/>
        <w:rPr>
          <w:rFonts w:ascii="Arial" w:hAnsi="Arial" w:cs="Arial"/>
          <w:sz w:val="24"/>
          <w:szCs w:val="24"/>
        </w:rPr>
      </w:pPr>
    </w:p>
    <w:p w:rsidR="00170B59" w:rsidRDefault="00170B59" w:rsidP="00170B59">
      <w:pPr>
        <w:spacing w:line="360" w:lineRule="exact"/>
        <w:rPr>
          <w:rFonts w:ascii="Arial" w:hAnsi="Arial" w:cs="Arial"/>
          <w:sz w:val="24"/>
          <w:szCs w:val="24"/>
        </w:rPr>
      </w:pPr>
      <w:r w:rsidRPr="00D63EB7">
        <w:rPr>
          <w:rFonts w:ascii="Arial" w:hAnsi="Arial" w:cs="Arial"/>
          <w:sz w:val="24"/>
          <w:szCs w:val="24"/>
        </w:rPr>
        <w:t>In the descriptive combined analysis of studies HPV-001/007/023, efficacy against HPV-16/18 incident and 6-month persistent infection was 91.0% (95% CI: 80.2</w:t>
      </w:r>
      <w:proofErr w:type="gramStart"/>
      <w:r w:rsidRPr="00D63EB7">
        <w:rPr>
          <w:rFonts w:ascii="Arial" w:hAnsi="Arial" w:cs="Arial"/>
          <w:sz w:val="24"/>
          <w:szCs w:val="24"/>
        </w:rPr>
        <w:t>;96.5</w:t>
      </w:r>
      <w:proofErr w:type="gramEnd"/>
      <w:r w:rsidRPr="00D63EB7">
        <w:rPr>
          <w:rFonts w:ascii="Arial" w:hAnsi="Arial" w:cs="Arial"/>
          <w:sz w:val="24"/>
          <w:szCs w:val="24"/>
        </w:rPr>
        <w:t>) and 96.8% (95% CI: 80.4;99.9), respectively</w:t>
      </w:r>
      <w:r>
        <w:rPr>
          <w:rFonts w:ascii="Arial" w:hAnsi="Arial" w:cs="Arial"/>
          <w:sz w:val="24"/>
          <w:szCs w:val="24"/>
        </w:rPr>
        <w:t>.</w:t>
      </w:r>
    </w:p>
    <w:p w:rsidR="00170B59" w:rsidRDefault="00170B59" w:rsidP="00224E37">
      <w:pPr>
        <w:spacing w:line="360" w:lineRule="exact"/>
        <w:rPr>
          <w:rFonts w:ascii="Arial" w:hAnsi="Arial" w:cs="Arial"/>
          <w:sz w:val="24"/>
          <w:szCs w:val="24"/>
        </w:rPr>
      </w:pPr>
    </w:p>
    <w:p w:rsidR="002C54CD" w:rsidRDefault="00224E37" w:rsidP="00224E37">
      <w:pPr>
        <w:spacing w:line="360" w:lineRule="exact"/>
        <w:rPr>
          <w:rFonts w:ascii="Arial" w:hAnsi="Arial" w:cs="Arial"/>
          <w:sz w:val="24"/>
          <w:szCs w:val="24"/>
        </w:rPr>
      </w:pPr>
      <w:r w:rsidRPr="009B174F">
        <w:rPr>
          <w:rFonts w:ascii="Arial" w:hAnsi="Arial" w:cs="Arial"/>
          <w:sz w:val="24"/>
          <w:szCs w:val="24"/>
        </w:rPr>
        <w:t>Despite evidence of continuous exposure to HPV infections as observed in the control group, there is no evidence of waning protection in vaccinated women.</w:t>
      </w:r>
    </w:p>
    <w:p w:rsidR="00014864" w:rsidRPr="00F2256D" w:rsidRDefault="00014864">
      <w:pPr>
        <w:spacing w:line="360" w:lineRule="exact"/>
        <w:rPr>
          <w:rFonts w:ascii="Arial" w:hAnsi="Arial"/>
          <w:b/>
          <w:sz w:val="24"/>
        </w:rPr>
      </w:pPr>
    </w:p>
    <w:p w:rsidR="00224E37" w:rsidRPr="00F2256D" w:rsidRDefault="00224E37" w:rsidP="00224E37">
      <w:pPr>
        <w:spacing w:line="360" w:lineRule="exact"/>
        <w:rPr>
          <w:rFonts w:ascii="Arial" w:hAnsi="Arial" w:cs="Arial"/>
          <w:b/>
          <w:sz w:val="24"/>
          <w:szCs w:val="24"/>
          <w:highlight w:val="yellow"/>
        </w:rPr>
      </w:pPr>
      <w:r>
        <w:rPr>
          <w:rFonts w:ascii="Arial" w:hAnsi="Arial" w:cs="Arial"/>
          <w:b/>
          <w:sz w:val="24"/>
          <w:szCs w:val="24"/>
        </w:rPr>
        <w:t xml:space="preserve">2. </w:t>
      </w:r>
      <w:r w:rsidRPr="00965A73">
        <w:rPr>
          <w:rFonts w:ascii="Arial" w:hAnsi="Arial" w:cs="Arial"/>
          <w:b/>
          <w:sz w:val="24"/>
          <w:szCs w:val="24"/>
        </w:rPr>
        <w:t>Study HPV-008 - Vaccine efficacy in women with/without evidence of past and/or current HPV infection</w:t>
      </w:r>
    </w:p>
    <w:p w:rsidR="00224E37" w:rsidRPr="009B174F" w:rsidRDefault="00224E37" w:rsidP="00224E37">
      <w:pPr>
        <w:rPr>
          <w:rFonts w:ascii="Arial" w:hAnsi="Arial" w:cs="Arial"/>
          <w:sz w:val="24"/>
          <w:szCs w:val="24"/>
        </w:rPr>
      </w:pPr>
      <w:r w:rsidRPr="009B174F">
        <w:rPr>
          <w:rFonts w:ascii="Arial" w:hAnsi="Arial" w:cs="Arial"/>
          <w:sz w:val="24"/>
          <w:szCs w:val="24"/>
        </w:rPr>
        <w:t xml:space="preserve">In study HPV-008, the primary analyses of efficacy were performed on the According to Protocol cohort (ATP cohort: including women who received 3 vaccine doses and were naïve to the </w:t>
      </w:r>
      <w:r w:rsidRPr="00D57923">
        <w:rPr>
          <w:rFonts w:ascii="Arial" w:hAnsi="Arial" w:cs="Arial"/>
          <w:sz w:val="24"/>
          <w:szCs w:val="24"/>
        </w:rPr>
        <w:t>respective HPV type at month 0 and month 6) and the Total Vaccinated Cohort-1 (TVC-1 cohort: including women who received at least one vaccine dose and were naïve to the respective HPV type at month 0). Both cohorts included women with normal or low-grade cytolog</w:t>
      </w:r>
      <w:r w:rsidRPr="009B174F">
        <w:rPr>
          <w:rFonts w:ascii="Arial" w:hAnsi="Arial" w:cs="Arial"/>
          <w:sz w:val="24"/>
          <w:szCs w:val="24"/>
        </w:rPr>
        <w:t>y at baseline and excluded only women with high-grade cytology (0.5%).</w:t>
      </w:r>
    </w:p>
    <w:p w:rsidR="0050528D" w:rsidRDefault="0050528D" w:rsidP="00224E37">
      <w:pPr>
        <w:rPr>
          <w:rFonts w:ascii="Arial" w:hAnsi="Arial" w:cs="Arial"/>
          <w:sz w:val="24"/>
          <w:szCs w:val="24"/>
        </w:rPr>
      </w:pPr>
    </w:p>
    <w:p w:rsidR="00E05D55" w:rsidRPr="009B174F" w:rsidRDefault="00224E37" w:rsidP="00E05D55">
      <w:pPr>
        <w:rPr>
          <w:rFonts w:ascii="Arial" w:hAnsi="Arial" w:cs="Arial"/>
          <w:iCs/>
          <w:sz w:val="24"/>
          <w:szCs w:val="24"/>
        </w:rPr>
      </w:pPr>
      <w:r w:rsidRPr="009B174F">
        <w:rPr>
          <w:rFonts w:ascii="Arial" w:hAnsi="Arial" w:cs="Arial"/>
          <w:sz w:val="24"/>
          <w:szCs w:val="24"/>
        </w:rPr>
        <w:t xml:space="preserve">In addition, analyses of efficacy were performed on the broader Total Vaccinated Cohort (TVC) which included all vaccinated </w:t>
      </w:r>
      <w:proofErr w:type="spellStart"/>
      <w:r w:rsidRPr="009B174F">
        <w:rPr>
          <w:rFonts w:ascii="Arial" w:hAnsi="Arial" w:cs="Arial"/>
          <w:sz w:val="24"/>
          <w:szCs w:val="24"/>
        </w:rPr>
        <w:t>women.</w:t>
      </w:r>
      <w:r w:rsidR="00E05D55" w:rsidRPr="009B174F">
        <w:rPr>
          <w:rFonts w:ascii="Arial" w:hAnsi="Arial" w:cs="Arial"/>
          <w:iCs/>
          <w:sz w:val="24"/>
          <w:szCs w:val="24"/>
        </w:rPr>
        <w:t>The</w:t>
      </w:r>
      <w:proofErr w:type="spellEnd"/>
      <w:r w:rsidR="00E05D55" w:rsidRPr="009B174F">
        <w:rPr>
          <w:rFonts w:ascii="Arial" w:hAnsi="Arial" w:cs="Arial"/>
          <w:iCs/>
          <w:sz w:val="24"/>
          <w:szCs w:val="24"/>
        </w:rPr>
        <w:t xml:space="preserve"> TVC approximates a general population of women, including those who are sexually active, and may have previous or current HPV infection, cytological abnormalities or precancerous cervical lesions. The TVC-naïve cohort includes women with no evidence of previous or current HPV infection and no cytological abnormalities, and approximates </w:t>
      </w:r>
      <w:r w:rsidR="00E05D55">
        <w:rPr>
          <w:rFonts w:ascii="Arial" w:hAnsi="Arial" w:cs="Arial"/>
          <w:iCs/>
          <w:sz w:val="24"/>
          <w:szCs w:val="24"/>
        </w:rPr>
        <w:t xml:space="preserve">to </w:t>
      </w:r>
      <w:r w:rsidR="00E05D55" w:rsidRPr="009B174F">
        <w:rPr>
          <w:rFonts w:ascii="Arial" w:hAnsi="Arial" w:cs="Arial"/>
          <w:iCs/>
          <w:sz w:val="24"/>
          <w:szCs w:val="24"/>
        </w:rPr>
        <w:t>a population of young women before sexual debut.</w:t>
      </w:r>
    </w:p>
    <w:p w:rsidR="00224E37" w:rsidRPr="009B174F" w:rsidRDefault="00224E37" w:rsidP="00224E37">
      <w:pPr>
        <w:rPr>
          <w:rFonts w:ascii="Arial" w:hAnsi="Arial" w:cs="Arial"/>
          <w:i/>
          <w:sz w:val="24"/>
          <w:szCs w:val="24"/>
        </w:rPr>
      </w:pPr>
    </w:p>
    <w:p w:rsidR="00224E37" w:rsidRPr="009B174F" w:rsidRDefault="00224E37" w:rsidP="00224E37">
      <w:pPr>
        <w:rPr>
          <w:b/>
          <w:sz w:val="24"/>
          <w:szCs w:val="24"/>
        </w:rPr>
      </w:pPr>
      <w:r w:rsidRPr="009B174F">
        <w:rPr>
          <w:b/>
          <w:sz w:val="24"/>
          <w:szCs w:val="24"/>
        </w:rPr>
        <w:t>Table 2: Population Cohorts analysed in Study HPV-008</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637"/>
        <w:gridCol w:w="4628"/>
        <w:gridCol w:w="2040"/>
      </w:tblGrid>
      <w:tr w:rsidR="00224E37" w:rsidRPr="006762B9" w:rsidTr="00C4507A">
        <w:tc>
          <w:tcPr>
            <w:tcW w:w="1403" w:type="dxa"/>
          </w:tcPr>
          <w:p w:rsidR="00224E37" w:rsidRPr="006762B9" w:rsidRDefault="006F387C" w:rsidP="00C4507A">
            <w:pPr>
              <w:spacing w:line="240" w:lineRule="auto"/>
              <w:jc w:val="left"/>
              <w:rPr>
                <w:b/>
              </w:rPr>
            </w:pPr>
            <w:r w:rsidRPr="006F387C">
              <w:rPr>
                <w:b/>
              </w:rPr>
              <w:t>Cohort</w:t>
            </w:r>
          </w:p>
        </w:tc>
        <w:tc>
          <w:tcPr>
            <w:tcW w:w="1637" w:type="dxa"/>
          </w:tcPr>
          <w:p w:rsidR="00224E37" w:rsidRPr="006762B9" w:rsidRDefault="006F387C" w:rsidP="00C4507A">
            <w:pPr>
              <w:spacing w:line="240" w:lineRule="auto"/>
              <w:jc w:val="left"/>
              <w:rPr>
                <w:b/>
              </w:rPr>
            </w:pPr>
            <w:r w:rsidRPr="006F387C">
              <w:rPr>
                <w:b/>
              </w:rPr>
              <w:t>Abbreviation</w:t>
            </w:r>
          </w:p>
        </w:tc>
        <w:tc>
          <w:tcPr>
            <w:tcW w:w="4628" w:type="dxa"/>
          </w:tcPr>
          <w:p w:rsidR="00224E37" w:rsidRPr="006762B9" w:rsidRDefault="006F387C" w:rsidP="00C4507A">
            <w:pPr>
              <w:spacing w:line="240" w:lineRule="auto"/>
              <w:jc w:val="left"/>
              <w:rPr>
                <w:b/>
              </w:rPr>
            </w:pPr>
            <w:r w:rsidRPr="006F387C">
              <w:rPr>
                <w:b/>
              </w:rPr>
              <w:t>Definition</w:t>
            </w:r>
          </w:p>
        </w:tc>
        <w:tc>
          <w:tcPr>
            <w:tcW w:w="2040" w:type="dxa"/>
          </w:tcPr>
          <w:p w:rsidR="00224E37" w:rsidRPr="006762B9" w:rsidRDefault="006F387C" w:rsidP="00C4507A">
            <w:pPr>
              <w:spacing w:after="240" w:line="240" w:lineRule="auto"/>
              <w:jc w:val="left"/>
              <w:rPr>
                <w:b/>
              </w:rPr>
            </w:pPr>
            <w:r w:rsidRPr="006F387C">
              <w:rPr>
                <w:b/>
              </w:rPr>
              <w:t xml:space="preserve">Analysed for </w:t>
            </w:r>
          </w:p>
        </w:tc>
      </w:tr>
      <w:tr w:rsidR="00224E37" w:rsidRPr="006762B9" w:rsidTr="00C4507A">
        <w:tc>
          <w:tcPr>
            <w:tcW w:w="1403" w:type="dxa"/>
          </w:tcPr>
          <w:p w:rsidR="00224E37" w:rsidRPr="006762B9" w:rsidRDefault="00834630" w:rsidP="00C4507A">
            <w:pPr>
              <w:spacing w:line="240" w:lineRule="auto"/>
            </w:pPr>
            <w:r w:rsidRPr="00834630">
              <w:t>According to Protocol cohort</w:t>
            </w:r>
          </w:p>
        </w:tc>
        <w:tc>
          <w:tcPr>
            <w:tcW w:w="1637" w:type="dxa"/>
          </w:tcPr>
          <w:p w:rsidR="00224E37" w:rsidRPr="006762B9" w:rsidRDefault="00834630" w:rsidP="00C4507A">
            <w:pPr>
              <w:spacing w:line="240" w:lineRule="auto"/>
            </w:pPr>
            <w:r w:rsidRPr="00834630">
              <w:t>ATP</w:t>
            </w:r>
          </w:p>
        </w:tc>
        <w:tc>
          <w:tcPr>
            <w:tcW w:w="4628" w:type="dxa"/>
          </w:tcPr>
          <w:p w:rsidR="00224E37" w:rsidRPr="006762B9" w:rsidRDefault="00834630" w:rsidP="00C4507A">
            <w:pPr>
              <w:spacing w:line="240" w:lineRule="auto"/>
            </w:pPr>
            <w:r w:rsidRPr="00834630">
              <w:t>Women who received three doses of study vaccine, complied with the study protocol, and had normal or low-grade cytology at Month 0.</w:t>
            </w:r>
          </w:p>
        </w:tc>
        <w:tc>
          <w:tcPr>
            <w:tcW w:w="2040" w:type="dxa"/>
          </w:tcPr>
          <w:p w:rsidR="00224E37" w:rsidRPr="006762B9" w:rsidRDefault="00834630" w:rsidP="00C4507A">
            <w:pPr>
              <w:spacing w:after="240" w:line="240" w:lineRule="auto"/>
              <w:jc w:val="left"/>
            </w:pPr>
            <w:r w:rsidRPr="00834630">
              <w:t>Primary and secondary endpoints</w:t>
            </w:r>
          </w:p>
        </w:tc>
      </w:tr>
      <w:tr w:rsidR="00224E37" w:rsidRPr="006762B9" w:rsidTr="00C4507A">
        <w:tc>
          <w:tcPr>
            <w:tcW w:w="1403" w:type="dxa"/>
          </w:tcPr>
          <w:p w:rsidR="00224E37" w:rsidRPr="006762B9" w:rsidRDefault="00834630" w:rsidP="00C4507A">
            <w:pPr>
              <w:spacing w:line="240" w:lineRule="auto"/>
            </w:pPr>
            <w:r w:rsidRPr="00834630">
              <w:t>Total Vaccinated Cohort -1</w:t>
            </w:r>
          </w:p>
        </w:tc>
        <w:tc>
          <w:tcPr>
            <w:tcW w:w="1637" w:type="dxa"/>
          </w:tcPr>
          <w:p w:rsidR="00224E37" w:rsidRPr="006762B9" w:rsidRDefault="00834630" w:rsidP="00C4507A">
            <w:pPr>
              <w:spacing w:line="240" w:lineRule="auto"/>
            </w:pPr>
            <w:r w:rsidRPr="00834630">
              <w:t>TVC-1</w:t>
            </w:r>
          </w:p>
        </w:tc>
        <w:tc>
          <w:tcPr>
            <w:tcW w:w="4628" w:type="dxa"/>
          </w:tcPr>
          <w:p w:rsidR="00224E37" w:rsidRPr="006762B9" w:rsidRDefault="00834630" w:rsidP="00C4507A">
            <w:pPr>
              <w:spacing w:line="240" w:lineRule="auto"/>
            </w:pPr>
            <w:r w:rsidRPr="00834630">
              <w:t>Women who received at least one dose of study vaccine and had normal or low-grade cytology at Month 0</w:t>
            </w:r>
          </w:p>
        </w:tc>
        <w:tc>
          <w:tcPr>
            <w:tcW w:w="2040" w:type="dxa"/>
          </w:tcPr>
          <w:p w:rsidR="00224E37" w:rsidRPr="006762B9" w:rsidRDefault="00834630" w:rsidP="00C4507A">
            <w:pPr>
              <w:spacing w:after="240" w:line="240" w:lineRule="auto"/>
              <w:jc w:val="left"/>
            </w:pPr>
            <w:r w:rsidRPr="00834630">
              <w:t>Primary and secondary endpoints</w:t>
            </w:r>
          </w:p>
        </w:tc>
      </w:tr>
      <w:tr w:rsidR="00224E37" w:rsidRPr="006762B9" w:rsidTr="00C4507A">
        <w:tc>
          <w:tcPr>
            <w:tcW w:w="1403" w:type="dxa"/>
          </w:tcPr>
          <w:p w:rsidR="00224E37" w:rsidRPr="006762B9" w:rsidRDefault="00834630" w:rsidP="00C4507A">
            <w:pPr>
              <w:spacing w:line="240" w:lineRule="auto"/>
            </w:pPr>
            <w:r w:rsidRPr="00834630">
              <w:t>Total Vaccinated Cohort</w:t>
            </w:r>
          </w:p>
        </w:tc>
        <w:tc>
          <w:tcPr>
            <w:tcW w:w="1637" w:type="dxa"/>
          </w:tcPr>
          <w:p w:rsidR="00224E37" w:rsidRPr="006762B9" w:rsidRDefault="00834630" w:rsidP="00C4507A">
            <w:pPr>
              <w:spacing w:line="240" w:lineRule="auto"/>
            </w:pPr>
            <w:r w:rsidRPr="00834630">
              <w:t>TVC</w:t>
            </w:r>
          </w:p>
        </w:tc>
        <w:tc>
          <w:tcPr>
            <w:tcW w:w="4628" w:type="dxa"/>
          </w:tcPr>
          <w:p w:rsidR="00224E37" w:rsidRPr="006762B9" w:rsidRDefault="00834630" w:rsidP="00C4507A">
            <w:pPr>
              <w:spacing w:line="240" w:lineRule="auto"/>
            </w:pPr>
            <w:r w:rsidRPr="00834630">
              <w:t>Women who received at least one dose of study vaccine</w:t>
            </w:r>
          </w:p>
        </w:tc>
        <w:tc>
          <w:tcPr>
            <w:tcW w:w="2040" w:type="dxa"/>
          </w:tcPr>
          <w:p w:rsidR="00224E37" w:rsidRPr="006762B9" w:rsidRDefault="00834630" w:rsidP="00C4507A">
            <w:pPr>
              <w:spacing w:after="240" w:line="240" w:lineRule="auto"/>
            </w:pPr>
            <w:r w:rsidRPr="00834630">
              <w:t xml:space="preserve">Supportive </w:t>
            </w:r>
          </w:p>
        </w:tc>
      </w:tr>
      <w:tr w:rsidR="00224E37" w:rsidRPr="006762B9" w:rsidTr="00C4507A">
        <w:tc>
          <w:tcPr>
            <w:tcW w:w="1403" w:type="dxa"/>
          </w:tcPr>
          <w:p w:rsidR="00224E37" w:rsidRPr="006762B9" w:rsidRDefault="00834630" w:rsidP="00C4507A">
            <w:pPr>
              <w:spacing w:line="240" w:lineRule="auto"/>
            </w:pPr>
            <w:r w:rsidRPr="00834630">
              <w:t>Total Vaccinated Cohort of HPV naïve women</w:t>
            </w:r>
          </w:p>
        </w:tc>
        <w:tc>
          <w:tcPr>
            <w:tcW w:w="1637" w:type="dxa"/>
          </w:tcPr>
          <w:p w:rsidR="00224E37" w:rsidRPr="006762B9" w:rsidRDefault="00834630" w:rsidP="00C4507A">
            <w:pPr>
              <w:spacing w:line="240" w:lineRule="auto"/>
            </w:pPr>
            <w:r w:rsidRPr="00834630">
              <w:t>TVC naive</w:t>
            </w:r>
          </w:p>
        </w:tc>
        <w:tc>
          <w:tcPr>
            <w:tcW w:w="4628" w:type="dxa"/>
          </w:tcPr>
          <w:p w:rsidR="00224E37" w:rsidRPr="006762B9" w:rsidRDefault="00834630" w:rsidP="00C4507A">
            <w:pPr>
              <w:spacing w:line="240" w:lineRule="auto"/>
            </w:pPr>
            <w:r w:rsidRPr="00834630">
              <w:t xml:space="preserve">Women who received at least one dose of study vaccine, and had normal cytology at Month 0, were HPV </w:t>
            </w:r>
            <w:smartTag w:uri="urn:schemas-microsoft-com:office:smarttags" w:element="stockticker">
              <w:r w:rsidRPr="00834630">
                <w:t>DNA</w:t>
              </w:r>
            </w:smartTag>
            <w:r w:rsidRPr="00834630">
              <w:t xml:space="preserve"> negative for all oncogenic types at Month 0 and seronegative for HPV-16 and  HPV-18, at Month 0.</w:t>
            </w:r>
          </w:p>
        </w:tc>
        <w:tc>
          <w:tcPr>
            <w:tcW w:w="2040" w:type="dxa"/>
          </w:tcPr>
          <w:p w:rsidR="00224E37" w:rsidRPr="006762B9" w:rsidRDefault="00834630" w:rsidP="00C4507A">
            <w:pPr>
              <w:spacing w:after="240" w:line="240" w:lineRule="auto"/>
            </w:pPr>
            <w:r w:rsidRPr="00834630">
              <w:t>Exploratory analyses</w:t>
            </w:r>
          </w:p>
        </w:tc>
      </w:tr>
    </w:tbl>
    <w:p w:rsidR="00224E37" w:rsidRPr="009B174F" w:rsidRDefault="00224E37" w:rsidP="00224E37">
      <w:pPr>
        <w:rPr>
          <w:rFonts w:ascii="Arial" w:hAnsi="Arial" w:cs="Arial"/>
          <w:iCs/>
          <w:sz w:val="24"/>
          <w:szCs w:val="24"/>
        </w:rPr>
      </w:pPr>
    </w:p>
    <w:p w:rsidR="00014864" w:rsidRPr="00F2256D" w:rsidRDefault="00224E37" w:rsidP="00224E37">
      <w:pPr>
        <w:spacing w:line="360" w:lineRule="exact"/>
        <w:rPr>
          <w:rFonts w:ascii="Arial" w:hAnsi="Arial" w:cs="Arial"/>
          <w:b/>
          <w:sz w:val="24"/>
          <w:szCs w:val="24"/>
          <w:highlight w:val="yellow"/>
        </w:rPr>
      </w:pPr>
      <w:r w:rsidRPr="009B174F">
        <w:rPr>
          <w:rFonts w:ascii="Arial" w:hAnsi="Arial" w:cs="Arial"/>
          <w:iCs/>
          <w:sz w:val="24"/>
          <w:szCs w:val="24"/>
        </w:rPr>
        <w:t>For the three Total Vaccinated cohorts, case counting began the day after first vaccination. For the According to Protocol cohort, case counting began the day after the third vaccination.</w:t>
      </w:r>
    </w:p>
    <w:p w:rsidR="00014864" w:rsidRPr="00F2256D" w:rsidRDefault="00014864">
      <w:pPr>
        <w:spacing w:line="360" w:lineRule="exact"/>
        <w:rPr>
          <w:rFonts w:ascii="Arial" w:hAnsi="Arial" w:cs="Arial"/>
          <w:sz w:val="24"/>
          <w:szCs w:val="24"/>
        </w:rPr>
      </w:pPr>
    </w:p>
    <w:p w:rsidR="00224E37" w:rsidRDefault="00224E37" w:rsidP="00224E37">
      <w:pPr>
        <w:rPr>
          <w:rFonts w:ascii="Arial" w:hAnsi="Arial" w:cs="Arial"/>
          <w:sz w:val="24"/>
          <w:szCs w:val="24"/>
        </w:rPr>
      </w:pPr>
      <w:r w:rsidRPr="009B174F">
        <w:rPr>
          <w:rFonts w:ascii="Arial" w:hAnsi="Arial" w:cs="Arial"/>
          <w:sz w:val="24"/>
          <w:szCs w:val="24"/>
        </w:rPr>
        <w:t xml:space="preserve">In study HPV-008, approximately 26% of women had evidence of current and/or prior HPV-16/18 infection and less than 1% of women were HPV </w:t>
      </w:r>
      <w:smartTag w:uri="urn:schemas-microsoft-com:office:smarttags" w:element="stockticker">
        <w:r w:rsidRPr="009B174F">
          <w:rPr>
            <w:rFonts w:ascii="Arial" w:hAnsi="Arial" w:cs="Arial"/>
            <w:sz w:val="24"/>
            <w:szCs w:val="24"/>
          </w:rPr>
          <w:t>DNA</w:t>
        </w:r>
      </w:smartTag>
      <w:r w:rsidRPr="009B174F">
        <w:rPr>
          <w:rFonts w:ascii="Arial" w:hAnsi="Arial" w:cs="Arial"/>
          <w:sz w:val="24"/>
          <w:szCs w:val="24"/>
        </w:rPr>
        <w:t xml:space="preserve"> positive for both HPV-16 </w:t>
      </w:r>
      <w:r w:rsidRPr="009B174F">
        <w:rPr>
          <w:rFonts w:ascii="Arial" w:hAnsi="Arial" w:cs="Arial"/>
          <w:sz w:val="24"/>
          <w:szCs w:val="24"/>
        </w:rPr>
        <w:lastRenderedPageBreak/>
        <w:t>and HPV-18 types at baseline.</w:t>
      </w:r>
      <w:r w:rsidR="00ED6C29">
        <w:rPr>
          <w:rFonts w:ascii="Arial" w:hAnsi="Arial" w:cs="Arial"/>
          <w:sz w:val="24"/>
          <w:szCs w:val="24"/>
        </w:rPr>
        <w:t xml:space="preserve"> </w:t>
      </w:r>
      <w:r w:rsidR="00001032">
        <w:rPr>
          <w:rFonts w:ascii="Arial" w:hAnsi="Arial" w:cs="Arial"/>
          <w:sz w:val="24"/>
          <w:szCs w:val="24"/>
        </w:rPr>
        <w:t>An</w:t>
      </w:r>
      <w:r w:rsidR="00ED6C29">
        <w:rPr>
          <w:rFonts w:ascii="Arial" w:hAnsi="Arial" w:cs="Arial"/>
          <w:sz w:val="24"/>
          <w:szCs w:val="24"/>
        </w:rPr>
        <w:t xml:space="preserve"> event triggered</w:t>
      </w:r>
      <w:r w:rsidR="00B26CEB" w:rsidRPr="00B26CEB">
        <w:rPr>
          <w:rFonts w:ascii="Arial" w:hAnsi="Arial" w:cs="Arial"/>
          <w:sz w:val="24"/>
          <w:szCs w:val="24"/>
        </w:rPr>
        <w:t xml:space="preserve"> </w:t>
      </w:r>
      <w:r w:rsidR="00B26CEB">
        <w:rPr>
          <w:rFonts w:ascii="Arial" w:hAnsi="Arial" w:cs="Arial"/>
          <w:sz w:val="24"/>
          <w:szCs w:val="24"/>
        </w:rPr>
        <w:t>analysis of study HPV-008</w:t>
      </w:r>
      <w:r w:rsidR="00ED6C29">
        <w:rPr>
          <w:rFonts w:ascii="Arial" w:hAnsi="Arial" w:cs="Arial"/>
          <w:sz w:val="24"/>
          <w:szCs w:val="24"/>
        </w:rPr>
        <w:t xml:space="preserve"> was performed when at least 36 CIN2+ cases associated with HPV-16/18 were accrued in the ATP cohort.</w:t>
      </w:r>
      <w:r>
        <w:rPr>
          <w:rFonts w:ascii="Arial" w:hAnsi="Arial" w:cs="Arial"/>
          <w:sz w:val="24"/>
          <w:szCs w:val="24"/>
        </w:rPr>
        <w:t xml:space="preserve"> </w:t>
      </w:r>
      <w:r w:rsidRPr="009B174F">
        <w:rPr>
          <w:rFonts w:ascii="Arial" w:hAnsi="Arial" w:cs="Arial"/>
          <w:sz w:val="24"/>
          <w:szCs w:val="24"/>
        </w:rPr>
        <w:t>The mean follow-up was approximately 39 months</w:t>
      </w:r>
      <w:r w:rsidR="00355836">
        <w:rPr>
          <w:rFonts w:ascii="Arial" w:hAnsi="Arial" w:cs="Arial"/>
          <w:sz w:val="24"/>
          <w:szCs w:val="24"/>
        </w:rPr>
        <w:t xml:space="preserve"> post dose one</w:t>
      </w:r>
      <w:r w:rsidRPr="009B174F">
        <w:rPr>
          <w:rFonts w:ascii="Arial" w:hAnsi="Arial" w:cs="Arial"/>
          <w:sz w:val="24"/>
          <w:szCs w:val="24"/>
        </w:rPr>
        <w:t>.</w:t>
      </w:r>
    </w:p>
    <w:p w:rsidR="00355836" w:rsidRDefault="00355836" w:rsidP="00224E37">
      <w:pPr>
        <w:rPr>
          <w:rFonts w:ascii="Arial" w:hAnsi="Arial" w:cs="Arial"/>
          <w:sz w:val="24"/>
          <w:szCs w:val="24"/>
        </w:rPr>
      </w:pPr>
    </w:p>
    <w:p w:rsidR="00355836" w:rsidRPr="009B174F" w:rsidRDefault="00355836" w:rsidP="00224E37">
      <w:pPr>
        <w:rPr>
          <w:rFonts w:ascii="Arial" w:hAnsi="Arial" w:cs="Arial"/>
          <w:sz w:val="24"/>
          <w:szCs w:val="24"/>
        </w:rPr>
      </w:pPr>
      <w:r>
        <w:rPr>
          <w:rFonts w:ascii="Arial" w:hAnsi="Arial" w:cs="Arial"/>
          <w:sz w:val="24"/>
          <w:szCs w:val="24"/>
        </w:rPr>
        <w:t>End of study analysis was performed at the end of the 4-year follow-up period (i.e. 48 months post dose one) and included all subjects from the Total Vaccinated Cohort (TVC).</w:t>
      </w:r>
    </w:p>
    <w:p w:rsidR="00224E37" w:rsidRDefault="00224E37" w:rsidP="00224E37">
      <w:pPr>
        <w:rPr>
          <w:rFonts w:ascii="Arial" w:hAnsi="Arial" w:cs="Arial"/>
          <w:iCs/>
          <w:sz w:val="24"/>
          <w:szCs w:val="24"/>
        </w:rPr>
      </w:pPr>
    </w:p>
    <w:p w:rsidR="00224E37" w:rsidRDefault="00224E37" w:rsidP="00224E37">
      <w:pPr>
        <w:rPr>
          <w:rFonts w:ascii="Arial" w:hAnsi="Arial" w:cs="Arial"/>
          <w:iCs/>
          <w:sz w:val="24"/>
          <w:szCs w:val="24"/>
        </w:rPr>
      </w:pPr>
      <w:r>
        <w:rPr>
          <w:rFonts w:ascii="Arial" w:hAnsi="Arial" w:cs="Arial"/>
          <w:iCs/>
          <w:sz w:val="24"/>
          <w:szCs w:val="24"/>
        </w:rPr>
        <w:t xml:space="preserve">Vaccine efficacy against </w:t>
      </w:r>
      <w:r w:rsidR="00840FFF">
        <w:rPr>
          <w:rFonts w:ascii="Arial" w:hAnsi="Arial" w:cs="Arial"/>
          <w:iCs/>
          <w:sz w:val="24"/>
          <w:szCs w:val="24"/>
        </w:rPr>
        <w:t>C</w:t>
      </w:r>
      <w:r w:rsidR="00B26CEB">
        <w:rPr>
          <w:rFonts w:ascii="Arial" w:hAnsi="Arial" w:cs="Arial"/>
          <w:iCs/>
          <w:sz w:val="24"/>
          <w:szCs w:val="24"/>
        </w:rPr>
        <w:t>I</w:t>
      </w:r>
      <w:r w:rsidR="00840FFF">
        <w:rPr>
          <w:rFonts w:ascii="Arial" w:hAnsi="Arial" w:cs="Arial"/>
          <w:iCs/>
          <w:sz w:val="24"/>
          <w:szCs w:val="24"/>
        </w:rPr>
        <w:t>N3+,</w:t>
      </w:r>
      <w:r w:rsidR="00A767D7">
        <w:rPr>
          <w:rFonts w:ascii="Arial" w:hAnsi="Arial" w:cs="Arial"/>
          <w:iCs/>
          <w:sz w:val="24"/>
          <w:szCs w:val="24"/>
        </w:rPr>
        <w:t xml:space="preserve"> </w:t>
      </w:r>
      <w:smartTag w:uri="urn:schemas-microsoft-com:office:smarttags" w:element="stockticker">
        <w:r>
          <w:rPr>
            <w:rFonts w:ascii="Arial" w:hAnsi="Arial" w:cs="Arial"/>
            <w:iCs/>
            <w:sz w:val="24"/>
            <w:szCs w:val="24"/>
          </w:rPr>
          <w:t>CIN</w:t>
        </w:r>
      </w:smartTag>
      <w:r>
        <w:rPr>
          <w:rFonts w:ascii="Arial" w:hAnsi="Arial" w:cs="Arial"/>
          <w:iCs/>
          <w:sz w:val="24"/>
          <w:szCs w:val="24"/>
        </w:rPr>
        <w:t xml:space="preserve">2+ and </w:t>
      </w:r>
      <w:smartTag w:uri="urn:schemas-microsoft-com:office:smarttags" w:element="stockticker">
        <w:r>
          <w:rPr>
            <w:rFonts w:ascii="Arial" w:hAnsi="Arial" w:cs="Arial"/>
            <w:iCs/>
            <w:sz w:val="24"/>
            <w:szCs w:val="24"/>
          </w:rPr>
          <w:t>CIN</w:t>
        </w:r>
      </w:smartTag>
      <w:r>
        <w:rPr>
          <w:rFonts w:ascii="Arial" w:hAnsi="Arial" w:cs="Arial"/>
          <w:iCs/>
          <w:sz w:val="24"/>
          <w:szCs w:val="24"/>
        </w:rPr>
        <w:t>1+ associated with HPV-16/18 are provided in Table 3.</w:t>
      </w:r>
    </w:p>
    <w:p w:rsidR="004E2BF8" w:rsidRDefault="004E2BF8" w:rsidP="00224E37">
      <w:pPr>
        <w:rPr>
          <w:rFonts w:ascii="Arial" w:hAnsi="Arial" w:cs="Arial"/>
          <w:iCs/>
          <w:sz w:val="24"/>
          <w:szCs w:val="24"/>
        </w:rPr>
      </w:pPr>
    </w:p>
    <w:p w:rsidR="004E2BF8" w:rsidRDefault="004E2BF8" w:rsidP="00224E37">
      <w:pPr>
        <w:spacing w:line="240" w:lineRule="auto"/>
        <w:rPr>
          <w:b/>
          <w:sz w:val="22"/>
          <w:szCs w:val="22"/>
        </w:rPr>
      </w:pPr>
    </w:p>
    <w:p w:rsidR="00224E37" w:rsidRDefault="00224E37" w:rsidP="00224E37">
      <w:pPr>
        <w:spacing w:line="240" w:lineRule="auto"/>
        <w:rPr>
          <w:b/>
          <w:sz w:val="22"/>
          <w:szCs w:val="22"/>
        </w:rPr>
      </w:pPr>
      <w:r w:rsidRPr="009B174F">
        <w:rPr>
          <w:b/>
          <w:sz w:val="22"/>
          <w:szCs w:val="22"/>
        </w:rPr>
        <w:t xml:space="preserve">Table 3: Vaccine efficacy </w:t>
      </w:r>
      <w:r w:rsidR="00001032" w:rsidRPr="0075564F">
        <w:rPr>
          <w:rFonts w:ascii="Times New Roman Bold" w:hAnsi="Times New Roman Bold"/>
          <w:b/>
          <w:sz w:val="22"/>
          <w:szCs w:val="22"/>
        </w:rPr>
        <w:t xml:space="preserve">from </w:t>
      </w:r>
      <w:r w:rsidR="00001032">
        <w:rPr>
          <w:rFonts w:ascii="Times New Roman Bold" w:hAnsi="Times New Roman Bold"/>
          <w:b/>
          <w:sz w:val="22"/>
          <w:szCs w:val="22"/>
        </w:rPr>
        <w:t xml:space="preserve">the end of study analysis </w:t>
      </w:r>
      <w:r w:rsidRPr="009B174F">
        <w:rPr>
          <w:b/>
          <w:sz w:val="22"/>
          <w:szCs w:val="22"/>
        </w:rPr>
        <w:t xml:space="preserve">against </w:t>
      </w:r>
      <w:r w:rsidR="00355836">
        <w:rPr>
          <w:b/>
          <w:sz w:val="22"/>
          <w:szCs w:val="22"/>
        </w:rPr>
        <w:t>C</w:t>
      </w:r>
      <w:r w:rsidR="00B26CEB">
        <w:rPr>
          <w:b/>
          <w:sz w:val="22"/>
          <w:szCs w:val="22"/>
        </w:rPr>
        <w:t>I</w:t>
      </w:r>
      <w:r w:rsidR="00355836">
        <w:rPr>
          <w:b/>
          <w:sz w:val="22"/>
          <w:szCs w:val="22"/>
        </w:rPr>
        <w:t xml:space="preserve">N3+, </w:t>
      </w:r>
      <w:smartTag w:uri="urn:schemas-microsoft-com:office:smarttags" w:element="stockticker">
        <w:r w:rsidRPr="009B174F">
          <w:rPr>
            <w:b/>
            <w:sz w:val="22"/>
            <w:szCs w:val="22"/>
          </w:rPr>
          <w:t>CIN</w:t>
        </w:r>
      </w:smartTag>
      <w:r w:rsidRPr="009B174F">
        <w:rPr>
          <w:b/>
          <w:sz w:val="22"/>
          <w:szCs w:val="22"/>
        </w:rPr>
        <w:t xml:space="preserve">2+ and </w:t>
      </w:r>
      <w:smartTag w:uri="urn:schemas-microsoft-com:office:smarttags" w:element="stockticker">
        <w:r w:rsidRPr="009B174F">
          <w:rPr>
            <w:b/>
            <w:sz w:val="22"/>
            <w:szCs w:val="22"/>
          </w:rPr>
          <w:t>CIN</w:t>
        </w:r>
      </w:smartTag>
      <w:r w:rsidRPr="009B174F">
        <w:rPr>
          <w:b/>
          <w:sz w:val="22"/>
          <w:szCs w:val="22"/>
        </w:rPr>
        <w:t xml:space="preserve">1+ associated with </w:t>
      </w:r>
      <w:r w:rsidR="00001032" w:rsidRPr="009B174F">
        <w:rPr>
          <w:b/>
          <w:sz w:val="22"/>
          <w:szCs w:val="22"/>
        </w:rPr>
        <w:t xml:space="preserve">HPV-16 and HPV-18 </w:t>
      </w:r>
      <w:r w:rsidRPr="009B174F">
        <w:rPr>
          <w:b/>
          <w:sz w:val="22"/>
          <w:szCs w:val="22"/>
        </w:rPr>
        <w:t xml:space="preserve">- </w:t>
      </w:r>
      <w:r w:rsidR="00355836" w:rsidRPr="00E237F0">
        <w:rPr>
          <w:b/>
          <w:sz w:val="22"/>
          <w:szCs w:val="22"/>
        </w:rPr>
        <w:t>(</w:t>
      </w:r>
      <w:r w:rsidR="00355836">
        <w:rPr>
          <w:b/>
          <w:sz w:val="22"/>
          <w:szCs w:val="22"/>
        </w:rPr>
        <w:t>ATP and TVC-1)</w:t>
      </w:r>
    </w:p>
    <w:p w:rsidR="00A767D7" w:rsidRPr="009B174F" w:rsidRDefault="00A767D7" w:rsidP="00224E37">
      <w:pPr>
        <w:spacing w:line="240" w:lineRule="auto"/>
        <w:rPr>
          <w:b/>
          <w:sz w:val="22"/>
          <w:szCs w:val="22"/>
        </w:rPr>
      </w:pPr>
    </w:p>
    <w:tbl>
      <w:tblPr>
        <w:tblpPr w:leftFromText="180" w:rightFromText="180" w:vertAnchor="text" w:horzAnchor="margin" w:tblpXSpec="center" w:tblpY="155"/>
        <w:tblW w:w="59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992"/>
        <w:gridCol w:w="992"/>
        <w:gridCol w:w="567"/>
        <w:gridCol w:w="850"/>
        <w:gridCol w:w="567"/>
        <w:gridCol w:w="1135"/>
      </w:tblGrid>
      <w:tr w:rsidR="00A767D7" w:rsidRPr="00671C79" w:rsidTr="00A767D7">
        <w:trPr>
          <w:cantSplit/>
          <w:trHeight w:val="20"/>
        </w:trPr>
        <w:tc>
          <w:tcPr>
            <w:tcW w:w="1809" w:type="dxa"/>
            <w:gridSpan w:val="2"/>
            <w:vMerge w:val="restart"/>
          </w:tcPr>
          <w:p w:rsidR="00A767D7" w:rsidRPr="00F5415A" w:rsidRDefault="00A767D7" w:rsidP="00437499">
            <w:pPr>
              <w:keepLines/>
              <w:jc w:val="center"/>
            </w:pPr>
          </w:p>
          <w:p w:rsidR="00A767D7" w:rsidRPr="00F5415A" w:rsidRDefault="00A767D7" w:rsidP="00437499">
            <w:pPr>
              <w:keepLines/>
              <w:jc w:val="center"/>
            </w:pPr>
            <w:r w:rsidRPr="00F5415A">
              <w:t>HPV 16/18 endpoint</w:t>
            </w:r>
          </w:p>
        </w:tc>
        <w:tc>
          <w:tcPr>
            <w:tcW w:w="4110" w:type="dxa"/>
            <w:gridSpan w:val="5"/>
          </w:tcPr>
          <w:p w:rsidR="00A767D7" w:rsidRPr="00F5415A" w:rsidRDefault="00A767D7" w:rsidP="00437499">
            <w:pPr>
              <w:keepNext/>
              <w:keepLines/>
              <w:jc w:val="center"/>
            </w:pPr>
            <w:r w:rsidRPr="00F5415A">
              <w:t>End of study analysis</w:t>
            </w:r>
          </w:p>
        </w:tc>
      </w:tr>
      <w:tr w:rsidR="00A767D7" w:rsidRPr="00671C79" w:rsidTr="00A767D7">
        <w:trPr>
          <w:cantSplit/>
          <w:trHeight w:val="20"/>
        </w:trPr>
        <w:tc>
          <w:tcPr>
            <w:tcW w:w="1809" w:type="dxa"/>
            <w:gridSpan w:val="2"/>
            <w:vMerge/>
          </w:tcPr>
          <w:p w:rsidR="00A767D7" w:rsidRPr="00F5415A" w:rsidRDefault="00A767D7" w:rsidP="00437499">
            <w:pPr>
              <w:keepLines/>
              <w:jc w:val="center"/>
            </w:pPr>
          </w:p>
        </w:tc>
        <w:tc>
          <w:tcPr>
            <w:tcW w:w="1559" w:type="dxa"/>
            <w:gridSpan w:val="2"/>
          </w:tcPr>
          <w:p w:rsidR="00A767D7" w:rsidRPr="00F5415A" w:rsidRDefault="00A767D7" w:rsidP="00437499">
            <w:pPr>
              <w:keepNext/>
              <w:keepLines/>
              <w:jc w:val="center"/>
            </w:pPr>
            <w:r w:rsidRPr="00F5415A">
              <w:t>Cervarix</w:t>
            </w:r>
          </w:p>
        </w:tc>
        <w:tc>
          <w:tcPr>
            <w:tcW w:w="1417" w:type="dxa"/>
            <w:gridSpan w:val="2"/>
          </w:tcPr>
          <w:p w:rsidR="00A767D7" w:rsidRPr="00F5415A" w:rsidRDefault="00A767D7" w:rsidP="00437499">
            <w:pPr>
              <w:keepNext/>
              <w:keepLines/>
              <w:jc w:val="center"/>
            </w:pPr>
            <w:r w:rsidRPr="00F5415A">
              <w:t>Control</w:t>
            </w:r>
          </w:p>
        </w:tc>
        <w:tc>
          <w:tcPr>
            <w:tcW w:w="1134" w:type="dxa"/>
            <w:vMerge w:val="restart"/>
          </w:tcPr>
          <w:p w:rsidR="00A767D7" w:rsidRPr="00F5415A" w:rsidRDefault="00A767D7" w:rsidP="00437499">
            <w:pPr>
              <w:keepNext/>
              <w:keepLines/>
              <w:jc w:val="center"/>
            </w:pPr>
            <w:r w:rsidRPr="00F5415A">
              <w:t xml:space="preserve">% Efficacy </w:t>
            </w:r>
          </w:p>
          <w:p w:rsidR="00A767D7" w:rsidRPr="00F5415A" w:rsidRDefault="00A767D7" w:rsidP="00437499">
            <w:pPr>
              <w:keepNext/>
              <w:keepLines/>
              <w:jc w:val="center"/>
            </w:pPr>
            <w:r w:rsidRPr="00F5415A">
              <w:t>(95% CI)</w:t>
            </w:r>
          </w:p>
        </w:tc>
      </w:tr>
      <w:tr w:rsidR="00A767D7" w:rsidRPr="00671C79" w:rsidTr="00A767D7">
        <w:trPr>
          <w:cantSplit/>
          <w:trHeight w:val="20"/>
        </w:trPr>
        <w:tc>
          <w:tcPr>
            <w:tcW w:w="1809" w:type="dxa"/>
            <w:gridSpan w:val="2"/>
            <w:vMerge/>
          </w:tcPr>
          <w:p w:rsidR="00A767D7" w:rsidRPr="00F5415A" w:rsidRDefault="00A767D7" w:rsidP="00437499">
            <w:pPr>
              <w:keepNext/>
              <w:keepLines/>
            </w:pPr>
          </w:p>
        </w:tc>
        <w:tc>
          <w:tcPr>
            <w:tcW w:w="992" w:type="dxa"/>
          </w:tcPr>
          <w:p w:rsidR="00A767D7" w:rsidRPr="00F5415A" w:rsidRDefault="00A767D7" w:rsidP="00437499">
            <w:pPr>
              <w:keepNext/>
              <w:keepLines/>
              <w:jc w:val="center"/>
            </w:pPr>
            <w:r w:rsidRPr="00F5415A">
              <w:t>N</w:t>
            </w:r>
          </w:p>
        </w:tc>
        <w:tc>
          <w:tcPr>
            <w:tcW w:w="567" w:type="dxa"/>
          </w:tcPr>
          <w:p w:rsidR="00A767D7" w:rsidRPr="00F5415A" w:rsidRDefault="00A767D7" w:rsidP="00437499">
            <w:pPr>
              <w:keepNext/>
              <w:keepLines/>
              <w:jc w:val="center"/>
            </w:pPr>
            <w:r w:rsidRPr="00F5415A">
              <w:t>n</w:t>
            </w:r>
          </w:p>
        </w:tc>
        <w:tc>
          <w:tcPr>
            <w:tcW w:w="850" w:type="dxa"/>
          </w:tcPr>
          <w:p w:rsidR="00A767D7" w:rsidRPr="00F5415A" w:rsidRDefault="00A767D7" w:rsidP="00437499">
            <w:pPr>
              <w:keepNext/>
              <w:keepLines/>
              <w:jc w:val="center"/>
            </w:pPr>
            <w:r w:rsidRPr="00F5415A">
              <w:t>N</w:t>
            </w:r>
          </w:p>
        </w:tc>
        <w:tc>
          <w:tcPr>
            <w:tcW w:w="567" w:type="dxa"/>
          </w:tcPr>
          <w:p w:rsidR="00A767D7" w:rsidRPr="00F5415A" w:rsidRDefault="00A767D7" w:rsidP="00437499">
            <w:pPr>
              <w:keepNext/>
              <w:keepLines/>
              <w:jc w:val="center"/>
            </w:pPr>
            <w:r w:rsidRPr="00F5415A">
              <w:t>n</w:t>
            </w:r>
          </w:p>
        </w:tc>
        <w:tc>
          <w:tcPr>
            <w:tcW w:w="1134" w:type="dxa"/>
            <w:vMerge/>
          </w:tcPr>
          <w:p w:rsidR="00A767D7" w:rsidRPr="00F5415A" w:rsidRDefault="00A767D7" w:rsidP="00437499">
            <w:pPr>
              <w:keepNext/>
              <w:keepLines/>
              <w:jc w:val="center"/>
            </w:pPr>
          </w:p>
        </w:tc>
      </w:tr>
      <w:tr w:rsidR="00A767D7" w:rsidRPr="00671C79" w:rsidTr="00A767D7">
        <w:trPr>
          <w:cantSplit/>
          <w:trHeight w:val="20"/>
        </w:trPr>
        <w:tc>
          <w:tcPr>
            <w:tcW w:w="817" w:type="dxa"/>
            <w:vMerge w:val="restart"/>
          </w:tcPr>
          <w:p w:rsidR="00A767D7" w:rsidRPr="00F5415A" w:rsidRDefault="00A767D7" w:rsidP="00437499">
            <w:pPr>
              <w:keepLines/>
            </w:pPr>
            <w:r w:rsidRPr="00F5415A">
              <w:t>CIN3+</w:t>
            </w:r>
          </w:p>
        </w:tc>
        <w:tc>
          <w:tcPr>
            <w:tcW w:w="992" w:type="dxa"/>
            <w:shd w:val="clear" w:color="auto" w:fill="auto"/>
          </w:tcPr>
          <w:p w:rsidR="00A767D7" w:rsidRPr="00F5415A" w:rsidRDefault="00A767D7" w:rsidP="00437499">
            <w:pPr>
              <w:keepLines/>
            </w:pPr>
            <w:r w:rsidRPr="00F5415A">
              <w:t>ATP</w:t>
            </w:r>
            <w:r w:rsidRPr="00F5415A">
              <w:rPr>
                <w:vertAlign w:val="superscript"/>
              </w:rPr>
              <w:t>(1)</w:t>
            </w:r>
          </w:p>
        </w:tc>
        <w:tc>
          <w:tcPr>
            <w:tcW w:w="992" w:type="dxa"/>
          </w:tcPr>
          <w:p w:rsidR="00A767D7" w:rsidRPr="00F5415A" w:rsidRDefault="00A767D7" w:rsidP="00437499">
            <w:pPr>
              <w:keepLines/>
              <w:jc w:val="center"/>
            </w:pPr>
            <w:r w:rsidRPr="00F5415A">
              <w:t>7338</w:t>
            </w:r>
          </w:p>
        </w:tc>
        <w:tc>
          <w:tcPr>
            <w:tcW w:w="567" w:type="dxa"/>
          </w:tcPr>
          <w:p w:rsidR="00A767D7" w:rsidRPr="00F5415A" w:rsidRDefault="00A767D7" w:rsidP="00437499">
            <w:pPr>
              <w:keepLines/>
              <w:jc w:val="center"/>
            </w:pPr>
            <w:r w:rsidRPr="00F5415A">
              <w:t>2</w:t>
            </w:r>
          </w:p>
        </w:tc>
        <w:tc>
          <w:tcPr>
            <w:tcW w:w="850" w:type="dxa"/>
          </w:tcPr>
          <w:p w:rsidR="00A767D7" w:rsidRPr="00F5415A" w:rsidRDefault="00A767D7" w:rsidP="00437499">
            <w:pPr>
              <w:keepLines/>
              <w:jc w:val="center"/>
            </w:pPr>
            <w:r w:rsidRPr="00F5415A">
              <w:t>7305</w:t>
            </w:r>
          </w:p>
        </w:tc>
        <w:tc>
          <w:tcPr>
            <w:tcW w:w="567" w:type="dxa"/>
          </w:tcPr>
          <w:p w:rsidR="00A767D7" w:rsidRPr="00F5415A" w:rsidRDefault="00A767D7" w:rsidP="00437499">
            <w:pPr>
              <w:keepLines/>
              <w:jc w:val="center"/>
            </w:pPr>
            <w:r w:rsidRPr="00F5415A">
              <w:t>24</w:t>
            </w:r>
          </w:p>
        </w:tc>
        <w:tc>
          <w:tcPr>
            <w:tcW w:w="1134" w:type="dxa"/>
          </w:tcPr>
          <w:p w:rsidR="00A767D7" w:rsidRPr="00F5415A" w:rsidRDefault="00A767D7" w:rsidP="00437499">
            <w:pPr>
              <w:keepLines/>
              <w:jc w:val="center"/>
            </w:pPr>
            <w:r w:rsidRPr="00F5415A">
              <w:t>91.7% (66.6;99.1)</w:t>
            </w:r>
          </w:p>
        </w:tc>
      </w:tr>
      <w:tr w:rsidR="00A767D7" w:rsidRPr="00671C79" w:rsidTr="00A767D7">
        <w:trPr>
          <w:cantSplit/>
          <w:trHeight w:val="20"/>
        </w:trPr>
        <w:tc>
          <w:tcPr>
            <w:tcW w:w="817" w:type="dxa"/>
            <w:vMerge/>
          </w:tcPr>
          <w:p w:rsidR="00A767D7" w:rsidRPr="00F5415A" w:rsidRDefault="00A767D7" w:rsidP="00437499">
            <w:pPr>
              <w:keepLines/>
            </w:pPr>
          </w:p>
        </w:tc>
        <w:tc>
          <w:tcPr>
            <w:tcW w:w="992" w:type="dxa"/>
            <w:shd w:val="clear" w:color="auto" w:fill="auto"/>
          </w:tcPr>
          <w:p w:rsidR="00A767D7" w:rsidRPr="00F5415A" w:rsidRDefault="00A767D7" w:rsidP="00437499">
            <w:pPr>
              <w:keepLines/>
            </w:pPr>
            <w:r w:rsidRPr="00F5415A">
              <w:t>TVC-1</w:t>
            </w:r>
            <w:r w:rsidRPr="00F5415A">
              <w:rPr>
                <w:vertAlign w:val="superscript"/>
              </w:rPr>
              <w:t>(2)</w:t>
            </w:r>
          </w:p>
        </w:tc>
        <w:tc>
          <w:tcPr>
            <w:tcW w:w="992" w:type="dxa"/>
          </w:tcPr>
          <w:p w:rsidR="00A767D7" w:rsidRPr="00F5415A" w:rsidRDefault="00A767D7" w:rsidP="00437499">
            <w:pPr>
              <w:keepLines/>
              <w:jc w:val="center"/>
            </w:pPr>
            <w:r w:rsidRPr="00F5415A">
              <w:t>8068</w:t>
            </w:r>
          </w:p>
        </w:tc>
        <w:tc>
          <w:tcPr>
            <w:tcW w:w="567" w:type="dxa"/>
          </w:tcPr>
          <w:p w:rsidR="00A767D7" w:rsidRPr="00F5415A" w:rsidRDefault="00A767D7" w:rsidP="00437499">
            <w:pPr>
              <w:keepLines/>
              <w:jc w:val="center"/>
            </w:pPr>
            <w:r w:rsidRPr="00F5415A">
              <w:t>2</w:t>
            </w:r>
          </w:p>
        </w:tc>
        <w:tc>
          <w:tcPr>
            <w:tcW w:w="850" w:type="dxa"/>
          </w:tcPr>
          <w:p w:rsidR="00A767D7" w:rsidRPr="00F5415A" w:rsidRDefault="00A767D7" w:rsidP="00437499">
            <w:pPr>
              <w:keepLines/>
              <w:jc w:val="center"/>
            </w:pPr>
            <w:r w:rsidRPr="00F5415A">
              <w:t>8103</w:t>
            </w:r>
          </w:p>
        </w:tc>
        <w:tc>
          <w:tcPr>
            <w:tcW w:w="567" w:type="dxa"/>
          </w:tcPr>
          <w:p w:rsidR="00A767D7" w:rsidRPr="00F5415A" w:rsidRDefault="00A767D7" w:rsidP="00437499">
            <w:pPr>
              <w:keepLines/>
              <w:jc w:val="center"/>
            </w:pPr>
            <w:r w:rsidRPr="00F5415A">
              <w:t>40</w:t>
            </w:r>
          </w:p>
        </w:tc>
        <w:tc>
          <w:tcPr>
            <w:tcW w:w="1134" w:type="dxa"/>
          </w:tcPr>
          <w:p w:rsidR="00A767D7" w:rsidRPr="00F5415A" w:rsidRDefault="00A767D7" w:rsidP="00437499">
            <w:pPr>
              <w:keepLines/>
              <w:jc w:val="center"/>
            </w:pPr>
            <w:r w:rsidRPr="00F5415A">
              <w:t>95.0% (80.7;99.4)</w:t>
            </w:r>
          </w:p>
        </w:tc>
      </w:tr>
      <w:tr w:rsidR="00A767D7" w:rsidRPr="00671C79" w:rsidTr="00A767D7">
        <w:trPr>
          <w:cantSplit/>
          <w:trHeight w:val="20"/>
        </w:trPr>
        <w:tc>
          <w:tcPr>
            <w:tcW w:w="817" w:type="dxa"/>
            <w:vMerge w:val="restart"/>
          </w:tcPr>
          <w:p w:rsidR="00A767D7" w:rsidRPr="00F5415A" w:rsidRDefault="00A767D7" w:rsidP="00437499">
            <w:pPr>
              <w:keepLines/>
            </w:pPr>
            <w:r w:rsidRPr="00F5415A">
              <w:t>CIN2+</w:t>
            </w:r>
          </w:p>
        </w:tc>
        <w:tc>
          <w:tcPr>
            <w:tcW w:w="992" w:type="dxa"/>
            <w:shd w:val="clear" w:color="auto" w:fill="auto"/>
          </w:tcPr>
          <w:p w:rsidR="00A767D7" w:rsidRPr="00F5415A" w:rsidRDefault="00A767D7" w:rsidP="00437499">
            <w:pPr>
              <w:keepLines/>
            </w:pPr>
            <w:r w:rsidRPr="00F5415A">
              <w:t>ATP</w:t>
            </w:r>
            <w:r w:rsidRPr="00F5415A">
              <w:rPr>
                <w:vertAlign w:val="superscript"/>
              </w:rPr>
              <w:t>(1)</w:t>
            </w:r>
          </w:p>
        </w:tc>
        <w:tc>
          <w:tcPr>
            <w:tcW w:w="992" w:type="dxa"/>
          </w:tcPr>
          <w:p w:rsidR="00A767D7" w:rsidRPr="00F5415A" w:rsidRDefault="00A767D7" w:rsidP="00437499">
            <w:pPr>
              <w:keepLines/>
              <w:jc w:val="center"/>
            </w:pPr>
            <w:r w:rsidRPr="00F5415A">
              <w:t>7338</w:t>
            </w:r>
          </w:p>
        </w:tc>
        <w:tc>
          <w:tcPr>
            <w:tcW w:w="567" w:type="dxa"/>
          </w:tcPr>
          <w:p w:rsidR="00A767D7" w:rsidRPr="00F5415A" w:rsidRDefault="00A767D7" w:rsidP="00437499">
            <w:pPr>
              <w:keepLines/>
              <w:jc w:val="center"/>
            </w:pPr>
            <w:r w:rsidRPr="00F5415A">
              <w:t>5</w:t>
            </w:r>
          </w:p>
        </w:tc>
        <w:tc>
          <w:tcPr>
            <w:tcW w:w="850" w:type="dxa"/>
          </w:tcPr>
          <w:p w:rsidR="00A767D7" w:rsidRPr="00F5415A" w:rsidRDefault="00A767D7" w:rsidP="00437499">
            <w:pPr>
              <w:keepLines/>
              <w:jc w:val="center"/>
            </w:pPr>
            <w:r w:rsidRPr="00F5415A">
              <w:t>7305</w:t>
            </w:r>
          </w:p>
        </w:tc>
        <w:tc>
          <w:tcPr>
            <w:tcW w:w="567" w:type="dxa"/>
          </w:tcPr>
          <w:p w:rsidR="00A767D7" w:rsidRPr="00F5415A" w:rsidRDefault="00A767D7" w:rsidP="00437499">
            <w:pPr>
              <w:keepLines/>
              <w:jc w:val="center"/>
            </w:pPr>
            <w:r w:rsidRPr="00F5415A">
              <w:t>97</w:t>
            </w:r>
          </w:p>
        </w:tc>
        <w:tc>
          <w:tcPr>
            <w:tcW w:w="1134" w:type="dxa"/>
          </w:tcPr>
          <w:p w:rsidR="00A767D7" w:rsidRPr="00F5415A" w:rsidRDefault="00A767D7" w:rsidP="00437499">
            <w:pPr>
              <w:keepLines/>
              <w:jc w:val="center"/>
            </w:pPr>
            <w:r w:rsidRPr="00F5415A">
              <w:t>94.9% (87.7;98.4)</w:t>
            </w:r>
          </w:p>
        </w:tc>
      </w:tr>
      <w:tr w:rsidR="00A767D7" w:rsidRPr="00671C79" w:rsidTr="00A767D7">
        <w:trPr>
          <w:cantSplit/>
          <w:trHeight w:val="20"/>
        </w:trPr>
        <w:tc>
          <w:tcPr>
            <w:tcW w:w="817" w:type="dxa"/>
            <w:vMerge/>
          </w:tcPr>
          <w:p w:rsidR="00A767D7" w:rsidRPr="00F5415A" w:rsidRDefault="00A767D7" w:rsidP="00437499">
            <w:pPr>
              <w:keepLines/>
            </w:pPr>
          </w:p>
        </w:tc>
        <w:tc>
          <w:tcPr>
            <w:tcW w:w="992" w:type="dxa"/>
            <w:shd w:val="clear" w:color="auto" w:fill="auto"/>
          </w:tcPr>
          <w:p w:rsidR="00A767D7" w:rsidRPr="00F5415A" w:rsidRDefault="00A767D7" w:rsidP="00437499">
            <w:pPr>
              <w:keepLines/>
            </w:pPr>
            <w:r w:rsidRPr="00F5415A">
              <w:t>TVC-1</w:t>
            </w:r>
            <w:r w:rsidRPr="00F5415A">
              <w:rPr>
                <w:vertAlign w:val="superscript"/>
              </w:rPr>
              <w:t>(2)</w:t>
            </w:r>
          </w:p>
        </w:tc>
        <w:tc>
          <w:tcPr>
            <w:tcW w:w="992" w:type="dxa"/>
          </w:tcPr>
          <w:p w:rsidR="00A767D7" w:rsidRPr="00F5415A" w:rsidRDefault="00A767D7" w:rsidP="00437499">
            <w:pPr>
              <w:keepLines/>
              <w:jc w:val="center"/>
            </w:pPr>
            <w:r w:rsidRPr="00F5415A">
              <w:t>8068</w:t>
            </w:r>
          </w:p>
        </w:tc>
        <w:tc>
          <w:tcPr>
            <w:tcW w:w="567" w:type="dxa"/>
          </w:tcPr>
          <w:p w:rsidR="00A767D7" w:rsidRPr="00F5415A" w:rsidRDefault="00A767D7" w:rsidP="00437499">
            <w:pPr>
              <w:keepLines/>
              <w:jc w:val="center"/>
            </w:pPr>
            <w:r w:rsidRPr="00F5415A">
              <w:t>6</w:t>
            </w:r>
          </w:p>
        </w:tc>
        <w:tc>
          <w:tcPr>
            <w:tcW w:w="850" w:type="dxa"/>
          </w:tcPr>
          <w:p w:rsidR="00A767D7" w:rsidRPr="00F5415A" w:rsidRDefault="00A767D7" w:rsidP="00437499">
            <w:pPr>
              <w:keepLines/>
              <w:jc w:val="center"/>
            </w:pPr>
            <w:r w:rsidRPr="00F5415A">
              <w:t>8103</w:t>
            </w:r>
          </w:p>
        </w:tc>
        <w:tc>
          <w:tcPr>
            <w:tcW w:w="567" w:type="dxa"/>
          </w:tcPr>
          <w:p w:rsidR="00A767D7" w:rsidRPr="00F5415A" w:rsidRDefault="00A767D7" w:rsidP="00437499">
            <w:pPr>
              <w:keepLines/>
              <w:jc w:val="center"/>
            </w:pPr>
            <w:r w:rsidRPr="00F5415A">
              <w:t>135</w:t>
            </w:r>
          </w:p>
        </w:tc>
        <w:tc>
          <w:tcPr>
            <w:tcW w:w="1134" w:type="dxa"/>
          </w:tcPr>
          <w:p w:rsidR="00A767D7" w:rsidRPr="00F5415A" w:rsidRDefault="00A767D7" w:rsidP="00437499">
            <w:pPr>
              <w:keepLines/>
              <w:jc w:val="center"/>
            </w:pPr>
            <w:r w:rsidRPr="00F5415A">
              <w:t>95.6% (90.1;98.4)</w:t>
            </w:r>
          </w:p>
        </w:tc>
      </w:tr>
      <w:tr w:rsidR="00A767D7" w:rsidRPr="00671C79" w:rsidTr="00A767D7">
        <w:trPr>
          <w:cantSplit/>
          <w:trHeight w:val="20"/>
        </w:trPr>
        <w:tc>
          <w:tcPr>
            <w:tcW w:w="817" w:type="dxa"/>
            <w:vMerge w:val="restart"/>
          </w:tcPr>
          <w:p w:rsidR="00A767D7" w:rsidRPr="00F5415A" w:rsidRDefault="00A767D7" w:rsidP="00437499">
            <w:pPr>
              <w:keepLines/>
            </w:pPr>
            <w:r w:rsidRPr="00F5415A">
              <w:t>CIN1+</w:t>
            </w:r>
          </w:p>
        </w:tc>
        <w:tc>
          <w:tcPr>
            <w:tcW w:w="992" w:type="dxa"/>
            <w:shd w:val="clear" w:color="auto" w:fill="auto"/>
          </w:tcPr>
          <w:p w:rsidR="00A767D7" w:rsidRPr="00F5415A" w:rsidRDefault="00A767D7" w:rsidP="00437499">
            <w:pPr>
              <w:keepLines/>
            </w:pPr>
            <w:r w:rsidRPr="00F5415A">
              <w:t>ATP</w:t>
            </w:r>
            <w:r w:rsidRPr="00F5415A">
              <w:rPr>
                <w:vertAlign w:val="superscript"/>
              </w:rPr>
              <w:t>(1)</w:t>
            </w:r>
          </w:p>
        </w:tc>
        <w:tc>
          <w:tcPr>
            <w:tcW w:w="992" w:type="dxa"/>
          </w:tcPr>
          <w:p w:rsidR="00A767D7" w:rsidRPr="00F5415A" w:rsidRDefault="00A767D7" w:rsidP="00437499">
            <w:pPr>
              <w:keepLines/>
              <w:jc w:val="center"/>
            </w:pPr>
            <w:r w:rsidRPr="00F5415A">
              <w:t>7338</w:t>
            </w:r>
          </w:p>
        </w:tc>
        <w:tc>
          <w:tcPr>
            <w:tcW w:w="567" w:type="dxa"/>
          </w:tcPr>
          <w:p w:rsidR="00A767D7" w:rsidRPr="00F5415A" w:rsidRDefault="00A767D7" w:rsidP="00437499">
            <w:pPr>
              <w:keepLines/>
              <w:jc w:val="center"/>
            </w:pPr>
            <w:r w:rsidRPr="00F5415A">
              <w:t>12</w:t>
            </w:r>
          </w:p>
        </w:tc>
        <w:tc>
          <w:tcPr>
            <w:tcW w:w="850" w:type="dxa"/>
          </w:tcPr>
          <w:p w:rsidR="00A767D7" w:rsidRPr="00F5415A" w:rsidRDefault="00A767D7" w:rsidP="00437499">
            <w:pPr>
              <w:keepLines/>
              <w:jc w:val="center"/>
            </w:pPr>
            <w:r w:rsidRPr="00F5415A">
              <w:t>7305</w:t>
            </w:r>
          </w:p>
        </w:tc>
        <w:tc>
          <w:tcPr>
            <w:tcW w:w="567" w:type="dxa"/>
          </w:tcPr>
          <w:p w:rsidR="00A767D7" w:rsidRPr="00F5415A" w:rsidRDefault="00A767D7" w:rsidP="00437499">
            <w:pPr>
              <w:keepLines/>
              <w:jc w:val="center"/>
            </w:pPr>
            <w:r w:rsidRPr="00F5415A">
              <w:t>165</w:t>
            </w:r>
          </w:p>
        </w:tc>
        <w:tc>
          <w:tcPr>
            <w:tcW w:w="1134" w:type="dxa"/>
          </w:tcPr>
          <w:p w:rsidR="00A767D7" w:rsidRPr="00F5415A" w:rsidRDefault="00A767D7" w:rsidP="00437499">
            <w:pPr>
              <w:keepLines/>
              <w:jc w:val="center"/>
            </w:pPr>
            <w:r w:rsidRPr="00F5415A">
              <w:t>92.8% (87.1;96.4)</w:t>
            </w:r>
          </w:p>
        </w:tc>
      </w:tr>
      <w:tr w:rsidR="00A767D7" w:rsidRPr="00671C79" w:rsidTr="00A767D7">
        <w:trPr>
          <w:cantSplit/>
          <w:trHeight w:val="20"/>
        </w:trPr>
        <w:tc>
          <w:tcPr>
            <w:tcW w:w="817" w:type="dxa"/>
            <w:vMerge/>
          </w:tcPr>
          <w:p w:rsidR="00A767D7" w:rsidRPr="00F5415A" w:rsidRDefault="00A767D7" w:rsidP="00437499">
            <w:pPr>
              <w:keepLines/>
            </w:pPr>
          </w:p>
        </w:tc>
        <w:tc>
          <w:tcPr>
            <w:tcW w:w="992" w:type="dxa"/>
            <w:shd w:val="clear" w:color="auto" w:fill="auto"/>
          </w:tcPr>
          <w:p w:rsidR="00A767D7" w:rsidRPr="00F5415A" w:rsidRDefault="00A767D7" w:rsidP="00437499">
            <w:pPr>
              <w:keepLines/>
            </w:pPr>
            <w:r w:rsidRPr="00F5415A">
              <w:t>TVC-1</w:t>
            </w:r>
            <w:r w:rsidRPr="00F5415A">
              <w:rPr>
                <w:vertAlign w:val="superscript"/>
              </w:rPr>
              <w:t>(2)</w:t>
            </w:r>
          </w:p>
        </w:tc>
        <w:tc>
          <w:tcPr>
            <w:tcW w:w="992" w:type="dxa"/>
          </w:tcPr>
          <w:p w:rsidR="00A767D7" w:rsidRPr="00F5415A" w:rsidRDefault="00A767D7" w:rsidP="00437499">
            <w:pPr>
              <w:keepLines/>
              <w:jc w:val="center"/>
            </w:pPr>
            <w:r w:rsidRPr="00F5415A">
              <w:t>8068</w:t>
            </w:r>
          </w:p>
        </w:tc>
        <w:tc>
          <w:tcPr>
            <w:tcW w:w="567" w:type="dxa"/>
          </w:tcPr>
          <w:p w:rsidR="00A767D7" w:rsidRPr="00F5415A" w:rsidRDefault="00A767D7" w:rsidP="00437499">
            <w:pPr>
              <w:keepLines/>
              <w:jc w:val="center"/>
            </w:pPr>
            <w:r w:rsidRPr="00F5415A">
              <w:t>15</w:t>
            </w:r>
          </w:p>
        </w:tc>
        <w:tc>
          <w:tcPr>
            <w:tcW w:w="850" w:type="dxa"/>
          </w:tcPr>
          <w:p w:rsidR="00A767D7" w:rsidRPr="00F5415A" w:rsidRDefault="00A767D7" w:rsidP="00437499">
            <w:pPr>
              <w:keepLines/>
              <w:jc w:val="center"/>
            </w:pPr>
            <w:r w:rsidRPr="00F5415A">
              <w:t>8103</w:t>
            </w:r>
          </w:p>
        </w:tc>
        <w:tc>
          <w:tcPr>
            <w:tcW w:w="567" w:type="dxa"/>
          </w:tcPr>
          <w:p w:rsidR="00A767D7" w:rsidRPr="00F5415A" w:rsidRDefault="00A767D7" w:rsidP="00437499">
            <w:pPr>
              <w:keepLines/>
              <w:jc w:val="center"/>
            </w:pPr>
            <w:r w:rsidRPr="00F5415A">
              <w:t>210</w:t>
            </w:r>
          </w:p>
        </w:tc>
        <w:tc>
          <w:tcPr>
            <w:tcW w:w="1134" w:type="dxa"/>
          </w:tcPr>
          <w:p w:rsidR="00A767D7" w:rsidRPr="00F5415A" w:rsidRDefault="00A767D7" w:rsidP="00437499">
            <w:pPr>
              <w:keepLines/>
              <w:jc w:val="center"/>
            </w:pPr>
            <w:r w:rsidRPr="00F5415A">
              <w:t>92.9% (88.0;96.1)</w:t>
            </w:r>
          </w:p>
        </w:tc>
      </w:tr>
      <w:tr w:rsidR="00437499" w:rsidRPr="00671C79" w:rsidTr="00A767D7">
        <w:trPr>
          <w:cantSplit/>
          <w:trHeight w:val="20"/>
        </w:trPr>
        <w:tc>
          <w:tcPr>
            <w:tcW w:w="5920" w:type="dxa"/>
            <w:gridSpan w:val="7"/>
          </w:tcPr>
          <w:p w:rsidR="00834630" w:rsidRPr="00834630" w:rsidRDefault="00834630" w:rsidP="00834630">
            <w:pPr>
              <w:spacing w:line="240" w:lineRule="auto"/>
              <w:jc w:val="left"/>
              <w:rPr>
                <w:sz w:val="18"/>
                <w:szCs w:val="18"/>
              </w:rPr>
            </w:pPr>
            <w:r w:rsidRPr="00834630">
              <w:rPr>
                <w:sz w:val="18"/>
                <w:szCs w:val="18"/>
              </w:rPr>
              <w:t>N = number of subjects included in each group</w:t>
            </w:r>
          </w:p>
          <w:p w:rsidR="00834630" w:rsidRPr="00834630" w:rsidRDefault="00834630" w:rsidP="00834630">
            <w:pPr>
              <w:spacing w:line="240" w:lineRule="auto"/>
              <w:jc w:val="left"/>
              <w:rPr>
                <w:sz w:val="18"/>
                <w:szCs w:val="18"/>
              </w:rPr>
            </w:pPr>
            <w:r w:rsidRPr="00834630">
              <w:rPr>
                <w:sz w:val="18"/>
                <w:szCs w:val="18"/>
              </w:rPr>
              <w:t>n = number of cases</w:t>
            </w:r>
          </w:p>
          <w:p w:rsidR="00834630" w:rsidRPr="00834630" w:rsidRDefault="00834630" w:rsidP="00834630">
            <w:pPr>
              <w:keepLines/>
              <w:spacing w:line="240" w:lineRule="auto"/>
              <w:jc w:val="left"/>
              <w:rPr>
                <w:sz w:val="18"/>
                <w:szCs w:val="18"/>
              </w:rPr>
            </w:pPr>
            <w:r w:rsidRPr="00834630">
              <w:rPr>
                <w:sz w:val="18"/>
                <w:szCs w:val="18"/>
                <w:vertAlign w:val="superscript"/>
              </w:rPr>
              <w:t>(1)</w:t>
            </w:r>
            <w:r w:rsidRPr="00834630">
              <w:rPr>
                <w:sz w:val="18"/>
                <w:szCs w:val="18"/>
              </w:rPr>
              <w:tab/>
              <w:t>3 doses of vaccine, DNA negative and seronegative at month 0 and DNA negative at month 6 to the relevant HPV type (HPV-16 or HPV-18)</w:t>
            </w:r>
          </w:p>
          <w:p w:rsidR="00834630" w:rsidRDefault="00834630" w:rsidP="00834630">
            <w:pPr>
              <w:keepLines/>
              <w:spacing w:line="240" w:lineRule="auto"/>
              <w:jc w:val="left"/>
            </w:pPr>
            <w:r w:rsidRPr="00834630">
              <w:rPr>
                <w:sz w:val="18"/>
                <w:szCs w:val="18"/>
                <w:vertAlign w:val="superscript"/>
              </w:rPr>
              <w:t>(2)</w:t>
            </w:r>
            <w:r w:rsidRPr="00834630">
              <w:rPr>
                <w:sz w:val="18"/>
                <w:szCs w:val="18"/>
              </w:rPr>
              <w:tab/>
              <w:t xml:space="preserve">at least </w:t>
            </w:r>
            <w:r w:rsidRPr="00834630">
              <w:rPr>
                <w:snapToGrid w:val="0"/>
                <w:sz w:val="18"/>
                <w:szCs w:val="18"/>
                <w:lang w:val="en-US"/>
              </w:rPr>
              <w:t xml:space="preserve">one dose of vaccine, </w:t>
            </w:r>
            <w:r w:rsidRPr="00834630">
              <w:rPr>
                <w:sz w:val="18"/>
                <w:szCs w:val="18"/>
              </w:rPr>
              <w:t>DNA negative and seronegative at month 0 to the relevant HPV type (HPV-16 or HPV-18)</w:t>
            </w:r>
          </w:p>
        </w:tc>
      </w:tr>
    </w:tbl>
    <w:p w:rsidR="00224E37" w:rsidRPr="009B174F" w:rsidRDefault="00224E37" w:rsidP="00224E37">
      <w:pPr>
        <w:rPr>
          <w:rFonts w:ascii="Arial" w:hAnsi="Arial"/>
          <w:sz w:val="24"/>
          <w:szCs w:val="24"/>
        </w:rPr>
      </w:pPr>
    </w:p>
    <w:p w:rsidR="00E975AD" w:rsidRDefault="00E975AD"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A767D7" w:rsidRDefault="00A767D7" w:rsidP="00B26CEB">
      <w:pPr>
        <w:rPr>
          <w:rFonts w:ascii="Arial" w:hAnsi="Arial"/>
          <w:sz w:val="24"/>
          <w:szCs w:val="24"/>
        </w:rPr>
      </w:pPr>
    </w:p>
    <w:p w:rsidR="00E975AD" w:rsidRDefault="00E975AD" w:rsidP="00E975AD">
      <w:pPr>
        <w:rPr>
          <w:rFonts w:ascii="Arial" w:hAnsi="Arial" w:cs="Arial"/>
          <w:sz w:val="24"/>
          <w:szCs w:val="24"/>
        </w:rPr>
      </w:pPr>
      <w:r>
        <w:rPr>
          <w:rFonts w:ascii="Arial" w:hAnsi="Arial" w:cs="Arial"/>
          <w:sz w:val="24"/>
          <w:szCs w:val="24"/>
        </w:rPr>
        <w:t xml:space="preserve">At the event-triggered analysis the efficacy </w:t>
      </w:r>
      <w:r w:rsidRPr="00A767D7">
        <w:rPr>
          <w:rFonts w:ascii="Arial" w:hAnsi="Arial" w:cs="Arial"/>
          <w:sz w:val="24"/>
          <w:szCs w:val="24"/>
        </w:rPr>
        <w:t>against HPV types 16/18</w:t>
      </w:r>
      <w:r>
        <w:rPr>
          <w:rFonts w:ascii="Arial" w:hAnsi="Arial" w:cs="Arial"/>
          <w:sz w:val="24"/>
          <w:szCs w:val="24"/>
        </w:rPr>
        <w:t xml:space="preserve"> for the ATP cohort was 92.9% (96.1% CI</w:t>
      </w:r>
      <w:proofErr w:type="gramStart"/>
      <w:r>
        <w:rPr>
          <w:rFonts w:ascii="Arial" w:hAnsi="Arial" w:cs="Arial"/>
          <w:sz w:val="24"/>
          <w:szCs w:val="24"/>
        </w:rPr>
        <w:t>:79.9</w:t>
      </w:r>
      <w:proofErr w:type="gramEnd"/>
      <w:r>
        <w:rPr>
          <w:rFonts w:ascii="Arial" w:hAnsi="Arial" w:cs="Arial"/>
          <w:sz w:val="24"/>
          <w:szCs w:val="24"/>
        </w:rPr>
        <w:t>;98.3) against CIN2+ and 80% (96.1% CI: 0.3;98.1) against CIN3+. The efficacy against HPV types 16/18 for the TVC-naïve cohort was 98.4% (90.4</w:t>
      </w:r>
      <w:proofErr w:type="gramStart"/>
      <w:r>
        <w:rPr>
          <w:rFonts w:ascii="Arial" w:hAnsi="Arial" w:cs="Arial"/>
          <w:sz w:val="24"/>
          <w:szCs w:val="24"/>
        </w:rPr>
        <w:t>;100</w:t>
      </w:r>
      <w:proofErr w:type="gramEnd"/>
      <w:r>
        <w:rPr>
          <w:rFonts w:ascii="Arial" w:hAnsi="Arial" w:cs="Arial"/>
          <w:sz w:val="24"/>
          <w:szCs w:val="24"/>
        </w:rPr>
        <w:t>) against CIN2+ and 100% (64.7;100) against CIN3+.</w:t>
      </w:r>
    </w:p>
    <w:p w:rsidR="00E975AD" w:rsidRDefault="00E975AD" w:rsidP="00B26CEB">
      <w:pPr>
        <w:rPr>
          <w:rFonts w:ascii="Arial" w:hAnsi="Arial"/>
          <w:sz w:val="24"/>
          <w:szCs w:val="24"/>
        </w:rPr>
      </w:pPr>
    </w:p>
    <w:p w:rsidR="004E2BF8" w:rsidRPr="00965A73" w:rsidRDefault="00224E37" w:rsidP="00965A73">
      <w:pPr>
        <w:rPr>
          <w:rFonts w:ascii="Arial" w:hAnsi="Arial"/>
          <w:sz w:val="24"/>
          <w:szCs w:val="24"/>
        </w:rPr>
      </w:pPr>
      <w:r w:rsidRPr="009B174F">
        <w:rPr>
          <w:rFonts w:ascii="Arial" w:hAnsi="Arial"/>
          <w:sz w:val="24"/>
          <w:szCs w:val="24"/>
        </w:rPr>
        <w:t xml:space="preserve">Further investigation identified that several </w:t>
      </w:r>
      <w:r w:rsidR="00437499">
        <w:rPr>
          <w:rFonts w:ascii="Arial" w:hAnsi="Arial"/>
          <w:sz w:val="24"/>
          <w:szCs w:val="24"/>
        </w:rPr>
        <w:t xml:space="preserve">CIN3+, </w:t>
      </w:r>
      <w:smartTag w:uri="urn:schemas-microsoft-com:office:smarttags" w:element="stockticker">
        <w:r w:rsidRPr="009B174F">
          <w:rPr>
            <w:rFonts w:ascii="Arial" w:hAnsi="Arial"/>
            <w:sz w:val="24"/>
            <w:szCs w:val="24"/>
          </w:rPr>
          <w:t>CIN</w:t>
        </w:r>
      </w:smartTag>
      <w:r w:rsidRPr="009B174F">
        <w:rPr>
          <w:rFonts w:ascii="Arial" w:hAnsi="Arial"/>
          <w:sz w:val="24"/>
          <w:szCs w:val="24"/>
        </w:rPr>
        <w:t xml:space="preserve">2+ and </w:t>
      </w:r>
      <w:smartTag w:uri="urn:schemas-microsoft-com:office:smarttags" w:element="stockticker">
        <w:r w:rsidRPr="009B174F">
          <w:rPr>
            <w:rFonts w:ascii="Arial" w:hAnsi="Arial"/>
            <w:sz w:val="24"/>
            <w:szCs w:val="24"/>
          </w:rPr>
          <w:t>CIN</w:t>
        </w:r>
      </w:smartTag>
      <w:r w:rsidRPr="009B174F">
        <w:rPr>
          <w:rFonts w:ascii="Arial" w:hAnsi="Arial"/>
          <w:sz w:val="24"/>
          <w:szCs w:val="24"/>
        </w:rPr>
        <w:t xml:space="preserve">1+ cases had multiple </w:t>
      </w:r>
      <w:r w:rsidRPr="009B174F">
        <w:rPr>
          <w:rFonts w:ascii="Arial" w:hAnsi="Arial"/>
          <w:sz w:val="24"/>
          <w:szCs w:val="24"/>
        </w:rPr>
        <w:lastRenderedPageBreak/>
        <w:t>oncogenic HPV types in the lesion. In order to distinguish between the HPV type(s) most likely to be responsible for a lesion from the HPV type(s) only temporally associated, an HPV type assignment was applied (exploratory analysis). The HPV type assignment considered the HPV types detected by Polymerase Chain Reaction (</w:t>
      </w:r>
      <w:smartTag w:uri="urn:schemas-microsoft-com:office:smarttags" w:element="stockticker">
        <w:r w:rsidRPr="009B174F">
          <w:rPr>
            <w:rFonts w:ascii="Arial" w:hAnsi="Arial"/>
            <w:sz w:val="24"/>
            <w:szCs w:val="24"/>
          </w:rPr>
          <w:t>PCR</w:t>
        </w:r>
      </w:smartTag>
      <w:r w:rsidRPr="009B174F">
        <w:rPr>
          <w:rFonts w:ascii="Arial" w:hAnsi="Arial"/>
          <w:sz w:val="24"/>
          <w:szCs w:val="24"/>
        </w:rPr>
        <w:t xml:space="preserve">) in at least one of the two preceding </w:t>
      </w:r>
      <w:proofErr w:type="spellStart"/>
      <w:r w:rsidRPr="009B174F">
        <w:rPr>
          <w:rFonts w:ascii="Arial" w:hAnsi="Arial"/>
          <w:sz w:val="24"/>
          <w:szCs w:val="24"/>
        </w:rPr>
        <w:t>cytologic</w:t>
      </w:r>
      <w:proofErr w:type="spellEnd"/>
      <w:r w:rsidRPr="009B174F">
        <w:rPr>
          <w:rFonts w:ascii="Arial" w:hAnsi="Arial"/>
          <w:sz w:val="24"/>
          <w:szCs w:val="24"/>
        </w:rPr>
        <w:t xml:space="preserve"> samples, in addition to types detected in the lesion. Based on this HPV type assignment, the analysis excluded cases (in the vaccine group and in the control group) which were not considered to be causally associated with HPV-16 or HPV-18 infections acquired during the trial (see Table 4 below).</w:t>
      </w:r>
    </w:p>
    <w:p w:rsidR="004E2BF8" w:rsidRDefault="004E2BF8" w:rsidP="00224E37">
      <w:pPr>
        <w:spacing w:line="240" w:lineRule="auto"/>
        <w:rPr>
          <w:b/>
          <w:sz w:val="22"/>
          <w:szCs w:val="22"/>
        </w:rPr>
      </w:pPr>
    </w:p>
    <w:p w:rsidR="00224E37" w:rsidRDefault="00224E37" w:rsidP="00224E37">
      <w:pPr>
        <w:spacing w:line="240" w:lineRule="auto"/>
        <w:rPr>
          <w:b/>
          <w:sz w:val="22"/>
          <w:szCs w:val="22"/>
        </w:rPr>
      </w:pPr>
      <w:r w:rsidRPr="009B174F">
        <w:rPr>
          <w:b/>
          <w:sz w:val="22"/>
          <w:szCs w:val="22"/>
        </w:rPr>
        <w:t xml:space="preserve">Table 4: Vaccine efficacy </w:t>
      </w:r>
      <w:r w:rsidR="00001032" w:rsidRPr="0075564F">
        <w:rPr>
          <w:rFonts w:ascii="Times New Roman Bold" w:hAnsi="Times New Roman Bold"/>
          <w:b/>
          <w:sz w:val="22"/>
          <w:szCs w:val="22"/>
        </w:rPr>
        <w:t xml:space="preserve">from </w:t>
      </w:r>
      <w:r w:rsidR="00001032">
        <w:rPr>
          <w:rFonts w:ascii="Times New Roman Bold" w:hAnsi="Times New Roman Bold"/>
          <w:b/>
          <w:sz w:val="22"/>
          <w:szCs w:val="22"/>
        </w:rPr>
        <w:t xml:space="preserve">the end of study analysis </w:t>
      </w:r>
      <w:r w:rsidRPr="009B174F">
        <w:rPr>
          <w:b/>
          <w:sz w:val="22"/>
          <w:szCs w:val="22"/>
        </w:rPr>
        <w:t xml:space="preserve">against </w:t>
      </w:r>
      <w:r w:rsidR="00437499">
        <w:rPr>
          <w:b/>
          <w:sz w:val="22"/>
          <w:szCs w:val="22"/>
        </w:rPr>
        <w:t xml:space="preserve">C1N3+, </w:t>
      </w:r>
      <w:smartTag w:uri="urn:schemas-microsoft-com:office:smarttags" w:element="stockticker">
        <w:r w:rsidRPr="009B174F">
          <w:rPr>
            <w:b/>
            <w:sz w:val="22"/>
            <w:szCs w:val="22"/>
          </w:rPr>
          <w:t>CIN</w:t>
        </w:r>
      </w:smartTag>
      <w:r w:rsidRPr="009B174F">
        <w:rPr>
          <w:b/>
          <w:sz w:val="22"/>
          <w:szCs w:val="22"/>
        </w:rPr>
        <w:t xml:space="preserve">2+ and </w:t>
      </w:r>
      <w:smartTag w:uri="urn:schemas-microsoft-com:office:smarttags" w:element="stockticker">
        <w:r w:rsidRPr="009B174F">
          <w:rPr>
            <w:b/>
            <w:sz w:val="22"/>
            <w:szCs w:val="22"/>
          </w:rPr>
          <w:t>CIN</w:t>
        </w:r>
      </w:smartTag>
      <w:r w:rsidRPr="009B174F">
        <w:rPr>
          <w:b/>
          <w:sz w:val="22"/>
          <w:szCs w:val="22"/>
        </w:rPr>
        <w:t xml:space="preserve">1+ associated with </w:t>
      </w:r>
      <w:r w:rsidR="00001032" w:rsidRPr="009B174F">
        <w:rPr>
          <w:b/>
          <w:sz w:val="22"/>
          <w:szCs w:val="22"/>
        </w:rPr>
        <w:t xml:space="preserve">HPV-16 and HPV-18 </w:t>
      </w:r>
      <w:r w:rsidRPr="009B174F">
        <w:rPr>
          <w:b/>
          <w:sz w:val="22"/>
          <w:szCs w:val="22"/>
        </w:rPr>
        <w:t>- HPV type assignment</w:t>
      </w:r>
      <w:r w:rsidR="00437499">
        <w:rPr>
          <w:b/>
          <w:sz w:val="22"/>
          <w:szCs w:val="22"/>
        </w:rPr>
        <w:t xml:space="preserve"> (ATP and TVC-1)</w:t>
      </w:r>
    </w:p>
    <w:p w:rsidR="00A767D7" w:rsidRDefault="00A767D7" w:rsidP="00224E37">
      <w:pPr>
        <w:spacing w:line="240" w:lineRule="auto"/>
        <w:rPr>
          <w:b/>
          <w:sz w:val="22"/>
          <w:szCs w:val="22"/>
        </w:rPr>
      </w:pPr>
    </w:p>
    <w:tbl>
      <w:tblPr>
        <w:tblW w:w="56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7"/>
        <w:gridCol w:w="992"/>
        <w:gridCol w:w="708"/>
        <w:gridCol w:w="567"/>
        <w:gridCol w:w="709"/>
        <w:gridCol w:w="567"/>
        <w:gridCol w:w="1277"/>
      </w:tblGrid>
      <w:tr w:rsidR="00A767D7" w:rsidRPr="00E25940" w:rsidTr="00A767D7">
        <w:trPr>
          <w:cantSplit/>
          <w:trHeight w:val="20"/>
          <w:jc w:val="center"/>
        </w:trPr>
        <w:tc>
          <w:tcPr>
            <w:tcW w:w="1809" w:type="dxa"/>
            <w:gridSpan w:val="2"/>
            <w:vMerge w:val="restart"/>
          </w:tcPr>
          <w:p w:rsidR="00A767D7" w:rsidRPr="00E25940" w:rsidRDefault="00A767D7" w:rsidP="00840FFF">
            <w:pPr>
              <w:keepNext/>
              <w:keepLines/>
              <w:jc w:val="center"/>
            </w:pPr>
          </w:p>
          <w:p w:rsidR="00A767D7" w:rsidRPr="00E25940" w:rsidRDefault="00A767D7" w:rsidP="00840FFF">
            <w:pPr>
              <w:keepNext/>
              <w:keepLines/>
              <w:jc w:val="center"/>
            </w:pPr>
            <w:r w:rsidRPr="00E25940">
              <w:t>HPV 16/18 endpoint</w:t>
            </w:r>
          </w:p>
        </w:tc>
        <w:tc>
          <w:tcPr>
            <w:tcW w:w="3827" w:type="dxa"/>
            <w:gridSpan w:val="5"/>
          </w:tcPr>
          <w:p w:rsidR="00A767D7" w:rsidRPr="00E25940" w:rsidRDefault="00A767D7" w:rsidP="00840FFF">
            <w:pPr>
              <w:keepNext/>
              <w:keepLines/>
              <w:jc w:val="center"/>
            </w:pPr>
            <w:r w:rsidRPr="00E25940">
              <w:t>End of study analysis</w:t>
            </w:r>
          </w:p>
        </w:tc>
      </w:tr>
      <w:tr w:rsidR="00A767D7" w:rsidRPr="00E25940" w:rsidTr="00A767D7">
        <w:trPr>
          <w:cantSplit/>
          <w:trHeight w:val="20"/>
          <w:jc w:val="center"/>
        </w:trPr>
        <w:tc>
          <w:tcPr>
            <w:tcW w:w="1809" w:type="dxa"/>
            <w:gridSpan w:val="2"/>
            <w:vMerge/>
          </w:tcPr>
          <w:p w:rsidR="00A767D7" w:rsidRPr="00E25940" w:rsidRDefault="00A767D7" w:rsidP="00840FFF">
            <w:pPr>
              <w:keepNext/>
              <w:keepLines/>
              <w:jc w:val="center"/>
            </w:pPr>
          </w:p>
        </w:tc>
        <w:tc>
          <w:tcPr>
            <w:tcW w:w="1275" w:type="dxa"/>
            <w:gridSpan w:val="2"/>
          </w:tcPr>
          <w:p w:rsidR="00A767D7" w:rsidRPr="00E25940" w:rsidRDefault="00A767D7" w:rsidP="00840FFF">
            <w:pPr>
              <w:keepNext/>
              <w:keepLines/>
              <w:jc w:val="center"/>
            </w:pPr>
            <w:r w:rsidRPr="00E25940">
              <w:t>Cervarix</w:t>
            </w:r>
          </w:p>
        </w:tc>
        <w:tc>
          <w:tcPr>
            <w:tcW w:w="1276" w:type="dxa"/>
            <w:gridSpan w:val="2"/>
          </w:tcPr>
          <w:p w:rsidR="00A767D7" w:rsidRPr="00E25940" w:rsidRDefault="00A767D7" w:rsidP="00840FFF">
            <w:pPr>
              <w:keepNext/>
              <w:keepLines/>
              <w:jc w:val="center"/>
            </w:pPr>
            <w:r w:rsidRPr="00E25940">
              <w:t>Control</w:t>
            </w:r>
          </w:p>
        </w:tc>
        <w:tc>
          <w:tcPr>
            <w:tcW w:w="1276" w:type="dxa"/>
            <w:vMerge w:val="restart"/>
          </w:tcPr>
          <w:p w:rsidR="00A767D7" w:rsidRPr="00E25940" w:rsidRDefault="00A767D7" w:rsidP="00840FFF">
            <w:pPr>
              <w:keepNext/>
              <w:keepLines/>
              <w:jc w:val="center"/>
            </w:pPr>
            <w:r w:rsidRPr="00E25940">
              <w:t>% Efficacy (95% CI)</w:t>
            </w:r>
          </w:p>
        </w:tc>
      </w:tr>
      <w:tr w:rsidR="00A767D7" w:rsidRPr="00E25940" w:rsidTr="00A767D7">
        <w:trPr>
          <w:cantSplit/>
          <w:trHeight w:val="20"/>
          <w:jc w:val="center"/>
        </w:trPr>
        <w:tc>
          <w:tcPr>
            <w:tcW w:w="1809" w:type="dxa"/>
            <w:gridSpan w:val="2"/>
            <w:vMerge/>
          </w:tcPr>
          <w:p w:rsidR="00A767D7" w:rsidRPr="00E25940" w:rsidRDefault="00A767D7" w:rsidP="00840FFF">
            <w:pPr>
              <w:keepNext/>
              <w:keepLines/>
            </w:pPr>
          </w:p>
        </w:tc>
        <w:tc>
          <w:tcPr>
            <w:tcW w:w="708" w:type="dxa"/>
          </w:tcPr>
          <w:p w:rsidR="00A767D7" w:rsidRPr="00E25940" w:rsidRDefault="00A767D7" w:rsidP="00840FFF">
            <w:pPr>
              <w:keepNext/>
              <w:keepLines/>
              <w:jc w:val="center"/>
            </w:pPr>
            <w:r w:rsidRPr="00E25940">
              <w:t>N</w:t>
            </w:r>
          </w:p>
        </w:tc>
        <w:tc>
          <w:tcPr>
            <w:tcW w:w="567" w:type="dxa"/>
          </w:tcPr>
          <w:p w:rsidR="00A767D7" w:rsidRPr="00E25940" w:rsidRDefault="00A767D7" w:rsidP="00840FFF">
            <w:pPr>
              <w:keepNext/>
              <w:keepLines/>
              <w:jc w:val="center"/>
            </w:pPr>
            <w:r w:rsidRPr="00E25940">
              <w:t>n</w:t>
            </w:r>
          </w:p>
        </w:tc>
        <w:tc>
          <w:tcPr>
            <w:tcW w:w="709" w:type="dxa"/>
          </w:tcPr>
          <w:p w:rsidR="00A767D7" w:rsidRPr="00E25940" w:rsidRDefault="00A767D7" w:rsidP="00840FFF">
            <w:pPr>
              <w:keepNext/>
              <w:keepLines/>
              <w:jc w:val="center"/>
            </w:pPr>
            <w:r w:rsidRPr="00E25940">
              <w:t>N</w:t>
            </w:r>
          </w:p>
        </w:tc>
        <w:tc>
          <w:tcPr>
            <w:tcW w:w="567" w:type="dxa"/>
          </w:tcPr>
          <w:p w:rsidR="00A767D7" w:rsidRPr="00E25940" w:rsidRDefault="00A767D7" w:rsidP="00840FFF">
            <w:pPr>
              <w:keepNext/>
              <w:keepLines/>
              <w:jc w:val="center"/>
            </w:pPr>
            <w:r w:rsidRPr="00E25940">
              <w:t>n</w:t>
            </w:r>
          </w:p>
        </w:tc>
        <w:tc>
          <w:tcPr>
            <w:tcW w:w="1276" w:type="dxa"/>
            <w:vMerge/>
          </w:tcPr>
          <w:p w:rsidR="00A767D7" w:rsidRPr="00E25940" w:rsidRDefault="00A767D7" w:rsidP="00840FFF">
            <w:pPr>
              <w:keepNext/>
              <w:keepLines/>
              <w:jc w:val="center"/>
            </w:pPr>
          </w:p>
        </w:tc>
      </w:tr>
      <w:tr w:rsidR="00A767D7" w:rsidRPr="00E25940" w:rsidTr="00A767D7">
        <w:trPr>
          <w:cantSplit/>
          <w:trHeight w:val="20"/>
          <w:jc w:val="center"/>
        </w:trPr>
        <w:tc>
          <w:tcPr>
            <w:tcW w:w="817" w:type="dxa"/>
            <w:vMerge w:val="restart"/>
          </w:tcPr>
          <w:p w:rsidR="00A767D7" w:rsidRPr="00E25940" w:rsidRDefault="00A767D7" w:rsidP="00840FFF">
            <w:pPr>
              <w:keepNext/>
              <w:keepLines/>
            </w:pPr>
            <w:r w:rsidRPr="00E25940">
              <w:t>CIN3+</w:t>
            </w:r>
          </w:p>
        </w:tc>
        <w:tc>
          <w:tcPr>
            <w:tcW w:w="992" w:type="dxa"/>
            <w:shd w:val="clear" w:color="auto" w:fill="auto"/>
          </w:tcPr>
          <w:p w:rsidR="00A767D7" w:rsidRPr="00E25940" w:rsidRDefault="00A767D7" w:rsidP="00840FFF">
            <w:pPr>
              <w:keepNext/>
              <w:keepLines/>
            </w:pPr>
            <w:r w:rsidRPr="00E25940">
              <w:t>ATP</w:t>
            </w:r>
            <w:r w:rsidRPr="00E25940">
              <w:rPr>
                <w:vertAlign w:val="superscript"/>
              </w:rPr>
              <w:t>(1)</w:t>
            </w:r>
          </w:p>
        </w:tc>
        <w:tc>
          <w:tcPr>
            <w:tcW w:w="708" w:type="dxa"/>
          </w:tcPr>
          <w:p w:rsidR="00A767D7" w:rsidRPr="00E25940" w:rsidRDefault="00A767D7" w:rsidP="00840FFF">
            <w:pPr>
              <w:keepNext/>
              <w:keepLines/>
              <w:jc w:val="center"/>
            </w:pPr>
            <w:r w:rsidRPr="00E25940">
              <w:t>7338</w:t>
            </w:r>
          </w:p>
        </w:tc>
        <w:tc>
          <w:tcPr>
            <w:tcW w:w="567" w:type="dxa"/>
          </w:tcPr>
          <w:p w:rsidR="00A767D7" w:rsidRPr="00E25940" w:rsidRDefault="00A767D7" w:rsidP="00840FFF">
            <w:pPr>
              <w:keepNext/>
              <w:keepLines/>
              <w:jc w:val="center"/>
            </w:pPr>
            <w:r w:rsidRPr="00E25940">
              <w:t>0</w:t>
            </w:r>
          </w:p>
        </w:tc>
        <w:tc>
          <w:tcPr>
            <w:tcW w:w="709" w:type="dxa"/>
          </w:tcPr>
          <w:p w:rsidR="00A767D7" w:rsidRPr="00E25940" w:rsidRDefault="00A767D7" w:rsidP="00840FFF">
            <w:pPr>
              <w:keepNext/>
              <w:keepLines/>
              <w:jc w:val="center"/>
            </w:pPr>
            <w:r w:rsidRPr="00E25940">
              <w:t>7305</w:t>
            </w:r>
          </w:p>
        </w:tc>
        <w:tc>
          <w:tcPr>
            <w:tcW w:w="567" w:type="dxa"/>
          </w:tcPr>
          <w:p w:rsidR="00A767D7" w:rsidRPr="00E25940" w:rsidRDefault="00A767D7" w:rsidP="00840FFF">
            <w:pPr>
              <w:keepNext/>
              <w:keepLines/>
              <w:jc w:val="center"/>
            </w:pPr>
            <w:r w:rsidRPr="00E25940">
              <w:t>22</w:t>
            </w:r>
          </w:p>
        </w:tc>
        <w:tc>
          <w:tcPr>
            <w:tcW w:w="1276" w:type="dxa"/>
          </w:tcPr>
          <w:p w:rsidR="00A767D7" w:rsidRPr="00E25940" w:rsidRDefault="00A767D7" w:rsidP="00840FFF">
            <w:pPr>
              <w:keepNext/>
              <w:keepLines/>
              <w:jc w:val="center"/>
            </w:pPr>
            <w:r w:rsidRPr="00E25940">
              <w:t>100% (81.8;100)</w:t>
            </w:r>
          </w:p>
        </w:tc>
      </w:tr>
      <w:tr w:rsidR="00A767D7" w:rsidRPr="00E25940" w:rsidTr="00A767D7">
        <w:trPr>
          <w:cantSplit/>
          <w:trHeight w:val="20"/>
          <w:jc w:val="center"/>
        </w:trPr>
        <w:tc>
          <w:tcPr>
            <w:tcW w:w="817" w:type="dxa"/>
            <w:vMerge/>
          </w:tcPr>
          <w:p w:rsidR="00A767D7" w:rsidRPr="00E25940" w:rsidRDefault="00A767D7" w:rsidP="00840FFF">
            <w:pPr>
              <w:keepNext/>
              <w:keepLines/>
            </w:pPr>
          </w:p>
        </w:tc>
        <w:tc>
          <w:tcPr>
            <w:tcW w:w="992" w:type="dxa"/>
            <w:shd w:val="clear" w:color="auto" w:fill="auto"/>
          </w:tcPr>
          <w:p w:rsidR="00A767D7" w:rsidRPr="00E25940" w:rsidRDefault="00A767D7" w:rsidP="00840FFF">
            <w:pPr>
              <w:keepNext/>
              <w:keepLines/>
            </w:pPr>
            <w:r w:rsidRPr="00E25940">
              <w:t>TVC-1</w:t>
            </w:r>
            <w:r w:rsidRPr="00E25940">
              <w:rPr>
                <w:vertAlign w:val="superscript"/>
              </w:rPr>
              <w:t>(2)</w:t>
            </w:r>
          </w:p>
        </w:tc>
        <w:tc>
          <w:tcPr>
            <w:tcW w:w="708" w:type="dxa"/>
          </w:tcPr>
          <w:p w:rsidR="00A767D7" w:rsidRPr="00E25940" w:rsidRDefault="00A767D7" w:rsidP="00840FFF">
            <w:pPr>
              <w:keepNext/>
              <w:keepLines/>
              <w:jc w:val="center"/>
            </w:pPr>
            <w:r w:rsidRPr="00E25940">
              <w:t>8068</w:t>
            </w:r>
          </w:p>
        </w:tc>
        <w:tc>
          <w:tcPr>
            <w:tcW w:w="567" w:type="dxa"/>
          </w:tcPr>
          <w:p w:rsidR="00A767D7" w:rsidRPr="00E25940" w:rsidRDefault="00A767D7" w:rsidP="00840FFF">
            <w:pPr>
              <w:keepNext/>
              <w:keepLines/>
              <w:jc w:val="center"/>
            </w:pPr>
            <w:r w:rsidRPr="00E25940">
              <w:t>0</w:t>
            </w:r>
          </w:p>
        </w:tc>
        <w:tc>
          <w:tcPr>
            <w:tcW w:w="709" w:type="dxa"/>
          </w:tcPr>
          <w:p w:rsidR="00A767D7" w:rsidRPr="00E25940" w:rsidRDefault="00A767D7" w:rsidP="00840FFF">
            <w:pPr>
              <w:keepNext/>
              <w:keepLines/>
              <w:jc w:val="center"/>
            </w:pPr>
            <w:r w:rsidRPr="00E25940">
              <w:t>8103</w:t>
            </w:r>
          </w:p>
        </w:tc>
        <w:tc>
          <w:tcPr>
            <w:tcW w:w="567" w:type="dxa"/>
          </w:tcPr>
          <w:p w:rsidR="00A767D7" w:rsidRPr="00E25940" w:rsidRDefault="00A767D7" w:rsidP="00840FFF">
            <w:pPr>
              <w:keepNext/>
              <w:keepLines/>
              <w:jc w:val="center"/>
            </w:pPr>
            <w:r w:rsidRPr="00E25940">
              <w:t>38</w:t>
            </w:r>
          </w:p>
        </w:tc>
        <w:tc>
          <w:tcPr>
            <w:tcW w:w="1276" w:type="dxa"/>
          </w:tcPr>
          <w:p w:rsidR="00A767D7" w:rsidRPr="00E25940" w:rsidRDefault="00A767D7" w:rsidP="00840FFF">
            <w:pPr>
              <w:keepNext/>
              <w:keepLines/>
              <w:jc w:val="center"/>
            </w:pPr>
            <w:r w:rsidRPr="00E25940">
              <w:t>100% (89.8;100)</w:t>
            </w:r>
          </w:p>
        </w:tc>
      </w:tr>
      <w:tr w:rsidR="00A767D7" w:rsidRPr="00E25940" w:rsidTr="00A767D7">
        <w:trPr>
          <w:cantSplit/>
          <w:trHeight w:val="20"/>
          <w:jc w:val="center"/>
        </w:trPr>
        <w:tc>
          <w:tcPr>
            <w:tcW w:w="817" w:type="dxa"/>
            <w:vMerge w:val="restart"/>
          </w:tcPr>
          <w:p w:rsidR="00A767D7" w:rsidRPr="00E25940" w:rsidRDefault="00A767D7" w:rsidP="00840FFF">
            <w:pPr>
              <w:keepNext/>
              <w:keepLines/>
            </w:pPr>
            <w:r w:rsidRPr="00E25940">
              <w:t>CIN2+</w:t>
            </w:r>
          </w:p>
        </w:tc>
        <w:tc>
          <w:tcPr>
            <w:tcW w:w="992" w:type="dxa"/>
            <w:shd w:val="clear" w:color="auto" w:fill="auto"/>
          </w:tcPr>
          <w:p w:rsidR="00A767D7" w:rsidRPr="00E25940" w:rsidRDefault="00A767D7" w:rsidP="00840FFF">
            <w:pPr>
              <w:keepNext/>
              <w:keepLines/>
            </w:pPr>
            <w:r w:rsidRPr="00E25940">
              <w:t>ATP</w:t>
            </w:r>
            <w:r w:rsidRPr="00E25940">
              <w:rPr>
                <w:vertAlign w:val="superscript"/>
              </w:rPr>
              <w:t>(1)</w:t>
            </w:r>
          </w:p>
        </w:tc>
        <w:tc>
          <w:tcPr>
            <w:tcW w:w="708" w:type="dxa"/>
          </w:tcPr>
          <w:p w:rsidR="00A767D7" w:rsidRPr="00E25940" w:rsidRDefault="00A767D7" w:rsidP="00840FFF">
            <w:pPr>
              <w:keepNext/>
              <w:keepLines/>
              <w:jc w:val="center"/>
            </w:pPr>
            <w:r w:rsidRPr="00E25940">
              <w:t>7338</w:t>
            </w:r>
          </w:p>
        </w:tc>
        <w:tc>
          <w:tcPr>
            <w:tcW w:w="567" w:type="dxa"/>
          </w:tcPr>
          <w:p w:rsidR="00A767D7" w:rsidRPr="00E25940" w:rsidRDefault="00A767D7" w:rsidP="00840FFF">
            <w:pPr>
              <w:keepNext/>
              <w:keepLines/>
              <w:jc w:val="center"/>
            </w:pPr>
            <w:r w:rsidRPr="00E25940">
              <w:t>1</w:t>
            </w:r>
          </w:p>
        </w:tc>
        <w:tc>
          <w:tcPr>
            <w:tcW w:w="709" w:type="dxa"/>
          </w:tcPr>
          <w:p w:rsidR="00A767D7" w:rsidRPr="00E25940" w:rsidRDefault="00A767D7" w:rsidP="00840FFF">
            <w:pPr>
              <w:keepNext/>
              <w:keepLines/>
              <w:jc w:val="center"/>
            </w:pPr>
            <w:r w:rsidRPr="00E25940">
              <w:t>7305</w:t>
            </w:r>
          </w:p>
        </w:tc>
        <w:tc>
          <w:tcPr>
            <w:tcW w:w="567" w:type="dxa"/>
          </w:tcPr>
          <w:p w:rsidR="00A767D7" w:rsidRPr="00E25940" w:rsidRDefault="00A767D7" w:rsidP="00840FFF">
            <w:pPr>
              <w:keepNext/>
              <w:keepLines/>
              <w:jc w:val="center"/>
            </w:pPr>
            <w:r w:rsidRPr="00E25940">
              <w:t>92</w:t>
            </w:r>
          </w:p>
        </w:tc>
        <w:tc>
          <w:tcPr>
            <w:tcW w:w="1276" w:type="dxa"/>
          </w:tcPr>
          <w:p w:rsidR="00A767D7" w:rsidRPr="00E25940" w:rsidRDefault="00A767D7" w:rsidP="00840FFF">
            <w:pPr>
              <w:keepNext/>
              <w:keepLines/>
              <w:jc w:val="center"/>
            </w:pPr>
            <w:r w:rsidRPr="00E25940">
              <w:t>98.9% (93.8;100)</w:t>
            </w:r>
          </w:p>
        </w:tc>
      </w:tr>
      <w:tr w:rsidR="00A767D7" w:rsidRPr="00E25940" w:rsidTr="00A767D7">
        <w:trPr>
          <w:cantSplit/>
          <w:trHeight w:val="20"/>
          <w:jc w:val="center"/>
        </w:trPr>
        <w:tc>
          <w:tcPr>
            <w:tcW w:w="817" w:type="dxa"/>
            <w:vMerge/>
          </w:tcPr>
          <w:p w:rsidR="00A767D7" w:rsidRPr="00E25940" w:rsidRDefault="00A767D7" w:rsidP="00840FFF">
            <w:pPr>
              <w:keepNext/>
              <w:keepLines/>
            </w:pPr>
          </w:p>
        </w:tc>
        <w:tc>
          <w:tcPr>
            <w:tcW w:w="992" w:type="dxa"/>
            <w:shd w:val="clear" w:color="auto" w:fill="auto"/>
          </w:tcPr>
          <w:p w:rsidR="00A767D7" w:rsidRPr="00E25940" w:rsidRDefault="00A767D7" w:rsidP="00840FFF">
            <w:pPr>
              <w:keepNext/>
              <w:keepLines/>
            </w:pPr>
            <w:r w:rsidRPr="00E25940">
              <w:t>TVC-1</w:t>
            </w:r>
            <w:r w:rsidRPr="00E25940">
              <w:rPr>
                <w:vertAlign w:val="superscript"/>
              </w:rPr>
              <w:t>(2)</w:t>
            </w:r>
          </w:p>
        </w:tc>
        <w:tc>
          <w:tcPr>
            <w:tcW w:w="708" w:type="dxa"/>
          </w:tcPr>
          <w:p w:rsidR="00A767D7" w:rsidRPr="00E25940" w:rsidRDefault="00A767D7" w:rsidP="00840FFF">
            <w:pPr>
              <w:keepNext/>
              <w:keepLines/>
              <w:jc w:val="center"/>
            </w:pPr>
            <w:r w:rsidRPr="00E25940">
              <w:t>8068</w:t>
            </w:r>
          </w:p>
        </w:tc>
        <w:tc>
          <w:tcPr>
            <w:tcW w:w="567" w:type="dxa"/>
          </w:tcPr>
          <w:p w:rsidR="00A767D7" w:rsidRPr="00E25940" w:rsidRDefault="00A767D7" w:rsidP="00840FFF">
            <w:pPr>
              <w:keepNext/>
              <w:keepLines/>
              <w:jc w:val="center"/>
            </w:pPr>
            <w:r w:rsidRPr="00E25940">
              <w:t>2</w:t>
            </w:r>
          </w:p>
        </w:tc>
        <w:tc>
          <w:tcPr>
            <w:tcW w:w="709" w:type="dxa"/>
          </w:tcPr>
          <w:p w:rsidR="00A767D7" w:rsidRPr="00E25940" w:rsidRDefault="00A767D7" w:rsidP="00840FFF">
            <w:pPr>
              <w:keepNext/>
              <w:keepLines/>
              <w:jc w:val="center"/>
            </w:pPr>
            <w:r w:rsidRPr="00E25940">
              <w:t>8103</w:t>
            </w:r>
          </w:p>
        </w:tc>
        <w:tc>
          <w:tcPr>
            <w:tcW w:w="567" w:type="dxa"/>
          </w:tcPr>
          <w:p w:rsidR="00A767D7" w:rsidRPr="00E25940" w:rsidRDefault="00A767D7" w:rsidP="00840FFF">
            <w:pPr>
              <w:keepNext/>
              <w:keepLines/>
              <w:jc w:val="center"/>
            </w:pPr>
            <w:r w:rsidRPr="00E25940">
              <w:t>128</w:t>
            </w:r>
          </w:p>
        </w:tc>
        <w:tc>
          <w:tcPr>
            <w:tcW w:w="1276" w:type="dxa"/>
          </w:tcPr>
          <w:p w:rsidR="00A767D7" w:rsidRPr="00E25940" w:rsidRDefault="00A767D7" w:rsidP="00840FFF">
            <w:pPr>
              <w:keepNext/>
              <w:keepLines/>
              <w:jc w:val="center"/>
            </w:pPr>
            <w:r w:rsidRPr="00E25940">
              <w:t>98.4% (94.3;99.8)</w:t>
            </w:r>
          </w:p>
        </w:tc>
      </w:tr>
      <w:tr w:rsidR="00A767D7" w:rsidRPr="00E25940" w:rsidTr="00A767D7">
        <w:trPr>
          <w:cantSplit/>
          <w:trHeight w:val="20"/>
          <w:jc w:val="center"/>
        </w:trPr>
        <w:tc>
          <w:tcPr>
            <w:tcW w:w="817" w:type="dxa"/>
            <w:vMerge w:val="restart"/>
          </w:tcPr>
          <w:p w:rsidR="00A767D7" w:rsidRPr="00E25940" w:rsidRDefault="00A767D7" w:rsidP="00840FFF">
            <w:pPr>
              <w:keepNext/>
              <w:keepLines/>
            </w:pPr>
            <w:r w:rsidRPr="00E25940">
              <w:t>CIN1+</w:t>
            </w:r>
          </w:p>
        </w:tc>
        <w:tc>
          <w:tcPr>
            <w:tcW w:w="992" w:type="dxa"/>
            <w:shd w:val="clear" w:color="auto" w:fill="auto"/>
          </w:tcPr>
          <w:p w:rsidR="00A767D7" w:rsidRPr="00E25940" w:rsidRDefault="00A767D7" w:rsidP="00840FFF">
            <w:pPr>
              <w:keepNext/>
              <w:keepLines/>
            </w:pPr>
            <w:r w:rsidRPr="00E25940">
              <w:t>ATP</w:t>
            </w:r>
            <w:r w:rsidRPr="00E25940">
              <w:rPr>
                <w:vertAlign w:val="superscript"/>
              </w:rPr>
              <w:t>(1)</w:t>
            </w:r>
          </w:p>
        </w:tc>
        <w:tc>
          <w:tcPr>
            <w:tcW w:w="708" w:type="dxa"/>
          </w:tcPr>
          <w:p w:rsidR="00A767D7" w:rsidRPr="00E25940" w:rsidRDefault="00A767D7" w:rsidP="00840FFF">
            <w:pPr>
              <w:keepNext/>
              <w:keepLines/>
              <w:jc w:val="center"/>
            </w:pPr>
            <w:r w:rsidRPr="00E25940">
              <w:t>7338</w:t>
            </w:r>
          </w:p>
        </w:tc>
        <w:tc>
          <w:tcPr>
            <w:tcW w:w="567" w:type="dxa"/>
          </w:tcPr>
          <w:p w:rsidR="00A767D7" w:rsidRPr="00E25940" w:rsidRDefault="00A767D7" w:rsidP="00840FFF">
            <w:pPr>
              <w:keepNext/>
              <w:keepLines/>
              <w:jc w:val="center"/>
            </w:pPr>
            <w:r w:rsidRPr="00E25940">
              <w:t>3</w:t>
            </w:r>
          </w:p>
        </w:tc>
        <w:tc>
          <w:tcPr>
            <w:tcW w:w="709" w:type="dxa"/>
          </w:tcPr>
          <w:p w:rsidR="00A767D7" w:rsidRPr="00E25940" w:rsidRDefault="00A767D7" w:rsidP="00840FFF">
            <w:pPr>
              <w:keepNext/>
              <w:keepLines/>
              <w:jc w:val="center"/>
            </w:pPr>
            <w:r w:rsidRPr="00E25940">
              <w:t>7305</w:t>
            </w:r>
          </w:p>
        </w:tc>
        <w:tc>
          <w:tcPr>
            <w:tcW w:w="567" w:type="dxa"/>
          </w:tcPr>
          <w:p w:rsidR="00A767D7" w:rsidRPr="00E25940" w:rsidRDefault="00A767D7" w:rsidP="00840FFF">
            <w:pPr>
              <w:keepNext/>
              <w:keepLines/>
              <w:jc w:val="center"/>
            </w:pPr>
            <w:r w:rsidRPr="00E25940">
              <w:t>154</w:t>
            </w:r>
          </w:p>
        </w:tc>
        <w:tc>
          <w:tcPr>
            <w:tcW w:w="1276" w:type="dxa"/>
          </w:tcPr>
          <w:p w:rsidR="00A767D7" w:rsidRPr="00E25940" w:rsidRDefault="00A767D7" w:rsidP="00840FFF">
            <w:pPr>
              <w:keepNext/>
              <w:keepLines/>
              <w:jc w:val="center"/>
            </w:pPr>
            <w:r w:rsidRPr="00E25940">
              <w:t>98.1% (94.3;99.6)</w:t>
            </w:r>
          </w:p>
        </w:tc>
      </w:tr>
      <w:tr w:rsidR="00A767D7" w:rsidRPr="00E25940" w:rsidTr="00A767D7">
        <w:trPr>
          <w:cantSplit/>
          <w:trHeight w:val="20"/>
          <w:jc w:val="center"/>
        </w:trPr>
        <w:tc>
          <w:tcPr>
            <w:tcW w:w="817" w:type="dxa"/>
            <w:vMerge/>
          </w:tcPr>
          <w:p w:rsidR="00A767D7" w:rsidRPr="00E25940" w:rsidRDefault="00A767D7" w:rsidP="00840FFF">
            <w:pPr>
              <w:keepNext/>
              <w:keepLines/>
            </w:pPr>
          </w:p>
        </w:tc>
        <w:tc>
          <w:tcPr>
            <w:tcW w:w="992" w:type="dxa"/>
            <w:shd w:val="clear" w:color="auto" w:fill="auto"/>
          </w:tcPr>
          <w:p w:rsidR="00A767D7" w:rsidRPr="00E25940" w:rsidRDefault="00A767D7" w:rsidP="00840FFF">
            <w:pPr>
              <w:keepNext/>
              <w:keepLines/>
            </w:pPr>
            <w:r w:rsidRPr="00E25940">
              <w:t>TVC-1</w:t>
            </w:r>
            <w:r w:rsidRPr="00E25940">
              <w:rPr>
                <w:vertAlign w:val="superscript"/>
              </w:rPr>
              <w:t>(2)</w:t>
            </w:r>
          </w:p>
        </w:tc>
        <w:tc>
          <w:tcPr>
            <w:tcW w:w="708" w:type="dxa"/>
          </w:tcPr>
          <w:p w:rsidR="00A767D7" w:rsidRPr="00E25940" w:rsidRDefault="00A767D7" w:rsidP="00840FFF">
            <w:pPr>
              <w:keepNext/>
              <w:keepLines/>
              <w:jc w:val="center"/>
            </w:pPr>
            <w:r w:rsidRPr="00E25940">
              <w:t>8068</w:t>
            </w:r>
          </w:p>
        </w:tc>
        <w:tc>
          <w:tcPr>
            <w:tcW w:w="567" w:type="dxa"/>
          </w:tcPr>
          <w:p w:rsidR="00A767D7" w:rsidRPr="00E25940" w:rsidRDefault="00A767D7" w:rsidP="00840FFF">
            <w:pPr>
              <w:keepNext/>
              <w:keepLines/>
              <w:jc w:val="center"/>
            </w:pPr>
            <w:r w:rsidRPr="00E25940">
              <w:t>6</w:t>
            </w:r>
          </w:p>
        </w:tc>
        <w:tc>
          <w:tcPr>
            <w:tcW w:w="709" w:type="dxa"/>
          </w:tcPr>
          <w:p w:rsidR="00A767D7" w:rsidRPr="00E25940" w:rsidRDefault="00A767D7" w:rsidP="00840FFF">
            <w:pPr>
              <w:keepNext/>
              <w:keepLines/>
              <w:jc w:val="center"/>
            </w:pPr>
            <w:r w:rsidRPr="00E25940">
              <w:t>8103</w:t>
            </w:r>
          </w:p>
        </w:tc>
        <w:tc>
          <w:tcPr>
            <w:tcW w:w="567" w:type="dxa"/>
          </w:tcPr>
          <w:p w:rsidR="00A767D7" w:rsidRPr="00E25940" w:rsidRDefault="00A767D7" w:rsidP="00840FFF">
            <w:pPr>
              <w:keepNext/>
              <w:keepLines/>
              <w:jc w:val="center"/>
            </w:pPr>
            <w:r w:rsidRPr="00E25940">
              <w:t>196</w:t>
            </w:r>
          </w:p>
        </w:tc>
        <w:tc>
          <w:tcPr>
            <w:tcW w:w="1276" w:type="dxa"/>
          </w:tcPr>
          <w:p w:rsidR="00A767D7" w:rsidRPr="00E25940" w:rsidRDefault="00A767D7" w:rsidP="00840FFF">
            <w:pPr>
              <w:keepNext/>
              <w:keepLines/>
              <w:jc w:val="center"/>
            </w:pPr>
            <w:r w:rsidRPr="00E25940">
              <w:t>97.0% (93.3;98.9)</w:t>
            </w:r>
          </w:p>
        </w:tc>
      </w:tr>
      <w:tr w:rsidR="00437499" w:rsidRPr="00E25940" w:rsidTr="00A767D7">
        <w:trPr>
          <w:cantSplit/>
          <w:trHeight w:val="20"/>
          <w:jc w:val="center"/>
        </w:trPr>
        <w:tc>
          <w:tcPr>
            <w:tcW w:w="5637" w:type="dxa"/>
            <w:gridSpan w:val="7"/>
          </w:tcPr>
          <w:p w:rsidR="00834630" w:rsidRPr="00834630" w:rsidRDefault="00834630" w:rsidP="00834630">
            <w:pPr>
              <w:keepNext/>
              <w:keepLines/>
              <w:spacing w:line="240" w:lineRule="auto"/>
              <w:rPr>
                <w:sz w:val="18"/>
                <w:szCs w:val="18"/>
              </w:rPr>
            </w:pPr>
            <w:r w:rsidRPr="00834630">
              <w:rPr>
                <w:sz w:val="18"/>
                <w:szCs w:val="18"/>
              </w:rPr>
              <w:t>N = number of subjects included in each group</w:t>
            </w:r>
          </w:p>
          <w:p w:rsidR="00834630" w:rsidRPr="00834630" w:rsidRDefault="00834630" w:rsidP="00834630">
            <w:pPr>
              <w:keepNext/>
              <w:keepLines/>
              <w:spacing w:line="240" w:lineRule="auto"/>
              <w:rPr>
                <w:sz w:val="18"/>
                <w:szCs w:val="18"/>
              </w:rPr>
            </w:pPr>
            <w:r w:rsidRPr="00834630">
              <w:rPr>
                <w:sz w:val="18"/>
                <w:szCs w:val="18"/>
              </w:rPr>
              <w:t>n = number of cases</w:t>
            </w:r>
          </w:p>
          <w:p w:rsidR="00834630" w:rsidRPr="00834630" w:rsidRDefault="00834630" w:rsidP="00834630">
            <w:pPr>
              <w:keepNext/>
              <w:keepLines/>
              <w:spacing w:line="240" w:lineRule="auto"/>
              <w:rPr>
                <w:sz w:val="18"/>
                <w:szCs w:val="18"/>
              </w:rPr>
            </w:pPr>
            <w:r w:rsidRPr="00834630">
              <w:rPr>
                <w:sz w:val="18"/>
                <w:szCs w:val="18"/>
                <w:vertAlign w:val="superscript"/>
              </w:rPr>
              <w:t>(1)</w:t>
            </w:r>
            <w:r w:rsidRPr="00834630">
              <w:rPr>
                <w:sz w:val="18"/>
                <w:szCs w:val="18"/>
              </w:rPr>
              <w:tab/>
              <w:t>3 doses of vaccine, DNA negative and seronegative at month 0 and DNA negative at month 6 to the relevant HPV type (HPV-16 or HPV-18)</w:t>
            </w:r>
          </w:p>
          <w:p w:rsidR="00834630" w:rsidRDefault="00834630" w:rsidP="00834630">
            <w:pPr>
              <w:keepNext/>
              <w:keepLines/>
              <w:spacing w:line="240" w:lineRule="auto"/>
              <w:rPr>
                <w:snapToGrid w:val="0"/>
              </w:rPr>
            </w:pPr>
            <w:r w:rsidRPr="00834630">
              <w:rPr>
                <w:sz w:val="18"/>
                <w:szCs w:val="18"/>
                <w:vertAlign w:val="superscript"/>
              </w:rPr>
              <w:t>(2)</w:t>
            </w:r>
            <w:r w:rsidRPr="00834630">
              <w:rPr>
                <w:sz w:val="18"/>
                <w:szCs w:val="18"/>
              </w:rPr>
              <w:tab/>
              <w:t xml:space="preserve">at least </w:t>
            </w:r>
            <w:r w:rsidRPr="00834630">
              <w:rPr>
                <w:snapToGrid w:val="0"/>
                <w:sz w:val="18"/>
                <w:szCs w:val="18"/>
                <w:lang w:val="en-US"/>
              </w:rPr>
              <w:t xml:space="preserve">one dose of vaccine, </w:t>
            </w:r>
            <w:r w:rsidRPr="00834630">
              <w:rPr>
                <w:sz w:val="18"/>
                <w:szCs w:val="18"/>
              </w:rPr>
              <w:t>DNA negative and seronegative at month 0 to the relevant HPV type (HPV-16 or HPV-18)</w:t>
            </w:r>
          </w:p>
        </w:tc>
      </w:tr>
    </w:tbl>
    <w:p w:rsidR="00A767D7" w:rsidRDefault="00A767D7" w:rsidP="00224E37">
      <w:pPr>
        <w:spacing w:line="240" w:lineRule="auto"/>
        <w:rPr>
          <w:b/>
          <w:sz w:val="22"/>
          <w:szCs w:val="22"/>
        </w:rPr>
      </w:pPr>
    </w:p>
    <w:p w:rsidR="00F04A5A" w:rsidRDefault="00F04A5A" w:rsidP="00224E37">
      <w:pPr>
        <w:tabs>
          <w:tab w:val="left" w:pos="0"/>
        </w:tabs>
        <w:spacing w:line="360" w:lineRule="exact"/>
        <w:rPr>
          <w:rFonts w:ascii="Arial" w:hAnsi="Arial"/>
          <w:sz w:val="24"/>
          <w:szCs w:val="24"/>
        </w:rPr>
      </w:pPr>
      <w:r w:rsidRPr="00B26CEB">
        <w:rPr>
          <w:rFonts w:ascii="Arial" w:hAnsi="Arial"/>
          <w:sz w:val="24"/>
          <w:szCs w:val="24"/>
        </w:rPr>
        <w:t xml:space="preserve">At the event-triggered analysis the efficacy </w:t>
      </w:r>
      <w:r>
        <w:rPr>
          <w:rFonts w:ascii="Arial" w:hAnsi="Arial"/>
          <w:sz w:val="24"/>
          <w:szCs w:val="24"/>
        </w:rPr>
        <w:t xml:space="preserve">for the ATP cohort for the </w:t>
      </w:r>
      <w:r w:rsidRPr="00F04A5A">
        <w:rPr>
          <w:rFonts w:ascii="Arial" w:hAnsi="Arial"/>
          <w:sz w:val="24"/>
          <w:szCs w:val="24"/>
        </w:rPr>
        <w:t xml:space="preserve">HPV type assignment </w:t>
      </w:r>
      <w:r w:rsidRPr="00B26CEB">
        <w:rPr>
          <w:rFonts w:ascii="Arial" w:hAnsi="Arial"/>
          <w:sz w:val="24"/>
          <w:szCs w:val="24"/>
        </w:rPr>
        <w:t xml:space="preserve">was </w:t>
      </w:r>
      <w:r>
        <w:rPr>
          <w:rFonts w:ascii="Arial" w:hAnsi="Arial"/>
          <w:sz w:val="24"/>
          <w:szCs w:val="24"/>
        </w:rPr>
        <w:t>98.1</w:t>
      </w:r>
      <w:r w:rsidRPr="00B26CEB">
        <w:rPr>
          <w:rFonts w:ascii="Arial" w:hAnsi="Arial"/>
          <w:sz w:val="24"/>
          <w:szCs w:val="24"/>
        </w:rPr>
        <w:t>% (</w:t>
      </w:r>
      <w:r>
        <w:rPr>
          <w:rFonts w:ascii="Arial" w:hAnsi="Arial"/>
          <w:sz w:val="24"/>
          <w:szCs w:val="24"/>
        </w:rPr>
        <w:t>96.1</w:t>
      </w:r>
      <w:r w:rsidRPr="00B26CEB">
        <w:rPr>
          <w:rFonts w:ascii="Arial" w:hAnsi="Arial"/>
          <w:sz w:val="24"/>
          <w:szCs w:val="24"/>
        </w:rPr>
        <w:t>% CI</w:t>
      </w:r>
      <w:proofErr w:type="gramStart"/>
      <w:r w:rsidRPr="00B26CEB">
        <w:rPr>
          <w:rFonts w:ascii="Arial" w:hAnsi="Arial"/>
          <w:sz w:val="24"/>
          <w:szCs w:val="24"/>
        </w:rPr>
        <w:t>:</w:t>
      </w:r>
      <w:r>
        <w:rPr>
          <w:rFonts w:ascii="Arial" w:hAnsi="Arial"/>
          <w:sz w:val="24"/>
          <w:szCs w:val="24"/>
        </w:rPr>
        <w:t>88.4</w:t>
      </w:r>
      <w:proofErr w:type="gramEnd"/>
      <w:r w:rsidRPr="00B26CEB">
        <w:rPr>
          <w:rFonts w:ascii="Arial" w:hAnsi="Arial"/>
          <w:sz w:val="24"/>
          <w:szCs w:val="24"/>
        </w:rPr>
        <w:t>;</w:t>
      </w:r>
      <w:r>
        <w:rPr>
          <w:rFonts w:ascii="Arial" w:hAnsi="Arial"/>
          <w:sz w:val="24"/>
          <w:szCs w:val="24"/>
        </w:rPr>
        <w:t>100</w:t>
      </w:r>
      <w:r w:rsidRPr="00B26CEB">
        <w:rPr>
          <w:rFonts w:ascii="Arial" w:hAnsi="Arial"/>
          <w:sz w:val="24"/>
          <w:szCs w:val="24"/>
        </w:rPr>
        <w:t xml:space="preserve">) against CIN2+ and </w:t>
      </w:r>
      <w:r>
        <w:rPr>
          <w:rFonts w:ascii="Arial" w:hAnsi="Arial"/>
          <w:sz w:val="24"/>
          <w:szCs w:val="24"/>
        </w:rPr>
        <w:t>10</w:t>
      </w:r>
      <w:r w:rsidRPr="00B26CEB">
        <w:rPr>
          <w:rFonts w:ascii="Arial" w:hAnsi="Arial"/>
          <w:sz w:val="24"/>
          <w:szCs w:val="24"/>
        </w:rPr>
        <w:t xml:space="preserve">0% (96.1% CI: </w:t>
      </w:r>
      <w:r>
        <w:rPr>
          <w:rFonts w:ascii="Arial" w:hAnsi="Arial"/>
          <w:sz w:val="24"/>
          <w:szCs w:val="24"/>
        </w:rPr>
        <w:t>36.4</w:t>
      </w:r>
      <w:r w:rsidRPr="00B26CEB">
        <w:rPr>
          <w:rFonts w:ascii="Arial" w:hAnsi="Arial"/>
          <w:sz w:val="24"/>
          <w:szCs w:val="24"/>
        </w:rPr>
        <w:t>;</w:t>
      </w:r>
      <w:r>
        <w:rPr>
          <w:rFonts w:ascii="Arial" w:hAnsi="Arial"/>
          <w:sz w:val="24"/>
          <w:szCs w:val="24"/>
        </w:rPr>
        <w:t>100</w:t>
      </w:r>
      <w:r w:rsidRPr="00B26CEB">
        <w:rPr>
          <w:rFonts w:ascii="Arial" w:hAnsi="Arial"/>
          <w:sz w:val="24"/>
          <w:szCs w:val="24"/>
        </w:rPr>
        <w:t>)</w:t>
      </w:r>
      <w:r>
        <w:rPr>
          <w:rFonts w:ascii="Arial" w:hAnsi="Arial"/>
          <w:sz w:val="24"/>
          <w:szCs w:val="24"/>
        </w:rPr>
        <w:t xml:space="preserve"> </w:t>
      </w:r>
      <w:r w:rsidRPr="00B26CEB">
        <w:rPr>
          <w:rFonts w:ascii="Arial" w:hAnsi="Arial"/>
          <w:sz w:val="24"/>
          <w:szCs w:val="24"/>
        </w:rPr>
        <w:t>against CIN3+.</w:t>
      </w:r>
    </w:p>
    <w:p w:rsidR="00F04A5A" w:rsidRDefault="00F04A5A" w:rsidP="00224E37">
      <w:pPr>
        <w:tabs>
          <w:tab w:val="left" w:pos="0"/>
        </w:tabs>
        <w:spacing w:line="360" w:lineRule="exact"/>
        <w:rPr>
          <w:rFonts w:ascii="Arial" w:hAnsi="Arial"/>
          <w:sz w:val="24"/>
          <w:szCs w:val="24"/>
        </w:rPr>
      </w:pPr>
    </w:p>
    <w:p w:rsidR="00224E37" w:rsidRDefault="00224E37" w:rsidP="00224E37">
      <w:pPr>
        <w:tabs>
          <w:tab w:val="left" w:pos="0"/>
        </w:tabs>
        <w:spacing w:line="360" w:lineRule="exact"/>
        <w:rPr>
          <w:rFonts w:ascii="Arial" w:hAnsi="Arial"/>
          <w:sz w:val="24"/>
          <w:szCs w:val="24"/>
        </w:rPr>
      </w:pPr>
      <w:r w:rsidRPr="009B174F">
        <w:rPr>
          <w:rFonts w:ascii="Arial" w:hAnsi="Arial"/>
          <w:sz w:val="24"/>
          <w:szCs w:val="24"/>
        </w:rPr>
        <w:t xml:space="preserve">In addition, statistically significant vaccine efficacy against </w:t>
      </w:r>
      <w:smartTag w:uri="urn:schemas-microsoft-com:office:smarttags" w:element="stockticker">
        <w:r w:rsidRPr="009B174F">
          <w:rPr>
            <w:rFonts w:ascii="Arial" w:hAnsi="Arial"/>
            <w:sz w:val="24"/>
            <w:szCs w:val="24"/>
          </w:rPr>
          <w:t>CIN</w:t>
        </w:r>
      </w:smartTag>
      <w:r w:rsidRPr="009B174F">
        <w:rPr>
          <w:rFonts w:ascii="Arial" w:hAnsi="Arial"/>
          <w:sz w:val="24"/>
          <w:szCs w:val="24"/>
        </w:rPr>
        <w:t xml:space="preserve">2+ </w:t>
      </w:r>
      <w:r>
        <w:rPr>
          <w:rFonts w:ascii="Arial" w:hAnsi="Arial"/>
          <w:sz w:val="24"/>
          <w:szCs w:val="24"/>
        </w:rPr>
        <w:t xml:space="preserve">and </w:t>
      </w:r>
      <w:smartTag w:uri="urn:schemas-microsoft-com:office:smarttags" w:element="stockticker">
        <w:r>
          <w:rPr>
            <w:rFonts w:ascii="Arial" w:hAnsi="Arial"/>
            <w:sz w:val="24"/>
            <w:szCs w:val="24"/>
          </w:rPr>
          <w:t>CIN</w:t>
        </w:r>
      </w:smartTag>
      <w:r>
        <w:rPr>
          <w:rFonts w:ascii="Arial" w:hAnsi="Arial"/>
          <w:sz w:val="24"/>
          <w:szCs w:val="24"/>
        </w:rPr>
        <w:t xml:space="preserve">1+ </w:t>
      </w:r>
      <w:r w:rsidRPr="009B174F">
        <w:rPr>
          <w:rFonts w:ascii="Arial" w:hAnsi="Arial"/>
          <w:sz w:val="24"/>
          <w:szCs w:val="24"/>
        </w:rPr>
        <w:t xml:space="preserve">associated with HPV-16 and HPV-18 individually was demonstrated for both </w:t>
      </w:r>
      <w:r w:rsidR="00F04A5A">
        <w:rPr>
          <w:rFonts w:ascii="Arial" w:hAnsi="Arial"/>
          <w:sz w:val="24"/>
          <w:szCs w:val="24"/>
        </w:rPr>
        <w:t xml:space="preserve">the ATP and TVC-1 </w:t>
      </w:r>
      <w:r w:rsidRPr="009B174F">
        <w:rPr>
          <w:rFonts w:ascii="Arial" w:hAnsi="Arial"/>
          <w:sz w:val="24"/>
          <w:szCs w:val="24"/>
        </w:rPr>
        <w:t>cohorts.</w:t>
      </w:r>
    </w:p>
    <w:p w:rsidR="00965A73" w:rsidRDefault="00965A73" w:rsidP="00224E37">
      <w:pPr>
        <w:tabs>
          <w:tab w:val="left" w:pos="0"/>
        </w:tabs>
        <w:spacing w:line="360" w:lineRule="exact"/>
        <w:rPr>
          <w:rFonts w:ascii="Arial" w:hAnsi="Arial"/>
          <w:sz w:val="24"/>
          <w:szCs w:val="24"/>
        </w:rPr>
      </w:pPr>
    </w:p>
    <w:p w:rsidR="003C6F11" w:rsidRDefault="003C6F11" w:rsidP="00224E37">
      <w:pPr>
        <w:tabs>
          <w:tab w:val="left" w:pos="0"/>
        </w:tabs>
        <w:spacing w:line="240" w:lineRule="auto"/>
        <w:rPr>
          <w:b/>
          <w:sz w:val="22"/>
          <w:szCs w:val="22"/>
        </w:rPr>
      </w:pPr>
    </w:p>
    <w:p w:rsidR="00224E37" w:rsidRDefault="00224E37" w:rsidP="00224E37">
      <w:pPr>
        <w:tabs>
          <w:tab w:val="left" w:pos="0"/>
        </w:tabs>
        <w:spacing w:line="240" w:lineRule="auto"/>
        <w:rPr>
          <w:b/>
          <w:sz w:val="22"/>
          <w:szCs w:val="22"/>
        </w:rPr>
      </w:pPr>
      <w:r>
        <w:rPr>
          <w:b/>
          <w:sz w:val="22"/>
          <w:szCs w:val="22"/>
        </w:rPr>
        <w:lastRenderedPageBreak/>
        <w:t>Table 5</w:t>
      </w:r>
      <w:r w:rsidRPr="009B174F">
        <w:rPr>
          <w:b/>
          <w:sz w:val="22"/>
          <w:szCs w:val="22"/>
        </w:rPr>
        <w:t xml:space="preserve">: Vaccine efficacy </w:t>
      </w:r>
      <w:r w:rsidR="00001032" w:rsidRPr="0075564F">
        <w:rPr>
          <w:rFonts w:ascii="Times New Roman Bold" w:hAnsi="Times New Roman Bold"/>
          <w:b/>
          <w:sz w:val="22"/>
          <w:szCs w:val="22"/>
        </w:rPr>
        <w:t xml:space="preserve">from </w:t>
      </w:r>
      <w:r w:rsidR="00001032">
        <w:rPr>
          <w:rFonts w:ascii="Times New Roman Bold" w:hAnsi="Times New Roman Bold"/>
          <w:b/>
          <w:sz w:val="22"/>
          <w:szCs w:val="22"/>
        </w:rPr>
        <w:t xml:space="preserve">the end of study analysis </w:t>
      </w:r>
      <w:r w:rsidRPr="009B174F">
        <w:rPr>
          <w:b/>
          <w:sz w:val="22"/>
          <w:szCs w:val="22"/>
        </w:rPr>
        <w:t xml:space="preserve">against </w:t>
      </w:r>
      <w:smartTag w:uri="urn:schemas-microsoft-com:office:smarttags" w:element="stockticker">
        <w:r w:rsidRPr="009B174F">
          <w:rPr>
            <w:b/>
            <w:sz w:val="22"/>
            <w:szCs w:val="22"/>
          </w:rPr>
          <w:t>CIN</w:t>
        </w:r>
      </w:smartTag>
      <w:r w:rsidRPr="009B174F">
        <w:rPr>
          <w:b/>
          <w:sz w:val="22"/>
          <w:szCs w:val="22"/>
        </w:rPr>
        <w:t xml:space="preserve">2+ and </w:t>
      </w:r>
      <w:smartTag w:uri="urn:schemas-microsoft-com:office:smarttags" w:element="stockticker">
        <w:r w:rsidRPr="009B174F">
          <w:rPr>
            <w:b/>
            <w:sz w:val="22"/>
            <w:szCs w:val="22"/>
          </w:rPr>
          <w:t>CIN</w:t>
        </w:r>
      </w:smartTag>
      <w:r w:rsidRPr="009B174F">
        <w:rPr>
          <w:b/>
          <w:sz w:val="22"/>
          <w:szCs w:val="22"/>
        </w:rPr>
        <w:t>1+ associated with HPV-16 and HPV-18 - HPV type assignment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2"/>
        <w:gridCol w:w="1843"/>
      </w:tblGrid>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p>
        </w:tc>
        <w:tc>
          <w:tcPr>
            <w:tcW w:w="3685" w:type="dxa"/>
            <w:gridSpan w:val="2"/>
          </w:tcPr>
          <w:p w:rsidR="00A767D7" w:rsidRPr="006762B9" w:rsidRDefault="00A767D7" w:rsidP="00F04A5A">
            <w:pPr>
              <w:tabs>
                <w:tab w:val="left" w:pos="0"/>
              </w:tabs>
              <w:spacing w:line="240" w:lineRule="auto"/>
              <w:jc w:val="center"/>
              <w:rPr>
                <w:b/>
              </w:rPr>
            </w:pPr>
            <w:r w:rsidRPr="00834630">
              <w:rPr>
                <w:b/>
              </w:rPr>
              <w:t>Vaccine Efficacy (%), 9</w:t>
            </w:r>
            <w:r>
              <w:rPr>
                <w:b/>
              </w:rPr>
              <w:t>5</w:t>
            </w:r>
            <w:r w:rsidRPr="00834630">
              <w:rPr>
                <w:b/>
              </w:rPr>
              <w:t>% CI</w:t>
            </w: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p>
        </w:tc>
        <w:tc>
          <w:tcPr>
            <w:tcW w:w="3685" w:type="dxa"/>
            <w:gridSpan w:val="2"/>
          </w:tcPr>
          <w:p w:rsidR="00A767D7" w:rsidRPr="006762B9" w:rsidRDefault="00A767D7" w:rsidP="00C4507A">
            <w:pPr>
              <w:tabs>
                <w:tab w:val="left" w:pos="0"/>
              </w:tabs>
              <w:spacing w:line="240" w:lineRule="auto"/>
              <w:jc w:val="center"/>
              <w:rPr>
                <w:b/>
              </w:rPr>
            </w:pPr>
            <w:r w:rsidRPr="00834630">
              <w:rPr>
                <w:b/>
              </w:rPr>
              <w:t>End of Study Analysis</w:t>
            </w: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p>
        </w:tc>
        <w:tc>
          <w:tcPr>
            <w:tcW w:w="1842" w:type="dxa"/>
          </w:tcPr>
          <w:p w:rsidR="00A767D7" w:rsidRPr="006762B9" w:rsidRDefault="00A767D7" w:rsidP="00C4507A">
            <w:pPr>
              <w:tabs>
                <w:tab w:val="left" w:pos="0"/>
              </w:tabs>
              <w:spacing w:line="240" w:lineRule="auto"/>
              <w:jc w:val="center"/>
              <w:rPr>
                <w:b/>
              </w:rPr>
            </w:pPr>
            <w:r w:rsidRPr="00834630">
              <w:rPr>
                <w:b/>
              </w:rPr>
              <w:t>HPV 16</w:t>
            </w:r>
          </w:p>
        </w:tc>
        <w:tc>
          <w:tcPr>
            <w:tcW w:w="1843" w:type="dxa"/>
          </w:tcPr>
          <w:p w:rsidR="00A767D7" w:rsidRPr="006762B9" w:rsidRDefault="00A767D7" w:rsidP="00C4507A">
            <w:pPr>
              <w:tabs>
                <w:tab w:val="left" w:pos="0"/>
              </w:tabs>
              <w:spacing w:line="240" w:lineRule="auto"/>
              <w:jc w:val="center"/>
              <w:rPr>
                <w:b/>
              </w:rPr>
            </w:pPr>
            <w:r w:rsidRPr="00834630">
              <w:rPr>
                <w:b/>
              </w:rPr>
              <w:t>HPV 18</w:t>
            </w:r>
          </w:p>
        </w:tc>
      </w:tr>
      <w:tr w:rsidR="00A767D7" w:rsidRPr="006762B9" w:rsidTr="00A767D7">
        <w:trPr>
          <w:jc w:val="center"/>
        </w:trPr>
        <w:tc>
          <w:tcPr>
            <w:tcW w:w="1526" w:type="dxa"/>
          </w:tcPr>
          <w:p w:rsidR="00A767D7" w:rsidRPr="006762B9" w:rsidRDefault="00A767D7" w:rsidP="00D11D5B">
            <w:pPr>
              <w:tabs>
                <w:tab w:val="left" w:pos="0"/>
              </w:tabs>
              <w:spacing w:line="240" w:lineRule="auto"/>
              <w:rPr>
                <w:b/>
                <w:highlight w:val="yellow"/>
                <w:u w:val="single"/>
              </w:rPr>
            </w:pPr>
            <w:smartTag w:uri="urn:schemas-microsoft-com:office:smarttags" w:element="stockticker">
              <w:r w:rsidRPr="00834630">
                <w:rPr>
                  <w:b/>
                </w:rPr>
                <w:t>CIN</w:t>
              </w:r>
            </w:smartTag>
            <w:r w:rsidRPr="00834630">
              <w:rPr>
                <w:b/>
              </w:rPr>
              <w:t>2+</w:t>
            </w:r>
          </w:p>
        </w:tc>
        <w:tc>
          <w:tcPr>
            <w:tcW w:w="1842" w:type="dxa"/>
          </w:tcPr>
          <w:p w:rsidR="00A767D7" w:rsidRPr="006762B9" w:rsidRDefault="00A767D7" w:rsidP="00C4507A">
            <w:pPr>
              <w:tabs>
                <w:tab w:val="left" w:pos="0"/>
              </w:tabs>
              <w:spacing w:line="240" w:lineRule="auto"/>
              <w:jc w:val="center"/>
              <w:rPr>
                <w:b/>
                <w:highlight w:val="yellow"/>
                <w:u w:val="single"/>
              </w:rPr>
            </w:pPr>
          </w:p>
        </w:tc>
        <w:tc>
          <w:tcPr>
            <w:tcW w:w="1843" w:type="dxa"/>
          </w:tcPr>
          <w:p w:rsidR="00A767D7" w:rsidRPr="006762B9" w:rsidRDefault="00A767D7" w:rsidP="00C4507A">
            <w:pPr>
              <w:tabs>
                <w:tab w:val="left" w:pos="0"/>
              </w:tabs>
              <w:spacing w:line="240" w:lineRule="auto"/>
              <w:jc w:val="center"/>
              <w:rPr>
                <w:b/>
                <w:highlight w:val="yellow"/>
                <w:u w:val="single"/>
              </w:rPr>
            </w:pP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r w:rsidRPr="00834630">
              <w:t>ATP</w:t>
            </w:r>
          </w:p>
        </w:tc>
        <w:tc>
          <w:tcPr>
            <w:tcW w:w="1842" w:type="dxa"/>
          </w:tcPr>
          <w:p w:rsidR="00A767D7" w:rsidRPr="006762B9" w:rsidRDefault="00A767D7" w:rsidP="00C4507A">
            <w:pPr>
              <w:tabs>
                <w:tab w:val="left" w:pos="0"/>
              </w:tabs>
              <w:spacing w:line="240" w:lineRule="auto"/>
              <w:jc w:val="center"/>
            </w:pPr>
            <w:r>
              <w:t>100 (95.3;100)</w:t>
            </w:r>
          </w:p>
        </w:tc>
        <w:tc>
          <w:tcPr>
            <w:tcW w:w="1843" w:type="dxa"/>
          </w:tcPr>
          <w:p w:rsidR="00A767D7" w:rsidRPr="006762B9" w:rsidRDefault="00A767D7" w:rsidP="00C4507A">
            <w:pPr>
              <w:tabs>
                <w:tab w:val="left" w:pos="0"/>
              </w:tabs>
              <w:spacing w:line="240" w:lineRule="auto"/>
              <w:jc w:val="center"/>
            </w:pPr>
            <w:r>
              <w:t>94.8 (67.2;99.9)</w:t>
            </w: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r w:rsidRPr="00834630">
              <w:t>TVC-1</w:t>
            </w:r>
          </w:p>
        </w:tc>
        <w:tc>
          <w:tcPr>
            <w:tcW w:w="1842" w:type="dxa"/>
          </w:tcPr>
          <w:p w:rsidR="00A767D7" w:rsidRPr="006762B9" w:rsidRDefault="00A767D7" w:rsidP="00C4507A">
            <w:pPr>
              <w:tabs>
                <w:tab w:val="left" w:pos="0"/>
              </w:tabs>
              <w:spacing w:line="240" w:lineRule="auto"/>
              <w:jc w:val="center"/>
            </w:pPr>
            <w:r>
              <w:t>99.1 (94.7;100)</w:t>
            </w:r>
          </w:p>
        </w:tc>
        <w:tc>
          <w:tcPr>
            <w:tcW w:w="1843" w:type="dxa"/>
          </w:tcPr>
          <w:p w:rsidR="00A767D7" w:rsidRPr="006762B9" w:rsidRDefault="00A767D7" w:rsidP="00C4507A">
            <w:pPr>
              <w:tabs>
                <w:tab w:val="left" w:pos="0"/>
              </w:tabs>
              <w:spacing w:line="240" w:lineRule="auto"/>
              <w:jc w:val="center"/>
            </w:pPr>
            <w:r>
              <w:t>96.6 (79.2;99.9)</w:t>
            </w:r>
          </w:p>
        </w:tc>
      </w:tr>
      <w:tr w:rsidR="00A767D7" w:rsidRPr="006762B9" w:rsidTr="00A767D7">
        <w:trPr>
          <w:jc w:val="center"/>
        </w:trPr>
        <w:tc>
          <w:tcPr>
            <w:tcW w:w="1526" w:type="dxa"/>
          </w:tcPr>
          <w:p w:rsidR="00A767D7" w:rsidRPr="006762B9" w:rsidRDefault="00A767D7" w:rsidP="00D11D5B">
            <w:pPr>
              <w:tabs>
                <w:tab w:val="left" w:pos="0"/>
              </w:tabs>
              <w:spacing w:line="240" w:lineRule="auto"/>
              <w:rPr>
                <w:b/>
                <w:highlight w:val="yellow"/>
                <w:u w:val="single"/>
              </w:rPr>
            </w:pPr>
            <w:smartTag w:uri="urn:schemas-microsoft-com:office:smarttags" w:element="stockticker">
              <w:r w:rsidRPr="00834630">
                <w:rPr>
                  <w:b/>
                </w:rPr>
                <w:t>CIN</w:t>
              </w:r>
            </w:smartTag>
            <w:r w:rsidRPr="00834630">
              <w:rPr>
                <w:b/>
              </w:rPr>
              <w:t>1+</w:t>
            </w:r>
          </w:p>
        </w:tc>
        <w:tc>
          <w:tcPr>
            <w:tcW w:w="1842" w:type="dxa"/>
          </w:tcPr>
          <w:p w:rsidR="00A767D7" w:rsidRPr="006762B9" w:rsidRDefault="00A767D7" w:rsidP="00C4507A">
            <w:pPr>
              <w:tabs>
                <w:tab w:val="left" w:pos="0"/>
              </w:tabs>
              <w:spacing w:line="240" w:lineRule="auto"/>
              <w:jc w:val="center"/>
              <w:rPr>
                <w:b/>
                <w:highlight w:val="yellow"/>
                <w:u w:val="single"/>
              </w:rPr>
            </w:pPr>
          </w:p>
        </w:tc>
        <w:tc>
          <w:tcPr>
            <w:tcW w:w="1843" w:type="dxa"/>
          </w:tcPr>
          <w:p w:rsidR="00A767D7" w:rsidRPr="006762B9" w:rsidRDefault="00A767D7" w:rsidP="00C4507A">
            <w:pPr>
              <w:tabs>
                <w:tab w:val="left" w:pos="0"/>
              </w:tabs>
              <w:spacing w:line="240" w:lineRule="auto"/>
              <w:jc w:val="center"/>
              <w:rPr>
                <w:b/>
                <w:highlight w:val="yellow"/>
                <w:u w:val="single"/>
              </w:rPr>
            </w:pP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r w:rsidRPr="00834630">
              <w:t>ATP</w:t>
            </w:r>
          </w:p>
        </w:tc>
        <w:tc>
          <w:tcPr>
            <w:tcW w:w="1842" w:type="dxa"/>
          </w:tcPr>
          <w:p w:rsidR="00A767D7" w:rsidRPr="006762B9" w:rsidRDefault="00A767D7" w:rsidP="00C4507A">
            <w:pPr>
              <w:tabs>
                <w:tab w:val="left" w:pos="0"/>
              </w:tabs>
              <w:spacing w:line="240" w:lineRule="auto"/>
              <w:jc w:val="center"/>
            </w:pPr>
            <w:r>
              <w:t>99.2 (95.3;100)</w:t>
            </w:r>
          </w:p>
        </w:tc>
        <w:tc>
          <w:tcPr>
            <w:tcW w:w="1843" w:type="dxa"/>
          </w:tcPr>
          <w:p w:rsidR="00A767D7" w:rsidRPr="006762B9" w:rsidRDefault="00A767D7" w:rsidP="00C4507A">
            <w:pPr>
              <w:tabs>
                <w:tab w:val="left" w:pos="0"/>
              </w:tabs>
              <w:spacing w:line="240" w:lineRule="auto"/>
              <w:jc w:val="center"/>
            </w:pPr>
            <w:r>
              <w:t>95.7 (83.5;99.5)</w:t>
            </w:r>
          </w:p>
        </w:tc>
      </w:tr>
      <w:tr w:rsidR="00A767D7" w:rsidRPr="006762B9" w:rsidTr="00A767D7">
        <w:trPr>
          <w:jc w:val="center"/>
        </w:trPr>
        <w:tc>
          <w:tcPr>
            <w:tcW w:w="1526" w:type="dxa"/>
          </w:tcPr>
          <w:p w:rsidR="00A767D7" w:rsidRPr="006762B9" w:rsidRDefault="00A767D7" w:rsidP="00C4507A">
            <w:pPr>
              <w:tabs>
                <w:tab w:val="left" w:pos="0"/>
              </w:tabs>
              <w:spacing w:line="240" w:lineRule="auto"/>
              <w:rPr>
                <w:b/>
                <w:highlight w:val="yellow"/>
                <w:u w:val="single"/>
              </w:rPr>
            </w:pPr>
            <w:r w:rsidRPr="00834630">
              <w:t>TVC-1</w:t>
            </w:r>
          </w:p>
        </w:tc>
        <w:tc>
          <w:tcPr>
            <w:tcW w:w="1842" w:type="dxa"/>
          </w:tcPr>
          <w:p w:rsidR="00A767D7" w:rsidRPr="006762B9" w:rsidRDefault="00A767D7" w:rsidP="00C4507A">
            <w:pPr>
              <w:tabs>
                <w:tab w:val="left" w:pos="0"/>
              </w:tabs>
              <w:spacing w:line="240" w:lineRule="auto"/>
              <w:jc w:val="center"/>
            </w:pPr>
            <w:r>
              <w:t>98.0 (94.0;99.6)</w:t>
            </w:r>
          </w:p>
        </w:tc>
        <w:tc>
          <w:tcPr>
            <w:tcW w:w="1843" w:type="dxa"/>
          </w:tcPr>
          <w:p w:rsidR="00A767D7" w:rsidRPr="006762B9" w:rsidRDefault="00A767D7" w:rsidP="00C4507A">
            <w:pPr>
              <w:tabs>
                <w:tab w:val="left" w:pos="0"/>
              </w:tabs>
              <w:spacing w:line="240" w:lineRule="auto"/>
              <w:jc w:val="center"/>
            </w:pPr>
            <w:r>
              <w:t>94.9 (84.4;99.0)</w:t>
            </w:r>
          </w:p>
        </w:tc>
      </w:tr>
    </w:tbl>
    <w:p w:rsidR="00224E37" w:rsidRDefault="00224E37" w:rsidP="00224E37">
      <w:pPr>
        <w:tabs>
          <w:tab w:val="left" w:pos="0"/>
        </w:tabs>
        <w:spacing w:line="360" w:lineRule="exact"/>
        <w:rPr>
          <w:rFonts w:ascii="Arial" w:hAnsi="Arial" w:cs="Arial"/>
          <w:b/>
          <w:sz w:val="24"/>
          <w:szCs w:val="24"/>
          <w:highlight w:val="yellow"/>
          <w:u w:val="single"/>
        </w:rPr>
      </w:pPr>
    </w:p>
    <w:p w:rsidR="00224E37" w:rsidRDefault="00224E37" w:rsidP="00224E37">
      <w:pPr>
        <w:tabs>
          <w:tab w:val="left" w:pos="0"/>
        </w:tabs>
        <w:spacing w:line="360" w:lineRule="exact"/>
        <w:rPr>
          <w:rFonts w:ascii="Arial" w:hAnsi="Arial" w:cs="Arial"/>
          <w:sz w:val="24"/>
          <w:szCs w:val="24"/>
        </w:rPr>
      </w:pPr>
      <w:r>
        <w:rPr>
          <w:rFonts w:ascii="Arial" w:hAnsi="Arial" w:cs="Arial"/>
          <w:sz w:val="24"/>
          <w:szCs w:val="24"/>
        </w:rPr>
        <w:t xml:space="preserve">Statistically significant efficacy against virological and cytological endpoints associated with HPV16/18 was demonstrated (Table 6). </w:t>
      </w:r>
    </w:p>
    <w:p w:rsidR="00CC6850" w:rsidRPr="00AE7410" w:rsidRDefault="00CC6850" w:rsidP="00224E37">
      <w:pPr>
        <w:tabs>
          <w:tab w:val="left" w:pos="0"/>
        </w:tabs>
        <w:spacing w:line="360" w:lineRule="exact"/>
        <w:rPr>
          <w:rFonts w:ascii="Arial" w:hAnsi="Arial" w:cs="Arial"/>
          <w:sz w:val="24"/>
          <w:szCs w:val="24"/>
        </w:rPr>
      </w:pPr>
    </w:p>
    <w:p w:rsidR="00224E37" w:rsidRDefault="00224E37" w:rsidP="00001032">
      <w:pPr>
        <w:spacing w:line="240" w:lineRule="auto"/>
        <w:rPr>
          <w:b/>
          <w:sz w:val="22"/>
          <w:szCs w:val="22"/>
        </w:rPr>
      </w:pPr>
      <w:r w:rsidRPr="009B174F">
        <w:rPr>
          <w:b/>
          <w:sz w:val="22"/>
          <w:szCs w:val="22"/>
        </w:rPr>
        <w:t xml:space="preserve">Table </w:t>
      </w:r>
      <w:r>
        <w:rPr>
          <w:b/>
          <w:sz w:val="22"/>
          <w:szCs w:val="22"/>
        </w:rPr>
        <w:t>6</w:t>
      </w:r>
      <w:r w:rsidRPr="009B174F">
        <w:rPr>
          <w:b/>
          <w:sz w:val="22"/>
          <w:szCs w:val="22"/>
        </w:rPr>
        <w:t xml:space="preserve">: Vaccine efficacy </w:t>
      </w:r>
      <w:r w:rsidR="00001032" w:rsidRPr="0075564F">
        <w:rPr>
          <w:rFonts w:ascii="Times New Roman Bold" w:hAnsi="Times New Roman Bold"/>
          <w:b/>
          <w:sz w:val="22"/>
          <w:szCs w:val="22"/>
        </w:rPr>
        <w:t xml:space="preserve">from </w:t>
      </w:r>
      <w:r w:rsidR="00001032">
        <w:rPr>
          <w:rFonts w:ascii="Times New Roman Bold" w:hAnsi="Times New Roman Bold"/>
          <w:b/>
          <w:sz w:val="22"/>
          <w:szCs w:val="22"/>
        </w:rPr>
        <w:t xml:space="preserve">the end of study analysis </w:t>
      </w:r>
      <w:r w:rsidRPr="009B174F">
        <w:rPr>
          <w:b/>
          <w:sz w:val="22"/>
          <w:szCs w:val="22"/>
        </w:rPr>
        <w:t xml:space="preserve">against virological and cytological endpoints associated with </w:t>
      </w:r>
      <w:r w:rsidR="00001032" w:rsidRPr="009B174F">
        <w:rPr>
          <w:b/>
          <w:sz w:val="22"/>
          <w:szCs w:val="22"/>
        </w:rPr>
        <w:t xml:space="preserve">HPV-16 and HPV-18 </w:t>
      </w:r>
      <w:r w:rsidR="009E668F">
        <w:rPr>
          <w:b/>
          <w:sz w:val="22"/>
          <w:szCs w:val="22"/>
        </w:rPr>
        <w:t>(ATP and TVC-1)</w:t>
      </w:r>
    </w:p>
    <w:tbl>
      <w:tblPr>
        <w:tblW w:w="59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42"/>
        <w:gridCol w:w="993"/>
        <w:gridCol w:w="709"/>
        <w:gridCol w:w="539"/>
        <w:gridCol w:w="28"/>
        <w:gridCol w:w="708"/>
        <w:gridCol w:w="567"/>
        <w:gridCol w:w="1134"/>
      </w:tblGrid>
      <w:tr w:rsidR="00D52871" w:rsidRPr="00FA4061" w:rsidTr="00D52871">
        <w:trPr>
          <w:cantSplit/>
          <w:trHeight w:val="20"/>
          <w:jc w:val="center"/>
        </w:trPr>
        <w:tc>
          <w:tcPr>
            <w:tcW w:w="2235" w:type="dxa"/>
            <w:gridSpan w:val="2"/>
            <w:vMerge w:val="restart"/>
          </w:tcPr>
          <w:p w:rsidR="00D52871" w:rsidRPr="00FA4061" w:rsidRDefault="00D52871" w:rsidP="00840FFF">
            <w:pPr>
              <w:keepLines/>
              <w:rPr>
                <w:b/>
                <w:i/>
              </w:rPr>
            </w:pPr>
          </w:p>
          <w:p w:rsidR="00D52871" w:rsidRPr="00FA4061" w:rsidRDefault="00D52871" w:rsidP="00840FFF">
            <w:pPr>
              <w:keepLines/>
              <w:jc w:val="center"/>
              <w:rPr>
                <w:b/>
                <w:i/>
              </w:rPr>
            </w:pPr>
            <w:r w:rsidRPr="00834630">
              <w:rPr>
                <w:b/>
                <w:i/>
              </w:rPr>
              <w:t>HPV 16/18 endpoint</w:t>
            </w:r>
          </w:p>
        </w:tc>
        <w:tc>
          <w:tcPr>
            <w:tcW w:w="3685" w:type="dxa"/>
            <w:gridSpan w:val="6"/>
          </w:tcPr>
          <w:p w:rsidR="00D52871" w:rsidRPr="00FA4061" w:rsidRDefault="00D52871" w:rsidP="00840FFF">
            <w:pPr>
              <w:keepNext/>
              <w:keepLines/>
              <w:jc w:val="center"/>
              <w:rPr>
                <w:b/>
                <w:i/>
              </w:rPr>
            </w:pPr>
            <w:r w:rsidRPr="00834630">
              <w:rPr>
                <w:b/>
                <w:i/>
              </w:rPr>
              <w:t>End of study analysis</w:t>
            </w:r>
          </w:p>
        </w:tc>
      </w:tr>
      <w:tr w:rsidR="00D52871" w:rsidRPr="00FA4061" w:rsidTr="00D52871">
        <w:trPr>
          <w:cantSplit/>
          <w:trHeight w:val="20"/>
          <w:jc w:val="center"/>
        </w:trPr>
        <w:tc>
          <w:tcPr>
            <w:tcW w:w="2235" w:type="dxa"/>
            <w:gridSpan w:val="2"/>
            <w:vMerge/>
          </w:tcPr>
          <w:p w:rsidR="00D52871" w:rsidRPr="00FA4061" w:rsidRDefault="00D52871" w:rsidP="00840FFF">
            <w:pPr>
              <w:keepLines/>
              <w:jc w:val="center"/>
              <w:rPr>
                <w:b/>
                <w:i/>
              </w:rPr>
            </w:pPr>
          </w:p>
        </w:tc>
        <w:tc>
          <w:tcPr>
            <w:tcW w:w="1276" w:type="dxa"/>
            <w:gridSpan w:val="3"/>
          </w:tcPr>
          <w:p w:rsidR="00D52871" w:rsidRPr="00FA4061" w:rsidRDefault="00D52871" w:rsidP="00840FFF">
            <w:pPr>
              <w:keepNext/>
              <w:keepLines/>
              <w:jc w:val="center"/>
              <w:rPr>
                <w:b/>
                <w:i/>
              </w:rPr>
            </w:pPr>
            <w:r w:rsidRPr="00834630">
              <w:rPr>
                <w:b/>
                <w:i/>
              </w:rPr>
              <w:t>Cervarix</w:t>
            </w:r>
          </w:p>
        </w:tc>
        <w:tc>
          <w:tcPr>
            <w:tcW w:w="1275" w:type="dxa"/>
            <w:gridSpan w:val="2"/>
          </w:tcPr>
          <w:p w:rsidR="00D52871" w:rsidRPr="00FA4061" w:rsidRDefault="00D52871" w:rsidP="00840FFF">
            <w:pPr>
              <w:keepNext/>
              <w:keepLines/>
              <w:jc w:val="center"/>
              <w:rPr>
                <w:b/>
                <w:i/>
              </w:rPr>
            </w:pPr>
            <w:r w:rsidRPr="00834630">
              <w:rPr>
                <w:b/>
                <w:i/>
              </w:rPr>
              <w:t>Control</w:t>
            </w:r>
          </w:p>
        </w:tc>
        <w:tc>
          <w:tcPr>
            <w:tcW w:w="1134" w:type="dxa"/>
            <w:vMerge w:val="restart"/>
          </w:tcPr>
          <w:p w:rsidR="00D52871" w:rsidRPr="00FA4061" w:rsidRDefault="00D52871" w:rsidP="00840FFF">
            <w:pPr>
              <w:keepNext/>
              <w:keepLines/>
              <w:jc w:val="center"/>
              <w:rPr>
                <w:b/>
                <w:i/>
              </w:rPr>
            </w:pPr>
            <w:r w:rsidRPr="00834630">
              <w:rPr>
                <w:b/>
                <w:i/>
              </w:rPr>
              <w:t xml:space="preserve">% Efficacy </w:t>
            </w:r>
          </w:p>
          <w:p w:rsidR="00D52871" w:rsidRPr="00FA4061" w:rsidRDefault="00D52871" w:rsidP="00840FFF">
            <w:pPr>
              <w:keepNext/>
              <w:keepLines/>
              <w:jc w:val="center"/>
              <w:rPr>
                <w:b/>
                <w:i/>
              </w:rPr>
            </w:pPr>
            <w:r w:rsidRPr="00834630">
              <w:rPr>
                <w:b/>
                <w:i/>
              </w:rPr>
              <w:t>(95% CI)</w:t>
            </w:r>
          </w:p>
        </w:tc>
      </w:tr>
      <w:tr w:rsidR="00D52871" w:rsidRPr="00FA4061" w:rsidTr="00D52871">
        <w:trPr>
          <w:cantSplit/>
          <w:trHeight w:val="20"/>
          <w:jc w:val="center"/>
        </w:trPr>
        <w:tc>
          <w:tcPr>
            <w:tcW w:w="2235" w:type="dxa"/>
            <w:gridSpan w:val="2"/>
            <w:vMerge/>
          </w:tcPr>
          <w:p w:rsidR="00D52871" w:rsidRPr="00FA4061" w:rsidRDefault="00D52871" w:rsidP="00840FFF">
            <w:pPr>
              <w:keepNext/>
              <w:keepLines/>
              <w:rPr>
                <w:b/>
                <w:i/>
              </w:rPr>
            </w:pPr>
          </w:p>
        </w:tc>
        <w:tc>
          <w:tcPr>
            <w:tcW w:w="709" w:type="dxa"/>
          </w:tcPr>
          <w:p w:rsidR="00D52871" w:rsidRPr="00FA4061" w:rsidRDefault="00D52871" w:rsidP="00840FFF">
            <w:pPr>
              <w:keepNext/>
              <w:keepLines/>
              <w:jc w:val="center"/>
              <w:rPr>
                <w:b/>
                <w:i/>
              </w:rPr>
            </w:pPr>
            <w:r w:rsidRPr="00834630">
              <w:rPr>
                <w:b/>
                <w:i/>
              </w:rPr>
              <w:t>N</w:t>
            </w:r>
          </w:p>
        </w:tc>
        <w:tc>
          <w:tcPr>
            <w:tcW w:w="567" w:type="dxa"/>
            <w:gridSpan w:val="2"/>
          </w:tcPr>
          <w:p w:rsidR="00D52871" w:rsidRPr="00FA4061" w:rsidRDefault="00D52871" w:rsidP="00840FFF">
            <w:pPr>
              <w:keepNext/>
              <w:keepLines/>
              <w:jc w:val="center"/>
              <w:rPr>
                <w:b/>
                <w:i/>
              </w:rPr>
            </w:pPr>
            <w:r w:rsidRPr="00834630">
              <w:rPr>
                <w:b/>
                <w:i/>
              </w:rPr>
              <w:t>n</w:t>
            </w:r>
          </w:p>
        </w:tc>
        <w:tc>
          <w:tcPr>
            <w:tcW w:w="708" w:type="dxa"/>
          </w:tcPr>
          <w:p w:rsidR="00D52871" w:rsidRPr="00FA4061" w:rsidRDefault="00D52871" w:rsidP="00840FFF">
            <w:pPr>
              <w:keepNext/>
              <w:keepLines/>
              <w:jc w:val="center"/>
              <w:rPr>
                <w:b/>
                <w:i/>
              </w:rPr>
            </w:pPr>
            <w:r w:rsidRPr="00834630">
              <w:rPr>
                <w:b/>
                <w:i/>
              </w:rPr>
              <w:t>N</w:t>
            </w:r>
          </w:p>
        </w:tc>
        <w:tc>
          <w:tcPr>
            <w:tcW w:w="567" w:type="dxa"/>
          </w:tcPr>
          <w:p w:rsidR="00D52871" w:rsidRPr="00FA4061" w:rsidRDefault="00D52871" w:rsidP="00840FFF">
            <w:pPr>
              <w:keepNext/>
              <w:keepLines/>
              <w:jc w:val="center"/>
              <w:rPr>
                <w:b/>
                <w:i/>
              </w:rPr>
            </w:pPr>
            <w:r w:rsidRPr="00834630">
              <w:rPr>
                <w:b/>
                <w:i/>
              </w:rPr>
              <w:t>n</w:t>
            </w:r>
          </w:p>
        </w:tc>
        <w:tc>
          <w:tcPr>
            <w:tcW w:w="1134" w:type="dxa"/>
            <w:vMerge/>
          </w:tcPr>
          <w:p w:rsidR="00D52871" w:rsidRPr="00FA4061" w:rsidRDefault="00D52871" w:rsidP="00840FFF">
            <w:pPr>
              <w:keepNext/>
              <w:keepLines/>
              <w:jc w:val="center"/>
              <w:rPr>
                <w:b/>
                <w:i/>
              </w:rPr>
            </w:pPr>
          </w:p>
        </w:tc>
      </w:tr>
      <w:tr w:rsidR="00D52871" w:rsidRPr="00FA4061" w:rsidTr="00D52871">
        <w:trPr>
          <w:cantSplit/>
          <w:trHeight w:val="20"/>
          <w:jc w:val="center"/>
        </w:trPr>
        <w:tc>
          <w:tcPr>
            <w:tcW w:w="2235" w:type="dxa"/>
            <w:gridSpan w:val="2"/>
          </w:tcPr>
          <w:p w:rsidR="00D52871" w:rsidRPr="00FA4061" w:rsidRDefault="00D52871" w:rsidP="00840FFF">
            <w:pPr>
              <w:keepLines/>
              <w:rPr>
                <w:b/>
                <w:i/>
              </w:rPr>
            </w:pPr>
            <w:r w:rsidRPr="00834630">
              <w:rPr>
                <w:b/>
                <w:i/>
              </w:rPr>
              <w:t>Virological endpoints</w:t>
            </w:r>
          </w:p>
        </w:tc>
        <w:tc>
          <w:tcPr>
            <w:tcW w:w="3685" w:type="dxa"/>
            <w:gridSpan w:val="6"/>
          </w:tcPr>
          <w:p w:rsidR="00D52871" w:rsidRPr="00FA4061" w:rsidRDefault="00D52871" w:rsidP="00840FFF">
            <w:pPr>
              <w:keepLines/>
              <w:rPr>
                <w:b/>
                <w:i/>
              </w:rPr>
            </w:pPr>
          </w:p>
        </w:tc>
      </w:tr>
      <w:tr w:rsidR="00D52871" w:rsidRPr="00FA4061" w:rsidTr="00D52871">
        <w:trPr>
          <w:cantSplit/>
          <w:trHeight w:val="20"/>
          <w:jc w:val="center"/>
        </w:trPr>
        <w:tc>
          <w:tcPr>
            <w:tcW w:w="1242" w:type="dxa"/>
            <w:vMerge w:val="restart"/>
          </w:tcPr>
          <w:p w:rsidR="00D52871" w:rsidRPr="00FA4061" w:rsidRDefault="00D52871" w:rsidP="00840FFF">
            <w:pPr>
              <w:keepLines/>
              <w:rPr>
                <w:b/>
                <w:i/>
              </w:rPr>
            </w:pPr>
            <w:r w:rsidRPr="00834630">
              <w:rPr>
                <w:b/>
                <w:i/>
              </w:rPr>
              <w:t>6 month persistent infection</w:t>
            </w:r>
          </w:p>
        </w:tc>
        <w:tc>
          <w:tcPr>
            <w:tcW w:w="993" w:type="dxa"/>
            <w:shd w:val="clear" w:color="auto" w:fill="auto"/>
          </w:tcPr>
          <w:p w:rsidR="00D52871" w:rsidRPr="00FA4061" w:rsidRDefault="00D52871" w:rsidP="00840FFF">
            <w:pPr>
              <w:keepLines/>
              <w:rPr>
                <w:b/>
                <w:i/>
              </w:rPr>
            </w:pPr>
            <w:r w:rsidRPr="00834630">
              <w:rPr>
                <w:b/>
                <w:i/>
              </w:rPr>
              <w:t>ATP</w:t>
            </w:r>
            <w:r w:rsidRPr="00834630">
              <w:rPr>
                <w:b/>
                <w:i/>
                <w:vertAlign w:val="superscript"/>
              </w:rPr>
              <w:t>(1)</w:t>
            </w:r>
          </w:p>
        </w:tc>
        <w:tc>
          <w:tcPr>
            <w:tcW w:w="709" w:type="dxa"/>
          </w:tcPr>
          <w:p w:rsidR="00D52871" w:rsidRPr="00FA4061" w:rsidRDefault="00D52871" w:rsidP="00840FFF">
            <w:pPr>
              <w:keepLines/>
              <w:jc w:val="center"/>
              <w:rPr>
                <w:b/>
                <w:i/>
              </w:rPr>
            </w:pPr>
            <w:r w:rsidRPr="00834630">
              <w:rPr>
                <w:b/>
                <w:i/>
              </w:rPr>
              <w:t>7182</w:t>
            </w:r>
          </w:p>
        </w:tc>
        <w:tc>
          <w:tcPr>
            <w:tcW w:w="567" w:type="dxa"/>
            <w:gridSpan w:val="2"/>
          </w:tcPr>
          <w:p w:rsidR="00D52871" w:rsidRPr="00FA4061" w:rsidRDefault="00D52871" w:rsidP="00840FFF">
            <w:pPr>
              <w:keepLines/>
              <w:jc w:val="center"/>
              <w:rPr>
                <w:b/>
                <w:i/>
              </w:rPr>
            </w:pPr>
            <w:r w:rsidRPr="00834630">
              <w:rPr>
                <w:b/>
                <w:i/>
              </w:rPr>
              <w:t>35</w:t>
            </w:r>
          </w:p>
        </w:tc>
        <w:tc>
          <w:tcPr>
            <w:tcW w:w="708" w:type="dxa"/>
          </w:tcPr>
          <w:p w:rsidR="00D52871" w:rsidRPr="00FA4061" w:rsidRDefault="00D52871" w:rsidP="00840FFF">
            <w:pPr>
              <w:keepLines/>
              <w:jc w:val="center"/>
              <w:rPr>
                <w:b/>
                <w:i/>
              </w:rPr>
            </w:pPr>
            <w:r w:rsidRPr="00834630">
              <w:rPr>
                <w:b/>
                <w:i/>
              </w:rPr>
              <w:t>7137</w:t>
            </w:r>
          </w:p>
        </w:tc>
        <w:tc>
          <w:tcPr>
            <w:tcW w:w="567" w:type="dxa"/>
          </w:tcPr>
          <w:p w:rsidR="00D52871" w:rsidRPr="00FA4061" w:rsidRDefault="00D52871" w:rsidP="00840FFF">
            <w:pPr>
              <w:keepLines/>
              <w:jc w:val="center"/>
              <w:rPr>
                <w:b/>
                <w:i/>
              </w:rPr>
            </w:pPr>
            <w:r w:rsidRPr="00834630">
              <w:rPr>
                <w:b/>
                <w:i/>
              </w:rPr>
              <w:t>588</w:t>
            </w:r>
          </w:p>
        </w:tc>
        <w:tc>
          <w:tcPr>
            <w:tcW w:w="1134" w:type="dxa"/>
          </w:tcPr>
          <w:p w:rsidR="00D52871" w:rsidRPr="00FA4061" w:rsidRDefault="00D52871" w:rsidP="00840FFF">
            <w:pPr>
              <w:keepLines/>
              <w:jc w:val="center"/>
              <w:rPr>
                <w:b/>
                <w:i/>
              </w:rPr>
            </w:pPr>
            <w:r w:rsidRPr="00834630">
              <w:rPr>
                <w:rFonts w:ascii="TimesNewRoman" w:hAnsi="TimesNewRoman" w:cs="Arial"/>
                <w:b/>
                <w:i/>
              </w:rPr>
              <w:t>94.3% (92.0;96.1)</w:t>
            </w:r>
          </w:p>
        </w:tc>
      </w:tr>
      <w:tr w:rsidR="00D52871" w:rsidRPr="00FA4061" w:rsidTr="00D52871">
        <w:trPr>
          <w:cantSplit/>
          <w:trHeight w:val="20"/>
          <w:jc w:val="center"/>
        </w:trPr>
        <w:tc>
          <w:tcPr>
            <w:tcW w:w="1242" w:type="dxa"/>
            <w:vMerge/>
          </w:tcPr>
          <w:p w:rsidR="00D52871" w:rsidRPr="00FA4061" w:rsidRDefault="00D52871" w:rsidP="00840FFF">
            <w:pPr>
              <w:keepLines/>
              <w:rPr>
                <w:b/>
                <w:i/>
              </w:rPr>
            </w:pPr>
          </w:p>
        </w:tc>
        <w:tc>
          <w:tcPr>
            <w:tcW w:w="993" w:type="dxa"/>
            <w:shd w:val="clear" w:color="auto" w:fill="auto"/>
          </w:tcPr>
          <w:p w:rsidR="00D52871" w:rsidRPr="00FA4061" w:rsidRDefault="00D52871" w:rsidP="00840FFF">
            <w:pPr>
              <w:keepLines/>
              <w:rPr>
                <w:b/>
                <w:i/>
              </w:rPr>
            </w:pPr>
            <w:r w:rsidRPr="00834630">
              <w:rPr>
                <w:b/>
                <w:i/>
              </w:rPr>
              <w:t>TVC-1</w:t>
            </w:r>
            <w:r w:rsidRPr="00834630">
              <w:rPr>
                <w:b/>
                <w:i/>
                <w:vertAlign w:val="superscript"/>
              </w:rPr>
              <w:t>(2)</w:t>
            </w:r>
          </w:p>
        </w:tc>
        <w:tc>
          <w:tcPr>
            <w:tcW w:w="709" w:type="dxa"/>
          </w:tcPr>
          <w:p w:rsidR="00D52871" w:rsidRPr="00FA4061" w:rsidRDefault="00D52871" w:rsidP="00840FFF">
            <w:pPr>
              <w:keepLines/>
              <w:jc w:val="center"/>
              <w:rPr>
                <w:b/>
                <w:i/>
              </w:rPr>
            </w:pPr>
            <w:r w:rsidRPr="00834630">
              <w:rPr>
                <w:b/>
                <w:i/>
              </w:rPr>
              <w:t>7976</w:t>
            </w:r>
          </w:p>
        </w:tc>
        <w:tc>
          <w:tcPr>
            <w:tcW w:w="567" w:type="dxa"/>
            <w:gridSpan w:val="2"/>
          </w:tcPr>
          <w:p w:rsidR="00D52871" w:rsidRPr="00FA4061" w:rsidRDefault="00D52871" w:rsidP="00840FFF">
            <w:pPr>
              <w:keepLines/>
              <w:jc w:val="center"/>
              <w:rPr>
                <w:b/>
                <w:i/>
              </w:rPr>
            </w:pPr>
            <w:r w:rsidRPr="00834630">
              <w:rPr>
                <w:b/>
                <w:i/>
              </w:rPr>
              <w:t>73</w:t>
            </w:r>
          </w:p>
        </w:tc>
        <w:tc>
          <w:tcPr>
            <w:tcW w:w="708" w:type="dxa"/>
          </w:tcPr>
          <w:p w:rsidR="00D52871" w:rsidRPr="00FA4061" w:rsidRDefault="00D52871" w:rsidP="00840FFF">
            <w:pPr>
              <w:keepLines/>
              <w:jc w:val="center"/>
              <w:rPr>
                <w:b/>
                <w:i/>
              </w:rPr>
            </w:pPr>
            <w:r w:rsidRPr="00834630">
              <w:rPr>
                <w:b/>
                <w:i/>
              </w:rPr>
              <w:t>7999</w:t>
            </w:r>
          </w:p>
        </w:tc>
        <w:tc>
          <w:tcPr>
            <w:tcW w:w="567" w:type="dxa"/>
          </w:tcPr>
          <w:p w:rsidR="00D52871" w:rsidRPr="00FA4061" w:rsidRDefault="00D52871" w:rsidP="00840FFF">
            <w:pPr>
              <w:keepLines/>
              <w:jc w:val="center"/>
              <w:rPr>
                <w:b/>
                <w:i/>
              </w:rPr>
            </w:pPr>
            <w:r w:rsidRPr="00834630">
              <w:rPr>
                <w:b/>
                <w:i/>
              </w:rPr>
              <w:t>770</w:t>
            </w:r>
          </w:p>
        </w:tc>
        <w:tc>
          <w:tcPr>
            <w:tcW w:w="1134" w:type="dxa"/>
          </w:tcPr>
          <w:p w:rsidR="00D52871" w:rsidRPr="00FA4061" w:rsidRDefault="00D52871" w:rsidP="00840FFF">
            <w:pPr>
              <w:keepLines/>
              <w:jc w:val="center"/>
              <w:rPr>
                <w:b/>
                <w:i/>
              </w:rPr>
            </w:pPr>
            <w:r w:rsidRPr="00834630">
              <w:rPr>
                <w:rFonts w:ascii="TimesNewRoman" w:hAnsi="TimesNewRoman" w:cs="Arial"/>
                <w:b/>
                <w:i/>
              </w:rPr>
              <w:t>91.0% (88.5;93.0)</w:t>
            </w:r>
          </w:p>
        </w:tc>
      </w:tr>
      <w:tr w:rsidR="00D52871" w:rsidRPr="00FA4061" w:rsidTr="00D52871">
        <w:trPr>
          <w:cantSplit/>
          <w:trHeight w:val="20"/>
          <w:jc w:val="center"/>
        </w:trPr>
        <w:tc>
          <w:tcPr>
            <w:tcW w:w="1242" w:type="dxa"/>
            <w:vMerge w:val="restart"/>
          </w:tcPr>
          <w:p w:rsidR="00D52871" w:rsidRPr="00FA4061" w:rsidRDefault="00D52871" w:rsidP="00840FFF">
            <w:pPr>
              <w:keepLines/>
              <w:rPr>
                <w:b/>
                <w:i/>
              </w:rPr>
            </w:pPr>
            <w:r w:rsidRPr="00834630">
              <w:rPr>
                <w:b/>
                <w:i/>
              </w:rPr>
              <w:t>12-month persistent infection</w:t>
            </w:r>
          </w:p>
        </w:tc>
        <w:tc>
          <w:tcPr>
            <w:tcW w:w="993" w:type="dxa"/>
            <w:shd w:val="clear" w:color="auto" w:fill="auto"/>
          </w:tcPr>
          <w:p w:rsidR="00D52871" w:rsidRPr="00FA4061" w:rsidRDefault="00D52871" w:rsidP="00840FFF">
            <w:pPr>
              <w:keepLines/>
              <w:rPr>
                <w:b/>
                <w:i/>
              </w:rPr>
            </w:pPr>
            <w:r w:rsidRPr="00834630">
              <w:rPr>
                <w:b/>
                <w:i/>
              </w:rPr>
              <w:t>ATP</w:t>
            </w:r>
            <w:r w:rsidRPr="00834630">
              <w:rPr>
                <w:b/>
                <w:i/>
                <w:vertAlign w:val="superscript"/>
              </w:rPr>
              <w:t>(1)</w:t>
            </w:r>
          </w:p>
        </w:tc>
        <w:tc>
          <w:tcPr>
            <w:tcW w:w="709" w:type="dxa"/>
          </w:tcPr>
          <w:p w:rsidR="00D52871" w:rsidRPr="00FA4061" w:rsidRDefault="00D52871" w:rsidP="00840FFF">
            <w:pPr>
              <w:keepLines/>
              <w:jc w:val="center"/>
              <w:rPr>
                <w:b/>
                <w:i/>
              </w:rPr>
            </w:pPr>
            <w:r w:rsidRPr="00834630">
              <w:rPr>
                <w:b/>
                <w:i/>
              </w:rPr>
              <w:t>7082</w:t>
            </w:r>
          </w:p>
        </w:tc>
        <w:tc>
          <w:tcPr>
            <w:tcW w:w="567" w:type="dxa"/>
            <w:gridSpan w:val="2"/>
          </w:tcPr>
          <w:p w:rsidR="00D52871" w:rsidRPr="00FA4061" w:rsidRDefault="00D52871" w:rsidP="00840FFF">
            <w:pPr>
              <w:keepLines/>
              <w:jc w:val="center"/>
              <w:rPr>
                <w:b/>
                <w:i/>
              </w:rPr>
            </w:pPr>
            <w:r w:rsidRPr="00834630">
              <w:rPr>
                <w:b/>
                <w:i/>
              </w:rPr>
              <w:t>26</w:t>
            </w:r>
          </w:p>
        </w:tc>
        <w:tc>
          <w:tcPr>
            <w:tcW w:w="708" w:type="dxa"/>
          </w:tcPr>
          <w:p w:rsidR="00D52871" w:rsidRPr="00FA4061" w:rsidRDefault="00D52871" w:rsidP="00840FFF">
            <w:pPr>
              <w:keepLines/>
              <w:jc w:val="center"/>
              <w:rPr>
                <w:b/>
                <w:i/>
              </w:rPr>
            </w:pPr>
            <w:r w:rsidRPr="00834630">
              <w:rPr>
                <w:b/>
                <w:i/>
              </w:rPr>
              <w:t>7038</w:t>
            </w:r>
          </w:p>
        </w:tc>
        <w:tc>
          <w:tcPr>
            <w:tcW w:w="567" w:type="dxa"/>
          </w:tcPr>
          <w:p w:rsidR="00D52871" w:rsidRPr="00FA4061" w:rsidRDefault="00D52871" w:rsidP="00840FFF">
            <w:pPr>
              <w:keepLines/>
              <w:jc w:val="center"/>
              <w:rPr>
                <w:b/>
                <w:i/>
              </w:rPr>
            </w:pPr>
            <w:r w:rsidRPr="00834630">
              <w:rPr>
                <w:b/>
                <w:i/>
              </w:rPr>
              <w:t>354</w:t>
            </w:r>
          </w:p>
        </w:tc>
        <w:tc>
          <w:tcPr>
            <w:tcW w:w="1134" w:type="dxa"/>
          </w:tcPr>
          <w:p w:rsidR="00D52871" w:rsidRPr="00FA4061" w:rsidRDefault="00D52871" w:rsidP="00840FFF">
            <w:pPr>
              <w:keepLines/>
              <w:jc w:val="center"/>
              <w:rPr>
                <w:b/>
                <w:i/>
              </w:rPr>
            </w:pPr>
            <w:r w:rsidRPr="00834630">
              <w:rPr>
                <w:rFonts w:ascii="TimesNewRoman" w:hAnsi="TimesNewRoman" w:cs="Arial"/>
                <w:b/>
                <w:i/>
              </w:rPr>
              <w:t>92.9% (89.4;95.4)</w:t>
            </w:r>
          </w:p>
        </w:tc>
      </w:tr>
      <w:tr w:rsidR="00D52871" w:rsidRPr="00FA4061" w:rsidTr="00D52871">
        <w:trPr>
          <w:cantSplit/>
          <w:trHeight w:val="20"/>
          <w:jc w:val="center"/>
        </w:trPr>
        <w:tc>
          <w:tcPr>
            <w:tcW w:w="1242" w:type="dxa"/>
            <w:vMerge/>
          </w:tcPr>
          <w:p w:rsidR="00D52871" w:rsidRPr="00FA4061" w:rsidRDefault="00D52871" w:rsidP="00840FFF">
            <w:pPr>
              <w:keepLines/>
              <w:rPr>
                <w:b/>
                <w:i/>
              </w:rPr>
            </w:pPr>
          </w:p>
        </w:tc>
        <w:tc>
          <w:tcPr>
            <w:tcW w:w="993" w:type="dxa"/>
            <w:shd w:val="clear" w:color="auto" w:fill="auto"/>
          </w:tcPr>
          <w:p w:rsidR="00D52871" w:rsidRPr="00FA4061" w:rsidRDefault="00D52871" w:rsidP="00840FFF">
            <w:pPr>
              <w:keepLines/>
              <w:rPr>
                <w:b/>
                <w:i/>
              </w:rPr>
            </w:pPr>
            <w:r w:rsidRPr="00834630">
              <w:rPr>
                <w:b/>
                <w:i/>
              </w:rPr>
              <w:t>TVC-1</w:t>
            </w:r>
            <w:r w:rsidRPr="00834630">
              <w:rPr>
                <w:b/>
                <w:i/>
                <w:vertAlign w:val="superscript"/>
              </w:rPr>
              <w:t>(2)</w:t>
            </w:r>
          </w:p>
        </w:tc>
        <w:tc>
          <w:tcPr>
            <w:tcW w:w="709" w:type="dxa"/>
          </w:tcPr>
          <w:p w:rsidR="00D52871" w:rsidRPr="00FA4061" w:rsidRDefault="00D52871" w:rsidP="00840FFF">
            <w:pPr>
              <w:keepLines/>
              <w:jc w:val="center"/>
              <w:rPr>
                <w:b/>
                <w:i/>
              </w:rPr>
            </w:pPr>
            <w:r w:rsidRPr="00834630">
              <w:rPr>
                <w:b/>
                <w:i/>
              </w:rPr>
              <w:t>7864</w:t>
            </w:r>
          </w:p>
        </w:tc>
        <w:tc>
          <w:tcPr>
            <w:tcW w:w="567" w:type="dxa"/>
            <w:gridSpan w:val="2"/>
          </w:tcPr>
          <w:p w:rsidR="00D52871" w:rsidRPr="00FA4061" w:rsidRDefault="00D52871" w:rsidP="00840FFF">
            <w:pPr>
              <w:keepLines/>
              <w:jc w:val="center"/>
              <w:rPr>
                <w:b/>
                <w:i/>
              </w:rPr>
            </w:pPr>
            <w:r w:rsidRPr="00834630">
              <w:rPr>
                <w:b/>
                <w:i/>
              </w:rPr>
              <w:t>58</w:t>
            </w:r>
          </w:p>
        </w:tc>
        <w:tc>
          <w:tcPr>
            <w:tcW w:w="708" w:type="dxa"/>
          </w:tcPr>
          <w:p w:rsidR="00D52871" w:rsidRPr="00FA4061" w:rsidRDefault="00D52871" w:rsidP="00840FFF">
            <w:pPr>
              <w:keepLines/>
              <w:jc w:val="center"/>
              <w:rPr>
                <w:b/>
                <w:i/>
              </w:rPr>
            </w:pPr>
            <w:r w:rsidRPr="00834630">
              <w:rPr>
                <w:b/>
                <w:i/>
              </w:rPr>
              <w:t>7880</w:t>
            </w:r>
          </w:p>
        </w:tc>
        <w:tc>
          <w:tcPr>
            <w:tcW w:w="567" w:type="dxa"/>
          </w:tcPr>
          <w:p w:rsidR="00D52871" w:rsidRPr="00FA4061" w:rsidRDefault="00D52871" w:rsidP="00840FFF">
            <w:pPr>
              <w:keepLines/>
              <w:jc w:val="center"/>
              <w:rPr>
                <w:b/>
                <w:i/>
              </w:rPr>
            </w:pPr>
            <w:r w:rsidRPr="00834630">
              <w:rPr>
                <w:b/>
                <w:i/>
              </w:rPr>
              <w:t>478</w:t>
            </w:r>
          </w:p>
        </w:tc>
        <w:tc>
          <w:tcPr>
            <w:tcW w:w="1134" w:type="dxa"/>
          </w:tcPr>
          <w:p w:rsidR="00D52871" w:rsidRPr="00FA4061" w:rsidRDefault="00D52871" w:rsidP="00840FFF">
            <w:pPr>
              <w:keepLines/>
              <w:jc w:val="center"/>
              <w:rPr>
                <w:b/>
                <w:i/>
              </w:rPr>
            </w:pPr>
            <w:r w:rsidRPr="00834630">
              <w:rPr>
                <w:rFonts w:ascii="TimesNewRoman" w:hAnsi="TimesNewRoman" w:cs="Arial"/>
                <w:b/>
                <w:i/>
              </w:rPr>
              <w:t>88.2% (84.5;91.2)</w:t>
            </w:r>
          </w:p>
        </w:tc>
      </w:tr>
      <w:tr w:rsidR="00D52871" w:rsidRPr="00FA4061" w:rsidTr="00D52871">
        <w:trPr>
          <w:cantSplit/>
          <w:trHeight w:val="20"/>
          <w:jc w:val="center"/>
        </w:trPr>
        <w:tc>
          <w:tcPr>
            <w:tcW w:w="2235" w:type="dxa"/>
            <w:gridSpan w:val="2"/>
          </w:tcPr>
          <w:p w:rsidR="00D52871" w:rsidRPr="00FA4061" w:rsidRDefault="00D52871" w:rsidP="00840FFF">
            <w:pPr>
              <w:rPr>
                <w:b/>
                <w:i/>
              </w:rPr>
            </w:pPr>
            <w:r w:rsidRPr="00834630">
              <w:rPr>
                <w:b/>
                <w:i/>
              </w:rPr>
              <w:t>Cytological endpoint</w:t>
            </w:r>
          </w:p>
        </w:tc>
        <w:tc>
          <w:tcPr>
            <w:tcW w:w="1248" w:type="dxa"/>
            <w:gridSpan w:val="2"/>
          </w:tcPr>
          <w:p w:rsidR="00D52871" w:rsidRPr="00FA4061" w:rsidRDefault="00D52871" w:rsidP="00840FFF">
            <w:pPr>
              <w:rPr>
                <w:b/>
                <w:i/>
              </w:rPr>
            </w:pPr>
          </w:p>
        </w:tc>
        <w:tc>
          <w:tcPr>
            <w:tcW w:w="2437" w:type="dxa"/>
            <w:gridSpan w:val="4"/>
          </w:tcPr>
          <w:p w:rsidR="00D52871" w:rsidRPr="00FA4061" w:rsidRDefault="00D52871" w:rsidP="00840FFF">
            <w:pPr>
              <w:rPr>
                <w:b/>
                <w:i/>
              </w:rPr>
            </w:pPr>
          </w:p>
        </w:tc>
      </w:tr>
      <w:tr w:rsidR="00D52871" w:rsidRPr="00FA4061" w:rsidTr="00D52871">
        <w:trPr>
          <w:cantSplit/>
          <w:trHeight w:val="20"/>
          <w:jc w:val="center"/>
        </w:trPr>
        <w:tc>
          <w:tcPr>
            <w:tcW w:w="1242" w:type="dxa"/>
            <w:vMerge w:val="restart"/>
          </w:tcPr>
          <w:p w:rsidR="00D52871" w:rsidRPr="00FA4061" w:rsidRDefault="00D52871" w:rsidP="00EC5A1B">
            <w:pPr>
              <w:keepLines/>
              <w:rPr>
                <w:b/>
                <w:i/>
              </w:rPr>
            </w:pPr>
            <w:r w:rsidRPr="00834630">
              <w:rPr>
                <w:b/>
                <w:i/>
              </w:rPr>
              <w:t>Cytological abnormalities ASC</w:t>
            </w:r>
            <w:r w:rsidRPr="00EC5A1B">
              <w:rPr>
                <w:b/>
                <w:i/>
              </w:rPr>
              <w:t>-</w:t>
            </w:r>
            <w:r w:rsidRPr="00834630">
              <w:rPr>
                <w:b/>
                <w:i/>
              </w:rPr>
              <w:t>US</w:t>
            </w:r>
            <w:r w:rsidRPr="00EC5A1B">
              <w:rPr>
                <w:b/>
                <w:i/>
              </w:rPr>
              <w:t>+</w:t>
            </w:r>
            <w:r w:rsidRPr="00834630">
              <w:rPr>
                <w:b/>
                <w:i/>
              </w:rPr>
              <w:t>)</w:t>
            </w:r>
          </w:p>
        </w:tc>
        <w:tc>
          <w:tcPr>
            <w:tcW w:w="993" w:type="dxa"/>
            <w:shd w:val="clear" w:color="auto" w:fill="auto"/>
          </w:tcPr>
          <w:p w:rsidR="00D52871" w:rsidRPr="00FA4061" w:rsidRDefault="00D52871" w:rsidP="00840FFF">
            <w:pPr>
              <w:keepNext/>
              <w:keepLines/>
              <w:tabs>
                <w:tab w:val="left" w:pos="720"/>
                <w:tab w:val="left" w:pos="1560"/>
                <w:tab w:val="left" w:pos="2280"/>
              </w:tabs>
              <w:outlineLvl w:val="1"/>
              <w:rPr>
                <w:b/>
                <w:i/>
              </w:rPr>
            </w:pPr>
            <w:r w:rsidRPr="00834630">
              <w:rPr>
                <w:b/>
                <w:i/>
              </w:rPr>
              <w:t>ATP</w:t>
            </w:r>
            <w:r w:rsidRPr="00834630">
              <w:rPr>
                <w:b/>
                <w:i/>
                <w:vertAlign w:val="superscript"/>
              </w:rPr>
              <w:t>(1)</w:t>
            </w:r>
          </w:p>
        </w:tc>
        <w:tc>
          <w:tcPr>
            <w:tcW w:w="709" w:type="dxa"/>
          </w:tcPr>
          <w:p w:rsidR="00D52871" w:rsidRPr="00FA4061" w:rsidRDefault="00D52871" w:rsidP="00840FFF">
            <w:pPr>
              <w:keepLines/>
              <w:jc w:val="center"/>
              <w:rPr>
                <w:b/>
                <w:i/>
              </w:rPr>
            </w:pPr>
            <w:r w:rsidRPr="00834630">
              <w:rPr>
                <w:b/>
                <w:i/>
              </w:rPr>
              <w:t>7334</w:t>
            </w:r>
          </w:p>
        </w:tc>
        <w:tc>
          <w:tcPr>
            <w:tcW w:w="567" w:type="dxa"/>
            <w:gridSpan w:val="2"/>
          </w:tcPr>
          <w:p w:rsidR="00D52871" w:rsidRPr="00FA4061" w:rsidRDefault="00D52871" w:rsidP="00840FFF">
            <w:pPr>
              <w:keepLines/>
              <w:jc w:val="center"/>
              <w:rPr>
                <w:b/>
                <w:i/>
              </w:rPr>
            </w:pPr>
            <w:r w:rsidRPr="00834630">
              <w:rPr>
                <w:b/>
                <w:i/>
              </w:rPr>
              <w:t>55</w:t>
            </w:r>
          </w:p>
        </w:tc>
        <w:tc>
          <w:tcPr>
            <w:tcW w:w="708" w:type="dxa"/>
          </w:tcPr>
          <w:p w:rsidR="00D52871" w:rsidRPr="00FA4061" w:rsidRDefault="00D52871" w:rsidP="00840FFF">
            <w:pPr>
              <w:keepLines/>
              <w:jc w:val="center"/>
              <w:rPr>
                <w:b/>
                <w:i/>
              </w:rPr>
            </w:pPr>
            <w:r w:rsidRPr="00834630">
              <w:rPr>
                <w:b/>
                <w:i/>
              </w:rPr>
              <w:t>7305</w:t>
            </w:r>
          </w:p>
        </w:tc>
        <w:tc>
          <w:tcPr>
            <w:tcW w:w="567" w:type="dxa"/>
          </w:tcPr>
          <w:p w:rsidR="00D52871" w:rsidRPr="00FA4061" w:rsidRDefault="00D52871" w:rsidP="00840FFF">
            <w:pPr>
              <w:keepLines/>
              <w:jc w:val="center"/>
              <w:rPr>
                <w:b/>
                <w:i/>
              </w:rPr>
            </w:pPr>
            <w:r w:rsidRPr="00834630">
              <w:rPr>
                <w:b/>
                <w:i/>
              </w:rPr>
              <w:t>575</w:t>
            </w:r>
          </w:p>
        </w:tc>
        <w:tc>
          <w:tcPr>
            <w:tcW w:w="1134" w:type="dxa"/>
          </w:tcPr>
          <w:p w:rsidR="00D52871" w:rsidRPr="00FA4061" w:rsidRDefault="00D52871" w:rsidP="00840FFF">
            <w:pPr>
              <w:keepLines/>
              <w:jc w:val="center"/>
              <w:rPr>
                <w:b/>
                <w:i/>
              </w:rPr>
            </w:pPr>
            <w:r w:rsidRPr="00834630">
              <w:rPr>
                <w:rFonts w:ascii="TimesNewRoman" w:hAnsi="TimesNewRoman" w:cs="Arial"/>
                <w:b/>
                <w:i/>
              </w:rPr>
              <w:t>90.7% (87.8;93.1)</w:t>
            </w:r>
          </w:p>
        </w:tc>
      </w:tr>
      <w:tr w:rsidR="00D52871" w:rsidRPr="00FA4061" w:rsidTr="00D52871">
        <w:trPr>
          <w:cantSplit/>
          <w:trHeight w:val="20"/>
          <w:jc w:val="center"/>
        </w:trPr>
        <w:tc>
          <w:tcPr>
            <w:tcW w:w="1242" w:type="dxa"/>
            <w:vMerge/>
          </w:tcPr>
          <w:p w:rsidR="00D52871" w:rsidRPr="00FA4061" w:rsidRDefault="00D52871" w:rsidP="00840FFF">
            <w:pPr>
              <w:keepLines/>
              <w:rPr>
                <w:b/>
                <w:i/>
              </w:rPr>
            </w:pPr>
          </w:p>
        </w:tc>
        <w:tc>
          <w:tcPr>
            <w:tcW w:w="993" w:type="dxa"/>
            <w:shd w:val="clear" w:color="auto" w:fill="auto"/>
          </w:tcPr>
          <w:p w:rsidR="00D52871" w:rsidRPr="00FA4061" w:rsidRDefault="00D52871" w:rsidP="00840FFF">
            <w:pPr>
              <w:keepLines/>
              <w:rPr>
                <w:b/>
                <w:i/>
              </w:rPr>
            </w:pPr>
            <w:r w:rsidRPr="00834630">
              <w:rPr>
                <w:b/>
                <w:i/>
              </w:rPr>
              <w:t>TVC-1</w:t>
            </w:r>
            <w:r w:rsidRPr="00834630">
              <w:rPr>
                <w:b/>
                <w:i/>
                <w:vertAlign w:val="superscript"/>
              </w:rPr>
              <w:t>(2)</w:t>
            </w:r>
          </w:p>
        </w:tc>
        <w:tc>
          <w:tcPr>
            <w:tcW w:w="709" w:type="dxa"/>
          </w:tcPr>
          <w:p w:rsidR="00D52871" w:rsidRPr="00FA4061" w:rsidRDefault="00D52871" w:rsidP="00840FFF">
            <w:pPr>
              <w:keepLines/>
              <w:jc w:val="center"/>
              <w:rPr>
                <w:b/>
                <w:i/>
              </w:rPr>
            </w:pPr>
            <w:r w:rsidRPr="00834630">
              <w:rPr>
                <w:b/>
                <w:i/>
              </w:rPr>
              <w:t>8068</w:t>
            </w:r>
          </w:p>
        </w:tc>
        <w:tc>
          <w:tcPr>
            <w:tcW w:w="567" w:type="dxa"/>
            <w:gridSpan w:val="2"/>
          </w:tcPr>
          <w:p w:rsidR="00D52871" w:rsidRPr="00FA4061" w:rsidRDefault="00D52871" w:rsidP="00840FFF">
            <w:pPr>
              <w:keepLines/>
              <w:jc w:val="center"/>
              <w:rPr>
                <w:b/>
                <w:i/>
              </w:rPr>
            </w:pPr>
            <w:r w:rsidRPr="00834630">
              <w:rPr>
                <w:b/>
                <w:i/>
              </w:rPr>
              <w:t>84</w:t>
            </w:r>
          </w:p>
        </w:tc>
        <w:tc>
          <w:tcPr>
            <w:tcW w:w="708" w:type="dxa"/>
          </w:tcPr>
          <w:p w:rsidR="00D52871" w:rsidRPr="00FA4061" w:rsidRDefault="00D52871" w:rsidP="00840FFF">
            <w:pPr>
              <w:keepLines/>
              <w:jc w:val="center"/>
              <w:rPr>
                <w:b/>
                <w:i/>
              </w:rPr>
            </w:pPr>
            <w:r w:rsidRPr="00834630">
              <w:rPr>
                <w:b/>
                <w:i/>
              </w:rPr>
              <w:t>8103</w:t>
            </w:r>
          </w:p>
        </w:tc>
        <w:tc>
          <w:tcPr>
            <w:tcW w:w="567" w:type="dxa"/>
          </w:tcPr>
          <w:p w:rsidR="00D52871" w:rsidRPr="00FA4061" w:rsidRDefault="00D52871" w:rsidP="00840FFF">
            <w:pPr>
              <w:keepLines/>
              <w:jc w:val="center"/>
              <w:rPr>
                <w:b/>
                <w:i/>
              </w:rPr>
            </w:pPr>
            <w:r w:rsidRPr="00834630">
              <w:rPr>
                <w:b/>
                <w:i/>
              </w:rPr>
              <w:t>714</w:t>
            </w:r>
          </w:p>
        </w:tc>
        <w:tc>
          <w:tcPr>
            <w:tcW w:w="1134" w:type="dxa"/>
          </w:tcPr>
          <w:p w:rsidR="00D52871" w:rsidRPr="00FA4061" w:rsidRDefault="00D52871" w:rsidP="00840FFF">
            <w:pPr>
              <w:keepLines/>
              <w:jc w:val="center"/>
              <w:rPr>
                <w:b/>
                <w:i/>
              </w:rPr>
            </w:pPr>
            <w:r w:rsidRPr="00834630">
              <w:rPr>
                <w:rFonts w:ascii="TimesNewRoman" w:hAnsi="TimesNewRoman" w:cs="Arial"/>
                <w:b/>
                <w:i/>
              </w:rPr>
              <w:t>88.6% (85.6;91.0)</w:t>
            </w:r>
          </w:p>
        </w:tc>
      </w:tr>
      <w:tr w:rsidR="006066E9" w:rsidRPr="00FA4061" w:rsidTr="00D52871">
        <w:trPr>
          <w:cantSplit/>
          <w:trHeight w:val="20"/>
          <w:jc w:val="center"/>
        </w:trPr>
        <w:tc>
          <w:tcPr>
            <w:tcW w:w="5920" w:type="dxa"/>
            <w:gridSpan w:val="8"/>
          </w:tcPr>
          <w:p w:rsidR="00834630" w:rsidRPr="00834630" w:rsidRDefault="00834630" w:rsidP="00834630">
            <w:pPr>
              <w:spacing w:line="240" w:lineRule="auto"/>
              <w:rPr>
                <w:b/>
                <w:i/>
                <w:sz w:val="18"/>
                <w:szCs w:val="18"/>
              </w:rPr>
            </w:pPr>
            <w:r w:rsidRPr="00834630">
              <w:rPr>
                <w:b/>
                <w:i/>
                <w:sz w:val="18"/>
                <w:szCs w:val="18"/>
              </w:rPr>
              <w:t>N = number of subjects included in each group</w:t>
            </w:r>
          </w:p>
          <w:p w:rsidR="00834630" w:rsidRPr="00834630" w:rsidRDefault="00834630" w:rsidP="00834630">
            <w:pPr>
              <w:spacing w:line="240" w:lineRule="auto"/>
              <w:rPr>
                <w:b/>
                <w:i/>
                <w:sz w:val="18"/>
                <w:szCs w:val="18"/>
              </w:rPr>
            </w:pPr>
            <w:r w:rsidRPr="00834630">
              <w:rPr>
                <w:b/>
                <w:i/>
                <w:sz w:val="18"/>
                <w:szCs w:val="18"/>
              </w:rPr>
              <w:t>n = number of cases</w:t>
            </w:r>
          </w:p>
          <w:p w:rsidR="00834630" w:rsidRPr="00834630" w:rsidRDefault="00834630" w:rsidP="00834630">
            <w:pPr>
              <w:keepLines/>
              <w:spacing w:line="240" w:lineRule="auto"/>
              <w:rPr>
                <w:b/>
                <w:i/>
                <w:sz w:val="18"/>
                <w:szCs w:val="18"/>
              </w:rPr>
            </w:pPr>
            <w:r w:rsidRPr="00834630">
              <w:rPr>
                <w:b/>
                <w:i/>
                <w:sz w:val="18"/>
                <w:szCs w:val="18"/>
                <w:vertAlign w:val="superscript"/>
              </w:rPr>
              <w:t>(1)</w:t>
            </w:r>
            <w:r w:rsidRPr="00834630">
              <w:rPr>
                <w:b/>
                <w:i/>
                <w:sz w:val="18"/>
                <w:szCs w:val="18"/>
              </w:rPr>
              <w:tab/>
              <w:t>3 doses of vaccine, DNA negative and seronegative at month 0 and DNA negative at month 6 to the relevant HPV type (HPV-16 or HPV-18)</w:t>
            </w:r>
          </w:p>
          <w:p w:rsidR="00834630" w:rsidRPr="00834630" w:rsidRDefault="00834630" w:rsidP="00834630">
            <w:pPr>
              <w:keepLines/>
              <w:spacing w:line="240" w:lineRule="auto"/>
              <w:rPr>
                <w:b/>
                <w:i/>
                <w:snapToGrid w:val="0"/>
              </w:rPr>
            </w:pPr>
            <w:r w:rsidRPr="00834630">
              <w:rPr>
                <w:b/>
                <w:i/>
                <w:sz w:val="18"/>
                <w:szCs w:val="18"/>
                <w:vertAlign w:val="superscript"/>
              </w:rPr>
              <w:t>(2)</w:t>
            </w:r>
            <w:r w:rsidRPr="00834630">
              <w:rPr>
                <w:b/>
                <w:i/>
                <w:sz w:val="18"/>
                <w:szCs w:val="18"/>
              </w:rPr>
              <w:tab/>
              <w:t xml:space="preserve">at least </w:t>
            </w:r>
            <w:r w:rsidRPr="00834630">
              <w:rPr>
                <w:b/>
                <w:i/>
                <w:snapToGrid w:val="0"/>
                <w:sz w:val="18"/>
                <w:szCs w:val="18"/>
                <w:lang w:val="en-US"/>
              </w:rPr>
              <w:t xml:space="preserve">one dose of vaccine, </w:t>
            </w:r>
            <w:r w:rsidRPr="00834630">
              <w:rPr>
                <w:b/>
                <w:i/>
                <w:sz w:val="18"/>
                <w:szCs w:val="18"/>
              </w:rPr>
              <w:t>DNA negative and seronegative at month 0 to the relevant HPV type (HPV-16 or HPV-18)</w:t>
            </w:r>
          </w:p>
        </w:tc>
      </w:tr>
    </w:tbl>
    <w:p w:rsidR="009E668F" w:rsidRDefault="009E668F" w:rsidP="00224E37">
      <w:pPr>
        <w:spacing w:line="240" w:lineRule="auto"/>
        <w:rPr>
          <w:b/>
          <w:sz w:val="22"/>
          <w:szCs w:val="22"/>
        </w:rPr>
      </w:pPr>
    </w:p>
    <w:p w:rsidR="005B4EF3" w:rsidRDefault="005B4EF3" w:rsidP="00224E37">
      <w:pPr>
        <w:rPr>
          <w:rFonts w:ascii="Arial" w:hAnsi="Arial"/>
          <w:sz w:val="24"/>
          <w:szCs w:val="24"/>
        </w:rPr>
      </w:pPr>
      <w:r w:rsidRPr="00B26CEB">
        <w:rPr>
          <w:rFonts w:ascii="Arial" w:hAnsi="Arial"/>
          <w:sz w:val="24"/>
          <w:szCs w:val="24"/>
        </w:rPr>
        <w:t>At the event</w:t>
      </w:r>
      <w:r w:rsidR="00D11D5B">
        <w:rPr>
          <w:rFonts w:ascii="Arial" w:hAnsi="Arial"/>
          <w:sz w:val="24"/>
          <w:szCs w:val="24"/>
        </w:rPr>
        <w:t xml:space="preserve"> </w:t>
      </w:r>
      <w:r w:rsidRPr="00B26CEB">
        <w:rPr>
          <w:rFonts w:ascii="Arial" w:hAnsi="Arial"/>
          <w:sz w:val="24"/>
          <w:szCs w:val="24"/>
        </w:rPr>
        <w:t xml:space="preserve">triggered analysis the efficacy </w:t>
      </w:r>
      <w:r>
        <w:rPr>
          <w:rFonts w:ascii="Arial" w:hAnsi="Arial"/>
          <w:sz w:val="24"/>
          <w:szCs w:val="24"/>
        </w:rPr>
        <w:t xml:space="preserve">for the ATP cohort for the </w:t>
      </w:r>
      <w:r w:rsidRPr="00F04A5A">
        <w:rPr>
          <w:rFonts w:ascii="Arial" w:hAnsi="Arial"/>
          <w:sz w:val="24"/>
          <w:szCs w:val="24"/>
        </w:rPr>
        <w:t xml:space="preserve">HPV type assignment </w:t>
      </w:r>
      <w:r w:rsidRPr="00B26CEB">
        <w:rPr>
          <w:rFonts w:ascii="Arial" w:hAnsi="Arial"/>
          <w:sz w:val="24"/>
          <w:szCs w:val="24"/>
        </w:rPr>
        <w:t xml:space="preserve">was </w:t>
      </w:r>
      <w:r>
        <w:rPr>
          <w:rFonts w:ascii="Arial" w:hAnsi="Arial"/>
          <w:sz w:val="24"/>
          <w:szCs w:val="24"/>
        </w:rPr>
        <w:t>94.3</w:t>
      </w:r>
      <w:r w:rsidRPr="00B26CEB">
        <w:rPr>
          <w:rFonts w:ascii="Arial" w:hAnsi="Arial"/>
          <w:sz w:val="24"/>
          <w:szCs w:val="24"/>
        </w:rPr>
        <w:t>% (</w:t>
      </w:r>
      <w:r>
        <w:rPr>
          <w:rFonts w:ascii="Arial" w:hAnsi="Arial"/>
          <w:sz w:val="24"/>
          <w:szCs w:val="24"/>
        </w:rPr>
        <w:t>96.1</w:t>
      </w:r>
      <w:r w:rsidRPr="00B26CEB">
        <w:rPr>
          <w:rFonts w:ascii="Arial" w:hAnsi="Arial"/>
          <w:sz w:val="24"/>
          <w:szCs w:val="24"/>
        </w:rPr>
        <w:t>% CI</w:t>
      </w:r>
      <w:proofErr w:type="gramStart"/>
      <w:r w:rsidRPr="00B26CEB">
        <w:rPr>
          <w:rFonts w:ascii="Arial" w:hAnsi="Arial"/>
          <w:sz w:val="24"/>
          <w:szCs w:val="24"/>
        </w:rPr>
        <w:t>:</w:t>
      </w:r>
      <w:r>
        <w:rPr>
          <w:rFonts w:ascii="Arial" w:hAnsi="Arial"/>
          <w:sz w:val="24"/>
          <w:szCs w:val="24"/>
        </w:rPr>
        <w:t>91.5</w:t>
      </w:r>
      <w:proofErr w:type="gramEnd"/>
      <w:r w:rsidR="00611E9D">
        <w:rPr>
          <w:rFonts w:ascii="Arial" w:hAnsi="Arial"/>
          <w:sz w:val="24"/>
          <w:szCs w:val="24"/>
        </w:rPr>
        <w:t>;</w:t>
      </w:r>
      <w:r>
        <w:rPr>
          <w:rFonts w:ascii="Arial" w:hAnsi="Arial"/>
          <w:sz w:val="24"/>
          <w:szCs w:val="24"/>
        </w:rPr>
        <w:t>96.3</w:t>
      </w:r>
      <w:r w:rsidRPr="00B26CEB">
        <w:rPr>
          <w:rFonts w:ascii="Arial" w:hAnsi="Arial"/>
          <w:sz w:val="24"/>
          <w:szCs w:val="24"/>
        </w:rPr>
        <w:t xml:space="preserve">) against </w:t>
      </w:r>
      <w:r>
        <w:rPr>
          <w:rFonts w:ascii="Arial" w:hAnsi="Arial"/>
          <w:sz w:val="24"/>
          <w:szCs w:val="24"/>
        </w:rPr>
        <w:t>6 month persistent infection,</w:t>
      </w:r>
      <w:r w:rsidRPr="00B26CEB">
        <w:rPr>
          <w:rFonts w:ascii="Arial" w:hAnsi="Arial"/>
          <w:sz w:val="24"/>
          <w:szCs w:val="24"/>
        </w:rPr>
        <w:t xml:space="preserve"> </w:t>
      </w:r>
      <w:r>
        <w:rPr>
          <w:rFonts w:ascii="Arial" w:hAnsi="Arial"/>
          <w:sz w:val="24"/>
          <w:szCs w:val="24"/>
        </w:rPr>
        <w:t>91.4</w:t>
      </w:r>
      <w:r w:rsidRPr="00B26CEB">
        <w:rPr>
          <w:rFonts w:ascii="Arial" w:hAnsi="Arial"/>
          <w:sz w:val="24"/>
          <w:szCs w:val="24"/>
        </w:rPr>
        <w:t xml:space="preserve">% (96.1% CI: </w:t>
      </w:r>
      <w:r>
        <w:rPr>
          <w:rFonts w:ascii="Arial" w:hAnsi="Arial"/>
          <w:sz w:val="24"/>
          <w:szCs w:val="24"/>
        </w:rPr>
        <w:t>86.1</w:t>
      </w:r>
      <w:r w:rsidR="00611E9D">
        <w:rPr>
          <w:rFonts w:ascii="Arial" w:hAnsi="Arial"/>
          <w:sz w:val="24"/>
          <w:szCs w:val="24"/>
        </w:rPr>
        <w:t>;</w:t>
      </w:r>
      <w:r>
        <w:rPr>
          <w:rFonts w:ascii="Arial" w:hAnsi="Arial"/>
          <w:sz w:val="24"/>
          <w:szCs w:val="24"/>
        </w:rPr>
        <w:t>95.0</w:t>
      </w:r>
      <w:r w:rsidRPr="00B26CEB">
        <w:rPr>
          <w:rFonts w:ascii="Arial" w:hAnsi="Arial"/>
          <w:sz w:val="24"/>
          <w:szCs w:val="24"/>
        </w:rPr>
        <w:t>)</w:t>
      </w:r>
      <w:r>
        <w:rPr>
          <w:rFonts w:ascii="Arial" w:hAnsi="Arial"/>
          <w:sz w:val="24"/>
          <w:szCs w:val="24"/>
        </w:rPr>
        <w:t xml:space="preserve"> </w:t>
      </w:r>
      <w:r w:rsidRPr="00B26CEB">
        <w:rPr>
          <w:rFonts w:ascii="Arial" w:hAnsi="Arial"/>
          <w:sz w:val="24"/>
          <w:szCs w:val="24"/>
        </w:rPr>
        <w:t xml:space="preserve">against </w:t>
      </w:r>
      <w:r>
        <w:rPr>
          <w:rFonts w:ascii="Arial" w:hAnsi="Arial"/>
          <w:sz w:val="24"/>
          <w:szCs w:val="24"/>
        </w:rPr>
        <w:t>12 month persistent infection and 89.0% (96.1% CI: 84.9</w:t>
      </w:r>
      <w:r w:rsidR="00611E9D">
        <w:rPr>
          <w:rFonts w:ascii="Arial" w:hAnsi="Arial"/>
          <w:sz w:val="24"/>
          <w:szCs w:val="24"/>
        </w:rPr>
        <w:t>;</w:t>
      </w:r>
      <w:r>
        <w:rPr>
          <w:rFonts w:ascii="Arial" w:hAnsi="Arial"/>
          <w:sz w:val="24"/>
          <w:szCs w:val="24"/>
        </w:rPr>
        <w:t>92.1) for cytological abnormalities</w:t>
      </w:r>
      <w:r w:rsidRPr="00B26CEB">
        <w:rPr>
          <w:rFonts w:ascii="Arial" w:hAnsi="Arial"/>
          <w:sz w:val="24"/>
          <w:szCs w:val="24"/>
        </w:rPr>
        <w:t>.</w:t>
      </w:r>
    </w:p>
    <w:p w:rsidR="005B4EF3" w:rsidRDefault="005B4EF3" w:rsidP="00224E37">
      <w:pPr>
        <w:rPr>
          <w:rFonts w:ascii="Arial" w:hAnsi="Arial" w:cs="Arial"/>
          <w:sz w:val="24"/>
          <w:szCs w:val="24"/>
        </w:rPr>
      </w:pPr>
    </w:p>
    <w:p w:rsidR="00224E37" w:rsidRPr="00D57923" w:rsidRDefault="006066E9" w:rsidP="00224E37">
      <w:pPr>
        <w:rPr>
          <w:rFonts w:ascii="Arial" w:hAnsi="Arial" w:cs="Arial"/>
          <w:sz w:val="24"/>
          <w:szCs w:val="24"/>
        </w:rPr>
      </w:pPr>
      <w:r>
        <w:rPr>
          <w:rFonts w:ascii="Arial" w:hAnsi="Arial" w:cs="Arial"/>
          <w:sz w:val="24"/>
          <w:szCs w:val="24"/>
        </w:rPr>
        <w:lastRenderedPageBreak/>
        <w:t xml:space="preserve">At the </w:t>
      </w:r>
      <w:r w:rsidR="005B4EF3">
        <w:rPr>
          <w:rFonts w:ascii="Arial" w:hAnsi="Arial" w:cs="Arial"/>
          <w:sz w:val="24"/>
          <w:szCs w:val="24"/>
        </w:rPr>
        <w:t xml:space="preserve">event triggered </w:t>
      </w:r>
      <w:r>
        <w:rPr>
          <w:rFonts w:ascii="Arial" w:hAnsi="Arial" w:cs="Arial"/>
          <w:sz w:val="24"/>
          <w:szCs w:val="24"/>
        </w:rPr>
        <w:t>analysis, s</w:t>
      </w:r>
      <w:r w:rsidR="00224E37" w:rsidRPr="009B174F">
        <w:rPr>
          <w:rFonts w:ascii="Arial" w:hAnsi="Arial" w:cs="Arial"/>
          <w:sz w:val="24"/>
          <w:szCs w:val="24"/>
        </w:rPr>
        <w:t>tatistically significant vaccine efficacy against VIN1+ or VaIN1+ associated with HPV-16/18 was observed in the ATP cohort 80.0% (96.1% CI: 0.3;98.1)</w:t>
      </w:r>
      <w:r w:rsidR="005B4EF3">
        <w:rPr>
          <w:rFonts w:ascii="Arial" w:hAnsi="Arial" w:cs="Arial"/>
          <w:sz w:val="24"/>
          <w:szCs w:val="24"/>
        </w:rPr>
        <w:t>,</w:t>
      </w:r>
      <w:r w:rsidR="00224E37" w:rsidRPr="009B174F">
        <w:rPr>
          <w:rFonts w:ascii="Arial" w:hAnsi="Arial" w:cs="Arial"/>
          <w:sz w:val="24"/>
          <w:szCs w:val="24"/>
        </w:rPr>
        <w:t xml:space="preserve"> and in the TVC-1 cohort 83.2% (96.1% CI: 20.2;98.4).</w:t>
      </w:r>
      <w:r>
        <w:rPr>
          <w:rFonts w:ascii="Arial" w:hAnsi="Arial" w:cs="Arial"/>
          <w:sz w:val="24"/>
          <w:szCs w:val="24"/>
        </w:rPr>
        <w:t xml:space="preserve"> At the end of study analysis, vaccine efficacy against V</w:t>
      </w:r>
      <w:r w:rsidR="005B4EF3">
        <w:rPr>
          <w:rFonts w:ascii="Arial" w:hAnsi="Arial" w:cs="Arial"/>
          <w:sz w:val="24"/>
          <w:szCs w:val="24"/>
        </w:rPr>
        <w:t>I</w:t>
      </w:r>
      <w:r>
        <w:rPr>
          <w:rFonts w:ascii="Arial" w:hAnsi="Arial" w:cs="Arial"/>
          <w:sz w:val="24"/>
          <w:szCs w:val="24"/>
        </w:rPr>
        <w:t>N1+ or Va</w:t>
      </w:r>
      <w:r w:rsidR="005B4EF3">
        <w:rPr>
          <w:rFonts w:ascii="Arial" w:hAnsi="Arial" w:cs="Arial"/>
          <w:sz w:val="24"/>
          <w:szCs w:val="24"/>
        </w:rPr>
        <w:t>I</w:t>
      </w:r>
      <w:r>
        <w:rPr>
          <w:rFonts w:ascii="Arial" w:hAnsi="Arial" w:cs="Arial"/>
          <w:sz w:val="24"/>
          <w:szCs w:val="24"/>
        </w:rPr>
        <w:t>N1+ associated with HPV-16/18 was 75.1% (95%CI: 22.9</w:t>
      </w:r>
      <w:proofErr w:type="gramStart"/>
      <w:r>
        <w:rPr>
          <w:rFonts w:ascii="Arial" w:hAnsi="Arial" w:cs="Arial"/>
          <w:sz w:val="24"/>
          <w:szCs w:val="24"/>
        </w:rPr>
        <w:t>;94.0</w:t>
      </w:r>
      <w:proofErr w:type="gramEnd"/>
      <w:r>
        <w:rPr>
          <w:rFonts w:ascii="Arial" w:hAnsi="Arial" w:cs="Arial"/>
          <w:sz w:val="24"/>
          <w:szCs w:val="24"/>
        </w:rPr>
        <w:t xml:space="preserve">) in </w:t>
      </w:r>
      <w:r w:rsidR="005B4EF3">
        <w:rPr>
          <w:rFonts w:ascii="Arial" w:hAnsi="Arial" w:cs="Arial"/>
          <w:sz w:val="24"/>
          <w:szCs w:val="24"/>
        </w:rPr>
        <w:t xml:space="preserve">the </w:t>
      </w:r>
      <w:r>
        <w:rPr>
          <w:rFonts w:ascii="Arial" w:hAnsi="Arial" w:cs="Arial"/>
          <w:sz w:val="24"/>
          <w:szCs w:val="24"/>
        </w:rPr>
        <w:t xml:space="preserve">ATP cohort and 77.7% (95% CI: 32.4;94.5) in </w:t>
      </w:r>
      <w:r w:rsidR="005B4EF3">
        <w:rPr>
          <w:rFonts w:ascii="Arial" w:hAnsi="Arial" w:cs="Arial"/>
          <w:sz w:val="24"/>
          <w:szCs w:val="24"/>
        </w:rPr>
        <w:t xml:space="preserve">the </w:t>
      </w:r>
      <w:r>
        <w:rPr>
          <w:rFonts w:ascii="Arial" w:hAnsi="Arial" w:cs="Arial"/>
          <w:sz w:val="24"/>
          <w:szCs w:val="24"/>
        </w:rPr>
        <w:t>TVC-1 cohort</w:t>
      </w:r>
      <w:r w:rsidR="00142A46">
        <w:rPr>
          <w:rFonts w:ascii="Arial" w:hAnsi="Arial" w:cs="Arial"/>
          <w:sz w:val="24"/>
          <w:szCs w:val="24"/>
        </w:rPr>
        <w:t>.</w:t>
      </w:r>
    </w:p>
    <w:p w:rsidR="00F75F84" w:rsidRDefault="00F75F84" w:rsidP="00224E37">
      <w:pPr>
        <w:tabs>
          <w:tab w:val="left" w:pos="0"/>
        </w:tabs>
        <w:spacing w:line="360" w:lineRule="exact"/>
        <w:rPr>
          <w:rFonts w:ascii="Arial" w:hAnsi="Arial" w:cs="Arial"/>
          <w:sz w:val="24"/>
          <w:szCs w:val="24"/>
        </w:rPr>
      </w:pPr>
    </w:p>
    <w:p w:rsidR="00224E37" w:rsidRDefault="00224E37" w:rsidP="00224E37">
      <w:pPr>
        <w:tabs>
          <w:tab w:val="left" w:pos="0"/>
        </w:tabs>
        <w:spacing w:line="360" w:lineRule="exact"/>
        <w:rPr>
          <w:rFonts w:ascii="Arial" w:hAnsi="Arial" w:cs="Arial"/>
          <w:sz w:val="24"/>
          <w:szCs w:val="24"/>
        </w:rPr>
      </w:pPr>
      <w:r>
        <w:rPr>
          <w:rFonts w:ascii="Arial" w:hAnsi="Arial" w:cs="Arial"/>
          <w:sz w:val="24"/>
          <w:szCs w:val="24"/>
        </w:rPr>
        <w:t xml:space="preserve">There </w:t>
      </w:r>
      <w:r w:rsidRPr="009B174F">
        <w:rPr>
          <w:rFonts w:ascii="Arial" w:hAnsi="Arial" w:cs="Arial"/>
          <w:sz w:val="24"/>
          <w:szCs w:val="24"/>
        </w:rPr>
        <w:t xml:space="preserve">was no evidence of protection from disease caused by the HPV types for which subjects were HPV </w:t>
      </w:r>
      <w:smartTag w:uri="urn:schemas-microsoft-com:office:smarttags" w:element="stockticker">
        <w:r w:rsidRPr="009B174F">
          <w:rPr>
            <w:rFonts w:ascii="Arial" w:hAnsi="Arial" w:cs="Arial"/>
            <w:sz w:val="24"/>
            <w:szCs w:val="24"/>
          </w:rPr>
          <w:t>DNA</w:t>
        </w:r>
      </w:smartTag>
      <w:r w:rsidRPr="009B174F">
        <w:rPr>
          <w:rFonts w:ascii="Arial" w:hAnsi="Arial" w:cs="Arial"/>
          <w:sz w:val="24"/>
          <w:szCs w:val="24"/>
        </w:rPr>
        <w:t xml:space="preserve"> positive at study entry. However, individuals already infected with one of the vaccine-related HPV types prior to vaccination were protected from clinical disease caused by the other vaccine HPV type.</w:t>
      </w:r>
    </w:p>
    <w:p w:rsidR="00014864" w:rsidRPr="00F2256D" w:rsidRDefault="00014864">
      <w:pPr>
        <w:tabs>
          <w:tab w:val="left" w:pos="0"/>
        </w:tabs>
        <w:spacing w:line="360" w:lineRule="exact"/>
        <w:rPr>
          <w:rFonts w:ascii="Arial" w:hAnsi="Arial" w:cs="Arial"/>
          <w:b/>
          <w:sz w:val="24"/>
          <w:szCs w:val="24"/>
          <w:highlight w:val="yellow"/>
          <w:u w:val="single"/>
        </w:rPr>
      </w:pPr>
    </w:p>
    <w:p w:rsidR="00224E37" w:rsidRPr="00E93208" w:rsidRDefault="00224E37" w:rsidP="00224E37">
      <w:pPr>
        <w:spacing w:line="360" w:lineRule="exact"/>
        <w:rPr>
          <w:rFonts w:ascii="Arial" w:hAnsi="Arial"/>
          <w:i/>
          <w:strike/>
          <w:sz w:val="24"/>
          <w:szCs w:val="24"/>
          <w:highlight w:val="yellow"/>
          <w:u w:val="single"/>
        </w:rPr>
      </w:pPr>
      <w:r w:rsidRPr="00E93208">
        <w:rPr>
          <w:rFonts w:ascii="Arial" w:hAnsi="Arial" w:cs="Arial"/>
          <w:i/>
          <w:sz w:val="24"/>
          <w:szCs w:val="24"/>
          <w:u w:val="single"/>
        </w:rPr>
        <w:t>Prophylactic Efficacy against oncogenic HPV genotypes other than HPV-16 and HPV-18</w:t>
      </w:r>
      <w:r w:rsidRPr="00E93208">
        <w:rPr>
          <w:rFonts w:ascii="Arial" w:hAnsi="Arial"/>
          <w:i/>
          <w:strike/>
          <w:sz w:val="24"/>
          <w:szCs w:val="24"/>
          <w:u w:val="single"/>
        </w:rPr>
        <w:t xml:space="preserve"> </w:t>
      </w:r>
    </w:p>
    <w:p w:rsidR="00014864" w:rsidRDefault="00224E37" w:rsidP="00224E37">
      <w:pPr>
        <w:spacing w:line="360" w:lineRule="exact"/>
        <w:rPr>
          <w:rFonts w:ascii="Arial" w:hAnsi="Arial" w:cs="Arial"/>
          <w:bCs/>
          <w:sz w:val="24"/>
          <w:szCs w:val="24"/>
          <w:lang w:val="en-GB"/>
        </w:rPr>
      </w:pPr>
      <w:r w:rsidRPr="00F2256D">
        <w:rPr>
          <w:rFonts w:ascii="Arial" w:hAnsi="Arial" w:cs="Arial"/>
          <w:sz w:val="24"/>
          <w:szCs w:val="24"/>
        </w:rPr>
        <w:t>HPV-16 and HPV-18 are not responsible for all cervical cancers. Other oncogenic HPV types can also cause cervical cancer. Of these, HPV-45</w:t>
      </w:r>
      <w:r>
        <w:rPr>
          <w:rFonts w:ascii="Arial" w:hAnsi="Arial" w:cs="Arial"/>
          <w:sz w:val="24"/>
          <w:szCs w:val="24"/>
        </w:rPr>
        <w:t>,</w:t>
      </w:r>
      <w:r w:rsidRPr="00F2256D">
        <w:rPr>
          <w:rFonts w:ascii="Arial" w:hAnsi="Arial" w:cs="Arial"/>
          <w:sz w:val="24"/>
          <w:szCs w:val="24"/>
        </w:rPr>
        <w:t xml:space="preserve"> HPV-31</w:t>
      </w:r>
      <w:r w:rsidR="00611E9D">
        <w:rPr>
          <w:rFonts w:ascii="Arial" w:hAnsi="Arial" w:cs="Arial"/>
          <w:sz w:val="24"/>
          <w:szCs w:val="24"/>
        </w:rPr>
        <w:t>,</w:t>
      </w:r>
      <w:r>
        <w:rPr>
          <w:rFonts w:ascii="Arial" w:hAnsi="Arial" w:cs="Arial"/>
          <w:sz w:val="24"/>
          <w:szCs w:val="24"/>
        </w:rPr>
        <w:t xml:space="preserve"> HPV-33</w:t>
      </w:r>
      <w:r w:rsidR="00611E9D">
        <w:rPr>
          <w:rFonts w:ascii="Arial" w:hAnsi="Arial" w:cs="Arial"/>
          <w:sz w:val="24"/>
          <w:szCs w:val="24"/>
        </w:rPr>
        <w:t>, HPV-52 and HPV-58</w:t>
      </w:r>
      <w:r>
        <w:rPr>
          <w:rFonts w:ascii="Arial" w:hAnsi="Arial" w:cs="Arial"/>
          <w:sz w:val="24"/>
          <w:szCs w:val="24"/>
        </w:rPr>
        <w:t xml:space="preserve"> </w:t>
      </w:r>
      <w:r w:rsidRPr="00F2256D">
        <w:rPr>
          <w:rFonts w:ascii="Arial" w:hAnsi="Arial" w:cs="Arial"/>
          <w:sz w:val="24"/>
          <w:szCs w:val="24"/>
        </w:rPr>
        <w:t xml:space="preserve">are the next most prevalent types worldwide.  Study HPV-008 assessed persistent infection with the following oncogenic HPV types by </w:t>
      </w:r>
      <w:smartTag w:uri="urn:schemas-microsoft-com:office:smarttags" w:element="stockticker">
        <w:r w:rsidRPr="00F2256D">
          <w:rPr>
            <w:rFonts w:ascii="Arial" w:hAnsi="Arial" w:cs="Arial"/>
            <w:sz w:val="24"/>
            <w:szCs w:val="24"/>
          </w:rPr>
          <w:t>PCR</w:t>
        </w:r>
      </w:smartTag>
      <w:r w:rsidRPr="00F2256D">
        <w:rPr>
          <w:rFonts w:ascii="Arial" w:hAnsi="Arial" w:cs="Arial"/>
          <w:sz w:val="24"/>
          <w:szCs w:val="24"/>
        </w:rPr>
        <w:t xml:space="preserve">; HPV-16, 18, 31, 33, 35, 39, 45, 51, 52, 56, 58, 59, 66 and 68 as a secondary endpoint.  </w:t>
      </w:r>
      <w:r w:rsidRPr="00F2256D">
        <w:rPr>
          <w:rFonts w:ascii="Arial" w:hAnsi="Arial" w:cs="Arial"/>
          <w:bCs/>
          <w:sz w:val="24"/>
          <w:szCs w:val="24"/>
          <w:lang w:val="en-GB"/>
        </w:rPr>
        <w:t xml:space="preserve">Recent studies have shown </w:t>
      </w:r>
      <w:r>
        <w:rPr>
          <w:rFonts w:ascii="Arial" w:hAnsi="Arial" w:cs="Arial"/>
          <w:bCs/>
          <w:sz w:val="24"/>
          <w:szCs w:val="24"/>
          <w:lang w:val="en-GB"/>
        </w:rPr>
        <w:t xml:space="preserve">a </w:t>
      </w:r>
      <w:r w:rsidRPr="00F2256D">
        <w:rPr>
          <w:rFonts w:ascii="Arial" w:hAnsi="Arial" w:cs="Arial"/>
          <w:bCs/>
          <w:sz w:val="24"/>
          <w:szCs w:val="24"/>
          <w:lang w:val="en-GB"/>
        </w:rPr>
        <w:t>strong association between persistent infection with oncogenic HPV and high grade abnormalities (</w:t>
      </w:r>
      <w:smartTag w:uri="urn:schemas-microsoft-com:office:smarttags" w:element="stockticker">
        <w:r w:rsidRPr="00F2256D">
          <w:rPr>
            <w:rFonts w:ascii="Arial" w:hAnsi="Arial" w:cs="Arial"/>
            <w:bCs/>
            <w:sz w:val="24"/>
            <w:szCs w:val="24"/>
            <w:lang w:val="en-GB"/>
          </w:rPr>
          <w:t>CIN</w:t>
        </w:r>
      </w:smartTag>
      <w:r>
        <w:rPr>
          <w:rFonts w:ascii="Arial" w:hAnsi="Arial" w:cs="Arial"/>
          <w:bCs/>
          <w:sz w:val="24"/>
          <w:szCs w:val="24"/>
          <w:lang w:val="en-GB"/>
        </w:rPr>
        <w:t>2/</w:t>
      </w:r>
      <w:smartTag w:uri="urn:schemas-microsoft-com:office:smarttags" w:element="stockticker">
        <w:r w:rsidRPr="00F2256D">
          <w:rPr>
            <w:rFonts w:ascii="Arial" w:hAnsi="Arial" w:cs="Arial"/>
            <w:bCs/>
            <w:sz w:val="24"/>
            <w:szCs w:val="24"/>
            <w:lang w:val="en-GB"/>
          </w:rPr>
          <w:t>CIN</w:t>
        </w:r>
      </w:smartTag>
      <w:r w:rsidRPr="00F2256D">
        <w:rPr>
          <w:rFonts w:ascii="Arial" w:hAnsi="Arial" w:cs="Arial"/>
          <w:bCs/>
          <w:sz w:val="24"/>
          <w:szCs w:val="24"/>
          <w:lang w:val="en-GB"/>
        </w:rPr>
        <w:t>3).</w:t>
      </w:r>
    </w:p>
    <w:p w:rsidR="00224E37" w:rsidRPr="00671D56" w:rsidRDefault="00224E37" w:rsidP="00671D56">
      <w:pPr>
        <w:spacing w:line="240" w:lineRule="auto"/>
        <w:rPr>
          <w:rFonts w:ascii="Arial" w:hAnsi="Arial" w:cs="Arial"/>
          <w:snapToGrid w:val="0"/>
          <w:color w:val="000000"/>
        </w:rPr>
      </w:pPr>
    </w:p>
    <w:p w:rsidR="00224E37" w:rsidRPr="009B174F" w:rsidRDefault="00224E37" w:rsidP="00224E37">
      <w:pPr>
        <w:rPr>
          <w:rFonts w:ascii="Arial" w:hAnsi="Arial" w:cs="Arial"/>
          <w:sz w:val="24"/>
          <w:szCs w:val="24"/>
        </w:rPr>
      </w:pPr>
      <w:r>
        <w:rPr>
          <w:rFonts w:ascii="Arial" w:hAnsi="Arial" w:cs="Arial"/>
          <w:sz w:val="24"/>
          <w:szCs w:val="24"/>
        </w:rPr>
        <w:t>H</w:t>
      </w:r>
      <w:r w:rsidRPr="009B174F">
        <w:rPr>
          <w:rFonts w:ascii="Arial" w:hAnsi="Arial" w:cs="Arial"/>
          <w:sz w:val="24"/>
          <w:szCs w:val="24"/>
        </w:rPr>
        <w:t xml:space="preserve">igh levels of vaccine efficacy for both the virological and histopathological endpoints were also seen for oncogenic </w:t>
      </w:r>
      <w:r w:rsidR="00611E9D">
        <w:rPr>
          <w:rFonts w:ascii="Arial" w:hAnsi="Arial" w:cs="Arial"/>
          <w:sz w:val="24"/>
          <w:szCs w:val="24"/>
        </w:rPr>
        <w:t xml:space="preserve">HPV </w:t>
      </w:r>
      <w:r w:rsidRPr="009B174F">
        <w:rPr>
          <w:rFonts w:ascii="Arial" w:hAnsi="Arial" w:cs="Arial"/>
          <w:sz w:val="24"/>
          <w:szCs w:val="24"/>
        </w:rPr>
        <w:t>types</w:t>
      </w:r>
      <w:r w:rsidR="00611E9D">
        <w:rPr>
          <w:rFonts w:ascii="Arial" w:hAnsi="Arial" w:cs="Arial"/>
          <w:sz w:val="24"/>
          <w:szCs w:val="24"/>
        </w:rPr>
        <w:t xml:space="preserve"> other than </w:t>
      </w:r>
      <w:r w:rsidR="00611E9D" w:rsidRPr="00F2256D">
        <w:rPr>
          <w:rFonts w:ascii="Arial" w:hAnsi="Arial" w:cs="Arial"/>
          <w:sz w:val="24"/>
          <w:szCs w:val="24"/>
        </w:rPr>
        <w:t>HPV-16</w:t>
      </w:r>
      <w:r w:rsidR="00611E9D">
        <w:rPr>
          <w:rFonts w:ascii="Arial" w:hAnsi="Arial" w:cs="Arial"/>
          <w:sz w:val="24"/>
          <w:szCs w:val="24"/>
        </w:rPr>
        <w:t xml:space="preserve"> and HPV-</w:t>
      </w:r>
      <w:r w:rsidR="00611E9D" w:rsidRPr="00F2256D">
        <w:rPr>
          <w:rFonts w:ascii="Arial" w:hAnsi="Arial" w:cs="Arial"/>
          <w:sz w:val="24"/>
          <w:szCs w:val="24"/>
        </w:rPr>
        <w:t>18</w:t>
      </w:r>
      <w:r w:rsidRPr="009B174F">
        <w:rPr>
          <w:rFonts w:ascii="Arial" w:hAnsi="Arial" w:cs="Arial"/>
          <w:sz w:val="24"/>
          <w:szCs w:val="24"/>
        </w:rPr>
        <w:t xml:space="preserve">. </w:t>
      </w:r>
      <w:r w:rsidR="00611E9D">
        <w:rPr>
          <w:rFonts w:ascii="Arial" w:hAnsi="Arial" w:cs="Arial"/>
          <w:sz w:val="24"/>
          <w:szCs w:val="24"/>
        </w:rPr>
        <w:t xml:space="preserve"> </w:t>
      </w:r>
      <w:r w:rsidRPr="009B174F">
        <w:rPr>
          <w:rFonts w:ascii="Arial" w:hAnsi="Arial" w:cs="Arial"/>
          <w:sz w:val="24"/>
          <w:szCs w:val="24"/>
        </w:rPr>
        <w:t xml:space="preserve">The vaccine efficacy results for the various cohorts studied </w:t>
      </w:r>
      <w:r w:rsidR="007E1E88" w:rsidRPr="004A3035">
        <w:rPr>
          <w:rFonts w:ascii="Arial" w:hAnsi="Arial" w:cs="Arial"/>
          <w:sz w:val="24"/>
          <w:szCs w:val="24"/>
        </w:rPr>
        <w:t xml:space="preserve">for the </w:t>
      </w:r>
      <w:r w:rsidR="00170B59">
        <w:rPr>
          <w:rFonts w:ascii="Arial" w:hAnsi="Arial" w:cs="Arial"/>
          <w:sz w:val="24"/>
          <w:szCs w:val="24"/>
        </w:rPr>
        <w:t>three</w:t>
      </w:r>
      <w:r w:rsidR="00170B59" w:rsidRPr="004A3035">
        <w:rPr>
          <w:rFonts w:ascii="Arial" w:hAnsi="Arial" w:cs="Arial"/>
          <w:sz w:val="24"/>
          <w:szCs w:val="24"/>
        </w:rPr>
        <w:t xml:space="preserve"> </w:t>
      </w:r>
      <w:r w:rsidR="007E1E88" w:rsidRPr="004A3035">
        <w:rPr>
          <w:rFonts w:ascii="Arial" w:hAnsi="Arial" w:cs="Arial"/>
          <w:sz w:val="24"/>
          <w:szCs w:val="24"/>
        </w:rPr>
        <w:t>most prevalent</w:t>
      </w:r>
      <w:r w:rsidRPr="009B174F">
        <w:rPr>
          <w:rFonts w:ascii="Arial" w:hAnsi="Arial" w:cs="Arial"/>
          <w:sz w:val="24"/>
          <w:szCs w:val="24"/>
        </w:rPr>
        <w:t xml:space="preserve"> </w:t>
      </w:r>
      <w:r w:rsidR="00CE03F2">
        <w:rPr>
          <w:rFonts w:ascii="Arial" w:hAnsi="Arial" w:cs="Arial"/>
          <w:sz w:val="24"/>
          <w:szCs w:val="24"/>
        </w:rPr>
        <w:t xml:space="preserve">oncogenic </w:t>
      </w:r>
      <w:r w:rsidRPr="009B174F">
        <w:rPr>
          <w:rFonts w:ascii="Arial" w:hAnsi="Arial" w:cs="Arial"/>
          <w:sz w:val="24"/>
          <w:szCs w:val="24"/>
        </w:rPr>
        <w:t>HPV types after HPV types 16 and 18 are provided in Table 7.</w:t>
      </w:r>
    </w:p>
    <w:p w:rsidR="00224E37" w:rsidRDefault="00224E37" w:rsidP="00224E37">
      <w:pPr>
        <w:spacing w:line="360" w:lineRule="exact"/>
        <w:rPr>
          <w:strike/>
          <w:szCs w:val="24"/>
          <w:highlight w:val="yellow"/>
        </w:rPr>
      </w:pPr>
    </w:p>
    <w:p w:rsidR="00224E37" w:rsidRDefault="00410C29" w:rsidP="00224E37">
      <w:pPr>
        <w:spacing w:line="360" w:lineRule="exact"/>
        <w:rPr>
          <w:rFonts w:ascii="Times New Roman Bold" w:hAnsi="Times New Roman Bold"/>
          <w:b/>
          <w:sz w:val="22"/>
          <w:szCs w:val="22"/>
        </w:rPr>
      </w:pPr>
      <w:r w:rsidRPr="0075564F">
        <w:rPr>
          <w:rFonts w:ascii="Times New Roman Bold" w:hAnsi="Times New Roman Bold"/>
          <w:b/>
          <w:sz w:val="22"/>
          <w:szCs w:val="22"/>
        </w:rPr>
        <w:t xml:space="preserve">Table 7: Vaccine efficacy results </w:t>
      </w:r>
      <w:r w:rsidR="00D11D5B" w:rsidRPr="0075564F">
        <w:rPr>
          <w:rFonts w:ascii="Times New Roman Bold" w:hAnsi="Times New Roman Bold"/>
          <w:b/>
          <w:sz w:val="22"/>
          <w:szCs w:val="22"/>
        </w:rPr>
        <w:t xml:space="preserve">from </w:t>
      </w:r>
      <w:r w:rsidR="00D11D5B">
        <w:rPr>
          <w:rFonts w:ascii="Times New Roman Bold" w:hAnsi="Times New Roman Bold"/>
          <w:b/>
          <w:sz w:val="22"/>
          <w:szCs w:val="22"/>
        </w:rPr>
        <w:t xml:space="preserve">the end of study analysis </w:t>
      </w:r>
      <w:r w:rsidRPr="0075564F">
        <w:rPr>
          <w:rFonts w:ascii="Times New Roman Bold" w:hAnsi="Times New Roman Bold"/>
          <w:b/>
          <w:sz w:val="22"/>
          <w:szCs w:val="22"/>
        </w:rPr>
        <w:t>from Study HPV-008 against non-vaccine oncogenic HPV types</w:t>
      </w:r>
      <w:r w:rsidR="004F06E1" w:rsidRPr="0075564F">
        <w:rPr>
          <w:rFonts w:ascii="Times New Roman Bold" w:hAnsi="Times New Roman Bold"/>
          <w:b/>
          <w:sz w:val="22"/>
          <w:szCs w:val="22"/>
        </w:rPr>
        <w:t xml:space="preserve"> for</w:t>
      </w:r>
      <w:r w:rsidR="004F06E1">
        <w:rPr>
          <w:rFonts w:ascii="Times New Roman Bold" w:hAnsi="Times New Roman Bold"/>
          <w:b/>
          <w:sz w:val="22"/>
          <w:szCs w:val="22"/>
        </w:rPr>
        <w:t xml:space="preserve"> CIN2+ and 6 month persistent infection </w:t>
      </w:r>
    </w:p>
    <w:tbl>
      <w:tblPr>
        <w:tblW w:w="6507"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1373"/>
        <w:gridCol w:w="1373"/>
        <w:gridCol w:w="1373"/>
      </w:tblGrid>
      <w:tr w:rsidR="00FA2AF0" w:rsidRPr="00415443" w:rsidTr="004E2BF8">
        <w:trPr>
          <w:jc w:val="center"/>
        </w:trPr>
        <w:tc>
          <w:tcPr>
            <w:tcW w:w="2388" w:type="dxa"/>
            <w:vMerge w:val="restart"/>
          </w:tcPr>
          <w:p w:rsidR="00FA2AF0" w:rsidRPr="00415443" w:rsidRDefault="00FA2AF0" w:rsidP="00A767D7">
            <w:pPr>
              <w:spacing w:after="240" w:line="240" w:lineRule="auto"/>
              <w:rPr>
                <w:rFonts w:ascii="Arial" w:hAnsi="Arial" w:cs="Arial"/>
                <w:sz w:val="22"/>
                <w:szCs w:val="22"/>
              </w:rPr>
            </w:pPr>
          </w:p>
        </w:tc>
        <w:tc>
          <w:tcPr>
            <w:tcW w:w="4119" w:type="dxa"/>
            <w:gridSpan w:val="3"/>
          </w:tcPr>
          <w:p w:rsidR="00FA2AF0" w:rsidRDefault="00FA2AF0" w:rsidP="00A767D7">
            <w:pPr>
              <w:spacing w:line="240" w:lineRule="auto"/>
              <w:jc w:val="center"/>
              <w:rPr>
                <w:rFonts w:ascii="Arial" w:hAnsi="Arial" w:cs="Arial"/>
                <w:b/>
                <w:sz w:val="22"/>
                <w:szCs w:val="22"/>
              </w:rPr>
            </w:pPr>
            <w:r w:rsidRPr="00415443">
              <w:rPr>
                <w:rFonts w:ascii="Arial" w:hAnsi="Arial" w:cs="Arial"/>
                <w:b/>
                <w:sz w:val="22"/>
                <w:szCs w:val="22"/>
              </w:rPr>
              <w:t>Vaccine Efficacy (%)</w:t>
            </w:r>
          </w:p>
          <w:p w:rsidR="00FA2AF0" w:rsidRPr="00415443" w:rsidRDefault="00FA2AF0" w:rsidP="00A767D7">
            <w:pPr>
              <w:spacing w:line="240" w:lineRule="auto"/>
              <w:jc w:val="center"/>
              <w:rPr>
                <w:rFonts w:ascii="Arial" w:hAnsi="Arial" w:cs="Arial"/>
                <w:b/>
                <w:sz w:val="22"/>
                <w:szCs w:val="22"/>
              </w:rPr>
            </w:pPr>
            <w:r w:rsidRPr="00415443">
              <w:rPr>
                <w:rFonts w:ascii="Arial" w:hAnsi="Arial" w:cs="Arial"/>
                <w:b/>
                <w:sz w:val="22"/>
                <w:szCs w:val="22"/>
              </w:rPr>
              <w:t>9</w:t>
            </w:r>
            <w:r>
              <w:rPr>
                <w:rFonts w:ascii="Arial" w:hAnsi="Arial" w:cs="Arial"/>
                <w:b/>
                <w:sz w:val="22"/>
                <w:szCs w:val="22"/>
              </w:rPr>
              <w:t>5</w:t>
            </w:r>
            <w:r w:rsidRPr="00415443">
              <w:rPr>
                <w:rFonts w:ascii="Arial" w:hAnsi="Arial" w:cs="Arial"/>
                <w:b/>
                <w:sz w:val="22"/>
                <w:szCs w:val="22"/>
              </w:rPr>
              <w:t>% CI</w:t>
            </w:r>
          </w:p>
        </w:tc>
      </w:tr>
      <w:tr w:rsidR="00FA2AF0" w:rsidRPr="00415443" w:rsidTr="004E2BF8">
        <w:trPr>
          <w:jc w:val="center"/>
        </w:trPr>
        <w:tc>
          <w:tcPr>
            <w:tcW w:w="2388" w:type="dxa"/>
            <w:vMerge/>
          </w:tcPr>
          <w:p w:rsidR="00FA2AF0" w:rsidRPr="00415443" w:rsidRDefault="00FA2AF0" w:rsidP="00A767D7">
            <w:pPr>
              <w:spacing w:after="240" w:line="240" w:lineRule="auto"/>
              <w:rPr>
                <w:rFonts w:ascii="Arial" w:hAnsi="Arial" w:cs="Arial"/>
                <w:sz w:val="22"/>
                <w:szCs w:val="22"/>
              </w:rPr>
            </w:pPr>
          </w:p>
        </w:tc>
        <w:tc>
          <w:tcPr>
            <w:tcW w:w="4119" w:type="dxa"/>
            <w:gridSpan w:val="3"/>
          </w:tcPr>
          <w:p w:rsidR="00FA2AF0" w:rsidRPr="00415443" w:rsidRDefault="00FA2AF0" w:rsidP="00A767D7">
            <w:pPr>
              <w:spacing w:line="240" w:lineRule="auto"/>
              <w:jc w:val="center"/>
              <w:rPr>
                <w:rFonts w:ascii="Arial" w:hAnsi="Arial" w:cs="Arial"/>
                <w:b/>
                <w:sz w:val="22"/>
                <w:szCs w:val="22"/>
              </w:rPr>
            </w:pPr>
            <w:r>
              <w:rPr>
                <w:rFonts w:ascii="Arial" w:hAnsi="Arial" w:cs="Arial"/>
                <w:b/>
                <w:sz w:val="22"/>
                <w:szCs w:val="22"/>
              </w:rPr>
              <w:t>HPV Type</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sz w:val="22"/>
                <w:szCs w:val="22"/>
              </w:rPr>
            </w:pPr>
          </w:p>
        </w:tc>
        <w:tc>
          <w:tcPr>
            <w:tcW w:w="1373" w:type="dxa"/>
          </w:tcPr>
          <w:p w:rsidR="00FA2AF0" w:rsidRPr="00415443" w:rsidRDefault="00FA2AF0" w:rsidP="00A767D7">
            <w:pPr>
              <w:spacing w:line="240" w:lineRule="auto"/>
              <w:jc w:val="center"/>
              <w:rPr>
                <w:rFonts w:ascii="Arial" w:hAnsi="Arial" w:cs="Arial"/>
                <w:b/>
                <w:sz w:val="22"/>
                <w:szCs w:val="22"/>
              </w:rPr>
            </w:pPr>
            <w:r w:rsidRPr="00415443">
              <w:rPr>
                <w:rFonts w:ascii="Arial" w:hAnsi="Arial" w:cs="Arial"/>
                <w:b/>
                <w:sz w:val="22"/>
                <w:szCs w:val="22"/>
              </w:rPr>
              <w:t>HPV</w:t>
            </w:r>
            <w:r>
              <w:rPr>
                <w:rFonts w:ascii="Arial" w:hAnsi="Arial" w:cs="Arial"/>
                <w:b/>
                <w:sz w:val="22"/>
                <w:szCs w:val="22"/>
              </w:rPr>
              <w:t>-</w:t>
            </w:r>
            <w:r w:rsidRPr="00415443">
              <w:rPr>
                <w:rFonts w:ascii="Arial" w:hAnsi="Arial" w:cs="Arial"/>
                <w:b/>
                <w:sz w:val="22"/>
                <w:szCs w:val="22"/>
              </w:rPr>
              <w:t>31</w:t>
            </w:r>
          </w:p>
        </w:tc>
        <w:tc>
          <w:tcPr>
            <w:tcW w:w="1373" w:type="dxa"/>
          </w:tcPr>
          <w:p w:rsidR="00FA2AF0" w:rsidRPr="00415443" w:rsidRDefault="00FA2AF0" w:rsidP="00A767D7">
            <w:pPr>
              <w:spacing w:line="240" w:lineRule="auto"/>
              <w:jc w:val="center"/>
              <w:rPr>
                <w:rFonts w:ascii="Arial" w:hAnsi="Arial" w:cs="Arial"/>
                <w:b/>
                <w:sz w:val="22"/>
                <w:szCs w:val="22"/>
              </w:rPr>
            </w:pPr>
            <w:r w:rsidRPr="00415443">
              <w:rPr>
                <w:rFonts w:ascii="Arial" w:hAnsi="Arial" w:cs="Arial"/>
                <w:b/>
                <w:sz w:val="22"/>
                <w:szCs w:val="22"/>
              </w:rPr>
              <w:t>HPV</w:t>
            </w:r>
            <w:r>
              <w:rPr>
                <w:rFonts w:ascii="Arial" w:hAnsi="Arial" w:cs="Arial"/>
                <w:b/>
                <w:sz w:val="22"/>
                <w:szCs w:val="22"/>
              </w:rPr>
              <w:t>-</w:t>
            </w:r>
            <w:r w:rsidRPr="00415443">
              <w:rPr>
                <w:rFonts w:ascii="Arial" w:hAnsi="Arial" w:cs="Arial"/>
                <w:b/>
                <w:sz w:val="22"/>
                <w:szCs w:val="22"/>
              </w:rPr>
              <w:t>33</w:t>
            </w:r>
          </w:p>
        </w:tc>
        <w:tc>
          <w:tcPr>
            <w:tcW w:w="1373" w:type="dxa"/>
          </w:tcPr>
          <w:p w:rsidR="00FA2AF0" w:rsidRPr="00415443" w:rsidRDefault="00FA2AF0" w:rsidP="00A767D7">
            <w:pPr>
              <w:spacing w:line="240" w:lineRule="auto"/>
              <w:jc w:val="center"/>
              <w:rPr>
                <w:rFonts w:ascii="Arial" w:hAnsi="Arial" w:cs="Arial"/>
                <w:b/>
                <w:sz w:val="22"/>
                <w:szCs w:val="22"/>
              </w:rPr>
            </w:pPr>
            <w:r w:rsidRPr="00415443">
              <w:rPr>
                <w:rFonts w:ascii="Arial" w:hAnsi="Arial" w:cs="Arial"/>
                <w:b/>
                <w:sz w:val="22"/>
                <w:szCs w:val="22"/>
              </w:rPr>
              <w:t>HPV</w:t>
            </w:r>
            <w:r>
              <w:rPr>
                <w:rFonts w:ascii="Arial" w:hAnsi="Arial" w:cs="Arial"/>
                <w:b/>
                <w:sz w:val="22"/>
                <w:szCs w:val="22"/>
              </w:rPr>
              <w:t>-</w:t>
            </w:r>
            <w:r w:rsidRPr="00415443">
              <w:rPr>
                <w:rFonts w:ascii="Arial" w:hAnsi="Arial" w:cs="Arial"/>
                <w:b/>
                <w:sz w:val="22"/>
                <w:szCs w:val="22"/>
              </w:rPr>
              <w:t>45</w:t>
            </w:r>
          </w:p>
        </w:tc>
      </w:tr>
      <w:tr w:rsidR="00FA2AF0" w:rsidRPr="00415443" w:rsidTr="004E2BF8">
        <w:trPr>
          <w:jc w:val="center"/>
        </w:trPr>
        <w:tc>
          <w:tcPr>
            <w:tcW w:w="6507" w:type="dxa"/>
            <w:gridSpan w:val="4"/>
          </w:tcPr>
          <w:p w:rsidR="00FA2AF0" w:rsidRPr="00415443" w:rsidRDefault="00FA2AF0" w:rsidP="00A767D7">
            <w:pPr>
              <w:spacing w:line="240" w:lineRule="auto"/>
              <w:jc w:val="left"/>
              <w:rPr>
                <w:rFonts w:ascii="Arial" w:hAnsi="Arial" w:cs="Arial"/>
                <w:sz w:val="22"/>
                <w:szCs w:val="22"/>
              </w:rPr>
            </w:pPr>
            <w:smartTag w:uri="urn:schemas-microsoft-com:office:smarttags" w:element="stockticker">
              <w:r w:rsidRPr="00415443">
                <w:rPr>
                  <w:rFonts w:ascii="Arial" w:hAnsi="Arial" w:cs="Arial"/>
                  <w:b/>
                  <w:sz w:val="22"/>
                  <w:szCs w:val="22"/>
                </w:rPr>
                <w:t>CIN</w:t>
              </w:r>
            </w:smartTag>
            <w:r w:rsidRPr="00415443">
              <w:rPr>
                <w:rFonts w:ascii="Arial" w:hAnsi="Arial" w:cs="Arial"/>
                <w:b/>
                <w:sz w:val="22"/>
                <w:szCs w:val="22"/>
              </w:rPr>
              <w:t>2+</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 xml:space="preserve">ATP </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87.5</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68.3;96.1</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68.3</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39.7;84.4</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81.9</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17.0;98.1</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TVC1</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71.0</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47.8;84.9</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64.5</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37.2;80.9</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84.6</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32.0;98.3</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TVC naive</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89.4</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65.5;97.9</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82.3</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53.4;94.7</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100</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41.7;100</w:t>
            </w:r>
          </w:p>
        </w:tc>
      </w:tr>
      <w:tr w:rsidR="00FA2AF0" w:rsidRPr="00415443" w:rsidTr="004E2BF8">
        <w:trPr>
          <w:jc w:val="center"/>
        </w:trPr>
        <w:tc>
          <w:tcPr>
            <w:tcW w:w="6507" w:type="dxa"/>
            <w:gridSpan w:val="4"/>
          </w:tcPr>
          <w:p w:rsidR="00FA2AF0" w:rsidRPr="00415443" w:rsidRDefault="00FA2AF0" w:rsidP="00A767D7">
            <w:pPr>
              <w:spacing w:line="240" w:lineRule="auto"/>
              <w:jc w:val="left"/>
              <w:rPr>
                <w:rFonts w:ascii="Arial" w:hAnsi="Arial" w:cs="Arial"/>
                <w:sz w:val="22"/>
                <w:szCs w:val="22"/>
              </w:rPr>
            </w:pPr>
            <w:r>
              <w:rPr>
                <w:rFonts w:ascii="Arial" w:hAnsi="Arial" w:cs="Arial"/>
                <w:b/>
                <w:sz w:val="22"/>
                <w:szCs w:val="22"/>
              </w:rPr>
              <w:t>6 month p</w:t>
            </w:r>
            <w:r w:rsidRPr="00415443">
              <w:rPr>
                <w:rFonts w:ascii="Arial" w:hAnsi="Arial" w:cs="Arial"/>
                <w:b/>
                <w:sz w:val="22"/>
                <w:szCs w:val="22"/>
              </w:rPr>
              <w:t>ersistent infection</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 xml:space="preserve">ATP </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76.8</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69.0;82.9</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44.8</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14.6;59.9</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73.6</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58.1;83.9</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TVC1</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66.7</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58.5;73.5</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42.0</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24.8;55.7</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69.7</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55.6;79.7</w:t>
            </w:r>
          </w:p>
        </w:tc>
      </w:tr>
      <w:tr w:rsidR="00FA2AF0" w:rsidRPr="00415443" w:rsidTr="004E2BF8">
        <w:trPr>
          <w:jc w:val="center"/>
        </w:trPr>
        <w:tc>
          <w:tcPr>
            <w:tcW w:w="2388" w:type="dxa"/>
          </w:tcPr>
          <w:p w:rsidR="00FA2AF0" w:rsidRPr="00415443" w:rsidRDefault="00FA2AF0" w:rsidP="00A767D7">
            <w:pPr>
              <w:spacing w:line="240" w:lineRule="auto"/>
              <w:rPr>
                <w:rFonts w:ascii="Arial" w:hAnsi="Arial" w:cs="Arial"/>
                <w:i/>
                <w:sz w:val="22"/>
                <w:szCs w:val="22"/>
              </w:rPr>
            </w:pPr>
            <w:r w:rsidRPr="00415443">
              <w:rPr>
                <w:rFonts w:ascii="Arial" w:hAnsi="Arial" w:cs="Arial"/>
                <w:i/>
                <w:sz w:val="22"/>
                <w:szCs w:val="22"/>
              </w:rPr>
              <w:t>TVC naive</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77.1</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67.2;84.4</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43.1</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19.3;60.2</w:t>
            </w:r>
          </w:p>
        </w:tc>
        <w:tc>
          <w:tcPr>
            <w:tcW w:w="1373" w:type="dxa"/>
          </w:tcPr>
          <w:p w:rsidR="00FA2AF0" w:rsidRDefault="00FA2AF0" w:rsidP="00A767D7">
            <w:pPr>
              <w:spacing w:line="240" w:lineRule="auto"/>
              <w:jc w:val="center"/>
              <w:rPr>
                <w:rFonts w:ascii="Arial" w:hAnsi="Arial" w:cs="Arial"/>
                <w:sz w:val="22"/>
                <w:szCs w:val="22"/>
              </w:rPr>
            </w:pPr>
            <w:r>
              <w:rPr>
                <w:rFonts w:ascii="Arial" w:hAnsi="Arial" w:cs="Arial"/>
                <w:sz w:val="22"/>
                <w:szCs w:val="22"/>
              </w:rPr>
              <w:t>79.0</w:t>
            </w:r>
          </w:p>
          <w:p w:rsidR="00FA2AF0" w:rsidRPr="00415443" w:rsidRDefault="00FA2AF0" w:rsidP="00A767D7">
            <w:pPr>
              <w:spacing w:line="240" w:lineRule="auto"/>
              <w:jc w:val="center"/>
              <w:rPr>
                <w:rFonts w:ascii="Arial" w:hAnsi="Arial" w:cs="Arial"/>
                <w:sz w:val="22"/>
                <w:szCs w:val="22"/>
              </w:rPr>
            </w:pPr>
            <w:r>
              <w:rPr>
                <w:rFonts w:ascii="Arial" w:hAnsi="Arial" w:cs="Arial"/>
                <w:sz w:val="22"/>
                <w:szCs w:val="22"/>
              </w:rPr>
              <w:t>61.3;89.4</w:t>
            </w:r>
          </w:p>
        </w:tc>
      </w:tr>
    </w:tbl>
    <w:p w:rsidR="004E2BF8" w:rsidRDefault="004E2BF8" w:rsidP="00E30B93">
      <w:pPr>
        <w:rPr>
          <w:rFonts w:ascii="Arial" w:hAnsi="Arial" w:cs="Arial"/>
          <w:sz w:val="24"/>
          <w:szCs w:val="24"/>
        </w:rPr>
      </w:pPr>
    </w:p>
    <w:p w:rsidR="00E30B93" w:rsidRDefault="00834630" w:rsidP="00E30B93">
      <w:pPr>
        <w:rPr>
          <w:rFonts w:ascii="Arial" w:hAnsi="Arial" w:cs="Arial"/>
          <w:color w:val="000000"/>
          <w:sz w:val="24"/>
          <w:szCs w:val="24"/>
        </w:rPr>
      </w:pPr>
      <w:r w:rsidRPr="00834630">
        <w:rPr>
          <w:rFonts w:ascii="Arial" w:hAnsi="Arial" w:cs="Arial"/>
          <w:sz w:val="24"/>
          <w:szCs w:val="24"/>
        </w:rPr>
        <w:t xml:space="preserve">At the </w:t>
      </w:r>
      <w:r w:rsidR="00CE03F2">
        <w:rPr>
          <w:rFonts w:ascii="Arial" w:hAnsi="Arial" w:cs="Arial"/>
          <w:sz w:val="24"/>
          <w:szCs w:val="24"/>
        </w:rPr>
        <w:t>event triggered</w:t>
      </w:r>
      <w:r w:rsidRPr="00834630">
        <w:rPr>
          <w:rFonts w:ascii="Arial" w:hAnsi="Arial" w:cs="Arial"/>
          <w:sz w:val="24"/>
          <w:szCs w:val="24"/>
        </w:rPr>
        <w:t xml:space="preserve"> analysis,</w:t>
      </w:r>
      <w:r w:rsidRPr="00834630">
        <w:rPr>
          <w:rFonts w:ascii="Arial" w:hAnsi="Arial" w:cs="Arial"/>
          <w:b/>
          <w:i/>
          <w:sz w:val="24"/>
          <w:szCs w:val="24"/>
        </w:rPr>
        <w:t xml:space="preserve"> </w:t>
      </w:r>
      <w:r w:rsidRPr="00834630">
        <w:rPr>
          <w:rFonts w:ascii="Arial" w:hAnsi="Arial" w:cs="Arial"/>
          <w:sz w:val="24"/>
          <w:szCs w:val="24"/>
        </w:rPr>
        <w:t>s</w:t>
      </w:r>
      <w:r w:rsidRPr="00834630">
        <w:rPr>
          <w:rFonts w:ascii="Arial" w:hAnsi="Arial" w:cs="Arial"/>
          <w:color w:val="000000"/>
          <w:sz w:val="24"/>
          <w:szCs w:val="24"/>
        </w:rPr>
        <w:t xml:space="preserve">tatistically significant vaccine efficacy against 6-month persistent infection </w:t>
      </w:r>
      <w:r w:rsidR="00CE03F2">
        <w:rPr>
          <w:rFonts w:ascii="Arial" w:hAnsi="Arial" w:cs="Arial"/>
          <w:color w:val="000000"/>
          <w:sz w:val="24"/>
          <w:szCs w:val="24"/>
        </w:rPr>
        <w:t>w</w:t>
      </w:r>
      <w:r w:rsidRPr="00834630">
        <w:rPr>
          <w:rFonts w:ascii="Arial" w:hAnsi="Arial" w:cs="Arial"/>
          <w:color w:val="000000"/>
          <w:sz w:val="24"/>
          <w:szCs w:val="24"/>
        </w:rPr>
        <w:t xml:space="preserve">as observed for HPV types 31, 33 and 45 in the ATP cohort and for HPV types 31, 33, 45 and 51 in the TVC-1 cohort. Statistically significant vaccine efficacy against CIN2+ </w:t>
      </w:r>
      <w:r w:rsidR="00CE03F2">
        <w:rPr>
          <w:rFonts w:ascii="Arial" w:hAnsi="Arial" w:cs="Arial"/>
          <w:color w:val="000000"/>
          <w:sz w:val="24"/>
          <w:szCs w:val="24"/>
        </w:rPr>
        <w:t>w</w:t>
      </w:r>
      <w:r w:rsidRPr="00834630">
        <w:rPr>
          <w:rFonts w:ascii="Arial" w:hAnsi="Arial" w:cs="Arial"/>
          <w:color w:val="000000"/>
          <w:sz w:val="24"/>
          <w:szCs w:val="24"/>
        </w:rPr>
        <w:t xml:space="preserve">as observed for HPV types 31, 51 and 58 in the ATP cohort and for HPV types 31, 33, 35 and 51 in the TVC-1 cohort. </w:t>
      </w:r>
    </w:p>
    <w:p w:rsidR="00E30B93" w:rsidRPr="00E30B93" w:rsidRDefault="00E30B93" w:rsidP="00E30B93">
      <w:pPr>
        <w:rPr>
          <w:rFonts w:ascii="Arial" w:hAnsi="Arial" w:cs="Arial"/>
          <w:color w:val="000000"/>
          <w:sz w:val="24"/>
          <w:szCs w:val="24"/>
        </w:rPr>
      </w:pPr>
    </w:p>
    <w:p w:rsidR="00E30B93" w:rsidRPr="00E30B93" w:rsidRDefault="00834630" w:rsidP="00E30B93">
      <w:pPr>
        <w:rPr>
          <w:rFonts w:ascii="Arial" w:hAnsi="Arial" w:cs="Arial"/>
          <w:sz w:val="24"/>
          <w:szCs w:val="24"/>
        </w:rPr>
      </w:pPr>
      <w:r w:rsidRPr="00834630">
        <w:rPr>
          <w:rFonts w:ascii="Arial" w:hAnsi="Arial" w:cs="Arial"/>
          <w:sz w:val="24"/>
          <w:szCs w:val="24"/>
        </w:rPr>
        <w:t xml:space="preserve">At the end of study analysis, </w:t>
      </w:r>
      <w:r w:rsidR="004C2E92" w:rsidRPr="00B60441">
        <w:rPr>
          <w:rFonts w:ascii="Arial" w:hAnsi="Arial" w:cs="Arial"/>
          <w:sz w:val="24"/>
          <w:szCs w:val="24"/>
        </w:rPr>
        <w:t>s</w:t>
      </w:r>
      <w:r w:rsidR="004C2E92" w:rsidRPr="00B60441">
        <w:rPr>
          <w:rFonts w:ascii="Arial" w:hAnsi="Arial" w:cs="Arial"/>
          <w:color w:val="000000"/>
          <w:sz w:val="24"/>
          <w:szCs w:val="24"/>
        </w:rPr>
        <w:t xml:space="preserve">tatistically significant vaccine efficacy </w:t>
      </w:r>
      <w:r w:rsidR="000505AF">
        <w:rPr>
          <w:rFonts w:ascii="Arial" w:hAnsi="Arial" w:cs="Arial"/>
          <w:sz w:val="24"/>
          <w:szCs w:val="24"/>
        </w:rPr>
        <w:t>w</w:t>
      </w:r>
      <w:r w:rsidRPr="00834630">
        <w:rPr>
          <w:rFonts w:ascii="Arial" w:hAnsi="Arial" w:cs="Arial"/>
          <w:sz w:val="24"/>
          <w:szCs w:val="24"/>
        </w:rPr>
        <w:t>as observed for HPV types 31, 33, 45 and 51 for both 6 month persistent infection and CIN2+</w:t>
      </w:r>
      <w:r w:rsidR="009B0A97">
        <w:rPr>
          <w:rFonts w:ascii="Arial" w:hAnsi="Arial" w:cs="Arial"/>
          <w:sz w:val="24"/>
          <w:szCs w:val="24"/>
        </w:rPr>
        <w:t xml:space="preserve"> </w:t>
      </w:r>
      <w:r w:rsidRPr="00834630">
        <w:rPr>
          <w:rFonts w:ascii="Arial" w:hAnsi="Arial" w:cs="Arial"/>
          <w:sz w:val="24"/>
          <w:szCs w:val="24"/>
        </w:rPr>
        <w:t xml:space="preserve">in the ATP and TVC-1 cohorts. </w:t>
      </w:r>
      <w:r w:rsidR="004C2E92">
        <w:rPr>
          <w:rFonts w:ascii="Arial" w:hAnsi="Arial" w:cs="Arial"/>
          <w:sz w:val="24"/>
          <w:szCs w:val="24"/>
        </w:rPr>
        <w:t xml:space="preserve"> </w:t>
      </w:r>
      <w:r w:rsidRPr="00834630">
        <w:rPr>
          <w:rFonts w:ascii="Arial" w:hAnsi="Arial" w:cs="Arial"/>
          <w:sz w:val="24"/>
          <w:szCs w:val="24"/>
        </w:rPr>
        <w:t xml:space="preserve">For CIN2+, </w:t>
      </w:r>
      <w:r w:rsidR="004C2E92" w:rsidRPr="00B60441">
        <w:rPr>
          <w:rFonts w:ascii="Arial" w:hAnsi="Arial" w:cs="Arial"/>
          <w:sz w:val="24"/>
          <w:szCs w:val="24"/>
        </w:rPr>
        <w:t>s</w:t>
      </w:r>
      <w:r w:rsidR="004C2E92" w:rsidRPr="00B60441">
        <w:rPr>
          <w:rFonts w:ascii="Arial" w:hAnsi="Arial" w:cs="Arial"/>
          <w:color w:val="000000"/>
          <w:sz w:val="24"/>
          <w:szCs w:val="24"/>
        </w:rPr>
        <w:t xml:space="preserve">tatistically significant vaccine efficacy </w:t>
      </w:r>
      <w:r w:rsidR="000505AF">
        <w:rPr>
          <w:rFonts w:ascii="Arial" w:hAnsi="Arial" w:cs="Arial"/>
          <w:sz w:val="24"/>
          <w:szCs w:val="24"/>
        </w:rPr>
        <w:t>w</w:t>
      </w:r>
      <w:r w:rsidRPr="00834630">
        <w:rPr>
          <w:rFonts w:ascii="Arial" w:hAnsi="Arial" w:cs="Arial"/>
          <w:sz w:val="24"/>
          <w:szCs w:val="24"/>
        </w:rPr>
        <w:t>as observed for HPV type 39 in the ATP cohort and HPV type 66 in the TVC-1 cohort.</w:t>
      </w:r>
    </w:p>
    <w:p w:rsidR="00224E37" w:rsidRPr="00A30E12" w:rsidRDefault="00224E37" w:rsidP="00224E37">
      <w:pPr>
        <w:spacing w:line="360" w:lineRule="exact"/>
        <w:rPr>
          <w:rFonts w:ascii="Arial" w:hAnsi="Arial" w:cs="Arial"/>
          <w:sz w:val="24"/>
          <w:szCs w:val="24"/>
        </w:rPr>
      </w:pPr>
    </w:p>
    <w:p w:rsidR="00224E37" w:rsidRPr="009B174F" w:rsidRDefault="00224E37" w:rsidP="00224E37">
      <w:pPr>
        <w:rPr>
          <w:rFonts w:ascii="Arial" w:hAnsi="Arial" w:cs="Arial"/>
          <w:snapToGrid w:val="0"/>
          <w:sz w:val="24"/>
          <w:szCs w:val="24"/>
          <w:lang w:val="en-US"/>
        </w:rPr>
      </w:pPr>
      <w:r w:rsidRPr="009B174F">
        <w:rPr>
          <w:rFonts w:ascii="Arial" w:hAnsi="Arial" w:cs="Arial"/>
          <w:snapToGrid w:val="0"/>
          <w:sz w:val="24"/>
          <w:szCs w:val="24"/>
          <w:lang w:val="en-US"/>
        </w:rPr>
        <w:t xml:space="preserve">The results for vaccine efficacy against the </w:t>
      </w:r>
      <w:proofErr w:type="spellStart"/>
      <w:r w:rsidRPr="009B174F">
        <w:rPr>
          <w:rFonts w:ascii="Arial" w:hAnsi="Arial" w:cs="Arial"/>
          <w:snapToGrid w:val="0"/>
          <w:sz w:val="24"/>
          <w:szCs w:val="24"/>
          <w:lang w:val="en-US"/>
        </w:rPr>
        <w:t>virological</w:t>
      </w:r>
      <w:proofErr w:type="spellEnd"/>
      <w:r w:rsidRPr="009B174F">
        <w:rPr>
          <w:rFonts w:ascii="Arial" w:hAnsi="Arial" w:cs="Arial"/>
          <w:snapToGrid w:val="0"/>
          <w:sz w:val="24"/>
          <w:szCs w:val="24"/>
          <w:lang w:val="en-US"/>
        </w:rPr>
        <w:t xml:space="preserve"> and histopathological endpoints were statistically </w:t>
      </w:r>
      <w:r w:rsidRPr="00F87C8A">
        <w:rPr>
          <w:rFonts w:ascii="Arial" w:hAnsi="Arial" w:cs="Arial"/>
          <w:snapToGrid w:val="0"/>
          <w:sz w:val="24"/>
          <w:szCs w:val="24"/>
          <w:lang w:val="en-US"/>
        </w:rPr>
        <w:t>significant for oncogenic HPV types including HPV</w:t>
      </w:r>
      <w:r w:rsidR="00FB32CD" w:rsidRPr="00F87C8A">
        <w:rPr>
          <w:rFonts w:ascii="Arial" w:hAnsi="Arial" w:cs="Arial"/>
          <w:snapToGrid w:val="0"/>
          <w:sz w:val="24"/>
          <w:szCs w:val="24"/>
          <w:lang w:val="en-US"/>
        </w:rPr>
        <w:t>-</w:t>
      </w:r>
      <w:r w:rsidRPr="00F87C8A">
        <w:rPr>
          <w:rFonts w:ascii="Arial" w:hAnsi="Arial" w:cs="Arial"/>
          <w:snapToGrid w:val="0"/>
          <w:sz w:val="24"/>
          <w:szCs w:val="24"/>
          <w:lang w:val="en-US"/>
        </w:rPr>
        <w:t>16/18</w:t>
      </w:r>
      <w:r w:rsidRPr="00FB32CD">
        <w:rPr>
          <w:rFonts w:ascii="Arial" w:hAnsi="Arial" w:cs="Arial"/>
          <w:b/>
          <w:snapToGrid w:val="0"/>
          <w:sz w:val="24"/>
          <w:szCs w:val="24"/>
          <w:lang w:val="en-US"/>
        </w:rPr>
        <w:t>,</w:t>
      </w:r>
      <w:r w:rsidRPr="00D57923">
        <w:rPr>
          <w:rFonts w:ascii="Arial" w:hAnsi="Arial" w:cs="Arial"/>
          <w:snapToGrid w:val="0"/>
          <w:sz w:val="24"/>
          <w:szCs w:val="24"/>
          <w:lang w:val="en-US"/>
        </w:rPr>
        <w:t xml:space="preserve"> in HPV </w:t>
      </w:r>
      <w:smartTag w:uri="urn:schemas-microsoft-com:office:smarttags" w:element="stockticker">
        <w:r w:rsidRPr="00D57923">
          <w:rPr>
            <w:rFonts w:ascii="Arial" w:hAnsi="Arial" w:cs="Arial"/>
            <w:snapToGrid w:val="0"/>
            <w:sz w:val="24"/>
            <w:szCs w:val="24"/>
            <w:lang w:val="en-US"/>
          </w:rPr>
          <w:t>DNA</w:t>
        </w:r>
      </w:smartTag>
      <w:r w:rsidRPr="00D57923">
        <w:rPr>
          <w:rFonts w:ascii="Arial" w:hAnsi="Arial" w:cs="Arial"/>
          <w:snapToGrid w:val="0"/>
          <w:sz w:val="24"/>
          <w:szCs w:val="24"/>
          <w:lang w:val="en-US"/>
        </w:rPr>
        <w:t xml:space="preserve"> negative subjects, regardless of initial </w:t>
      </w:r>
      <w:proofErr w:type="spellStart"/>
      <w:r w:rsidRPr="00D57923">
        <w:rPr>
          <w:rFonts w:ascii="Arial" w:hAnsi="Arial" w:cs="Arial"/>
          <w:snapToGrid w:val="0"/>
          <w:sz w:val="24"/>
          <w:szCs w:val="24"/>
          <w:lang w:val="en-US"/>
        </w:rPr>
        <w:t>serostatus</w:t>
      </w:r>
      <w:proofErr w:type="spellEnd"/>
      <w:r w:rsidRPr="00D57923">
        <w:rPr>
          <w:rFonts w:ascii="Arial" w:hAnsi="Arial" w:cs="Arial"/>
          <w:snapToGrid w:val="0"/>
          <w:sz w:val="24"/>
          <w:szCs w:val="24"/>
          <w:lang w:val="en-US"/>
        </w:rPr>
        <w:t>,</w:t>
      </w:r>
      <w:r w:rsidRPr="009B174F">
        <w:rPr>
          <w:rFonts w:ascii="Arial" w:hAnsi="Arial" w:cs="Arial"/>
          <w:snapToGrid w:val="0"/>
          <w:sz w:val="24"/>
          <w:szCs w:val="24"/>
          <w:lang w:val="en-US"/>
        </w:rPr>
        <w:t xml:space="preserve"> in the ATP cohort and are provided in Table 8.</w:t>
      </w:r>
    </w:p>
    <w:p w:rsidR="00224E37" w:rsidRPr="009B174F" w:rsidRDefault="00224E37" w:rsidP="00224E37">
      <w:pPr>
        <w:rPr>
          <w:rFonts w:ascii="Arial" w:hAnsi="Arial" w:cs="Arial"/>
          <w:snapToGrid w:val="0"/>
          <w:sz w:val="24"/>
          <w:szCs w:val="24"/>
          <w:lang w:val="en-US"/>
        </w:rPr>
      </w:pPr>
    </w:p>
    <w:p w:rsidR="00224E37" w:rsidRDefault="00224E37" w:rsidP="00224E37">
      <w:pPr>
        <w:spacing w:line="240" w:lineRule="auto"/>
        <w:rPr>
          <w:b/>
          <w:snapToGrid w:val="0"/>
          <w:sz w:val="22"/>
          <w:szCs w:val="22"/>
          <w:lang w:val="en-US"/>
        </w:rPr>
      </w:pPr>
      <w:r w:rsidRPr="00A30E12">
        <w:rPr>
          <w:b/>
          <w:snapToGrid w:val="0"/>
          <w:sz w:val="22"/>
          <w:szCs w:val="22"/>
          <w:lang w:val="en-US"/>
        </w:rPr>
        <w:t xml:space="preserve">Table 8: Vaccine efficacy </w:t>
      </w:r>
      <w:r w:rsidR="002038CC" w:rsidRPr="0075564F">
        <w:rPr>
          <w:rFonts w:ascii="Times New Roman Bold" w:hAnsi="Times New Roman Bold"/>
          <w:b/>
          <w:sz w:val="22"/>
          <w:szCs w:val="22"/>
        </w:rPr>
        <w:t xml:space="preserve">from </w:t>
      </w:r>
      <w:r w:rsidR="002038CC">
        <w:rPr>
          <w:rFonts w:ascii="Times New Roman Bold" w:hAnsi="Times New Roman Bold"/>
          <w:b/>
          <w:sz w:val="22"/>
          <w:szCs w:val="22"/>
        </w:rPr>
        <w:t xml:space="preserve">the end of study analysis </w:t>
      </w:r>
      <w:r w:rsidRPr="00A30E12">
        <w:rPr>
          <w:b/>
          <w:snapToGrid w:val="0"/>
          <w:sz w:val="22"/>
          <w:szCs w:val="22"/>
          <w:lang w:val="en-US"/>
        </w:rPr>
        <w:t xml:space="preserve">associated with oncogenic HPV types in HPV </w:t>
      </w:r>
      <w:smartTag w:uri="urn:schemas-microsoft-com:office:smarttags" w:element="stockticker">
        <w:r w:rsidRPr="00A30E12">
          <w:rPr>
            <w:b/>
            <w:snapToGrid w:val="0"/>
            <w:sz w:val="22"/>
            <w:szCs w:val="22"/>
            <w:lang w:val="en-US"/>
          </w:rPr>
          <w:t>DNA</w:t>
        </w:r>
      </w:smartTag>
      <w:r w:rsidRPr="00A30E12">
        <w:rPr>
          <w:b/>
          <w:snapToGrid w:val="0"/>
          <w:sz w:val="22"/>
          <w:szCs w:val="22"/>
          <w:lang w:val="en-US"/>
        </w:rPr>
        <w:t xml:space="preserve"> negative subjects at baseline,</w:t>
      </w:r>
      <w:r>
        <w:rPr>
          <w:b/>
          <w:snapToGrid w:val="0"/>
          <w:sz w:val="22"/>
          <w:szCs w:val="22"/>
          <w:lang w:val="en-US"/>
        </w:rPr>
        <w:t xml:space="preserve"> regardless of initial </w:t>
      </w:r>
      <w:proofErr w:type="spellStart"/>
      <w:r w:rsidRPr="00D57923">
        <w:rPr>
          <w:b/>
          <w:snapToGrid w:val="0"/>
          <w:sz w:val="22"/>
          <w:szCs w:val="22"/>
          <w:lang w:val="en-US"/>
        </w:rPr>
        <w:t>serostatus</w:t>
      </w:r>
      <w:proofErr w:type="spellEnd"/>
      <w:r w:rsidRPr="00D57923">
        <w:rPr>
          <w:b/>
          <w:snapToGrid w:val="0"/>
          <w:sz w:val="22"/>
          <w:szCs w:val="22"/>
          <w:lang w:val="en-US"/>
        </w:rPr>
        <w:t xml:space="preserve"> (ATP cohort)</w:t>
      </w:r>
    </w:p>
    <w:p w:rsidR="0095646D" w:rsidRDefault="0095646D" w:rsidP="00224E37">
      <w:pPr>
        <w:spacing w:line="240" w:lineRule="auto"/>
        <w:rPr>
          <w:b/>
          <w:snapToGrid w:val="0"/>
          <w:sz w:val="22"/>
          <w:szCs w:val="22"/>
          <w:lang w:val="en-US"/>
        </w:rPr>
      </w:pPr>
    </w:p>
    <w:tbl>
      <w:tblPr>
        <w:tblW w:w="5120" w:type="pct"/>
        <w:tblLayout w:type="fixed"/>
        <w:tblCellMar>
          <w:left w:w="0" w:type="dxa"/>
          <w:right w:w="0" w:type="dxa"/>
        </w:tblCellMar>
        <w:tblLook w:val="04A0" w:firstRow="1" w:lastRow="0" w:firstColumn="1" w:lastColumn="0" w:noHBand="0" w:noVBand="1"/>
      </w:tblPr>
      <w:tblGrid>
        <w:gridCol w:w="1478"/>
        <w:gridCol w:w="958"/>
        <w:gridCol w:w="709"/>
        <w:gridCol w:w="708"/>
        <w:gridCol w:w="710"/>
        <w:gridCol w:w="1282"/>
        <w:gridCol w:w="708"/>
        <w:gridCol w:w="710"/>
        <w:gridCol w:w="708"/>
        <w:gridCol w:w="710"/>
        <w:gridCol w:w="1411"/>
      </w:tblGrid>
      <w:tr w:rsidR="0095646D" w:rsidTr="0095646D">
        <w:trPr>
          <w:cantSplit/>
          <w:trHeight w:val="20"/>
        </w:trPr>
        <w:tc>
          <w:tcPr>
            <w:tcW w:w="73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5646D" w:rsidRDefault="0095646D" w:rsidP="00F04A5A">
            <w:pPr>
              <w:rPr>
                <w:rFonts w:ascii="Calibri" w:hAnsi="Calibri"/>
                <w:b/>
                <w:bCs/>
                <w:i/>
                <w:iCs/>
              </w:rPr>
            </w:pPr>
          </w:p>
          <w:p w:rsidR="0095646D" w:rsidRDefault="0095646D" w:rsidP="00F04A5A">
            <w:pPr>
              <w:jc w:val="center"/>
              <w:rPr>
                <w:rFonts w:ascii="Calibri" w:hAnsi="Calibri"/>
                <w:b/>
                <w:bCs/>
                <w:i/>
                <w:iCs/>
              </w:rPr>
            </w:pPr>
          </w:p>
        </w:tc>
        <w:tc>
          <w:tcPr>
            <w:tcW w:w="2163"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46D" w:rsidRDefault="0095646D" w:rsidP="00424928">
            <w:pPr>
              <w:keepNext/>
              <w:jc w:val="center"/>
              <w:rPr>
                <w:rFonts w:ascii="Calibri" w:hAnsi="Calibri"/>
                <w:b/>
                <w:bCs/>
                <w:i/>
                <w:iCs/>
              </w:rPr>
            </w:pPr>
            <w:r>
              <w:rPr>
                <w:b/>
                <w:bCs/>
                <w:i/>
                <w:iCs/>
              </w:rPr>
              <w:t>HR-HP</w:t>
            </w:r>
            <w:r w:rsidR="00424928">
              <w:rPr>
                <w:b/>
                <w:bCs/>
                <w:i/>
                <w:iCs/>
              </w:rPr>
              <w:t>V</w:t>
            </w:r>
            <w:r>
              <w:rPr>
                <w:b/>
                <w:bCs/>
                <w:i/>
                <w:iCs/>
                <w:vertAlign w:val="superscript"/>
              </w:rPr>
              <w:t>(1)</w:t>
            </w:r>
          </w:p>
        </w:tc>
        <w:tc>
          <w:tcPr>
            <w:tcW w:w="2105"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HRW-HPV</w:t>
            </w:r>
            <w:r>
              <w:rPr>
                <w:b/>
                <w:bCs/>
                <w:i/>
                <w:iCs/>
                <w:vertAlign w:val="superscript"/>
              </w:rPr>
              <w:t>(2)</w:t>
            </w:r>
          </w:p>
        </w:tc>
      </w:tr>
      <w:tr w:rsidR="0095646D" w:rsidTr="0095646D">
        <w:trPr>
          <w:cantSplit/>
          <w:trHeight w:val="20"/>
        </w:trPr>
        <w:tc>
          <w:tcPr>
            <w:tcW w:w="732" w:type="pct"/>
            <w:vMerge/>
            <w:tcBorders>
              <w:top w:val="single" w:sz="8" w:space="0" w:color="auto"/>
              <w:left w:val="single" w:sz="8" w:space="0" w:color="auto"/>
              <w:bottom w:val="single" w:sz="8" w:space="0" w:color="auto"/>
              <w:right w:val="single" w:sz="8" w:space="0" w:color="auto"/>
            </w:tcBorders>
            <w:vAlign w:val="center"/>
            <w:hideMark/>
          </w:tcPr>
          <w:p w:rsidR="0095646D" w:rsidRDefault="0095646D" w:rsidP="00F04A5A">
            <w:pPr>
              <w:rPr>
                <w:rFonts w:ascii="Calibri" w:hAnsi="Calibri"/>
                <w:b/>
                <w:bCs/>
                <w:i/>
                <w:iCs/>
              </w:rPr>
            </w:pPr>
          </w:p>
        </w:tc>
        <w:tc>
          <w:tcPr>
            <w:tcW w:w="82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Cervarix</w:t>
            </w:r>
          </w:p>
        </w:tc>
        <w:tc>
          <w:tcPr>
            <w:tcW w:w="7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Control</w:t>
            </w:r>
          </w:p>
        </w:tc>
        <w:tc>
          <w:tcPr>
            <w:tcW w:w="6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 Efficacy</w:t>
            </w:r>
          </w:p>
          <w:p w:rsidR="0095646D" w:rsidRDefault="0095646D" w:rsidP="00F04A5A">
            <w:pPr>
              <w:keepNext/>
              <w:jc w:val="center"/>
              <w:rPr>
                <w:rFonts w:ascii="Calibri" w:hAnsi="Calibri"/>
                <w:b/>
                <w:bCs/>
                <w:i/>
                <w:iCs/>
              </w:rPr>
            </w:pPr>
            <w:r>
              <w:rPr>
                <w:b/>
                <w:bCs/>
                <w:i/>
                <w:iCs/>
              </w:rPr>
              <w:t>(95% CI)</w:t>
            </w:r>
          </w:p>
        </w:tc>
        <w:tc>
          <w:tcPr>
            <w:tcW w:w="7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Cervarix</w:t>
            </w:r>
          </w:p>
        </w:tc>
        <w:tc>
          <w:tcPr>
            <w:tcW w:w="70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Control</w:t>
            </w:r>
          </w:p>
        </w:tc>
        <w:tc>
          <w:tcPr>
            <w:tcW w:w="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 xml:space="preserve">% Efficacy </w:t>
            </w:r>
          </w:p>
          <w:p w:rsidR="0095646D" w:rsidRDefault="0095646D" w:rsidP="00F04A5A">
            <w:pPr>
              <w:keepNext/>
              <w:jc w:val="center"/>
              <w:rPr>
                <w:rFonts w:ascii="Calibri" w:hAnsi="Calibri"/>
                <w:b/>
                <w:bCs/>
                <w:i/>
                <w:iCs/>
              </w:rPr>
            </w:pPr>
            <w:r>
              <w:rPr>
                <w:b/>
                <w:bCs/>
                <w:i/>
                <w:iCs/>
              </w:rPr>
              <w:t>(95% CI)</w:t>
            </w:r>
          </w:p>
        </w:tc>
      </w:tr>
      <w:tr w:rsidR="0095646D" w:rsidTr="0095646D">
        <w:trPr>
          <w:cantSplit/>
          <w:trHeight w:val="20"/>
        </w:trPr>
        <w:tc>
          <w:tcPr>
            <w:tcW w:w="732" w:type="pct"/>
            <w:vMerge/>
            <w:tcBorders>
              <w:top w:val="single" w:sz="8" w:space="0" w:color="auto"/>
              <w:left w:val="single" w:sz="8" w:space="0" w:color="auto"/>
              <w:bottom w:val="single" w:sz="8" w:space="0" w:color="auto"/>
              <w:right w:val="single" w:sz="8" w:space="0" w:color="auto"/>
            </w:tcBorders>
            <w:vAlign w:val="center"/>
            <w:hideMark/>
          </w:tcPr>
          <w:p w:rsidR="0095646D" w:rsidRDefault="0095646D" w:rsidP="00F04A5A">
            <w:pPr>
              <w:rPr>
                <w:rFonts w:ascii="Calibri" w:hAnsi="Calibri"/>
                <w:b/>
                <w:bCs/>
                <w:i/>
                <w:iCs/>
              </w:rPr>
            </w:pP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635" w:type="pct"/>
            <w:vMerge/>
            <w:tcBorders>
              <w:top w:val="nil"/>
              <w:left w:val="nil"/>
              <w:bottom w:val="single" w:sz="8" w:space="0" w:color="auto"/>
              <w:right w:val="single" w:sz="8" w:space="0" w:color="auto"/>
            </w:tcBorders>
            <w:vAlign w:val="center"/>
            <w:hideMark/>
          </w:tcPr>
          <w:p w:rsidR="0095646D" w:rsidRDefault="0095646D" w:rsidP="00F04A5A">
            <w:pPr>
              <w:rPr>
                <w:rFonts w:ascii="Calibri" w:hAnsi="Calibri"/>
                <w:b/>
                <w:bCs/>
                <w:i/>
                <w:iCs/>
              </w:rPr>
            </w:pP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keepNext/>
              <w:jc w:val="center"/>
              <w:rPr>
                <w:rFonts w:ascii="Calibri" w:hAnsi="Calibri"/>
                <w:b/>
                <w:bCs/>
                <w:i/>
                <w:iCs/>
              </w:rPr>
            </w:pPr>
            <w:r>
              <w:rPr>
                <w:b/>
                <w:bCs/>
                <w:i/>
                <w:iCs/>
              </w:rPr>
              <w:t>n</w:t>
            </w:r>
          </w:p>
        </w:tc>
        <w:tc>
          <w:tcPr>
            <w:tcW w:w="700" w:type="pct"/>
            <w:vMerge/>
            <w:tcBorders>
              <w:top w:val="nil"/>
              <w:left w:val="nil"/>
              <w:bottom w:val="single" w:sz="8" w:space="0" w:color="auto"/>
              <w:right w:val="single" w:sz="8" w:space="0" w:color="auto"/>
            </w:tcBorders>
            <w:vAlign w:val="center"/>
            <w:hideMark/>
          </w:tcPr>
          <w:p w:rsidR="0095646D" w:rsidRDefault="0095646D" w:rsidP="00F04A5A">
            <w:pPr>
              <w:rPr>
                <w:rFonts w:ascii="Calibri" w:hAnsi="Calibri"/>
                <w:b/>
                <w:bCs/>
                <w:i/>
                <w:iCs/>
              </w:rPr>
            </w:pP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FB32CD">
            <w:pPr>
              <w:jc w:val="left"/>
              <w:rPr>
                <w:rFonts w:ascii="Calibri" w:hAnsi="Calibri"/>
              </w:rPr>
            </w:pPr>
            <w:r>
              <w:rPr>
                <w:b/>
                <w:bCs/>
                <w:i/>
                <w:iCs/>
              </w:rPr>
              <w:t>6 month persistent infection</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7672</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1424</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7656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1837</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25.4% (20.0;30.4)</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7672</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1399</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7656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1556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 xml:space="preserve">11.2% </w:t>
            </w:r>
          </w:p>
          <w:p w:rsidR="0095646D" w:rsidRDefault="0095646D" w:rsidP="00F04A5A">
            <w:pPr>
              <w:jc w:val="center"/>
              <w:rPr>
                <w:rFonts w:ascii="Calibri" w:hAnsi="Calibri"/>
                <w:b/>
                <w:bCs/>
                <w:i/>
                <w:iCs/>
              </w:rPr>
            </w:pPr>
            <w:r>
              <w:rPr>
                <w:b/>
                <w:bCs/>
                <w:i/>
                <w:iCs/>
              </w:rPr>
              <w:t>(4.5; 17.5)</w:t>
            </w: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F04A5A">
            <w:pPr>
              <w:rPr>
                <w:rFonts w:ascii="Calibri" w:hAnsi="Calibri"/>
                <w:b/>
                <w:bCs/>
                <w:i/>
                <w:iCs/>
              </w:rPr>
            </w:pPr>
            <w:r>
              <w:rPr>
                <w:b/>
                <w:bCs/>
                <w:i/>
                <w:iCs/>
              </w:rPr>
              <w:t>12-month persistent infection</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7560</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824</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7545</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1112</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27.8% (20.9;34.1)</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7560</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804</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7545</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878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 xml:space="preserve">9.0% </w:t>
            </w:r>
          </w:p>
          <w:p w:rsidR="0095646D" w:rsidRDefault="0095646D" w:rsidP="00F04A5A">
            <w:pPr>
              <w:jc w:val="center"/>
              <w:rPr>
                <w:rFonts w:ascii="Calibri" w:hAnsi="Calibri"/>
                <w:b/>
                <w:bCs/>
                <w:i/>
                <w:iCs/>
              </w:rPr>
            </w:pPr>
            <w:r>
              <w:rPr>
                <w:b/>
                <w:bCs/>
                <w:i/>
                <w:iCs/>
              </w:rPr>
              <w:t>(-0.2; 17.4)</w:t>
            </w: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F04A5A">
            <w:pPr>
              <w:rPr>
                <w:rFonts w:ascii="Calibri" w:hAnsi="Calibri"/>
                <w:b/>
                <w:bCs/>
                <w:i/>
                <w:iCs/>
              </w:rPr>
            </w:pPr>
            <w:r>
              <w:rPr>
                <w:b/>
                <w:bCs/>
                <w:i/>
                <w:iCs/>
              </w:rPr>
              <w:t>ASC-US+</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7850</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1201</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1574</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25.1% (19.2;30.5)</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7850</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1180</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1400</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 xml:space="preserve">16.5% </w:t>
            </w:r>
          </w:p>
          <w:p w:rsidR="0095646D" w:rsidRDefault="0095646D" w:rsidP="00F04A5A">
            <w:pPr>
              <w:jc w:val="center"/>
              <w:rPr>
                <w:rFonts w:ascii="Calibri" w:hAnsi="Calibri"/>
                <w:b/>
                <w:bCs/>
                <w:i/>
                <w:iCs/>
              </w:rPr>
            </w:pPr>
            <w:r>
              <w:rPr>
                <w:b/>
                <w:bCs/>
                <w:i/>
                <w:iCs/>
              </w:rPr>
              <w:t>(9.7; 22.8)</w:t>
            </w: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F04A5A">
            <w:pPr>
              <w:rPr>
                <w:rFonts w:ascii="Calibri" w:hAnsi="Calibri"/>
                <w:b/>
                <w:bCs/>
                <w:i/>
                <w:iCs/>
              </w:rPr>
            </w:pPr>
            <w:r>
              <w:rPr>
                <w:b/>
                <w:bCs/>
                <w:i/>
                <w:iCs/>
              </w:rPr>
              <w:t>CIN1+</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235</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443</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47.3% (38.1;55.2)</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229</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368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 xml:space="preserve">38.0% </w:t>
            </w:r>
          </w:p>
          <w:p w:rsidR="0095646D" w:rsidRDefault="0095646D" w:rsidP="00F04A5A">
            <w:pPr>
              <w:jc w:val="center"/>
              <w:rPr>
                <w:rFonts w:ascii="Calibri" w:hAnsi="Calibri"/>
                <w:b/>
                <w:bCs/>
                <w:i/>
                <w:iCs/>
              </w:rPr>
            </w:pPr>
            <w:r>
              <w:rPr>
                <w:b/>
                <w:bCs/>
                <w:i/>
                <w:iCs/>
              </w:rPr>
              <w:t>(26.7; 47.7)</w:t>
            </w: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F04A5A">
            <w:pPr>
              <w:rPr>
                <w:rFonts w:ascii="Calibri" w:hAnsi="Calibri"/>
                <w:b/>
                <w:bCs/>
                <w:i/>
                <w:iCs/>
              </w:rPr>
            </w:pPr>
            <w:r>
              <w:rPr>
                <w:b/>
                <w:bCs/>
                <w:i/>
                <w:iCs/>
              </w:rPr>
              <w:t>CIN2+</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92</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220</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58.3% (46.6;67.7)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88</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165</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 xml:space="preserve">46.8% </w:t>
            </w:r>
          </w:p>
          <w:p w:rsidR="0095646D" w:rsidRDefault="0095646D" w:rsidP="00F04A5A">
            <w:pPr>
              <w:jc w:val="center"/>
              <w:rPr>
                <w:rFonts w:ascii="Calibri" w:hAnsi="Calibri"/>
                <w:b/>
                <w:bCs/>
                <w:i/>
                <w:iCs/>
              </w:rPr>
            </w:pPr>
            <w:r>
              <w:rPr>
                <w:b/>
                <w:bCs/>
                <w:i/>
                <w:iCs/>
              </w:rPr>
              <w:t>(30.7; 59.4)</w:t>
            </w:r>
          </w:p>
        </w:tc>
      </w:tr>
      <w:tr w:rsidR="0095646D" w:rsidTr="0095646D">
        <w:trPr>
          <w:cantSplit/>
          <w:trHeight w:val="20"/>
        </w:trPr>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646D" w:rsidRDefault="0095646D" w:rsidP="00B06081">
            <w:pPr>
              <w:rPr>
                <w:rFonts w:ascii="Calibri" w:hAnsi="Calibri"/>
                <w:b/>
                <w:bCs/>
                <w:i/>
                <w:iCs/>
              </w:rPr>
            </w:pPr>
            <w:r>
              <w:rPr>
                <w:b/>
                <w:bCs/>
                <w:i/>
                <w:iCs/>
              </w:rPr>
              <w:t>VIN/V</w:t>
            </w:r>
            <w:r w:rsidR="00B06081">
              <w:rPr>
                <w:b/>
                <w:bCs/>
                <w:i/>
                <w:iCs/>
              </w:rPr>
              <w:t>a</w:t>
            </w:r>
            <w:r>
              <w:rPr>
                <w:b/>
                <w:bCs/>
                <w:i/>
                <w:iCs/>
              </w:rPr>
              <w:t>IN2+</w:t>
            </w:r>
          </w:p>
        </w:tc>
        <w:tc>
          <w:tcPr>
            <w:tcW w:w="474"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9</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21</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57.2%</w:t>
            </w:r>
          </w:p>
          <w:p w:rsidR="0095646D" w:rsidRDefault="0095646D" w:rsidP="00F04A5A">
            <w:pPr>
              <w:jc w:val="center"/>
              <w:rPr>
                <w:rFonts w:ascii="Calibri" w:hAnsi="Calibri"/>
                <w:b/>
                <w:bCs/>
                <w:i/>
                <w:iCs/>
              </w:rPr>
            </w:pPr>
            <w:r>
              <w:rPr>
                <w:b/>
                <w:bCs/>
                <w:i/>
                <w:iCs/>
              </w:rPr>
              <w:t>(2.4; 82.7)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7855</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w:t>
            </w:r>
          </w:p>
        </w:tc>
        <w:tc>
          <w:tcPr>
            <w:tcW w:w="351"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7846</w:t>
            </w:r>
          </w:p>
        </w:tc>
        <w:tc>
          <w:tcPr>
            <w:tcW w:w="352"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18</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95646D" w:rsidRDefault="0095646D" w:rsidP="00F04A5A">
            <w:pPr>
              <w:jc w:val="center"/>
              <w:rPr>
                <w:rFonts w:ascii="Calibri" w:hAnsi="Calibri"/>
                <w:b/>
                <w:bCs/>
                <w:i/>
                <w:iCs/>
              </w:rPr>
            </w:pPr>
            <w:r>
              <w:rPr>
                <w:b/>
                <w:bCs/>
                <w:i/>
                <w:iCs/>
              </w:rPr>
              <w:t>61.1%</w:t>
            </w:r>
          </w:p>
          <w:p w:rsidR="0095646D" w:rsidRDefault="0095646D" w:rsidP="00F04A5A">
            <w:pPr>
              <w:jc w:val="center"/>
              <w:rPr>
                <w:rFonts w:ascii="Calibri" w:hAnsi="Calibri"/>
                <w:b/>
                <w:bCs/>
                <w:i/>
                <w:iCs/>
              </w:rPr>
            </w:pPr>
            <w:r>
              <w:rPr>
                <w:b/>
                <w:bCs/>
                <w:i/>
                <w:iCs/>
              </w:rPr>
              <w:t>(2.4; 86.3)</w:t>
            </w:r>
          </w:p>
        </w:tc>
      </w:tr>
    </w:tbl>
    <w:p w:rsidR="0095646D" w:rsidRDefault="0095646D" w:rsidP="0095646D">
      <w:pPr>
        <w:pStyle w:val="ListParagraph"/>
        <w:numPr>
          <w:ilvl w:val="0"/>
          <w:numId w:val="20"/>
        </w:numPr>
        <w:spacing w:line="360" w:lineRule="atLeast"/>
        <w:ind w:left="426"/>
        <w:contextualSpacing/>
        <w:jc w:val="both"/>
        <w:rPr>
          <w:lang w:val="en-GB" w:eastAsia="en-US"/>
        </w:rPr>
      </w:pPr>
      <w:r>
        <w:rPr>
          <w:lang w:val="en-GB"/>
        </w:rPr>
        <w:t>HR-HP</w:t>
      </w:r>
      <w:r w:rsidR="00424928">
        <w:rPr>
          <w:lang w:val="en-GB"/>
        </w:rPr>
        <w:t>V</w:t>
      </w:r>
      <w:r>
        <w:rPr>
          <w:lang w:val="en-GB"/>
        </w:rPr>
        <w:t>  = High-risk (oncogenic) HPV types: HPV-16, 18, 31, 33, 35, 39, 45, 51, 52, 56, 58, 59, 66 and 68</w:t>
      </w:r>
    </w:p>
    <w:p w:rsidR="0095646D" w:rsidRDefault="0095646D" w:rsidP="0095646D">
      <w:pPr>
        <w:pStyle w:val="ListParagraph"/>
        <w:numPr>
          <w:ilvl w:val="0"/>
          <w:numId w:val="20"/>
        </w:numPr>
        <w:spacing w:line="200" w:lineRule="atLeast"/>
        <w:ind w:left="426" w:hanging="357"/>
        <w:contextualSpacing/>
        <w:jc w:val="both"/>
        <w:rPr>
          <w:lang w:val="en-GB"/>
        </w:rPr>
      </w:pPr>
      <w:r>
        <w:rPr>
          <w:lang w:val="en-GB"/>
        </w:rPr>
        <w:t xml:space="preserve">HRW-HPV = High-risk (oncogenic) HPV types </w:t>
      </w:r>
      <w:r w:rsidR="002038CC">
        <w:rPr>
          <w:lang w:val="en-GB"/>
        </w:rPr>
        <w:t>(</w:t>
      </w:r>
      <w:r>
        <w:rPr>
          <w:lang w:val="en-GB"/>
        </w:rPr>
        <w:t>excluding HPV-16 and HPV-18</w:t>
      </w:r>
      <w:r w:rsidR="002038CC">
        <w:rPr>
          <w:lang w:val="en-GB"/>
        </w:rPr>
        <w:t>)</w:t>
      </w:r>
      <w:r>
        <w:rPr>
          <w:lang w:val="en-GB"/>
        </w:rPr>
        <w:t>: HPV-31, 33, 35, 39, 45, 51, 52, 56, 58, 59, 66 and 68</w:t>
      </w:r>
    </w:p>
    <w:p w:rsidR="00224E37" w:rsidRPr="00DB3638" w:rsidRDefault="00224E37" w:rsidP="00224E37">
      <w:pPr>
        <w:rPr>
          <w:rFonts w:ascii="Arial" w:hAnsi="Arial" w:cs="Arial"/>
          <w:i/>
          <w:sz w:val="24"/>
          <w:szCs w:val="24"/>
          <w:u w:val="single"/>
        </w:rPr>
      </w:pPr>
      <w:r w:rsidRPr="00DB3638">
        <w:rPr>
          <w:rFonts w:ascii="Arial" w:hAnsi="Arial" w:cs="Arial"/>
          <w:i/>
          <w:snapToGrid w:val="0"/>
          <w:sz w:val="24"/>
          <w:szCs w:val="24"/>
          <w:u w:val="single"/>
          <w:lang w:val="en-US"/>
        </w:rPr>
        <w:lastRenderedPageBreak/>
        <w:t>Overall impact of the vaccine on HPV disease burden</w:t>
      </w:r>
    </w:p>
    <w:p w:rsidR="004E2BF8" w:rsidRDefault="00224E37" w:rsidP="00224E37">
      <w:pPr>
        <w:spacing w:line="360" w:lineRule="exact"/>
        <w:rPr>
          <w:rFonts w:ascii="Arial" w:hAnsi="Arial" w:cs="Arial"/>
          <w:snapToGrid w:val="0"/>
          <w:sz w:val="24"/>
          <w:szCs w:val="24"/>
          <w:lang w:val="en-US"/>
        </w:rPr>
      </w:pPr>
      <w:r w:rsidRPr="009B174F">
        <w:rPr>
          <w:rFonts w:ascii="Arial" w:hAnsi="Arial" w:cs="Arial"/>
          <w:snapToGrid w:val="0"/>
          <w:sz w:val="24"/>
          <w:szCs w:val="24"/>
          <w:lang w:val="en-US"/>
        </w:rPr>
        <w:t xml:space="preserve">The overall vaccine efficacy irrespective of HPV </w:t>
      </w:r>
      <w:smartTag w:uri="urn:schemas-microsoft-com:office:smarttags" w:element="stockticker">
        <w:r w:rsidRPr="009B174F">
          <w:rPr>
            <w:rFonts w:ascii="Arial" w:hAnsi="Arial" w:cs="Arial"/>
            <w:snapToGrid w:val="0"/>
            <w:sz w:val="24"/>
            <w:szCs w:val="24"/>
            <w:lang w:val="en-US"/>
          </w:rPr>
          <w:t>DNA</w:t>
        </w:r>
      </w:smartTag>
      <w:r w:rsidRPr="009B174F">
        <w:rPr>
          <w:rFonts w:ascii="Arial" w:hAnsi="Arial" w:cs="Arial"/>
          <w:snapToGrid w:val="0"/>
          <w:sz w:val="24"/>
          <w:szCs w:val="24"/>
          <w:lang w:val="en-US"/>
        </w:rPr>
        <w:t xml:space="preserve"> </w:t>
      </w:r>
      <w:r>
        <w:rPr>
          <w:rFonts w:ascii="Arial" w:hAnsi="Arial" w:cs="Arial"/>
          <w:snapToGrid w:val="0"/>
          <w:sz w:val="24"/>
          <w:szCs w:val="24"/>
          <w:lang w:val="en-US"/>
        </w:rPr>
        <w:t>in lesions</w:t>
      </w:r>
      <w:r w:rsidRPr="009B174F">
        <w:rPr>
          <w:rFonts w:ascii="Arial" w:hAnsi="Arial" w:cs="Arial"/>
          <w:snapToGrid w:val="0"/>
          <w:sz w:val="24"/>
          <w:szCs w:val="24"/>
          <w:lang w:val="en-US"/>
        </w:rPr>
        <w:t xml:space="preserve"> and stratified by baseline HPV </w:t>
      </w:r>
      <w:smartTag w:uri="urn:schemas-microsoft-com:office:smarttags" w:element="stockticker">
        <w:r w:rsidRPr="009B174F">
          <w:rPr>
            <w:rFonts w:ascii="Arial" w:hAnsi="Arial" w:cs="Arial"/>
            <w:snapToGrid w:val="0"/>
            <w:sz w:val="24"/>
            <w:szCs w:val="24"/>
            <w:lang w:val="en-US"/>
          </w:rPr>
          <w:t>DNA</w:t>
        </w:r>
      </w:smartTag>
      <w:r w:rsidRPr="009B174F">
        <w:rPr>
          <w:rFonts w:ascii="Arial" w:hAnsi="Arial" w:cs="Arial"/>
          <w:snapToGrid w:val="0"/>
          <w:sz w:val="24"/>
          <w:szCs w:val="24"/>
          <w:lang w:val="en-US"/>
        </w:rPr>
        <w:t xml:space="preserve"> </w:t>
      </w:r>
      <w:r>
        <w:rPr>
          <w:rFonts w:ascii="Arial" w:hAnsi="Arial" w:cs="Arial"/>
          <w:snapToGrid w:val="0"/>
          <w:sz w:val="24"/>
          <w:szCs w:val="24"/>
          <w:lang w:val="en-US"/>
        </w:rPr>
        <w:t xml:space="preserve">status </w:t>
      </w:r>
      <w:r w:rsidRPr="009B174F">
        <w:rPr>
          <w:rFonts w:ascii="Arial" w:hAnsi="Arial" w:cs="Arial"/>
          <w:snapToGrid w:val="0"/>
          <w:sz w:val="24"/>
          <w:szCs w:val="24"/>
          <w:lang w:val="en-US"/>
        </w:rPr>
        <w:t xml:space="preserve">and </w:t>
      </w:r>
      <w:proofErr w:type="spellStart"/>
      <w:r w:rsidRPr="009B174F">
        <w:rPr>
          <w:rFonts w:ascii="Arial" w:hAnsi="Arial" w:cs="Arial"/>
          <w:snapToGrid w:val="0"/>
          <w:sz w:val="24"/>
          <w:szCs w:val="24"/>
          <w:lang w:val="en-US"/>
        </w:rPr>
        <w:t>serostatus</w:t>
      </w:r>
      <w:proofErr w:type="spellEnd"/>
      <w:r w:rsidRPr="009B174F">
        <w:rPr>
          <w:rFonts w:ascii="Arial" w:hAnsi="Arial" w:cs="Arial"/>
          <w:snapToGrid w:val="0"/>
          <w:sz w:val="24"/>
          <w:szCs w:val="24"/>
          <w:lang w:val="en-US"/>
        </w:rPr>
        <w:t xml:space="preserve"> was evaluated in study HPV-008</w:t>
      </w:r>
      <w:r>
        <w:rPr>
          <w:rFonts w:ascii="Arial" w:hAnsi="Arial" w:cs="Arial"/>
          <w:snapToGrid w:val="0"/>
          <w:sz w:val="24"/>
          <w:szCs w:val="24"/>
          <w:lang w:val="en-US"/>
        </w:rPr>
        <w:t xml:space="preserve"> (see Table 9)</w:t>
      </w:r>
      <w:r w:rsidRPr="009B174F">
        <w:rPr>
          <w:rFonts w:ascii="Arial" w:hAnsi="Arial" w:cs="Arial"/>
          <w:snapToGrid w:val="0"/>
          <w:sz w:val="24"/>
          <w:szCs w:val="24"/>
          <w:lang w:val="en-US"/>
        </w:rPr>
        <w:t xml:space="preserve">. </w:t>
      </w:r>
    </w:p>
    <w:p w:rsidR="002E0DC8" w:rsidRDefault="002E0DC8" w:rsidP="00224E37">
      <w:pPr>
        <w:spacing w:line="360" w:lineRule="exact"/>
        <w:rPr>
          <w:rFonts w:ascii="Arial" w:hAnsi="Arial" w:cs="Arial"/>
          <w:snapToGrid w:val="0"/>
          <w:sz w:val="24"/>
          <w:szCs w:val="24"/>
          <w:lang w:val="en-US"/>
        </w:rPr>
      </w:pPr>
    </w:p>
    <w:p w:rsidR="002E0DC8" w:rsidRDefault="00834630" w:rsidP="004E2BF8">
      <w:pPr>
        <w:tabs>
          <w:tab w:val="left" w:pos="0"/>
        </w:tabs>
        <w:spacing w:after="120"/>
        <w:rPr>
          <w:rFonts w:ascii="Arial" w:hAnsi="Arial" w:cs="Arial"/>
          <w:snapToGrid w:val="0"/>
          <w:sz w:val="24"/>
          <w:szCs w:val="24"/>
          <w:lang w:val="en-US"/>
        </w:rPr>
      </w:pPr>
      <w:r w:rsidRPr="00834630">
        <w:rPr>
          <w:rFonts w:ascii="Arial" w:hAnsi="Arial" w:cs="Arial"/>
          <w:snapToGrid w:val="0"/>
          <w:sz w:val="24"/>
          <w:szCs w:val="24"/>
          <w:lang w:val="en-US"/>
        </w:rPr>
        <w:t xml:space="preserve">In the TVC </w:t>
      </w:r>
      <w:r w:rsidRPr="004E2BF8">
        <w:rPr>
          <w:rFonts w:ascii="Arial" w:hAnsi="Arial" w:cs="Arial"/>
          <w:snapToGrid w:val="0"/>
          <w:sz w:val="24"/>
          <w:szCs w:val="24"/>
          <w:lang w:val="en-US"/>
        </w:rPr>
        <w:t>and TVC-naïve cohorts</w:t>
      </w:r>
      <w:r w:rsidRPr="00834630">
        <w:rPr>
          <w:rFonts w:ascii="Arial" w:hAnsi="Arial" w:cs="Arial"/>
          <w:snapToGrid w:val="0"/>
          <w:sz w:val="24"/>
          <w:szCs w:val="24"/>
          <w:lang w:val="en-US"/>
        </w:rPr>
        <w:t xml:space="preserve">, vaccine efficacy against CIN3+, CIN2+ and CIN1+ was demonstrated (see Table 9). The impact of </w:t>
      </w:r>
      <w:r w:rsidR="00984B2C">
        <w:rPr>
          <w:rFonts w:ascii="Arial" w:hAnsi="Arial" w:cs="Arial"/>
          <w:snapToGrid w:val="0"/>
          <w:sz w:val="24"/>
          <w:szCs w:val="24"/>
          <w:lang w:val="en-US"/>
        </w:rPr>
        <w:t>CERVARIX</w:t>
      </w:r>
      <w:r w:rsidR="00984B2C" w:rsidRPr="00834630">
        <w:rPr>
          <w:rFonts w:ascii="Arial" w:hAnsi="Arial" w:cs="Arial"/>
          <w:snapToGrid w:val="0"/>
          <w:sz w:val="24"/>
          <w:szCs w:val="24"/>
          <w:lang w:val="en-US"/>
        </w:rPr>
        <w:t xml:space="preserve"> </w:t>
      </w:r>
      <w:r w:rsidRPr="00834630">
        <w:rPr>
          <w:rFonts w:ascii="Arial" w:hAnsi="Arial" w:cs="Arial"/>
          <w:snapToGrid w:val="0"/>
          <w:sz w:val="24"/>
          <w:szCs w:val="24"/>
          <w:lang w:val="en-US"/>
        </w:rPr>
        <w:t>on reduction of local cervical therapy (Loop Electro-Excision Procedure, Cone, Knife or Laser) was also demonstrated in the same cohorts</w:t>
      </w:r>
      <w:r w:rsidR="002E0DC8">
        <w:rPr>
          <w:rFonts w:ascii="Arial" w:hAnsi="Arial" w:cs="Arial"/>
          <w:snapToGrid w:val="0"/>
          <w:sz w:val="24"/>
          <w:szCs w:val="24"/>
          <w:lang w:val="en-US"/>
        </w:rPr>
        <w:t>.</w:t>
      </w:r>
    </w:p>
    <w:p w:rsidR="003A2918" w:rsidRPr="00FA4061" w:rsidRDefault="00834630" w:rsidP="004E2BF8">
      <w:pPr>
        <w:tabs>
          <w:tab w:val="left" w:pos="0"/>
        </w:tabs>
        <w:spacing w:after="120"/>
        <w:rPr>
          <w:rFonts w:ascii="Arial" w:hAnsi="Arial" w:cs="Arial"/>
          <w:sz w:val="24"/>
          <w:szCs w:val="24"/>
        </w:rPr>
      </w:pPr>
      <w:r w:rsidRPr="00834630">
        <w:rPr>
          <w:rFonts w:ascii="Arial" w:hAnsi="Arial" w:cs="Arial"/>
          <w:sz w:val="24"/>
          <w:szCs w:val="24"/>
        </w:rPr>
        <w:t xml:space="preserve">The TVC-naïve </w:t>
      </w:r>
      <w:r w:rsidR="00B06081">
        <w:rPr>
          <w:rFonts w:ascii="Arial" w:hAnsi="Arial" w:cs="Arial"/>
          <w:sz w:val="24"/>
          <w:szCs w:val="24"/>
        </w:rPr>
        <w:t xml:space="preserve">cohort </w:t>
      </w:r>
      <w:r w:rsidRPr="00834630">
        <w:rPr>
          <w:rFonts w:ascii="Arial" w:hAnsi="Arial" w:cs="Arial"/>
          <w:sz w:val="24"/>
          <w:szCs w:val="24"/>
        </w:rPr>
        <w:t xml:space="preserve">is a subset of the TVC that includes women with normal cytology, and who were HPV DNA negative for 14 oncogenic HPV types </w:t>
      </w:r>
      <w:r w:rsidRPr="00834630">
        <w:rPr>
          <w:rFonts w:ascii="Arial" w:hAnsi="Arial" w:cs="Arial"/>
          <w:snapToGrid w:val="0"/>
          <w:sz w:val="24"/>
          <w:szCs w:val="24"/>
        </w:rPr>
        <w:t xml:space="preserve">(HPV-16, -18, -31, -33, -35, -39, -45, -51, -52, -56, -58, -59, -66, -68) </w:t>
      </w:r>
      <w:r w:rsidRPr="00834630">
        <w:rPr>
          <w:rFonts w:ascii="Arial" w:hAnsi="Arial" w:cs="Arial"/>
          <w:sz w:val="24"/>
          <w:szCs w:val="24"/>
        </w:rPr>
        <w:t xml:space="preserve">and seronegative for HPV-16 and HPV-18 at </w:t>
      </w:r>
      <w:r w:rsidRPr="00834630">
        <w:rPr>
          <w:rFonts w:ascii="Arial" w:hAnsi="Arial" w:cs="Arial"/>
          <w:snapToGrid w:val="0"/>
          <w:sz w:val="24"/>
          <w:szCs w:val="24"/>
          <w:lang w:val="en-US"/>
        </w:rPr>
        <w:t>baseline.</w:t>
      </w:r>
    </w:p>
    <w:p w:rsidR="007729E7" w:rsidRDefault="007729E7" w:rsidP="007729E7">
      <w:pPr>
        <w:spacing w:line="360" w:lineRule="exact"/>
        <w:rPr>
          <w:rFonts w:ascii="Arial" w:hAnsi="Arial" w:cs="Arial"/>
          <w:b/>
          <w:strike/>
          <w:sz w:val="24"/>
          <w:szCs w:val="24"/>
        </w:rPr>
      </w:pPr>
    </w:p>
    <w:p w:rsidR="00224E37" w:rsidRDefault="00224E37" w:rsidP="00224E37">
      <w:pPr>
        <w:tabs>
          <w:tab w:val="left" w:pos="0"/>
        </w:tabs>
        <w:spacing w:line="240" w:lineRule="auto"/>
        <w:rPr>
          <w:b/>
          <w:sz w:val="24"/>
          <w:szCs w:val="24"/>
        </w:rPr>
      </w:pPr>
      <w:r w:rsidRPr="009B174F">
        <w:rPr>
          <w:b/>
          <w:sz w:val="24"/>
          <w:szCs w:val="24"/>
        </w:rPr>
        <w:t xml:space="preserve">Table </w:t>
      </w:r>
      <w:r>
        <w:rPr>
          <w:b/>
          <w:sz w:val="24"/>
          <w:szCs w:val="24"/>
        </w:rPr>
        <w:t>9</w:t>
      </w:r>
      <w:r w:rsidRPr="009B174F">
        <w:rPr>
          <w:b/>
          <w:sz w:val="24"/>
          <w:szCs w:val="24"/>
        </w:rPr>
        <w:t xml:space="preserve">: </w:t>
      </w:r>
      <w:r w:rsidRPr="00D57923">
        <w:rPr>
          <w:b/>
          <w:sz w:val="24"/>
          <w:szCs w:val="24"/>
        </w:rPr>
        <w:t xml:space="preserve">Vaccine efficacy </w:t>
      </w:r>
      <w:r w:rsidR="00B06081" w:rsidRPr="00B06081">
        <w:rPr>
          <w:b/>
          <w:sz w:val="24"/>
          <w:szCs w:val="24"/>
        </w:rPr>
        <w:t xml:space="preserve">from the end of study analysis </w:t>
      </w:r>
      <w:r w:rsidRPr="00D57923">
        <w:rPr>
          <w:b/>
          <w:sz w:val="24"/>
          <w:szCs w:val="24"/>
        </w:rPr>
        <w:t>irrespective of HPV DNA</w:t>
      </w:r>
      <w:r w:rsidR="003A2918">
        <w:rPr>
          <w:b/>
          <w:sz w:val="24"/>
          <w:szCs w:val="24"/>
        </w:rPr>
        <w:t xml:space="preserve"> type</w:t>
      </w:r>
      <w:r w:rsidRPr="00D57923">
        <w:rPr>
          <w:b/>
          <w:sz w:val="24"/>
          <w:szCs w:val="24"/>
        </w:rPr>
        <w:t xml:space="preserve"> in </w:t>
      </w:r>
      <w:r w:rsidR="003A2918">
        <w:rPr>
          <w:b/>
          <w:sz w:val="24"/>
          <w:szCs w:val="24"/>
        </w:rPr>
        <w:t xml:space="preserve">the </w:t>
      </w:r>
      <w:r w:rsidRPr="00D57923">
        <w:rPr>
          <w:b/>
          <w:sz w:val="24"/>
          <w:szCs w:val="24"/>
        </w:rPr>
        <w:t xml:space="preserve">lesions </w:t>
      </w:r>
      <w:r w:rsidR="00B06081">
        <w:rPr>
          <w:b/>
          <w:sz w:val="24"/>
          <w:szCs w:val="24"/>
        </w:rPr>
        <w:t xml:space="preserve">and </w:t>
      </w:r>
      <w:r w:rsidR="003A2918">
        <w:rPr>
          <w:b/>
          <w:sz w:val="24"/>
          <w:szCs w:val="24"/>
        </w:rPr>
        <w:t xml:space="preserve">regardless of initial </w:t>
      </w:r>
      <w:proofErr w:type="spellStart"/>
      <w:r w:rsidR="003A2918">
        <w:rPr>
          <w:b/>
          <w:sz w:val="24"/>
          <w:szCs w:val="24"/>
        </w:rPr>
        <w:t>serostatus</w:t>
      </w:r>
      <w:proofErr w:type="spellEnd"/>
    </w:p>
    <w:tbl>
      <w:tblPr>
        <w:tblW w:w="5305" w:type="pct"/>
        <w:tblCellMar>
          <w:left w:w="0" w:type="dxa"/>
          <w:right w:w="0" w:type="dxa"/>
        </w:tblCellMar>
        <w:tblLook w:val="04A0" w:firstRow="1" w:lastRow="0" w:firstColumn="1" w:lastColumn="0" w:noHBand="0" w:noVBand="1"/>
      </w:tblPr>
      <w:tblGrid>
        <w:gridCol w:w="1492"/>
        <w:gridCol w:w="1501"/>
        <w:gridCol w:w="1211"/>
        <w:gridCol w:w="1060"/>
        <w:gridCol w:w="1363"/>
        <w:gridCol w:w="1213"/>
        <w:gridCol w:w="2616"/>
      </w:tblGrid>
      <w:tr w:rsidR="002A0A88" w:rsidTr="00840141">
        <w:trPr>
          <w:cantSplit/>
          <w:trHeight w:val="20"/>
        </w:trPr>
        <w:tc>
          <w:tcPr>
            <w:tcW w:w="1430"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0A88" w:rsidRDefault="002A0A88" w:rsidP="00F04A5A">
            <w:pPr>
              <w:rPr>
                <w:rFonts w:ascii="Calibri" w:hAnsi="Calibri"/>
                <w:b/>
                <w:bCs/>
                <w:i/>
                <w:iCs/>
              </w:rPr>
            </w:pPr>
          </w:p>
        </w:tc>
        <w:tc>
          <w:tcPr>
            <w:tcW w:w="357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End of study analysis</w:t>
            </w:r>
          </w:p>
        </w:tc>
      </w:tr>
      <w:tr w:rsidR="002A0A88" w:rsidTr="00840141">
        <w:trPr>
          <w:cantSplit/>
          <w:trHeight w:val="20"/>
        </w:trPr>
        <w:tc>
          <w:tcPr>
            <w:tcW w:w="1430" w:type="pct"/>
            <w:gridSpan w:val="2"/>
            <w:vMerge/>
            <w:tcBorders>
              <w:top w:val="single" w:sz="8" w:space="0" w:color="auto"/>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108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Cervarix</w:t>
            </w:r>
          </w:p>
        </w:tc>
        <w:tc>
          <w:tcPr>
            <w:tcW w:w="123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Control</w:t>
            </w:r>
          </w:p>
        </w:tc>
        <w:tc>
          <w:tcPr>
            <w:tcW w:w="1252" w:type="pct"/>
            <w:tcBorders>
              <w:top w:val="nil"/>
              <w:left w:val="nil"/>
              <w:bottom w:val="nil"/>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 Efficacy</w:t>
            </w:r>
          </w:p>
        </w:tc>
      </w:tr>
      <w:tr w:rsidR="002A0A88" w:rsidTr="00840141">
        <w:trPr>
          <w:cantSplit/>
          <w:trHeight w:val="20"/>
        </w:trPr>
        <w:tc>
          <w:tcPr>
            <w:tcW w:w="1430" w:type="pct"/>
            <w:gridSpan w:val="2"/>
            <w:vMerge/>
            <w:tcBorders>
              <w:top w:val="single" w:sz="8" w:space="0" w:color="auto"/>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N</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n</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N</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n</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keepNext/>
              <w:jc w:val="center"/>
              <w:rPr>
                <w:rFonts w:ascii="Calibri" w:hAnsi="Calibri"/>
                <w:b/>
                <w:bCs/>
                <w:i/>
                <w:iCs/>
              </w:rPr>
            </w:pPr>
            <w:r>
              <w:rPr>
                <w:b/>
                <w:bCs/>
                <w:i/>
                <w:iCs/>
              </w:rPr>
              <w:t>(95% CI)</w:t>
            </w:r>
          </w:p>
        </w:tc>
      </w:tr>
      <w:tr w:rsidR="002A0A88" w:rsidTr="00840141">
        <w:trPr>
          <w:cantSplit/>
          <w:trHeight w:val="20"/>
        </w:trPr>
        <w:tc>
          <w:tcPr>
            <w:tcW w:w="71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CIN3+</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 naïve</w:t>
            </w:r>
            <w:r>
              <w:rPr>
                <w:b/>
                <w:bCs/>
                <w:i/>
                <w:iCs/>
                <w:vertAlign w:val="superscript"/>
              </w:rPr>
              <w:t xml:space="preserve"> (1)</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5466</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3</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5452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44</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93.2% (78.9;98.7)</w:t>
            </w:r>
          </w:p>
        </w:tc>
      </w:tr>
      <w:tr w:rsidR="002A0A88" w:rsidTr="00840141">
        <w:trPr>
          <w:cantSplit/>
          <w:trHeight w:val="20"/>
        </w:trPr>
        <w:tc>
          <w:tcPr>
            <w:tcW w:w="713" w:type="pct"/>
            <w:vMerge/>
            <w:tcBorders>
              <w:top w:val="nil"/>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w:t>
            </w:r>
            <w:r>
              <w:rPr>
                <w:b/>
                <w:bCs/>
                <w:i/>
                <w:iCs/>
                <w:vertAlign w:val="superscript"/>
              </w:rPr>
              <w:t xml:space="preserve"> (2)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8694</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8708</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158</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45.6% (28.8;58.7)</w:t>
            </w:r>
          </w:p>
        </w:tc>
      </w:tr>
      <w:tr w:rsidR="002A0A88" w:rsidTr="00840141">
        <w:trPr>
          <w:cantSplit/>
          <w:trHeight w:val="20"/>
        </w:trPr>
        <w:tc>
          <w:tcPr>
            <w:tcW w:w="713" w:type="pct"/>
            <w:tcBorders>
              <w:top w:val="nil"/>
              <w:left w:val="single" w:sz="8" w:space="0" w:color="auto"/>
              <w:bottom w:val="nil"/>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CIN2+</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 naïve</w:t>
            </w:r>
            <w:r>
              <w:rPr>
                <w:b/>
                <w:bCs/>
                <w:i/>
                <w:iCs/>
                <w:vertAlign w:val="superscript"/>
              </w:rPr>
              <w:t xml:space="preserve"> (1)</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5466</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61</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5452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172</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64.9% (52.7;74.2)</w:t>
            </w:r>
          </w:p>
        </w:tc>
      </w:tr>
      <w:tr w:rsidR="002A0A88" w:rsidTr="00840141">
        <w:trPr>
          <w:cantSplit/>
          <w:trHeight w:val="20"/>
        </w:trPr>
        <w:tc>
          <w:tcPr>
            <w:tcW w:w="71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A0A88" w:rsidRDefault="002A0A88" w:rsidP="00F04A5A">
            <w:pPr>
              <w:rPr>
                <w:rFonts w:ascii="Calibri" w:hAnsi="Calibri"/>
                <w:b/>
                <w:bCs/>
                <w:i/>
                <w:iCs/>
              </w:rPr>
            </w:pP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w:t>
            </w:r>
            <w:r>
              <w:rPr>
                <w:b/>
                <w:bCs/>
                <w:i/>
                <w:iCs/>
                <w:vertAlign w:val="superscript"/>
              </w:rPr>
              <w:t xml:space="preserve"> (2)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8694</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287</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8708</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428</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33.1%  (22.2;42.6)</w:t>
            </w:r>
          </w:p>
        </w:tc>
      </w:tr>
      <w:tr w:rsidR="002A0A88" w:rsidTr="00840141">
        <w:trPr>
          <w:cantSplit/>
          <w:trHeight w:val="20"/>
        </w:trPr>
        <w:tc>
          <w:tcPr>
            <w:tcW w:w="71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CIN1+</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 naïve</w:t>
            </w:r>
            <w:r>
              <w:rPr>
                <w:b/>
                <w:bCs/>
                <w:i/>
                <w:iCs/>
                <w:vertAlign w:val="superscript"/>
              </w:rPr>
              <w:t xml:space="preserve"> (1)</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5466</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174</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5452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346</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50.3%  (40.2;58.8)</w:t>
            </w:r>
          </w:p>
        </w:tc>
      </w:tr>
      <w:tr w:rsidR="002A0A88" w:rsidTr="00840141">
        <w:trPr>
          <w:cantSplit/>
          <w:trHeight w:val="20"/>
        </w:trPr>
        <w:tc>
          <w:tcPr>
            <w:tcW w:w="713" w:type="pct"/>
            <w:vMerge/>
            <w:tcBorders>
              <w:top w:val="nil"/>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w:t>
            </w:r>
            <w:r>
              <w:rPr>
                <w:b/>
                <w:bCs/>
                <w:i/>
                <w:iCs/>
                <w:vertAlign w:val="superscript"/>
              </w:rPr>
              <w:t xml:space="preserve"> (2)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8694</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579</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8708</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798</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27.7%  (19.5;35.2)</w:t>
            </w:r>
          </w:p>
        </w:tc>
      </w:tr>
      <w:tr w:rsidR="002A0A88" w:rsidTr="00840141">
        <w:trPr>
          <w:cantSplit/>
          <w:trHeight w:val="20"/>
        </w:trPr>
        <w:tc>
          <w:tcPr>
            <w:tcW w:w="71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ASC-US+</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 naïve</w:t>
            </w:r>
            <w:r>
              <w:rPr>
                <w:b/>
                <w:bCs/>
                <w:i/>
                <w:iCs/>
                <w:vertAlign w:val="superscript"/>
              </w:rPr>
              <w:t xml:space="preserve"> (1)</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5466</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1133</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15452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1437</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23.2%  (16.9; 29.0)</w:t>
            </w:r>
          </w:p>
        </w:tc>
      </w:tr>
      <w:tr w:rsidR="002A0A88" w:rsidTr="00840141">
        <w:trPr>
          <w:cantSplit/>
          <w:trHeight w:val="20"/>
        </w:trPr>
        <w:tc>
          <w:tcPr>
            <w:tcW w:w="713" w:type="pct"/>
            <w:vMerge/>
            <w:tcBorders>
              <w:top w:val="nil"/>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w:t>
            </w:r>
            <w:r>
              <w:rPr>
                <w:b/>
                <w:bCs/>
                <w:i/>
                <w:iCs/>
                <w:vertAlign w:val="superscript"/>
              </w:rPr>
              <w:t xml:space="preserve"> (2)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8692</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2414</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8708</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2718</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12.2%  (7.2; 16.9)</w:t>
            </w:r>
          </w:p>
        </w:tc>
      </w:tr>
      <w:tr w:rsidR="002A0A88" w:rsidTr="00840141">
        <w:trPr>
          <w:cantSplit/>
          <w:trHeight w:val="20"/>
        </w:trPr>
        <w:tc>
          <w:tcPr>
            <w:tcW w:w="71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A88" w:rsidRDefault="002A0A88" w:rsidP="00B06081">
            <w:pPr>
              <w:rPr>
                <w:rFonts w:ascii="Calibri" w:hAnsi="Calibri"/>
                <w:b/>
                <w:bCs/>
                <w:i/>
                <w:iCs/>
              </w:rPr>
            </w:pPr>
            <w:r>
              <w:rPr>
                <w:b/>
                <w:bCs/>
                <w:i/>
                <w:iCs/>
              </w:rPr>
              <w:t>VIN/V</w:t>
            </w:r>
            <w:r w:rsidR="00B06081">
              <w:rPr>
                <w:b/>
                <w:bCs/>
                <w:i/>
                <w:iCs/>
              </w:rPr>
              <w:t>a</w:t>
            </w:r>
            <w:r>
              <w:rPr>
                <w:b/>
                <w:bCs/>
                <w:i/>
                <w:iCs/>
              </w:rPr>
              <w:t>IN2+</w:t>
            </w: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 naïve</w:t>
            </w:r>
            <w:r>
              <w:rPr>
                <w:b/>
                <w:bCs/>
                <w:i/>
                <w:iCs/>
                <w:vertAlign w:val="superscript"/>
              </w:rPr>
              <w:t xml:space="preserve"> (1)</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5466</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7</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5452</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15</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53.6%  (-20.9; 84.0)</w:t>
            </w:r>
          </w:p>
        </w:tc>
      </w:tr>
      <w:tr w:rsidR="002A0A88" w:rsidTr="00840141">
        <w:trPr>
          <w:cantSplit/>
          <w:trHeight w:val="20"/>
        </w:trPr>
        <w:tc>
          <w:tcPr>
            <w:tcW w:w="713" w:type="pct"/>
            <w:vMerge/>
            <w:tcBorders>
              <w:top w:val="nil"/>
              <w:left w:val="single" w:sz="8" w:space="0" w:color="auto"/>
              <w:bottom w:val="single" w:sz="8" w:space="0" w:color="auto"/>
              <w:right w:val="single" w:sz="8" w:space="0" w:color="auto"/>
            </w:tcBorders>
            <w:vAlign w:val="center"/>
            <w:hideMark/>
          </w:tcPr>
          <w:p w:rsidR="002A0A88" w:rsidRDefault="002A0A88" w:rsidP="00F04A5A">
            <w:pPr>
              <w:rPr>
                <w:rFonts w:ascii="Calibri" w:hAnsi="Calibri"/>
                <w:b/>
                <w:bCs/>
                <w:i/>
                <w:iCs/>
              </w:rPr>
            </w:pPr>
          </w:p>
        </w:tc>
        <w:tc>
          <w:tcPr>
            <w:tcW w:w="718"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rPr>
            </w:pPr>
            <w:r>
              <w:rPr>
                <w:b/>
                <w:bCs/>
                <w:i/>
                <w:iCs/>
              </w:rPr>
              <w:t>TVC</w:t>
            </w:r>
            <w:r>
              <w:rPr>
                <w:b/>
                <w:bCs/>
                <w:i/>
                <w:iCs/>
                <w:vertAlign w:val="superscript"/>
              </w:rPr>
              <w:t xml:space="preserve"> (2)</w:t>
            </w:r>
          </w:p>
        </w:tc>
        <w:tc>
          <w:tcPr>
            <w:tcW w:w="579"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8694</w:t>
            </w:r>
          </w:p>
        </w:tc>
        <w:tc>
          <w:tcPr>
            <w:tcW w:w="506"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22</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8708</w:t>
            </w:r>
          </w:p>
        </w:tc>
        <w:tc>
          <w:tcPr>
            <w:tcW w:w="580"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29</w:t>
            </w:r>
          </w:p>
        </w:tc>
        <w:tc>
          <w:tcPr>
            <w:tcW w:w="1252" w:type="pct"/>
            <w:tcBorders>
              <w:top w:val="nil"/>
              <w:left w:val="nil"/>
              <w:bottom w:val="single" w:sz="8" w:space="0" w:color="auto"/>
              <w:right w:val="single" w:sz="8" w:space="0" w:color="auto"/>
            </w:tcBorders>
            <w:tcMar>
              <w:top w:w="0" w:type="dxa"/>
              <w:left w:w="108" w:type="dxa"/>
              <w:bottom w:w="0" w:type="dxa"/>
              <w:right w:w="108" w:type="dxa"/>
            </w:tcMar>
            <w:hideMark/>
          </w:tcPr>
          <w:p w:rsidR="002A0A88" w:rsidRDefault="002A0A88" w:rsidP="00F04A5A">
            <w:pPr>
              <w:jc w:val="center"/>
              <w:rPr>
                <w:rFonts w:ascii="Calibri" w:hAnsi="Calibri"/>
                <w:b/>
                <w:bCs/>
                <w:i/>
                <w:iCs/>
              </w:rPr>
            </w:pPr>
            <w:r>
              <w:rPr>
                <w:b/>
                <w:bCs/>
                <w:i/>
                <w:iCs/>
              </w:rPr>
              <w:t>24.1%  (-36.8; 58.4)</w:t>
            </w:r>
          </w:p>
        </w:tc>
      </w:tr>
      <w:tr w:rsidR="002A0A88" w:rsidTr="00840141">
        <w:trPr>
          <w:cantSplit/>
          <w:trHeight w:val="20"/>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A88" w:rsidRDefault="002A0A88" w:rsidP="00F04A5A">
            <w:pPr>
              <w:rPr>
                <w:rFonts w:ascii="Calibri" w:hAnsi="Calibri"/>
                <w:b/>
                <w:bCs/>
                <w:i/>
                <w:iCs/>
                <w:sz w:val="18"/>
                <w:szCs w:val="18"/>
              </w:rPr>
            </w:pPr>
            <w:r>
              <w:rPr>
                <w:b/>
                <w:bCs/>
                <w:i/>
                <w:iCs/>
                <w:sz w:val="18"/>
                <w:szCs w:val="18"/>
              </w:rPr>
              <w:t>N = number of subjects included in each group</w:t>
            </w:r>
          </w:p>
          <w:p w:rsidR="002A0A88" w:rsidRDefault="002A0A88" w:rsidP="00F04A5A">
            <w:pPr>
              <w:rPr>
                <w:b/>
                <w:bCs/>
                <w:i/>
                <w:iCs/>
                <w:sz w:val="18"/>
                <w:szCs w:val="18"/>
              </w:rPr>
            </w:pPr>
            <w:r>
              <w:rPr>
                <w:b/>
                <w:bCs/>
                <w:i/>
                <w:iCs/>
                <w:sz w:val="18"/>
                <w:szCs w:val="18"/>
              </w:rPr>
              <w:t>n = number of cases</w:t>
            </w:r>
          </w:p>
          <w:p w:rsidR="002A0A88" w:rsidRDefault="002A0A88" w:rsidP="00F04A5A">
            <w:pPr>
              <w:pStyle w:val="LBLTableFootnotes"/>
              <w:spacing w:line="240" w:lineRule="auto"/>
              <w:ind w:left="272" w:hanging="272"/>
              <w:rPr>
                <w:b/>
                <w:bCs/>
                <w:i/>
                <w:iCs/>
                <w:sz w:val="18"/>
                <w:szCs w:val="18"/>
                <w:lang w:eastAsia="en-AU"/>
              </w:rPr>
            </w:pPr>
            <w:r>
              <w:rPr>
                <w:b/>
                <w:bCs/>
                <w:i/>
                <w:iCs/>
                <w:sz w:val="18"/>
                <w:szCs w:val="18"/>
                <w:vertAlign w:val="superscript"/>
              </w:rPr>
              <w:t>(1)</w:t>
            </w:r>
            <w:r>
              <w:rPr>
                <w:b/>
                <w:bCs/>
                <w:i/>
                <w:iCs/>
                <w:sz w:val="18"/>
                <w:szCs w:val="18"/>
              </w:rPr>
              <w:t xml:space="preserve"> TVC naïve: includes all vaccinated subjects (who received at least one dose of vaccine) who had normal cytology, were HPV DNA negative for 14 oncogenic HPV types and seronegative for HPV-16 and HPV-18 at baseline. </w:t>
            </w:r>
          </w:p>
          <w:p w:rsidR="002A0A88" w:rsidRDefault="002A0A88" w:rsidP="00F04A5A">
            <w:pPr>
              <w:rPr>
                <w:rFonts w:ascii="Calibri" w:hAnsi="Calibri"/>
                <w:b/>
                <w:bCs/>
                <w:i/>
                <w:iCs/>
                <w:snapToGrid w:val="0"/>
              </w:rPr>
            </w:pPr>
            <w:r>
              <w:rPr>
                <w:b/>
                <w:bCs/>
                <w:i/>
                <w:iCs/>
                <w:sz w:val="18"/>
                <w:szCs w:val="18"/>
                <w:vertAlign w:val="superscript"/>
              </w:rPr>
              <w:t>(2)</w:t>
            </w:r>
            <w:r>
              <w:rPr>
                <w:b/>
                <w:bCs/>
                <w:i/>
                <w:iCs/>
                <w:sz w:val="18"/>
                <w:szCs w:val="18"/>
              </w:rPr>
              <w:t xml:space="preserve"> TVC: includes all vaccinated subjects (who received at least one dose of vaccine).</w:t>
            </w:r>
            <w:r>
              <w:rPr>
                <w:b/>
                <w:bCs/>
                <w:i/>
                <w:iCs/>
              </w:rPr>
              <w:t xml:space="preserve"> </w:t>
            </w:r>
          </w:p>
        </w:tc>
      </w:tr>
    </w:tbl>
    <w:p w:rsidR="002A0A88" w:rsidRDefault="002A0A88" w:rsidP="00224E37">
      <w:pPr>
        <w:tabs>
          <w:tab w:val="left" w:pos="0"/>
        </w:tabs>
        <w:spacing w:line="240" w:lineRule="auto"/>
        <w:rPr>
          <w:b/>
          <w:sz w:val="24"/>
          <w:szCs w:val="24"/>
        </w:rPr>
      </w:pPr>
    </w:p>
    <w:p w:rsidR="005B7E36" w:rsidRDefault="00A15698" w:rsidP="005B7E36">
      <w:pPr>
        <w:autoSpaceDE w:val="0"/>
        <w:autoSpaceDN w:val="0"/>
        <w:spacing w:line="360" w:lineRule="exact"/>
        <w:rPr>
          <w:rFonts w:ascii="Arial" w:hAnsi="Arial" w:cs="Arial"/>
          <w:sz w:val="24"/>
          <w:szCs w:val="24"/>
        </w:rPr>
      </w:pPr>
      <w:r w:rsidRPr="003809C4">
        <w:rPr>
          <w:rFonts w:ascii="Arial" w:hAnsi="Arial" w:cs="Arial"/>
          <w:sz w:val="24"/>
          <w:szCs w:val="24"/>
        </w:rPr>
        <w:t xml:space="preserve">At the end of study analysis, </w:t>
      </w:r>
      <w:r w:rsidR="00984B2C">
        <w:rPr>
          <w:rFonts w:ascii="Arial" w:hAnsi="Arial" w:cs="Arial"/>
          <w:sz w:val="24"/>
          <w:szCs w:val="24"/>
        </w:rPr>
        <w:t xml:space="preserve">CERVARIX </w:t>
      </w:r>
      <w:r w:rsidRPr="003809C4">
        <w:rPr>
          <w:rFonts w:ascii="Arial" w:hAnsi="Arial" w:cs="Arial"/>
          <w:sz w:val="24"/>
          <w:szCs w:val="24"/>
        </w:rPr>
        <w:t>reduced definitive cervical therapy procedures (includes loop electrosurgical excision procedure [LEEP], cold-knife Cone, and laser procedures) by 70.2% (95% CI: 57.8</w:t>
      </w:r>
      <w:proofErr w:type="gramStart"/>
      <w:r w:rsidRPr="003809C4">
        <w:rPr>
          <w:rFonts w:ascii="Arial" w:hAnsi="Arial" w:cs="Arial"/>
          <w:sz w:val="24"/>
          <w:szCs w:val="24"/>
        </w:rPr>
        <w:t>;79.3</w:t>
      </w:r>
      <w:proofErr w:type="gramEnd"/>
      <w:r w:rsidRPr="003809C4">
        <w:rPr>
          <w:rFonts w:ascii="Arial" w:hAnsi="Arial" w:cs="Arial"/>
          <w:sz w:val="24"/>
          <w:szCs w:val="24"/>
        </w:rPr>
        <w:t>) in TVC-naïve and 33.2% (95% CI: 20.8;43.7) in TVC.</w:t>
      </w:r>
    </w:p>
    <w:p w:rsidR="00671D56" w:rsidRDefault="00671D56" w:rsidP="005B7E36">
      <w:pPr>
        <w:autoSpaceDE w:val="0"/>
        <w:autoSpaceDN w:val="0"/>
        <w:spacing w:line="360" w:lineRule="exact"/>
        <w:rPr>
          <w:rFonts w:ascii="Arial" w:hAnsi="Arial" w:cs="Arial"/>
          <w:sz w:val="24"/>
          <w:szCs w:val="24"/>
        </w:rPr>
      </w:pPr>
    </w:p>
    <w:p w:rsidR="00CC6850" w:rsidRPr="00CC6850" w:rsidRDefault="00CC6850" w:rsidP="00224E37">
      <w:pPr>
        <w:spacing w:line="360" w:lineRule="exact"/>
        <w:rPr>
          <w:rFonts w:ascii="Arial" w:hAnsi="Arial" w:cs="Arial"/>
          <w:b/>
          <w:sz w:val="24"/>
          <w:szCs w:val="24"/>
        </w:rPr>
      </w:pPr>
      <w:r w:rsidRPr="00CC6850">
        <w:rPr>
          <w:rFonts w:ascii="Arial" w:hAnsi="Arial" w:cs="Arial"/>
          <w:b/>
          <w:sz w:val="24"/>
          <w:szCs w:val="24"/>
        </w:rPr>
        <w:lastRenderedPageBreak/>
        <w:t>Clinical efficacy in women aged 26 years and older</w:t>
      </w:r>
    </w:p>
    <w:p w:rsidR="00CC6850" w:rsidRDefault="00CC6850" w:rsidP="00224E37">
      <w:pPr>
        <w:spacing w:line="360" w:lineRule="exact"/>
        <w:rPr>
          <w:rFonts w:ascii="Arial" w:hAnsi="Arial" w:cs="Arial"/>
          <w:sz w:val="24"/>
          <w:szCs w:val="24"/>
        </w:rPr>
      </w:pPr>
      <w:r w:rsidRPr="00CC6850">
        <w:rPr>
          <w:rFonts w:ascii="Arial" w:hAnsi="Arial" w:cs="Arial"/>
          <w:sz w:val="24"/>
          <w:szCs w:val="24"/>
        </w:rPr>
        <w:t xml:space="preserve">The efficacy of </w:t>
      </w:r>
      <w:r w:rsidR="00984B2C">
        <w:rPr>
          <w:rFonts w:ascii="Arial" w:hAnsi="Arial" w:cs="Arial"/>
          <w:sz w:val="24"/>
          <w:szCs w:val="24"/>
        </w:rPr>
        <w:t xml:space="preserve">CERVARIX </w:t>
      </w:r>
      <w:r w:rsidRPr="00CC6850">
        <w:rPr>
          <w:rFonts w:ascii="Arial" w:hAnsi="Arial" w:cs="Arial"/>
          <w:sz w:val="24"/>
          <w:szCs w:val="24"/>
        </w:rPr>
        <w:t xml:space="preserve">was assessed in a double-blind, randomised Phase III clinical trial (HPV-015) that included a total of 5777 women aged 26 years and older. The study was conducted in North America, Latin America, Asia </w:t>
      </w:r>
      <w:r w:rsidRPr="00921249">
        <w:rPr>
          <w:rFonts w:ascii="Arial" w:hAnsi="Arial" w:cs="Arial"/>
          <w:sz w:val="24"/>
          <w:szCs w:val="24"/>
        </w:rPr>
        <w:t xml:space="preserve">Pacific </w:t>
      </w:r>
      <w:r w:rsidR="00190E61" w:rsidRPr="00921249">
        <w:rPr>
          <w:rFonts w:ascii="Arial" w:hAnsi="Arial" w:cs="Arial"/>
          <w:sz w:val="24"/>
          <w:szCs w:val="24"/>
        </w:rPr>
        <w:t>(including Australia)</w:t>
      </w:r>
      <w:r w:rsidR="00190E61">
        <w:rPr>
          <w:rFonts w:ascii="Arial" w:hAnsi="Arial" w:cs="Arial"/>
          <w:sz w:val="24"/>
          <w:szCs w:val="24"/>
        </w:rPr>
        <w:t xml:space="preserve"> </w:t>
      </w:r>
      <w:r w:rsidRPr="00CC6850">
        <w:rPr>
          <w:rFonts w:ascii="Arial" w:hAnsi="Arial" w:cs="Arial"/>
          <w:sz w:val="24"/>
          <w:szCs w:val="24"/>
        </w:rPr>
        <w:t>and Europe, and allowed women with previous history of HPV disease/infection to be enrolled. An interim analysis was performed when all subjects had completed the month 48 study visit.</w:t>
      </w:r>
    </w:p>
    <w:p w:rsidR="000A7C16" w:rsidRDefault="000A7C16" w:rsidP="002312C8">
      <w:pPr>
        <w:spacing w:line="360" w:lineRule="exact"/>
        <w:rPr>
          <w:rFonts w:ascii="Arial" w:hAnsi="Arial" w:cs="Arial"/>
          <w:sz w:val="24"/>
          <w:szCs w:val="24"/>
        </w:rPr>
      </w:pPr>
    </w:p>
    <w:p w:rsidR="002312C8" w:rsidRPr="002312C8" w:rsidRDefault="000A7C16" w:rsidP="002312C8">
      <w:pPr>
        <w:spacing w:line="360" w:lineRule="exact"/>
        <w:rPr>
          <w:rFonts w:ascii="Arial" w:hAnsi="Arial" w:cs="Arial"/>
          <w:sz w:val="24"/>
          <w:szCs w:val="24"/>
        </w:rPr>
      </w:pPr>
      <w:r>
        <w:rPr>
          <w:rFonts w:ascii="Arial" w:hAnsi="Arial" w:cs="Arial"/>
          <w:sz w:val="24"/>
          <w:szCs w:val="24"/>
        </w:rPr>
        <w:t>The primary objectives of HPV-015 were t</w:t>
      </w:r>
      <w:r w:rsidR="002312C8" w:rsidRPr="002312C8">
        <w:rPr>
          <w:rFonts w:ascii="Arial" w:hAnsi="Arial" w:cs="Arial"/>
          <w:sz w:val="24"/>
          <w:szCs w:val="24"/>
        </w:rPr>
        <w:t>o demonstrate vaccine efficacy in the prevention of:</w:t>
      </w:r>
    </w:p>
    <w:p w:rsidR="002312C8" w:rsidRPr="000A7C16" w:rsidRDefault="002312C8" w:rsidP="000A7C16">
      <w:pPr>
        <w:pStyle w:val="ListParagraph"/>
        <w:numPr>
          <w:ilvl w:val="0"/>
          <w:numId w:val="22"/>
        </w:numPr>
        <w:spacing w:line="360" w:lineRule="exact"/>
        <w:rPr>
          <w:rFonts w:ascii="Arial" w:hAnsi="Arial" w:cs="Arial"/>
          <w:sz w:val="24"/>
          <w:szCs w:val="24"/>
        </w:rPr>
      </w:pPr>
      <w:r w:rsidRPr="000A7C16">
        <w:rPr>
          <w:rFonts w:ascii="Arial" w:hAnsi="Arial" w:cs="Arial"/>
          <w:sz w:val="24"/>
          <w:szCs w:val="24"/>
        </w:rPr>
        <w:t>Persistent infection (6- month definition) with HPV-16 or HPV-18 (by polymerase chain reaction [PCR]) and/or</w:t>
      </w:r>
    </w:p>
    <w:p w:rsidR="002312C8" w:rsidRPr="000A7C16" w:rsidRDefault="002312C8" w:rsidP="002312C8">
      <w:pPr>
        <w:pStyle w:val="ListParagraph"/>
        <w:numPr>
          <w:ilvl w:val="0"/>
          <w:numId w:val="22"/>
        </w:numPr>
        <w:spacing w:line="360" w:lineRule="exact"/>
        <w:rPr>
          <w:rFonts w:ascii="Arial" w:hAnsi="Arial" w:cs="Arial"/>
          <w:sz w:val="24"/>
          <w:szCs w:val="24"/>
        </w:rPr>
      </w:pPr>
      <w:proofErr w:type="spellStart"/>
      <w:r w:rsidRPr="000A7C16">
        <w:rPr>
          <w:rFonts w:ascii="Arial" w:hAnsi="Arial" w:cs="Arial"/>
          <w:sz w:val="24"/>
          <w:szCs w:val="24"/>
        </w:rPr>
        <w:t>histopathologically</w:t>
      </w:r>
      <w:proofErr w:type="spellEnd"/>
      <w:r w:rsidRPr="000A7C16">
        <w:rPr>
          <w:rFonts w:ascii="Arial" w:hAnsi="Arial" w:cs="Arial"/>
          <w:sz w:val="24"/>
          <w:szCs w:val="24"/>
        </w:rPr>
        <w:t xml:space="preserve"> confirmed cervical intraepithelial neoplasia (CIN)1+ (defined as CIN1, CIN2, CIN3, adenocarcinoma in-situ [AIS] or invasive cervical cancer) associated with HPV-16 or HPV-18 cervical infection detected by PCR within the</w:t>
      </w:r>
      <w:r w:rsidR="000A7C16">
        <w:rPr>
          <w:rFonts w:ascii="Arial" w:hAnsi="Arial" w:cs="Arial"/>
          <w:sz w:val="24"/>
          <w:szCs w:val="24"/>
        </w:rPr>
        <w:t xml:space="preserve"> </w:t>
      </w:r>
      <w:proofErr w:type="spellStart"/>
      <w:r w:rsidRPr="000A7C16">
        <w:rPr>
          <w:rFonts w:ascii="Arial" w:hAnsi="Arial" w:cs="Arial"/>
          <w:sz w:val="24"/>
          <w:szCs w:val="24"/>
        </w:rPr>
        <w:t>lesional</w:t>
      </w:r>
      <w:proofErr w:type="spellEnd"/>
      <w:r w:rsidRPr="000A7C16">
        <w:rPr>
          <w:rFonts w:ascii="Arial" w:hAnsi="Arial" w:cs="Arial"/>
          <w:sz w:val="24"/>
          <w:szCs w:val="24"/>
        </w:rPr>
        <w:t xml:space="preserve"> component of the cervical tissue specimen, overall and stratified according to initial HPV-16 or HPV-18 </w:t>
      </w:r>
      <w:proofErr w:type="spellStart"/>
      <w:r w:rsidRPr="000A7C16">
        <w:rPr>
          <w:rFonts w:ascii="Arial" w:hAnsi="Arial" w:cs="Arial"/>
          <w:sz w:val="24"/>
          <w:szCs w:val="24"/>
        </w:rPr>
        <w:t>serostatus</w:t>
      </w:r>
      <w:proofErr w:type="spellEnd"/>
      <w:r w:rsidRPr="000A7C16">
        <w:rPr>
          <w:rFonts w:ascii="Arial" w:hAnsi="Arial" w:cs="Arial"/>
          <w:sz w:val="24"/>
          <w:szCs w:val="24"/>
        </w:rPr>
        <w:t xml:space="preserve"> detected by enzyme-linked </w:t>
      </w:r>
      <w:proofErr w:type="spellStart"/>
      <w:r w:rsidRPr="000A7C16">
        <w:rPr>
          <w:rFonts w:ascii="Arial" w:hAnsi="Arial" w:cs="Arial"/>
          <w:sz w:val="24"/>
          <w:szCs w:val="24"/>
        </w:rPr>
        <w:t>immunosorbent</w:t>
      </w:r>
      <w:proofErr w:type="spellEnd"/>
      <w:r w:rsidR="000A7C16">
        <w:rPr>
          <w:rFonts w:ascii="Arial" w:hAnsi="Arial" w:cs="Arial"/>
          <w:sz w:val="24"/>
          <w:szCs w:val="24"/>
        </w:rPr>
        <w:t xml:space="preserve"> </w:t>
      </w:r>
      <w:r w:rsidRPr="000A7C16">
        <w:rPr>
          <w:rFonts w:ascii="Arial" w:hAnsi="Arial" w:cs="Arial"/>
          <w:sz w:val="24"/>
          <w:szCs w:val="24"/>
        </w:rPr>
        <w:t>assay (ELISA).</w:t>
      </w:r>
    </w:p>
    <w:p w:rsidR="000A7C16" w:rsidRDefault="000A7C16" w:rsidP="002312C8">
      <w:pPr>
        <w:spacing w:line="360" w:lineRule="exact"/>
        <w:rPr>
          <w:rFonts w:ascii="Arial" w:hAnsi="Arial" w:cs="Arial"/>
          <w:sz w:val="24"/>
          <w:szCs w:val="24"/>
        </w:rPr>
      </w:pPr>
    </w:p>
    <w:p w:rsidR="002312C8" w:rsidRDefault="002312C8" w:rsidP="002312C8">
      <w:pPr>
        <w:spacing w:line="360" w:lineRule="exact"/>
        <w:rPr>
          <w:rFonts w:ascii="Arial" w:hAnsi="Arial" w:cs="Arial"/>
          <w:sz w:val="24"/>
          <w:szCs w:val="24"/>
        </w:rPr>
      </w:pPr>
      <w:r w:rsidRPr="002312C8">
        <w:rPr>
          <w:rFonts w:ascii="Arial" w:hAnsi="Arial" w:cs="Arial"/>
          <w:sz w:val="24"/>
          <w:szCs w:val="24"/>
        </w:rPr>
        <w:t xml:space="preserve">If efficacy was demonstrated, the primary objectives were assessed sequentially using the HPV type assignment algorithm (HPV TAA), overall and stratified according to initial (Month 0) HPV-16 or HPV-18 </w:t>
      </w:r>
      <w:proofErr w:type="spellStart"/>
      <w:r w:rsidRPr="002312C8">
        <w:rPr>
          <w:rFonts w:ascii="Arial" w:hAnsi="Arial" w:cs="Arial"/>
          <w:sz w:val="24"/>
          <w:szCs w:val="24"/>
        </w:rPr>
        <w:t>serostatus</w:t>
      </w:r>
      <w:proofErr w:type="spellEnd"/>
      <w:r w:rsidRPr="002312C8">
        <w:rPr>
          <w:rFonts w:ascii="Arial" w:hAnsi="Arial" w:cs="Arial"/>
          <w:sz w:val="24"/>
          <w:szCs w:val="24"/>
        </w:rPr>
        <w:t xml:space="preserve"> (by ELISA).</w:t>
      </w:r>
    </w:p>
    <w:p w:rsidR="000A7C16" w:rsidRPr="002312C8" w:rsidRDefault="000A7C16" w:rsidP="002312C8">
      <w:pPr>
        <w:spacing w:line="360" w:lineRule="exact"/>
        <w:rPr>
          <w:rFonts w:ascii="Arial" w:hAnsi="Arial" w:cs="Arial"/>
          <w:sz w:val="24"/>
          <w:szCs w:val="24"/>
        </w:rPr>
      </w:pPr>
    </w:p>
    <w:p w:rsidR="000A7C16" w:rsidRDefault="002312C8" w:rsidP="002312C8">
      <w:pPr>
        <w:spacing w:line="360" w:lineRule="exact"/>
        <w:rPr>
          <w:rFonts w:ascii="Arial" w:hAnsi="Arial" w:cs="Arial"/>
          <w:sz w:val="24"/>
          <w:szCs w:val="24"/>
        </w:rPr>
      </w:pPr>
      <w:r w:rsidRPr="002312C8">
        <w:rPr>
          <w:rFonts w:ascii="Arial" w:hAnsi="Arial" w:cs="Arial"/>
          <w:sz w:val="24"/>
          <w:szCs w:val="24"/>
        </w:rPr>
        <w:t xml:space="preserve">The HPV type assignment algorithm (HPV TAA) was developed to detect the causally associated types in case multiple HPV types were detected in the lesions. The following rules applied: </w:t>
      </w:r>
    </w:p>
    <w:p w:rsidR="002312C8" w:rsidRDefault="002312C8" w:rsidP="000A7C16">
      <w:pPr>
        <w:pStyle w:val="ListParagraph"/>
        <w:numPr>
          <w:ilvl w:val="0"/>
          <w:numId w:val="23"/>
        </w:numPr>
        <w:spacing w:line="360" w:lineRule="exact"/>
        <w:rPr>
          <w:rFonts w:ascii="Arial" w:hAnsi="Arial" w:cs="Arial"/>
          <w:sz w:val="24"/>
          <w:szCs w:val="24"/>
        </w:rPr>
      </w:pPr>
      <w:r w:rsidRPr="000A7C16">
        <w:rPr>
          <w:rFonts w:ascii="Arial" w:hAnsi="Arial" w:cs="Arial"/>
          <w:sz w:val="24"/>
          <w:szCs w:val="24"/>
        </w:rPr>
        <w:t>If more than one HPV type was found in a lesion, the presence of HPV types in the two immediately preceding cytology samples were to be evaluated:</w:t>
      </w:r>
    </w:p>
    <w:p w:rsidR="002312C8" w:rsidRDefault="002312C8" w:rsidP="002312C8">
      <w:pPr>
        <w:pStyle w:val="ListParagraph"/>
        <w:numPr>
          <w:ilvl w:val="1"/>
          <w:numId w:val="23"/>
        </w:numPr>
        <w:spacing w:line="360" w:lineRule="exact"/>
        <w:rPr>
          <w:rFonts w:ascii="Arial" w:hAnsi="Arial" w:cs="Arial"/>
          <w:sz w:val="24"/>
          <w:szCs w:val="24"/>
        </w:rPr>
      </w:pPr>
      <w:r w:rsidRPr="000A7C16">
        <w:rPr>
          <w:rFonts w:ascii="Arial" w:hAnsi="Arial" w:cs="Arial"/>
          <w:sz w:val="24"/>
          <w:szCs w:val="24"/>
        </w:rPr>
        <w:t>The HPV types present in both the lesion and in at least one of the two immediately preceding cytology samples were considered to be associated with that lesion.</w:t>
      </w:r>
    </w:p>
    <w:p w:rsidR="00CC7B0F" w:rsidRDefault="002312C8" w:rsidP="00CC7B0F">
      <w:pPr>
        <w:pStyle w:val="ListParagraph"/>
        <w:numPr>
          <w:ilvl w:val="1"/>
          <w:numId w:val="23"/>
        </w:numPr>
        <w:spacing w:line="360" w:lineRule="exact"/>
        <w:rPr>
          <w:rFonts w:ascii="Arial" w:hAnsi="Arial" w:cs="Arial"/>
          <w:sz w:val="24"/>
          <w:szCs w:val="24"/>
        </w:rPr>
      </w:pPr>
      <w:r w:rsidRPr="000A7C16">
        <w:rPr>
          <w:rFonts w:ascii="Arial" w:hAnsi="Arial" w:cs="Arial"/>
          <w:sz w:val="24"/>
          <w:szCs w:val="24"/>
        </w:rPr>
        <w:t xml:space="preserve">In case none of the HPV types present in the lesion was found in any of the two immediately preceding cytology samples, then the HPV types present in the lesion was considered to be associated with that lesion. </w:t>
      </w:r>
    </w:p>
    <w:p w:rsidR="00CC6850" w:rsidRPr="00CC7B0F" w:rsidRDefault="002312C8" w:rsidP="00CC7B0F">
      <w:pPr>
        <w:pStyle w:val="ListParagraph"/>
        <w:numPr>
          <w:ilvl w:val="0"/>
          <w:numId w:val="23"/>
        </w:numPr>
        <w:spacing w:line="360" w:lineRule="exact"/>
        <w:rPr>
          <w:rFonts w:ascii="Arial" w:hAnsi="Arial" w:cs="Arial"/>
          <w:sz w:val="24"/>
          <w:szCs w:val="24"/>
        </w:rPr>
      </w:pPr>
      <w:r w:rsidRPr="000A7C16">
        <w:rPr>
          <w:rFonts w:ascii="Arial" w:hAnsi="Arial" w:cs="Arial"/>
          <w:sz w:val="24"/>
          <w:szCs w:val="24"/>
        </w:rPr>
        <w:t>I</w:t>
      </w:r>
      <w:r w:rsidRPr="00CC7B0F">
        <w:rPr>
          <w:rFonts w:ascii="Arial" w:hAnsi="Arial" w:cs="Arial"/>
          <w:sz w:val="24"/>
          <w:szCs w:val="24"/>
        </w:rPr>
        <w:t>f only a single HPV type was found in a lesion, then this type was considered to be associated with the lesion.</w:t>
      </w:r>
    </w:p>
    <w:p w:rsidR="002312C8" w:rsidRDefault="002312C8" w:rsidP="00224E37">
      <w:pPr>
        <w:spacing w:line="360" w:lineRule="exact"/>
        <w:rPr>
          <w:rFonts w:ascii="Arial" w:hAnsi="Arial" w:cs="Arial"/>
          <w:sz w:val="24"/>
          <w:szCs w:val="24"/>
        </w:rPr>
      </w:pPr>
    </w:p>
    <w:p w:rsidR="00CC7B0F" w:rsidRDefault="00CC7B0F" w:rsidP="00CC7B0F">
      <w:pPr>
        <w:spacing w:line="360" w:lineRule="exact"/>
        <w:rPr>
          <w:rFonts w:ascii="Arial" w:hAnsi="Arial" w:cs="Arial"/>
          <w:sz w:val="24"/>
          <w:szCs w:val="24"/>
        </w:rPr>
      </w:pPr>
      <w:r w:rsidRPr="00CC7B0F">
        <w:rPr>
          <w:rFonts w:ascii="Arial" w:hAnsi="Arial" w:cs="Arial"/>
          <w:sz w:val="24"/>
          <w:szCs w:val="24"/>
        </w:rPr>
        <w:t xml:space="preserve">Persistent cervical HPV infection (6-month definition) was defined as the detection of the same HPV type by PCR in cervical samples at two consecutive evaluations over </w:t>
      </w:r>
      <w:r w:rsidRPr="00CC7B0F">
        <w:rPr>
          <w:rFonts w:ascii="Arial" w:hAnsi="Arial" w:cs="Arial"/>
          <w:sz w:val="24"/>
          <w:szCs w:val="24"/>
        </w:rPr>
        <w:lastRenderedPageBreak/>
        <w:t>approximately a 6-month interval.</w:t>
      </w:r>
    </w:p>
    <w:p w:rsidR="00965A73" w:rsidRPr="00CC7B0F" w:rsidRDefault="00965A73" w:rsidP="00CC7B0F">
      <w:pPr>
        <w:spacing w:line="360" w:lineRule="exact"/>
        <w:rPr>
          <w:rFonts w:ascii="Arial" w:hAnsi="Arial" w:cs="Arial"/>
          <w:sz w:val="24"/>
          <w:szCs w:val="24"/>
        </w:rPr>
      </w:pPr>
    </w:p>
    <w:p w:rsidR="00CC7B0F" w:rsidRDefault="00CC7B0F" w:rsidP="00CC7B0F">
      <w:pPr>
        <w:spacing w:line="360" w:lineRule="exact"/>
        <w:rPr>
          <w:rFonts w:ascii="Arial" w:hAnsi="Arial" w:cs="Arial"/>
          <w:sz w:val="24"/>
          <w:szCs w:val="24"/>
        </w:rPr>
      </w:pPr>
      <w:r w:rsidRPr="00CC7B0F">
        <w:rPr>
          <w:rFonts w:ascii="Arial" w:hAnsi="Arial" w:cs="Arial"/>
          <w:sz w:val="24"/>
          <w:szCs w:val="24"/>
        </w:rPr>
        <w:t>CIN1+ is defined as CIN1, CIN2, CIN3, AIS or invasive cervical cancer.</w:t>
      </w:r>
    </w:p>
    <w:p w:rsidR="00921249" w:rsidRDefault="00921249" w:rsidP="00CC7B0F">
      <w:pPr>
        <w:spacing w:line="360" w:lineRule="exact"/>
        <w:rPr>
          <w:rFonts w:ascii="Arial" w:hAnsi="Arial" w:cs="Arial"/>
          <w:sz w:val="24"/>
          <w:szCs w:val="24"/>
        </w:rPr>
      </w:pPr>
    </w:p>
    <w:p w:rsidR="00CC7B0F" w:rsidRDefault="00CC7B0F" w:rsidP="00CC7B0F">
      <w:pPr>
        <w:spacing w:line="360" w:lineRule="exact"/>
        <w:rPr>
          <w:rFonts w:ascii="Arial" w:hAnsi="Arial" w:cs="Arial"/>
          <w:sz w:val="24"/>
          <w:szCs w:val="24"/>
        </w:rPr>
      </w:pPr>
      <w:r w:rsidRPr="00CC6850">
        <w:rPr>
          <w:rFonts w:ascii="Arial" w:hAnsi="Arial" w:cs="Arial"/>
          <w:sz w:val="24"/>
          <w:szCs w:val="24"/>
        </w:rPr>
        <w:t>Vaccine efficacy against the combined primary endpoint (6 month persistent infection and/or CIN1+) associated with HPV-16/18 is summarised in the following table.</w:t>
      </w:r>
    </w:p>
    <w:p w:rsidR="00CC7B0F" w:rsidRDefault="00CC7B0F" w:rsidP="00224E37">
      <w:pPr>
        <w:spacing w:line="360" w:lineRule="exact"/>
        <w:rPr>
          <w:rFonts w:ascii="Arial" w:hAnsi="Arial" w:cs="Arial"/>
          <w:sz w:val="24"/>
          <w:szCs w:val="24"/>
        </w:rPr>
      </w:pPr>
    </w:p>
    <w:p w:rsidR="00CC6850" w:rsidRPr="00921249" w:rsidRDefault="001B0F4B" w:rsidP="00CC6850">
      <w:pPr>
        <w:spacing w:line="240" w:lineRule="auto"/>
        <w:rPr>
          <w:rFonts w:ascii="Arial" w:hAnsi="Arial" w:cs="Arial"/>
          <w:sz w:val="24"/>
          <w:szCs w:val="24"/>
        </w:rPr>
      </w:pPr>
      <w:r w:rsidRPr="00921249">
        <w:rPr>
          <w:b/>
          <w:sz w:val="24"/>
          <w:szCs w:val="24"/>
        </w:rPr>
        <w:t>Table 10</w:t>
      </w:r>
      <w:r w:rsidR="00CC6850" w:rsidRPr="00921249">
        <w:rPr>
          <w:b/>
          <w:sz w:val="24"/>
          <w:szCs w:val="24"/>
        </w:rPr>
        <w:t xml:space="preserve">: Vaccine efficacy </w:t>
      </w:r>
      <w:r w:rsidR="00E0055C" w:rsidRPr="00921249">
        <w:rPr>
          <w:b/>
          <w:sz w:val="24"/>
          <w:szCs w:val="24"/>
        </w:rPr>
        <w:t xml:space="preserve">at the 48 month time point </w:t>
      </w:r>
      <w:r w:rsidR="00CC6850" w:rsidRPr="00921249">
        <w:rPr>
          <w:b/>
          <w:sz w:val="24"/>
          <w:szCs w:val="24"/>
        </w:rPr>
        <w:t>against 6</w:t>
      </w:r>
      <w:r w:rsidR="00F246E0" w:rsidRPr="00921249">
        <w:rPr>
          <w:b/>
          <w:sz w:val="24"/>
          <w:szCs w:val="24"/>
        </w:rPr>
        <w:t xml:space="preserve"> month</w:t>
      </w:r>
      <w:r w:rsidR="00CC6850" w:rsidRPr="00921249">
        <w:rPr>
          <w:b/>
          <w:sz w:val="24"/>
          <w:szCs w:val="24"/>
        </w:rPr>
        <w:t xml:space="preserve"> </w:t>
      </w:r>
      <w:r w:rsidR="00110099" w:rsidRPr="00921249">
        <w:rPr>
          <w:b/>
          <w:sz w:val="24"/>
          <w:szCs w:val="24"/>
        </w:rPr>
        <w:t>persistent infection</w:t>
      </w:r>
      <w:r w:rsidR="00CC6850" w:rsidRPr="00921249">
        <w:rPr>
          <w:b/>
          <w:sz w:val="24"/>
          <w:szCs w:val="24"/>
        </w:rPr>
        <w:t xml:space="preserve"> and/or CIN1+ associated with HPV 16/18 in ATP and TVC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84"/>
        <w:gridCol w:w="1328"/>
        <w:gridCol w:w="1382"/>
        <w:gridCol w:w="1484"/>
        <w:gridCol w:w="1328"/>
        <w:gridCol w:w="1376"/>
      </w:tblGrid>
      <w:tr w:rsidR="0097736E" w:rsidRPr="00921249" w:rsidTr="00110099">
        <w:trPr>
          <w:trHeight w:val="353"/>
        </w:trPr>
        <w:tc>
          <w:tcPr>
            <w:tcW w:w="747" w:type="pct"/>
            <w:vMerge w:val="restart"/>
          </w:tcPr>
          <w:p w:rsidR="0097736E" w:rsidRPr="00921249" w:rsidRDefault="0097736E" w:rsidP="00110099">
            <w:pPr>
              <w:jc w:val="center"/>
              <w:rPr>
                <w:b/>
                <w:i/>
              </w:rPr>
            </w:pPr>
          </w:p>
          <w:p w:rsidR="0097736E" w:rsidRPr="00921249" w:rsidRDefault="0097736E" w:rsidP="00110099">
            <w:pPr>
              <w:jc w:val="center"/>
              <w:rPr>
                <w:b/>
                <w:i/>
                <w:u w:val="single"/>
              </w:rPr>
            </w:pPr>
            <w:r w:rsidRPr="00921249">
              <w:rPr>
                <w:b/>
                <w:i/>
              </w:rPr>
              <w:t>HPV-16/18 endpoint</w:t>
            </w:r>
          </w:p>
        </w:tc>
        <w:tc>
          <w:tcPr>
            <w:tcW w:w="2128" w:type="pct"/>
            <w:gridSpan w:val="3"/>
          </w:tcPr>
          <w:p w:rsidR="0097736E" w:rsidRPr="00921249" w:rsidRDefault="0097736E" w:rsidP="00110099">
            <w:pPr>
              <w:jc w:val="center"/>
              <w:rPr>
                <w:b/>
                <w:i/>
                <w:u w:val="single"/>
              </w:rPr>
            </w:pPr>
            <w:r w:rsidRPr="00921249">
              <w:rPr>
                <w:b/>
                <w:i/>
              </w:rPr>
              <w:t>ATP</w:t>
            </w:r>
            <w:r w:rsidRPr="00921249">
              <w:rPr>
                <w:b/>
                <w:i/>
                <w:vertAlign w:val="superscript"/>
              </w:rPr>
              <w:t>(1)</w:t>
            </w:r>
          </w:p>
        </w:tc>
        <w:tc>
          <w:tcPr>
            <w:tcW w:w="2126" w:type="pct"/>
            <w:gridSpan w:val="3"/>
          </w:tcPr>
          <w:p w:rsidR="0097736E" w:rsidRPr="00921249" w:rsidRDefault="0097736E" w:rsidP="00110099">
            <w:pPr>
              <w:jc w:val="center"/>
              <w:rPr>
                <w:b/>
                <w:i/>
              </w:rPr>
            </w:pPr>
            <w:r w:rsidRPr="00921249">
              <w:rPr>
                <w:b/>
                <w:i/>
              </w:rPr>
              <w:t>TVC</w:t>
            </w:r>
            <w:r w:rsidRPr="00921249">
              <w:rPr>
                <w:b/>
                <w:i/>
                <w:vertAlign w:val="superscript"/>
              </w:rPr>
              <w:t>(2)</w:t>
            </w:r>
          </w:p>
        </w:tc>
      </w:tr>
      <w:tr w:rsidR="0097736E" w:rsidRPr="00921249" w:rsidTr="00110099">
        <w:trPr>
          <w:trHeight w:val="537"/>
        </w:trPr>
        <w:tc>
          <w:tcPr>
            <w:tcW w:w="747" w:type="pct"/>
            <w:vMerge/>
          </w:tcPr>
          <w:p w:rsidR="0097736E" w:rsidRPr="00921249" w:rsidRDefault="0097736E" w:rsidP="00110099">
            <w:pPr>
              <w:rPr>
                <w:b/>
                <w:i/>
                <w:u w:val="single"/>
              </w:rPr>
            </w:pPr>
          </w:p>
        </w:tc>
        <w:tc>
          <w:tcPr>
            <w:tcW w:w="753" w:type="pct"/>
          </w:tcPr>
          <w:p w:rsidR="0097736E" w:rsidRPr="00921249" w:rsidRDefault="0097736E" w:rsidP="00110099">
            <w:pPr>
              <w:jc w:val="center"/>
              <w:rPr>
                <w:b/>
                <w:i/>
              </w:rPr>
            </w:pPr>
            <w:r w:rsidRPr="00921249">
              <w:rPr>
                <w:b/>
                <w:i/>
              </w:rPr>
              <w:t>Cervarix</w:t>
            </w:r>
          </w:p>
        </w:tc>
        <w:tc>
          <w:tcPr>
            <w:tcW w:w="674" w:type="pct"/>
          </w:tcPr>
          <w:p w:rsidR="0097736E" w:rsidRPr="00921249" w:rsidRDefault="0097736E" w:rsidP="00110099">
            <w:pPr>
              <w:rPr>
                <w:b/>
                <w:i/>
              </w:rPr>
            </w:pPr>
            <w:r w:rsidRPr="00921249">
              <w:rPr>
                <w:b/>
                <w:i/>
              </w:rPr>
              <w:t>Control</w:t>
            </w:r>
          </w:p>
        </w:tc>
        <w:tc>
          <w:tcPr>
            <w:tcW w:w="701" w:type="pct"/>
            <w:vMerge w:val="restart"/>
          </w:tcPr>
          <w:p w:rsidR="0097736E" w:rsidRPr="00921249" w:rsidRDefault="0097736E" w:rsidP="00110099">
            <w:pPr>
              <w:jc w:val="center"/>
              <w:rPr>
                <w:b/>
                <w:i/>
              </w:rPr>
            </w:pPr>
            <w:r w:rsidRPr="00921249">
              <w:rPr>
                <w:b/>
                <w:i/>
              </w:rPr>
              <w:t>% Efficacy (97.7% CI)</w:t>
            </w:r>
          </w:p>
        </w:tc>
        <w:tc>
          <w:tcPr>
            <w:tcW w:w="753" w:type="pct"/>
          </w:tcPr>
          <w:p w:rsidR="0097736E" w:rsidRPr="00921249" w:rsidRDefault="0097736E" w:rsidP="00110099">
            <w:pPr>
              <w:jc w:val="center"/>
              <w:rPr>
                <w:b/>
                <w:i/>
              </w:rPr>
            </w:pPr>
            <w:r w:rsidRPr="00921249">
              <w:rPr>
                <w:b/>
                <w:i/>
              </w:rPr>
              <w:t>Cervarix</w:t>
            </w:r>
          </w:p>
        </w:tc>
        <w:tc>
          <w:tcPr>
            <w:tcW w:w="674" w:type="pct"/>
          </w:tcPr>
          <w:p w:rsidR="0097736E" w:rsidRPr="00921249" w:rsidRDefault="0097736E" w:rsidP="00110099">
            <w:pPr>
              <w:rPr>
                <w:b/>
                <w:i/>
              </w:rPr>
            </w:pPr>
            <w:r w:rsidRPr="00921249">
              <w:rPr>
                <w:b/>
                <w:i/>
              </w:rPr>
              <w:t>Control</w:t>
            </w:r>
          </w:p>
        </w:tc>
        <w:tc>
          <w:tcPr>
            <w:tcW w:w="699" w:type="pct"/>
            <w:vMerge w:val="restart"/>
          </w:tcPr>
          <w:p w:rsidR="0097736E" w:rsidRPr="00921249" w:rsidRDefault="0097736E" w:rsidP="00110099">
            <w:pPr>
              <w:jc w:val="center"/>
              <w:rPr>
                <w:b/>
                <w:i/>
                <w:u w:val="single"/>
              </w:rPr>
            </w:pPr>
            <w:r w:rsidRPr="00921249">
              <w:rPr>
                <w:b/>
                <w:i/>
              </w:rPr>
              <w:t>% Efficacy (97.7% CI)</w:t>
            </w:r>
          </w:p>
        </w:tc>
      </w:tr>
      <w:tr w:rsidR="0097736E" w:rsidRPr="00921249" w:rsidTr="00110099">
        <w:trPr>
          <w:trHeight w:val="297"/>
        </w:trPr>
        <w:tc>
          <w:tcPr>
            <w:tcW w:w="747" w:type="pct"/>
            <w:vMerge/>
          </w:tcPr>
          <w:p w:rsidR="0097736E" w:rsidRPr="00921249" w:rsidRDefault="0097736E" w:rsidP="00110099">
            <w:pPr>
              <w:rPr>
                <w:b/>
                <w:i/>
                <w:u w:val="single"/>
              </w:rPr>
            </w:pPr>
          </w:p>
        </w:tc>
        <w:tc>
          <w:tcPr>
            <w:tcW w:w="753" w:type="pct"/>
          </w:tcPr>
          <w:p w:rsidR="0097736E" w:rsidRPr="00921249" w:rsidRDefault="0097736E" w:rsidP="00110099">
            <w:pPr>
              <w:jc w:val="center"/>
              <w:rPr>
                <w:b/>
                <w:i/>
                <w:vertAlign w:val="superscript"/>
              </w:rPr>
            </w:pPr>
            <w:r w:rsidRPr="00921249">
              <w:rPr>
                <w:b/>
                <w:i/>
              </w:rPr>
              <w:t>N =1898</w:t>
            </w:r>
          </w:p>
        </w:tc>
        <w:tc>
          <w:tcPr>
            <w:tcW w:w="674" w:type="pct"/>
          </w:tcPr>
          <w:p w:rsidR="0097736E" w:rsidRPr="00921249" w:rsidRDefault="0097736E" w:rsidP="00110099">
            <w:pPr>
              <w:rPr>
                <w:b/>
                <w:i/>
              </w:rPr>
            </w:pPr>
            <w:r w:rsidRPr="00921249">
              <w:rPr>
                <w:b/>
                <w:i/>
              </w:rPr>
              <w:t>N=1854</w:t>
            </w:r>
          </w:p>
        </w:tc>
        <w:tc>
          <w:tcPr>
            <w:tcW w:w="701" w:type="pct"/>
            <w:vMerge/>
          </w:tcPr>
          <w:p w:rsidR="0097736E" w:rsidRPr="00921249" w:rsidRDefault="0097736E" w:rsidP="00110099">
            <w:pPr>
              <w:jc w:val="center"/>
              <w:rPr>
                <w:b/>
                <w:i/>
              </w:rPr>
            </w:pPr>
          </w:p>
        </w:tc>
        <w:tc>
          <w:tcPr>
            <w:tcW w:w="753" w:type="pct"/>
          </w:tcPr>
          <w:p w:rsidR="0097736E" w:rsidRPr="00921249" w:rsidRDefault="0097736E" w:rsidP="00110099">
            <w:pPr>
              <w:jc w:val="center"/>
              <w:rPr>
                <w:b/>
                <w:i/>
              </w:rPr>
            </w:pPr>
            <w:r w:rsidRPr="00921249">
              <w:rPr>
                <w:b/>
                <w:i/>
              </w:rPr>
              <w:t>N=2772</w:t>
            </w:r>
          </w:p>
        </w:tc>
        <w:tc>
          <w:tcPr>
            <w:tcW w:w="674" w:type="pct"/>
          </w:tcPr>
          <w:p w:rsidR="0097736E" w:rsidRPr="00921249" w:rsidRDefault="0097736E" w:rsidP="00110099">
            <w:pPr>
              <w:jc w:val="center"/>
              <w:rPr>
                <w:b/>
                <w:i/>
              </w:rPr>
            </w:pPr>
            <w:r w:rsidRPr="00921249">
              <w:rPr>
                <w:b/>
                <w:i/>
              </w:rPr>
              <w:t>N=2779</w:t>
            </w:r>
          </w:p>
        </w:tc>
        <w:tc>
          <w:tcPr>
            <w:tcW w:w="699" w:type="pct"/>
            <w:vMerge/>
          </w:tcPr>
          <w:p w:rsidR="0097736E" w:rsidRPr="00921249" w:rsidRDefault="0097736E" w:rsidP="00110099">
            <w:pPr>
              <w:jc w:val="center"/>
              <w:rPr>
                <w:b/>
                <w:i/>
                <w:u w:val="single"/>
              </w:rPr>
            </w:pPr>
          </w:p>
        </w:tc>
      </w:tr>
      <w:tr w:rsidR="0097736E" w:rsidRPr="00921249" w:rsidTr="00110099">
        <w:trPr>
          <w:trHeight w:val="271"/>
        </w:trPr>
        <w:tc>
          <w:tcPr>
            <w:tcW w:w="747" w:type="pct"/>
            <w:vMerge/>
          </w:tcPr>
          <w:p w:rsidR="0097736E" w:rsidRPr="00921249" w:rsidRDefault="0097736E" w:rsidP="00110099">
            <w:pPr>
              <w:rPr>
                <w:b/>
                <w:i/>
              </w:rPr>
            </w:pPr>
          </w:p>
        </w:tc>
        <w:tc>
          <w:tcPr>
            <w:tcW w:w="753" w:type="pct"/>
          </w:tcPr>
          <w:p w:rsidR="0097736E" w:rsidRPr="00921249" w:rsidRDefault="0097736E" w:rsidP="00110099">
            <w:pPr>
              <w:jc w:val="center"/>
              <w:rPr>
                <w:b/>
                <w:i/>
              </w:rPr>
            </w:pPr>
            <w:r w:rsidRPr="00921249">
              <w:rPr>
                <w:b/>
                <w:i/>
              </w:rPr>
              <w:t>n</w:t>
            </w:r>
          </w:p>
        </w:tc>
        <w:tc>
          <w:tcPr>
            <w:tcW w:w="674" w:type="pct"/>
          </w:tcPr>
          <w:p w:rsidR="0097736E" w:rsidRPr="00921249" w:rsidRDefault="0097736E" w:rsidP="00110099">
            <w:pPr>
              <w:jc w:val="center"/>
              <w:rPr>
                <w:b/>
                <w:i/>
              </w:rPr>
            </w:pPr>
            <w:r w:rsidRPr="00921249">
              <w:rPr>
                <w:b/>
                <w:i/>
              </w:rPr>
              <w:t>n</w:t>
            </w:r>
          </w:p>
        </w:tc>
        <w:tc>
          <w:tcPr>
            <w:tcW w:w="701" w:type="pct"/>
            <w:vMerge/>
          </w:tcPr>
          <w:p w:rsidR="0097736E" w:rsidRPr="00921249" w:rsidRDefault="0097736E" w:rsidP="00110099">
            <w:pPr>
              <w:jc w:val="center"/>
              <w:rPr>
                <w:b/>
                <w:i/>
              </w:rPr>
            </w:pPr>
          </w:p>
        </w:tc>
        <w:tc>
          <w:tcPr>
            <w:tcW w:w="753" w:type="pct"/>
          </w:tcPr>
          <w:p w:rsidR="0097736E" w:rsidRPr="00921249" w:rsidRDefault="0097736E" w:rsidP="00110099">
            <w:pPr>
              <w:jc w:val="center"/>
              <w:rPr>
                <w:b/>
                <w:i/>
              </w:rPr>
            </w:pPr>
            <w:r w:rsidRPr="00921249">
              <w:rPr>
                <w:b/>
                <w:i/>
              </w:rPr>
              <w:t>n</w:t>
            </w:r>
          </w:p>
        </w:tc>
        <w:tc>
          <w:tcPr>
            <w:tcW w:w="674" w:type="pct"/>
          </w:tcPr>
          <w:p w:rsidR="0097736E" w:rsidRPr="00921249" w:rsidRDefault="0097736E" w:rsidP="00110099">
            <w:pPr>
              <w:jc w:val="center"/>
              <w:rPr>
                <w:b/>
                <w:i/>
              </w:rPr>
            </w:pPr>
            <w:r w:rsidRPr="00921249">
              <w:rPr>
                <w:b/>
                <w:i/>
              </w:rPr>
              <w:t>n</w:t>
            </w:r>
          </w:p>
        </w:tc>
        <w:tc>
          <w:tcPr>
            <w:tcW w:w="699" w:type="pct"/>
            <w:vMerge/>
          </w:tcPr>
          <w:p w:rsidR="0097736E" w:rsidRPr="00921249" w:rsidRDefault="0097736E" w:rsidP="00110099">
            <w:pPr>
              <w:jc w:val="center"/>
              <w:rPr>
                <w:b/>
                <w:i/>
              </w:rPr>
            </w:pPr>
          </w:p>
        </w:tc>
      </w:tr>
      <w:tr w:rsidR="0097736E" w:rsidRPr="00921249" w:rsidTr="00110099">
        <w:trPr>
          <w:trHeight w:val="984"/>
        </w:trPr>
        <w:tc>
          <w:tcPr>
            <w:tcW w:w="747" w:type="pct"/>
          </w:tcPr>
          <w:p w:rsidR="0097736E" w:rsidRPr="00921249" w:rsidRDefault="0097736E" w:rsidP="00110099">
            <w:pPr>
              <w:jc w:val="center"/>
              <w:rPr>
                <w:b/>
                <w:i/>
              </w:rPr>
            </w:pPr>
            <w:r w:rsidRPr="00921249">
              <w:rPr>
                <w:b/>
                <w:i/>
              </w:rPr>
              <w:t>6M PI and/or CIN1+</w:t>
            </w:r>
          </w:p>
        </w:tc>
        <w:tc>
          <w:tcPr>
            <w:tcW w:w="753" w:type="pct"/>
          </w:tcPr>
          <w:p w:rsidR="0097736E" w:rsidRPr="00921249" w:rsidRDefault="0097736E" w:rsidP="00110099">
            <w:pPr>
              <w:jc w:val="center"/>
              <w:rPr>
                <w:b/>
                <w:i/>
              </w:rPr>
            </w:pPr>
            <w:r w:rsidRPr="00921249">
              <w:rPr>
                <w:b/>
                <w:i/>
              </w:rPr>
              <w:t>7</w:t>
            </w:r>
          </w:p>
        </w:tc>
        <w:tc>
          <w:tcPr>
            <w:tcW w:w="674" w:type="pct"/>
          </w:tcPr>
          <w:p w:rsidR="0097736E" w:rsidRPr="00921249" w:rsidRDefault="0097736E" w:rsidP="00110099">
            <w:pPr>
              <w:jc w:val="center"/>
              <w:rPr>
                <w:b/>
                <w:i/>
              </w:rPr>
            </w:pPr>
            <w:r w:rsidRPr="00921249">
              <w:rPr>
                <w:b/>
                <w:i/>
              </w:rPr>
              <w:t>36</w:t>
            </w:r>
          </w:p>
        </w:tc>
        <w:tc>
          <w:tcPr>
            <w:tcW w:w="701" w:type="pct"/>
          </w:tcPr>
          <w:p w:rsidR="0097736E" w:rsidRPr="00921249" w:rsidRDefault="0097736E" w:rsidP="00110099">
            <w:pPr>
              <w:jc w:val="center"/>
              <w:rPr>
                <w:b/>
                <w:i/>
              </w:rPr>
            </w:pPr>
            <w:r w:rsidRPr="00921249">
              <w:rPr>
                <w:b/>
                <w:i/>
              </w:rPr>
              <w:t>81.1% (52.1; 94.0)</w:t>
            </w:r>
          </w:p>
        </w:tc>
        <w:tc>
          <w:tcPr>
            <w:tcW w:w="753" w:type="pct"/>
          </w:tcPr>
          <w:p w:rsidR="0097736E" w:rsidRPr="00921249" w:rsidRDefault="0097736E" w:rsidP="00110099">
            <w:pPr>
              <w:jc w:val="center"/>
              <w:rPr>
                <w:b/>
                <w:i/>
              </w:rPr>
            </w:pPr>
            <w:r w:rsidRPr="00921249">
              <w:rPr>
                <w:b/>
                <w:i/>
              </w:rPr>
              <w:t>90</w:t>
            </w:r>
          </w:p>
        </w:tc>
        <w:tc>
          <w:tcPr>
            <w:tcW w:w="674" w:type="pct"/>
          </w:tcPr>
          <w:p w:rsidR="0097736E" w:rsidRPr="00921249" w:rsidRDefault="0097736E" w:rsidP="00110099">
            <w:pPr>
              <w:jc w:val="center"/>
              <w:rPr>
                <w:b/>
                <w:i/>
              </w:rPr>
            </w:pPr>
            <w:r w:rsidRPr="00921249">
              <w:rPr>
                <w:b/>
                <w:i/>
              </w:rPr>
              <w:t>158</w:t>
            </w:r>
          </w:p>
        </w:tc>
        <w:tc>
          <w:tcPr>
            <w:tcW w:w="699" w:type="pct"/>
          </w:tcPr>
          <w:p w:rsidR="0097736E" w:rsidRPr="00921249" w:rsidRDefault="0097736E" w:rsidP="00110099">
            <w:pPr>
              <w:jc w:val="center"/>
              <w:rPr>
                <w:b/>
                <w:i/>
              </w:rPr>
            </w:pPr>
            <w:r w:rsidRPr="00921249">
              <w:rPr>
                <w:b/>
                <w:i/>
              </w:rPr>
              <w:t>43.9%</w:t>
            </w:r>
          </w:p>
          <w:p w:rsidR="0097736E" w:rsidRPr="00921249" w:rsidRDefault="0097736E" w:rsidP="00110099">
            <w:pPr>
              <w:jc w:val="center"/>
              <w:rPr>
                <w:b/>
                <w:i/>
              </w:rPr>
            </w:pPr>
            <w:r w:rsidRPr="00921249">
              <w:rPr>
                <w:b/>
                <w:i/>
              </w:rPr>
              <w:t>(23.9; 59.0)</w:t>
            </w:r>
          </w:p>
        </w:tc>
      </w:tr>
      <w:tr w:rsidR="0097736E" w:rsidRPr="00921249" w:rsidTr="00110099">
        <w:trPr>
          <w:trHeight w:val="1024"/>
        </w:trPr>
        <w:tc>
          <w:tcPr>
            <w:tcW w:w="747" w:type="pct"/>
            <w:tcBorders>
              <w:top w:val="single" w:sz="4" w:space="0" w:color="auto"/>
              <w:left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6M PI and/or CIN1+ (HPV TAA)</w:t>
            </w:r>
          </w:p>
        </w:tc>
        <w:tc>
          <w:tcPr>
            <w:tcW w:w="753" w:type="pct"/>
            <w:tcBorders>
              <w:top w:val="single" w:sz="4" w:space="0" w:color="auto"/>
              <w:left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7</w:t>
            </w:r>
          </w:p>
        </w:tc>
        <w:tc>
          <w:tcPr>
            <w:tcW w:w="674" w:type="pct"/>
            <w:tcBorders>
              <w:top w:val="single" w:sz="4" w:space="0" w:color="auto"/>
              <w:left w:val="single" w:sz="4" w:space="0" w:color="auto"/>
              <w:bottom w:val="single" w:sz="4" w:space="0" w:color="auto"/>
            </w:tcBorders>
          </w:tcPr>
          <w:p w:rsidR="0097736E" w:rsidRPr="00921249" w:rsidRDefault="0097736E" w:rsidP="00110099">
            <w:pPr>
              <w:jc w:val="center"/>
              <w:rPr>
                <w:b/>
                <w:i/>
              </w:rPr>
            </w:pPr>
            <w:r w:rsidRPr="00921249">
              <w:rPr>
                <w:b/>
                <w:i/>
              </w:rPr>
              <w:t>36</w:t>
            </w:r>
          </w:p>
        </w:tc>
        <w:tc>
          <w:tcPr>
            <w:tcW w:w="701" w:type="pct"/>
            <w:tcBorders>
              <w:top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81.1% (52.1; 94.0)</w:t>
            </w:r>
          </w:p>
        </w:tc>
        <w:tc>
          <w:tcPr>
            <w:tcW w:w="753" w:type="pct"/>
            <w:tcBorders>
              <w:top w:val="single" w:sz="4" w:space="0" w:color="auto"/>
              <w:left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89</w:t>
            </w:r>
          </w:p>
        </w:tc>
        <w:tc>
          <w:tcPr>
            <w:tcW w:w="674" w:type="pct"/>
            <w:tcBorders>
              <w:top w:val="single" w:sz="4" w:space="0" w:color="auto"/>
              <w:left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155</w:t>
            </w:r>
          </w:p>
        </w:tc>
        <w:tc>
          <w:tcPr>
            <w:tcW w:w="699" w:type="pct"/>
            <w:tcBorders>
              <w:top w:val="single" w:sz="4" w:space="0" w:color="auto"/>
              <w:left w:val="single" w:sz="4" w:space="0" w:color="auto"/>
              <w:bottom w:val="single" w:sz="4" w:space="0" w:color="auto"/>
              <w:right w:val="single" w:sz="4" w:space="0" w:color="auto"/>
            </w:tcBorders>
          </w:tcPr>
          <w:p w:rsidR="0097736E" w:rsidRPr="00921249" w:rsidRDefault="0097736E" w:rsidP="00110099">
            <w:pPr>
              <w:jc w:val="center"/>
              <w:rPr>
                <w:b/>
                <w:i/>
              </w:rPr>
            </w:pPr>
            <w:r w:rsidRPr="00921249">
              <w:rPr>
                <w:b/>
                <w:i/>
              </w:rPr>
              <w:t>43.5%</w:t>
            </w:r>
          </w:p>
          <w:p w:rsidR="0097736E" w:rsidRPr="00921249" w:rsidRDefault="0097736E" w:rsidP="00110099">
            <w:pPr>
              <w:jc w:val="center"/>
              <w:rPr>
                <w:b/>
                <w:i/>
              </w:rPr>
            </w:pPr>
            <w:r w:rsidRPr="00921249">
              <w:rPr>
                <w:b/>
                <w:i/>
              </w:rPr>
              <w:t>(23.1; 58.7)</w:t>
            </w:r>
          </w:p>
        </w:tc>
      </w:tr>
      <w:tr w:rsidR="0097736E" w:rsidRPr="00921249" w:rsidTr="00B0624A">
        <w:trPr>
          <w:trHeight w:val="3807"/>
        </w:trPr>
        <w:tc>
          <w:tcPr>
            <w:tcW w:w="5000" w:type="pct"/>
            <w:gridSpan w:val="7"/>
            <w:tcBorders>
              <w:top w:val="single" w:sz="4" w:space="0" w:color="auto"/>
              <w:left w:val="single" w:sz="4" w:space="0" w:color="auto"/>
              <w:bottom w:val="single" w:sz="4" w:space="0" w:color="auto"/>
              <w:right w:val="single" w:sz="4" w:space="0" w:color="auto"/>
            </w:tcBorders>
          </w:tcPr>
          <w:p w:rsidR="0097736E" w:rsidRPr="00921249" w:rsidRDefault="0097736E" w:rsidP="00110099">
            <w:pPr>
              <w:rPr>
                <w:b/>
                <w:i/>
              </w:rPr>
            </w:pPr>
            <w:r w:rsidRPr="00921249">
              <w:rPr>
                <w:b/>
                <w:i/>
              </w:rPr>
              <w:t>N= number of subject in each group</w:t>
            </w:r>
          </w:p>
          <w:p w:rsidR="0097736E" w:rsidRPr="00921249" w:rsidRDefault="0097736E" w:rsidP="00110099">
            <w:pPr>
              <w:rPr>
                <w:b/>
                <w:i/>
              </w:rPr>
            </w:pPr>
            <w:r w:rsidRPr="00921249">
              <w:rPr>
                <w:b/>
                <w:i/>
              </w:rPr>
              <w:t>n= number of subjects reporting at least one event in each group</w:t>
            </w:r>
          </w:p>
          <w:p w:rsidR="0097736E" w:rsidRPr="00921249" w:rsidRDefault="0097736E" w:rsidP="00110099">
            <w:pPr>
              <w:rPr>
                <w:b/>
                <w:i/>
              </w:rPr>
            </w:pPr>
            <w:r w:rsidRPr="00921249">
              <w:rPr>
                <w:b/>
                <w:i/>
              </w:rPr>
              <w:t>HPV TAA= HPV type assignment algorithm</w:t>
            </w:r>
          </w:p>
          <w:p w:rsidR="0097736E" w:rsidRPr="00921249" w:rsidRDefault="0097736E" w:rsidP="00110099">
            <w:pPr>
              <w:rPr>
                <w:b/>
                <w:i/>
              </w:rPr>
            </w:pPr>
            <w:r w:rsidRPr="00921249">
              <w:rPr>
                <w:b/>
                <w:i/>
              </w:rPr>
              <w:t>6M PI = 6-month persistent infection</w:t>
            </w:r>
          </w:p>
          <w:p w:rsidR="0097736E" w:rsidRPr="000C334F" w:rsidRDefault="0097736E" w:rsidP="00110099">
            <w:pPr>
              <w:rPr>
                <w:b/>
                <w:i/>
              </w:rPr>
            </w:pPr>
            <w:r w:rsidRPr="000C334F">
              <w:rPr>
                <w:b/>
                <w:i/>
              </w:rPr>
              <w:t>CIN1+ = CIN1, CIN2, CIN3, AIS or ICC</w:t>
            </w:r>
          </w:p>
          <w:p w:rsidR="0097736E" w:rsidRPr="00921249" w:rsidRDefault="0097736E" w:rsidP="00110099">
            <w:pPr>
              <w:rPr>
                <w:b/>
                <w:i/>
              </w:rPr>
            </w:pPr>
            <w:r w:rsidRPr="00921249">
              <w:rPr>
                <w:b/>
                <w:i/>
              </w:rPr>
              <w:t>CI = Confidence Interval</w:t>
            </w:r>
          </w:p>
          <w:p w:rsidR="0097736E" w:rsidRPr="00921249" w:rsidRDefault="0097736E" w:rsidP="00110099">
            <w:pPr>
              <w:rPr>
                <w:b/>
                <w:i/>
              </w:rPr>
            </w:pPr>
            <w:r w:rsidRPr="00921249">
              <w:rPr>
                <w:b/>
                <w:i/>
                <w:vertAlign w:val="superscript"/>
              </w:rPr>
              <w:t>(1)</w:t>
            </w:r>
            <w:r w:rsidRPr="00921249">
              <w:rPr>
                <w:b/>
                <w:i/>
              </w:rPr>
              <w:tab/>
              <w:t>3 doses of vaccine, DNA negative and seronegative at month 0 and DNA negative at month 6 for the relevant HPV type (HPV-16 and/or HPV-18)</w:t>
            </w:r>
          </w:p>
          <w:p w:rsidR="002312C8" w:rsidRPr="00921249" w:rsidRDefault="0097736E" w:rsidP="00660F83">
            <w:pPr>
              <w:rPr>
                <w:b/>
                <w:i/>
              </w:rPr>
            </w:pPr>
            <w:r w:rsidRPr="00921249">
              <w:rPr>
                <w:b/>
                <w:i/>
                <w:vertAlign w:val="superscript"/>
              </w:rPr>
              <w:t>(2)</w:t>
            </w:r>
            <w:r w:rsidRPr="00921249">
              <w:rPr>
                <w:b/>
                <w:i/>
              </w:rPr>
              <w:tab/>
            </w:r>
            <w:proofErr w:type="gramStart"/>
            <w:r w:rsidRPr="00921249">
              <w:rPr>
                <w:b/>
                <w:i/>
              </w:rPr>
              <w:t>at</w:t>
            </w:r>
            <w:proofErr w:type="gramEnd"/>
            <w:r w:rsidRPr="00921249">
              <w:rPr>
                <w:b/>
                <w:i/>
              </w:rPr>
              <w:t xml:space="preserve"> least one dose of vaccine, irrespective of HPV DNA and </w:t>
            </w:r>
            <w:proofErr w:type="spellStart"/>
            <w:r w:rsidRPr="00921249">
              <w:rPr>
                <w:b/>
                <w:i/>
              </w:rPr>
              <w:t>serostatus</w:t>
            </w:r>
            <w:proofErr w:type="spellEnd"/>
            <w:r w:rsidRPr="00921249">
              <w:rPr>
                <w:b/>
                <w:i/>
              </w:rPr>
              <w:t xml:space="preserve"> at month 0. Includes 15% of subjects with previous history of HPV disease/infection</w:t>
            </w:r>
          </w:p>
        </w:tc>
      </w:tr>
    </w:tbl>
    <w:p w:rsidR="00CC6850" w:rsidRDefault="00CC6850" w:rsidP="00224E37">
      <w:pPr>
        <w:spacing w:line="360" w:lineRule="exact"/>
        <w:rPr>
          <w:rFonts w:ascii="Arial" w:hAnsi="Arial" w:cs="Arial"/>
          <w:sz w:val="24"/>
          <w:szCs w:val="24"/>
        </w:rPr>
      </w:pPr>
    </w:p>
    <w:p w:rsidR="006717F8" w:rsidRDefault="0097736E" w:rsidP="00224E37">
      <w:pPr>
        <w:spacing w:line="360" w:lineRule="exact"/>
        <w:rPr>
          <w:rFonts w:ascii="Arial" w:hAnsi="Arial" w:cs="Arial"/>
          <w:sz w:val="24"/>
          <w:szCs w:val="24"/>
        </w:rPr>
      </w:pPr>
      <w:r w:rsidRPr="0097736E">
        <w:rPr>
          <w:rFonts w:ascii="Arial" w:hAnsi="Arial" w:cs="Arial"/>
          <w:sz w:val="24"/>
          <w:szCs w:val="24"/>
        </w:rPr>
        <w:t xml:space="preserve">Vaccine efficacy </w:t>
      </w:r>
      <w:r w:rsidR="00E0055C" w:rsidRPr="00E0055C">
        <w:rPr>
          <w:rFonts w:ascii="Arial" w:hAnsi="Arial" w:cs="Arial"/>
          <w:sz w:val="24"/>
          <w:szCs w:val="24"/>
        </w:rPr>
        <w:t>at the 48 month time</w:t>
      </w:r>
      <w:r w:rsidR="00E0055C">
        <w:rPr>
          <w:rFonts w:ascii="Arial" w:hAnsi="Arial" w:cs="Arial"/>
          <w:sz w:val="24"/>
          <w:szCs w:val="24"/>
        </w:rPr>
        <w:t xml:space="preserve"> </w:t>
      </w:r>
      <w:r w:rsidR="00E0055C" w:rsidRPr="00E0055C">
        <w:rPr>
          <w:rFonts w:ascii="Arial" w:hAnsi="Arial" w:cs="Arial"/>
          <w:sz w:val="24"/>
          <w:szCs w:val="24"/>
        </w:rPr>
        <w:t xml:space="preserve">point </w:t>
      </w:r>
      <w:r w:rsidRPr="0097736E">
        <w:rPr>
          <w:rFonts w:ascii="Arial" w:hAnsi="Arial" w:cs="Arial"/>
          <w:sz w:val="24"/>
          <w:szCs w:val="24"/>
        </w:rPr>
        <w:t>against 6-month persistent infection was 79.1% (97.7% CI [27.6; 95.9]) for HPV-31 and 76.9% (97.7% CI [18.5; 95.6]) for HPV-45 in the ATP cohort.</w:t>
      </w:r>
    </w:p>
    <w:p w:rsidR="0093127C" w:rsidRDefault="0093127C" w:rsidP="00224E37">
      <w:pPr>
        <w:spacing w:line="360" w:lineRule="exact"/>
        <w:rPr>
          <w:rFonts w:ascii="Arial" w:hAnsi="Arial" w:cs="Arial"/>
          <w:sz w:val="24"/>
          <w:szCs w:val="24"/>
        </w:rPr>
      </w:pPr>
    </w:p>
    <w:p w:rsidR="0093127C" w:rsidRDefault="0093127C" w:rsidP="00224E37">
      <w:pPr>
        <w:spacing w:line="360" w:lineRule="exact"/>
        <w:rPr>
          <w:rFonts w:ascii="Arial" w:hAnsi="Arial" w:cs="Arial"/>
          <w:sz w:val="24"/>
          <w:szCs w:val="24"/>
        </w:rPr>
      </w:pPr>
      <w:r w:rsidRPr="0093127C">
        <w:rPr>
          <w:rFonts w:ascii="Arial" w:hAnsi="Arial" w:cs="Arial"/>
          <w:sz w:val="24"/>
          <w:szCs w:val="24"/>
        </w:rPr>
        <w:t>Vaccine efficacy against 6-month persistent infection was 23.2% (97.7% CI [-23.3; 52.5]) for HPV-31 and 67.7% (97.7% CI [35.9; 84.9]) for HPV-45 in the TVC.</w:t>
      </w:r>
    </w:p>
    <w:p w:rsidR="00CC6850" w:rsidRDefault="00CC6850" w:rsidP="00224E37">
      <w:pPr>
        <w:spacing w:line="360" w:lineRule="exact"/>
        <w:rPr>
          <w:rFonts w:ascii="Arial" w:hAnsi="Arial" w:cs="Arial"/>
          <w:sz w:val="24"/>
          <w:szCs w:val="24"/>
        </w:rPr>
      </w:pPr>
    </w:p>
    <w:p w:rsidR="00014864" w:rsidRPr="00F2256D" w:rsidRDefault="00014864" w:rsidP="00671D56">
      <w:pPr>
        <w:pageBreakBefore/>
        <w:spacing w:line="360" w:lineRule="exact"/>
        <w:rPr>
          <w:rFonts w:ascii="Arial" w:hAnsi="Arial" w:cs="Arial"/>
          <w:b/>
          <w:sz w:val="24"/>
          <w:szCs w:val="24"/>
          <w:highlight w:val="yellow"/>
        </w:rPr>
      </w:pPr>
      <w:r w:rsidRPr="00F2256D">
        <w:rPr>
          <w:rFonts w:ascii="Arial" w:hAnsi="Arial" w:cs="Arial"/>
          <w:b/>
          <w:sz w:val="24"/>
          <w:szCs w:val="24"/>
        </w:rPr>
        <w:lastRenderedPageBreak/>
        <w:t>Immunogenicity</w:t>
      </w:r>
    </w:p>
    <w:p w:rsidR="00014864" w:rsidRPr="00F2256D" w:rsidRDefault="00014864">
      <w:pPr>
        <w:spacing w:line="360" w:lineRule="exact"/>
        <w:rPr>
          <w:rFonts w:ascii="Arial" w:hAnsi="Arial" w:cs="Arial"/>
          <w:b/>
          <w:sz w:val="24"/>
          <w:szCs w:val="24"/>
          <w:u w:val="single"/>
          <w:lang w:val="en-US"/>
        </w:rPr>
      </w:pPr>
      <w:r w:rsidRPr="00F2256D">
        <w:rPr>
          <w:rFonts w:ascii="Arial" w:hAnsi="Arial" w:cs="Arial"/>
          <w:sz w:val="24"/>
          <w:szCs w:val="24"/>
        </w:rPr>
        <w:t xml:space="preserve">The antibody response to HPV-16 and HPV-18 was measured using a type specific ELISA which was shown to correlate with neutralisation assays (including </w:t>
      </w:r>
      <w:proofErr w:type="spellStart"/>
      <w:r w:rsidRPr="00F2256D">
        <w:rPr>
          <w:rFonts w:ascii="Arial" w:hAnsi="Arial" w:cs="Arial"/>
          <w:sz w:val="24"/>
          <w:szCs w:val="24"/>
        </w:rPr>
        <w:t>pseudovirion</w:t>
      </w:r>
      <w:proofErr w:type="spellEnd"/>
      <w:r w:rsidRPr="00F2256D">
        <w:rPr>
          <w:rFonts w:ascii="Arial" w:hAnsi="Arial" w:cs="Arial"/>
          <w:sz w:val="24"/>
          <w:szCs w:val="24"/>
        </w:rPr>
        <w:t xml:space="preserve"> based </w:t>
      </w:r>
      <w:r w:rsidR="00DE628C" w:rsidRPr="003C6F11">
        <w:rPr>
          <w:rFonts w:ascii="Arial" w:hAnsi="Arial" w:cs="Arial"/>
          <w:color w:val="000000"/>
          <w:sz w:val="24"/>
          <w:szCs w:val="24"/>
        </w:rPr>
        <w:t xml:space="preserve">neutralising </w:t>
      </w:r>
      <w:r w:rsidRPr="003C6F11">
        <w:rPr>
          <w:rFonts w:ascii="Arial" w:hAnsi="Arial" w:cs="Arial"/>
          <w:color w:val="000000"/>
          <w:sz w:val="24"/>
          <w:szCs w:val="24"/>
        </w:rPr>
        <w:t>assay developed by the US National Cancer Institute).</w:t>
      </w:r>
      <w:r w:rsidR="0085745E" w:rsidRPr="003C6F11">
        <w:rPr>
          <w:rFonts w:ascii="Arial" w:hAnsi="Arial" w:cs="Arial"/>
          <w:color w:val="000000"/>
          <w:sz w:val="24"/>
          <w:szCs w:val="24"/>
        </w:rPr>
        <w:t xml:space="preserve">  </w:t>
      </w:r>
      <w:r w:rsidR="00B23D6E" w:rsidRPr="003C6F11">
        <w:rPr>
          <w:rFonts w:ascii="Arial" w:hAnsi="Arial" w:cs="Arial"/>
          <w:color w:val="000000"/>
          <w:sz w:val="24"/>
          <w:szCs w:val="24"/>
          <w:lang w:val="en-US"/>
        </w:rPr>
        <w:t xml:space="preserve">Due to the high </w:t>
      </w:r>
      <w:r w:rsidR="00B23D6E" w:rsidRPr="00F2256D">
        <w:rPr>
          <w:rFonts w:ascii="Arial" w:hAnsi="Arial" w:cs="Arial"/>
          <w:sz w:val="24"/>
          <w:szCs w:val="24"/>
          <w:lang w:val="en-US"/>
        </w:rPr>
        <w:t>efficacy of the vaccine, i</w:t>
      </w:r>
      <w:r w:rsidR="0002641E" w:rsidRPr="00F2256D">
        <w:rPr>
          <w:rFonts w:ascii="Arial" w:hAnsi="Arial" w:cs="Arial"/>
          <w:sz w:val="24"/>
          <w:szCs w:val="24"/>
          <w:lang w:val="en-US"/>
        </w:rPr>
        <w:t>t has not been possible to establish minimum anti-HPV-16 and anti-HPV-18 antibody levels that protect against clinical disease caused by HPV-16 and/or 18.</w:t>
      </w:r>
    </w:p>
    <w:p w:rsidR="00014864" w:rsidRPr="00D76C0E" w:rsidRDefault="00014864">
      <w:pPr>
        <w:spacing w:line="360" w:lineRule="exact"/>
        <w:rPr>
          <w:rFonts w:ascii="Arial" w:hAnsi="Arial" w:cs="Arial"/>
          <w:sz w:val="18"/>
          <w:szCs w:val="18"/>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The immunogenicity induced by three doses of </w:t>
      </w:r>
      <w:r w:rsidR="00264DD7" w:rsidRPr="00F2256D">
        <w:rPr>
          <w:rFonts w:ascii="Arial" w:hAnsi="Arial" w:cs="Arial"/>
          <w:sz w:val="24"/>
          <w:szCs w:val="24"/>
        </w:rPr>
        <w:t>CERVARIX</w:t>
      </w:r>
      <w:r w:rsidRPr="00F2256D">
        <w:rPr>
          <w:rFonts w:ascii="Arial" w:hAnsi="Arial" w:cs="Arial"/>
          <w:sz w:val="24"/>
          <w:szCs w:val="24"/>
        </w:rPr>
        <w:t xml:space="preserve"> has been evaluated in 5,303</w:t>
      </w:r>
      <w:r w:rsidRPr="00F2256D">
        <w:rPr>
          <w:rFonts w:ascii="Arial" w:hAnsi="Arial" w:cs="Arial"/>
          <w:color w:val="000000"/>
          <w:sz w:val="24"/>
          <w:szCs w:val="24"/>
          <w:lang w:val="en-US"/>
        </w:rPr>
        <w:t xml:space="preserve"> </w:t>
      </w:r>
      <w:r w:rsidRPr="00F2256D">
        <w:rPr>
          <w:rFonts w:ascii="Arial" w:hAnsi="Arial" w:cs="Arial"/>
          <w:sz w:val="24"/>
          <w:szCs w:val="24"/>
        </w:rPr>
        <w:t xml:space="preserve">female subjects from </w:t>
      </w:r>
      <w:smartTag w:uri="urn:schemas-microsoft-com:office:smarttags" w:element="time">
        <w:smartTagPr>
          <w:attr w:name="Hour" w:val="10"/>
          <w:attr w:name="Minute" w:val="0"/>
        </w:smartTagPr>
        <w:r w:rsidRPr="00F2256D">
          <w:rPr>
            <w:rFonts w:ascii="Arial" w:hAnsi="Arial" w:cs="Arial"/>
            <w:sz w:val="24"/>
            <w:szCs w:val="24"/>
          </w:rPr>
          <w:t>10</w:t>
        </w:r>
      </w:smartTag>
      <w:r w:rsidRPr="00F2256D">
        <w:rPr>
          <w:rFonts w:ascii="Arial" w:hAnsi="Arial" w:cs="Arial"/>
          <w:sz w:val="24"/>
          <w:szCs w:val="24"/>
        </w:rPr>
        <w:t xml:space="preserve"> to 55 years of age. </w:t>
      </w:r>
    </w:p>
    <w:p w:rsidR="00014864" w:rsidRPr="00D76C0E" w:rsidRDefault="00014864">
      <w:pPr>
        <w:spacing w:line="360" w:lineRule="exact"/>
        <w:rPr>
          <w:rFonts w:ascii="Arial" w:hAnsi="Arial" w:cs="Arial"/>
          <w:sz w:val="18"/>
          <w:szCs w:val="18"/>
        </w:rPr>
      </w:pPr>
    </w:p>
    <w:p w:rsidR="00014864" w:rsidRPr="00F2256D" w:rsidRDefault="00F75F84">
      <w:pPr>
        <w:spacing w:line="360" w:lineRule="exact"/>
        <w:rPr>
          <w:rFonts w:ascii="Arial" w:hAnsi="Arial" w:cs="Arial"/>
          <w:b/>
          <w:sz w:val="24"/>
          <w:szCs w:val="24"/>
          <w:highlight w:val="yellow"/>
          <w:u w:val="single"/>
        </w:rPr>
      </w:pPr>
      <w:r>
        <w:rPr>
          <w:rFonts w:ascii="Arial" w:hAnsi="Arial" w:cs="Arial"/>
          <w:sz w:val="24"/>
          <w:szCs w:val="24"/>
        </w:rPr>
        <w:t>In clinical trials, 99</w:t>
      </w:r>
      <w:r w:rsidR="00014864" w:rsidRPr="00F2256D">
        <w:rPr>
          <w:rFonts w:ascii="Arial" w:hAnsi="Arial" w:cs="Arial"/>
          <w:sz w:val="24"/>
          <w:szCs w:val="24"/>
        </w:rPr>
        <w:t xml:space="preserve">% of initially seronegative subjects had seroconverted to both HPV type 16 and 18 one month after the third dose. </w:t>
      </w:r>
      <w:r w:rsidR="00710D2F" w:rsidRPr="00F2256D">
        <w:rPr>
          <w:rFonts w:ascii="Arial" w:hAnsi="Arial" w:cs="Arial"/>
          <w:sz w:val="24"/>
          <w:szCs w:val="24"/>
        </w:rPr>
        <w:t xml:space="preserve"> </w:t>
      </w:r>
      <w:r w:rsidR="00014864" w:rsidRPr="00F2256D">
        <w:rPr>
          <w:rFonts w:ascii="Arial" w:hAnsi="Arial" w:cs="Arial"/>
          <w:sz w:val="24"/>
          <w:szCs w:val="24"/>
        </w:rPr>
        <w:t xml:space="preserve">Vaccine-induced IgG Geometric Mean Titres (GMT) </w:t>
      </w:r>
      <w:proofErr w:type="gramStart"/>
      <w:r w:rsidR="00014864" w:rsidRPr="00F2256D">
        <w:rPr>
          <w:rFonts w:ascii="Arial" w:hAnsi="Arial" w:cs="Arial"/>
          <w:sz w:val="24"/>
          <w:szCs w:val="24"/>
        </w:rPr>
        <w:t>were</w:t>
      </w:r>
      <w:proofErr w:type="gramEnd"/>
      <w:r w:rsidR="00014864" w:rsidRPr="00F2256D">
        <w:rPr>
          <w:rFonts w:ascii="Arial" w:hAnsi="Arial" w:cs="Arial"/>
          <w:sz w:val="24"/>
          <w:szCs w:val="24"/>
        </w:rPr>
        <w:t xml:space="preserve"> well above titres observed in women previously infected but who cleared HPV infection (natural infection). </w:t>
      </w:r>
      <w:r w:rsidR="00710D2F" w:rsidRPr="00F2256D">
        <w:rPr>
          <w:rFonts w:ascii="Arial" w:hAnsi="Arial" w:cs="Arial"/>
          <w:sz w:val="24"/>
          <w:szCs w:val="24"/>
        </w:rPr>
        <w:t xml:space="preserve"> </w:t>
      </w:r>
      <w:r w:rsidR="00014864" w:rsidRPr="00F2256D">
        <w:rPr>
          <w:rFonts w:ascii="Arial" w:hAnsi="Arial" w:cs="Arial"/>
          <w:sz w:val="24"/>
          <w:szCs w:val="24"/>
        </w:rPr>
        <w:t>Initially seropositive and seronegative subjects reached similar titres after vaccination.</w:t>
      </w:r>
      <w:r w:rsidR="00014864" w:rsidRPr="00F2256D">
        <w:rPr>
          <w:rFonts w:ascii="Arial" w:hAnsi="Arial" w:cs="Arial"/>
          <w:b/>
          <w:sz w:val="24"/>
          <w:szCs w:val="24"/>
          <w:u w:val="single"/>
        </w:rPr>
        <w:t xml:space="preserve"> </w:t>
      </w:r>
    </w:p>
    <w:p w:rsidR="00186052" w:rsidRPr="00D76C0E" w:rsidRDefault="00186052">
      <w:pPr>
        <w:spacing w:line="360" w:lineRule="exact"/>
        <w:rPr>
          <w:rFonts w:ascii="Arial" w:hAnsi="Arial" w:cs="Arial"/>
          <w:b/>
          <w:sz w:val="18"/>
          <w:szCs w:val="18"/>
          <w:highlight w:val="yellow"/>
          <w:u w:val="single"/>
        </w:rPr>
      </w:pPr>
    </w:p>
    <w:p w:rsidR="00014864" w:rsidRPr="00F2256D" w:rsidRDefault="00014864">
      <w:pPr>
        <w:spacing w:line="360" w:lineRule="exact"/>
        <w:rPr>
          <w:rFonts w:ascii="Arial" w:hAnsi="Arial" w:cs="Arial"/>
          <w:b/>
          <w:sz w:val="24"/>
          <w:szCs w:val="24"/>
          <w:highlight w:val="yellow"/>
        </w:rPr>
      </w:pPr>
      <w:r w:rsidRPr="00F2256D">
        <w:rPr>
          <w:rFonts w:ascii="Arial" w:hAnsi="Arial" w:cs="Arial"/>
          <w:b/>
          <w:sz w:val="24"/>
          <w:szCs w:val="24"/>
        </w:rPr>
        <w:t>Immunogenicity in women aged 15 to 25 years</w:t>
      </w:r>
      <w:r w:rsidRPr="00F2256D">
        <w:rPr>
          <w:rFonts w:ascii="Arial" w:hAnsi="Arial" w:cs="Arial"/>
          <w:b/>
          <w:sz w:val="24"/>
          <w:szCs w:val="24"/>
          <w:highlight w:val="yellow"/>
        </w:rPr>
        <w:t xml:space="preserve"> </w:t>
      </w:r>
    </w:p>
    <w:p w:rsidR="00DE628C" w:rsidRPr="003C6F11" w:rsidRDefault="00014864" w:rsidP="00DE628C">
      <w:pPr>
        <w:rPr>
          <w:rFonts w:ascii="Arial" w:hAnsi="Arial" w:cs="Arial"/>
          <w:color w:val="000000"/>
          <w:sz w:val="24"/>
          <w:szCs w:val="24"/>
        </w:rPr>
      </w:pPr>
      <w:r w:rsidRPr="003C6F11">
        <w:rPr>
          <w:rFonts w:ascii="Arial" w:hAnsi="Arial" w:cs="Arial"/>
          <w:color w:val="000000"/>
          <w:sz w:val="24"/>
          <w:szCs w:val="24"/>
        </w:rPr>
        <w:t xml:space="preserve">The immune response against HPV-16 and HPV-18 was evaluated up to </w:t>
      </w:r>
      <w:r w:rsidR="00DE628C" w:rsidRPr="003C6F11">
        <w:rPr>
          <w:rFonts w:ascii="Arial" w:hAnsi="Arial" w:cs="Arial"/>
          <w:color w:val="000000"/>
          <w:sz w:val="24"/>
          <w:szCs w:val="24"/>
        </w:rPr>
        <w:t>76</w:t>
      </w:r>
      <w:r w:rsidRPr="003C6F11">
        <w:rPr>
          <w:rFonts w:ascii="Arial" w:hAnsi="Arial" w:cs="Arial"/>
          <w:color w:val="000000"/>
          <w:sz w:val="24"/>
          <w:szCs w:val="24"/>
        </w:rPr>
        <w:t xml:space="preserve"> months, </w:t>
      </w:r>
      <w:r w:rsidR="00DE628C" w:rsidRPr="003C6F11">
        <w:rPr>
          <w:rFonts w:ascii="Arial" w:hAnsi="Arial" w:cs="Arial"/>
          <w:color w:val="000000"/>
          <w:sz w:val="24"/>
          <w:szCs w:val="24"/>
        </w:rPr>
        <w:t>after first vaccination</w:t>
      </w:r>
      <w:r w:rsidR="00DE628C" w:rsidRPr="003C6F11">
        <w:rPr>
          <w:color w:val="000000"/>
        </w:rPr>
        <w:t xml:space="preserve"> </w:t>
      </w:r>
      <w:r w:rsidRPr="003C6F11">
        <w:rPr>
          <w:rFonts w:ascii="Arial" w:hAnsi="Arial" w:cs="Arial"/>
          <w:color w:val="000000"/>
          <w:sz w:val="24"/>
          <w:szCs w:val="24"/>
        </w:rPr>
        <w:t xml:space="preserve">in study HPV-001/007 in women aged 15 to 25 years at the time of vaccination. </w:t>
      </w:r>
      <w:r w:rsidR="00DE628C" w:rsidRPr="003C6F11">
        <w:rPr>
          <w:rFonts w:ascii="Arial" w:hAnsi="Arial" w:cs="Arial"/>
          <w:color w:val="000000"/>
          <w:sz w:val="24"/>
          <w:szCs w:val="24"/>
        </w:rPr>
        <w:t xml:space="preserve">In study </w:t>
      </w:r>
      <w:r w:rsidR="0008618D" w:rsidRPr="003C6F11">
        <w:rPr>
          <w:rFonts w:ascii="Arial" w:hAnsi="Arial" w:cs="Arial"/>
          <w:color w:val="000000"/>
          <w:sz w:val="24"/>
          <w:szCs w:val="24"/>
        </w:rPr>
        <w:t>HPV-</w:t>
      </w:r>
      <w:r w:rsidR="00DE628C" w:rsidRPr="003C6F11">
        <w:rPr>
          <w:rFonts w:ascii="Arial" w:hAnsi="Arial" w:cs="Arial"/>
          <w:color w:val="000000"/>
          <w:sz w:val="24"/>
          <w:szCs w:val="24"/>
        </w:rPr>
        <w:t xml:space="preserve">023, this immune response continued to be evaluated up to </w:t>
      </w:r>
      <w:r w:rsidR="002C54CD">
        <w:rPr>
          <w:rFonts w:ascii="Arial" w:hAnsi="Arial" w:cs="Arial"/>
          <w:color w:val="000000"/>
          <w:sz w:val="24"/>
          <w:szCs w:val="24"/>
        </w:rPr>
        <w:t>9</w:t>
      </w:r>
      <w:r w:rsidR="00DE628C" w:rsidRPr="003C6F11">
        <w:rPr>
          <w:rFonts w:ascii="Arial" w:hAnsi="Arial" w:cs="Arial"/>
          <w:color w:val="000000"/>
          <w:sz w:val="24"/>
          <w:szCs w:val="24"/>
        </w:rPr>
        <w:t>.4 years (</w:t>
      </w:r>
      <w:r w:rsidR="002C54CD">
        <w:rPr>
          <w:rFonts w:ascii="Arial" w:hAnsi="Arial" w:cs="Arial"/>
          <w:color w:val="000000"/>
          <w:sz w:val="24"/>
          <w:szCs w:val="24"/>
        </w:rPr>
        <w:t>113</w:t>
      </w:r>
      <w:r w:rsidR="00DE628C" w:rsidRPr="003C6F11">
        <w:rPr>
          <w:rFonts w:ascii="Arial" w:hAnsi="Arial" w:cs="Arial"/>
          <w:color w:val="000000"/>
          <w:sz w:val="24"/>
          <w:szCs w:val="24"/>
        </w:rPr>
        <w:t xml:space="preserve"> months) after first vaccination in a subset of the population from study HPV-001/007. </w:t>
      </w:r>
    </w:p>
    <w:p w:rsidR="0050528D" w:rsidRPr="003C6F11" w:rsidRDefault="0050528D" w:rsidP="00DE628C">
      <w:pPr>
        <w:rPr>
          <w:rFonts w:ascii="Arial" w:hAnsi="Arial" w:cs="Arial"/>
          <w:color w:val="000000"/>
          <w:sz w:val="24"/>
          <w:szCs w:val="24"/>
        </w:rPr>
      </w:pPr>
    </w:p>
    <w:p w:rsidR="00DE628C" w:rsidRPr="003C6F11" w:rsidRDefault="00DE628C" w:rsidP="00DE628C">
      <w:pPr>
        <w:rPr>
          <w:b/>
          <w:i/>
          <w:color w:val="000000"/>
        </w:rPr>
      </w:pPr>
      <w:r w:rsidRPr="003C6F11">
        <w:rPr>
          <w:rFonts w:ascii="Arial" w:hAnsi="Arial" w:cs="Arial"/>
          <w:color w:val="000000"/>
          <w:sz w:val="24"/>
          <w:szCs w:val="24"/>
        </w:rPr>
        <w:t xml:space="preserve">In study </w:t>
      </w:r>
      <w:r w:rsidR="003F4245" w:rsidRPr="003C6F11">
        <w:rPr>
          <w:rFonts w:ascii="Arial" w:hAnsi="Arial" w:cs="Arial"/>
          <w:color w:val="000000"/>
          <w:sz w:val="24"/>
          <w:szCs w:val="24"/>
        </w:rPr>
        <w:t>HPV-</w:t>
      </w:r>
      <w:r w:rsidRPr="003C6F11">
        <w:rPr>
          <w:rFonts w:ascii="Arial" w:hAnsi="Arial" w:cs="Arial"/>
          <w:color w:val="000000"/>
          <w:sz w:val="24"/>
          <w:szCs w:val="24"/>
        </w:rPr>
        <w:t xml:space="preserve">023, </w:t>
      </w:r>
      <w:r w:rsidRPr="003C6F11">
        <w:rPr>
          <w:rFonts w:ascii="Arial" w:hAnsi="Arial" w:cs="Arial"/>
          <w:color w:val="000000"/>
          <w:sz w:val="24"/>
          <w:szCs w:val="24"/>
        </w:rPr>
        <w:sym w:font="Symbol" w:char="F0B3"/>
      </w:r>
      <w:r w:rsidRPr="003C6F11">
        <w:rPr>
          <w:rFonts w:ascii="Arial" w:hAnsi="Arial" w:cs="Arial"/>
          <w:color w:val="000000"/>
          <w:sz w:val="24"/>
          <w:szCs w:val="24"/>
        </w:rPr>
        <w:t xml:space="preserve">96.7% of women were seropositive for both HPV-16 and HPV-18 by ELISA or by </w:t>
      </w:r>
      <w:proofErr w:type="spellStart"/>
      <w:r w:rsidRPr="003C6F11">
        <w:rPr>
          <w:rFonts w:ascii="Arial" w:hAnsi="Arial" w:cs="Arial"/>
          <w:color w:val="000000"/>
          <w:sz w:val="24"/>
          <w:szCs w:val="24"/>
        </w:rPr>
        <w:t>pseudovirion</w:t>
      </w:r>
      <w:proofErr w:type="spellEnd"/>
      <w:r w:rsidRPr="003C6F11">
        <w:rPr>
          <w:rFonts w:ascii="Arial" w:hAnsi="Arial" w:cs="Arial"/>
          <w:color w:val="000000"/>
          <w:sz w:val="24"/>
          <w:szCs w:val="24"/>
        </w:rPr>
        <w:t>-based neutrali</w:t>
      </w:r>
      <w:r w:rsidR="00112C1F" w:rsidRPr="003C6F11">
        <w:rPr>
          <w:rFonts w:ascii="Arial" w:hAnsi="Arial" w:cs="Arial"/>
          <w:color w:val="000000"/>
          <w:sz w:val="24"/>
          <w:szCs w:val="24"/>
        </w:rPr>
        <w:t>s</w:t>
      </w:r>
      <w:r w:rsidRPr="003C6F11">
        <w:rPr>
          <w:rFonts w:ascii="Arial" w:hAnsi="Arial" w:cs="Arial"/>
          <w:color w:val="000000"/>
          <w:sz w:val="24"/>
          <w:szCs w:val="24"/>
        </w:rPr>
        <w:t xml:space="preserve">ing assay (PBNA) up to </w:t>
      </w:r>
      <w:r w:rsidR="002C54CD">
        <w:rPr>
          <w:rFonts w:ascii="Arial" w:hAnsi="Arial" w:cs="Arial"/>
          <w:color w:val="000000"/>
          <w:sz w:val="24"/>
          <w:szCs w:val="24"/>
        </w:rPr>
        <w:t>9</w:t>
      </w:r>
      <w:r w:rsidRPr="003C6F11">
        <w:rPr>
          <w:rFonts w:ascii="Arial" w:hAnsi="Arial" w:cs="Arial"/>
          <w:color w:val="000000"/>
          <w:sz w:val="24"/>
          <w:szCs w:val="24"/>
        </w:rPr>
        <w:t xml:space="preserve">.4 years after first vaccination. </w:t>
      </w:r>
    </w:p>
    <w:p w:rsidR="003C6F11" w:rsidRDefault="003C6F11" w:rsidP="0050528D">
      <w:pPr>
        <w:spacing w:line="360" w:lineRule="exact"/>
        <w:rPr>
          <w:rFonts w:ascii="Arial" w:hAnsi="Arial" w:cs="Arial"/>
          <w:color w:val="000000"/>
          <w:sz w:val="24"/>
          <w:szCs w:val="24"/>
        </w:rPr>
      </w:pPr>
    </w:p>
    <w:p w:rsidR="008545F2" w:rsidRDefault="00DE628C" w:rsidP="0050528D">
      <w:pPr>
        <w:spacing w:line="360" w:lineRule="exact"/>
        <w:rPr>
          <w:rFonts w:ascii="Arial" w:hAnsi="Arial" w:cs="Arial"/>
          <w:b/>
          <w:color w:val="000000"/>
          <w:sz w:val="24"/>
          <w:szCs w:val="24"/>
          <w:u w:val="single"/>
        </w:rPr>
      </w:pPr>
      <w:r w:rsidRPr="003C6F11">
        <w:rPr>
          <w:rFonts w:ascii="Arial" w:hAnsi="Arial" w:cs="Arial"/>
          <w:color w:val="000000"/>
          <w:sz w:val="24"/>
          <w:szCs w:val="24"/>
        </w:rPr>
        <w:t>Immunogenicity r</w:t>
      </w:r>
      <w:r w:rsidR="00014864" w:rsidRPr="003C6F11">
        <w:rPr>
          <w:rFonts w:ascii="Arial" w:hAnsi="Arial" w:cs="Arial"/>
          <w:color w:val="000000"/>
          <w:sz w:val="24"/>
          <w:szCs w:val="24"/>
        </w:rPr>
        <w:t xml:space="preserve">esults </w:t>
      </w:r>
      <w:r w:rsidR="00920AB1" w:rsidRPr="003C6F11">
        <w:rPr>
          <w:rFonts w:ascii="Arial" w:hAnsi="Arial" w:cs="Arial"/>
          <w:color w:val="000000"/>
          <w:sz w:val="24"/>
          <w:szCs w:val="24"/>
        </w:rPr>
        <w:t xml:space="preserve">by ELISA </w:t>
      </w:r>
      <w:r w:rsidRPr="003C6F11">
        <w:rPr>
          <w:rFonts w:ascii="Arial" w:hAnsi="Arial" w:cs="Arial"/>
          <w:color w:val="000000"/>
          <w:sz w:val="24"/>
          <w:szCs w:val="24"/>
        </w:rPr>
        <w:t>from studies HPV-001/007/023</w:t>
      </w:r>
      <w:r w:rsidRPr="003C6F11">
        <w:rPr>
          <w:b/>
          <w:i/>
          <w:color w:val="000000"/>
        </w:rPr>
        <w:t xml:space="preserve"> </w:t>
      </w:r>
      <w:r w:rsidR="00014864" w:rsidRPr="003C6F11">
        <w:rPr>
          <w:rFonts w:ascii="Arial" w:hAnsi="Arial" w:cs="Arial"/>
          <w:color w:val="000000"/>
          <w:sz w:val="24"/>
          <w:szCs w:val="24"/>
        </w:rPr>
        <w:t xml:space="preserve">are presented in </w:t>
      </w:r>
      <w:r w:rsidR="00FC74DF" w:rsidRPr="003C6F11">
        <w:rPr>
          <w:rFonts w:ascii="Arial" w:hAnsi="Arial" w:cs="Arial"/>
          <w:color w:val="000000"/>
          <w:sz w:val="24"/>
          <w:szCs w:val="24"/>
        </w:rPr>
        <w:t>Figure</w:t>
      </w:r>
      <w:r w:rsidR="0050528D" w:rsidRPr="003C6F11">
        <w:rPr>
          <w:rFonts w:ascii="Arial" w:hAnsi="Arial" w:cs="Arial"/>
          <w:color w:val="000000"/>
          <w:sz w:val="24"/>
          <w:szCs w:val="24"/>
        </w:rPr>
        <w:t>s</w:t>
      </w:r>
      <w:r w:rsidR="00FC74DF" w:rsidRPr="003C6F11">
        <w:rPr>
          <w:rFonts w:ascii="Arial" w:hAnsi="Arial" w:cs="Arial"/>
          <w:color w:val="000000"/>
          <w:sz w:val="24"/>
          <w:szCs w:val="24"/>
        </w:rPr>
        <w:t xml:space="preserve"> 1 </w:t>
      </w:r>
      <w:r w:rsidR="0050528D" w:rsidRPr="003C6F11">
        <w:rPr>
          <w:rFonts w:ascii="Arial" w:hAnsi="Arial" w:cs="Arial"/>
          <w:color w:val="000000"/>
          <w:sz w:val="24"/>
          <w:szCs w:val="24"/>
        </w:rPr>
        <w:t xml:space="preserve">and 2 </w:t>
      </w:r>
      <w:r w:rsidR="00014864" w:rsidRPr="003C6F11">
        <w:rPr>
          <w:rFonts w:ascii="Arial" w:hAnsi="Arial" w:cs="Arial"/>
          <w:color w:val="000000"/>
          <w:sz w:val="24"/>
          <w:szCs w:val="24"/>
        </w:rPr>
        <w:t>below:</w:t>
      </w:r>
      <w:r w:rsidR="0066667E" w:rsidRPr="003C6F11">
        <w:rPr>
          <w:rFonts w:ascii="Arial" w:hAnsi="Arial" w:cs="Arial"/>
          <w:b/>
          <w:color w:val="000000"/>
          <w:sz w:val="24"/>
          <w:szCs w:val="24"/>
          <w:u w:val="single"/>
        </w:rPr>
        <w:t xml:space="preserve"> </w:t>
      </w:r>
    </w:p>
    <w:p w:rsidR="00E45C81" w:rsidRPr="003C6F11" w:rsidRDefault="00E45C81" w:rsidP="0050528D">
      <w:pPr>
        <w:spacing w:line="360" w:lineRule="exact"/>
        <w:rPr>
          <w:rFonts w:ascii="Arial" w:hAnsi="Arial" w:cs="Arial"/>
          <w:b/>
          <w:color w:val="000000"/>
          <w:sz w:val="24"/>
          <w:szCs w:val="24"/>
          <w:u w:val="single"/>
        </w:rPr>
      </w:pPr>
    </w:p>
    <w:p w:rsidR="00DE628C" w:rsidRPr="003C6F11" w:rsidRDefault="0050528D" w:rsidP="00DE628C">
      <w:pPr>
        <w:pageBreakBefore/>
        <w:rPr>
          <w:b/>
          <w:i/>
          <w:color w:val="000000"/>
          <w:sz w:val="22"/>
          <w:szCs w:val="22"/>
        </w:rPr>
      </w:pPr>
      <w:r w:rsidRPr="003C6F11">
        <w:rPr>
          <w:b/>
          <w:i/>
          <w:color w:val="000000"/>
          <w:sz w:val="22"/>
          <w:szCs w:val="22"/>
        </w:rPr>
        <w:lastRenderedPageBreak/>
        <w:t xml:space="preserve">Figure 1: </w:t>
      </w:r>
      <w:r w:rsidR="00DE628C" w:rsidRPr="003C6F11">
        <w:rPr>
          <w:b/>
          <w:i/>
          <w:color w:val="000000"/>
          <w:sz w:val="22"/>
          <w:szCs w:val="22"/>
        </w:rPr>
        <w:t>Evolution of GMTs for anti-HPV-16 IgG antibodies during studies HPV-001,</w:t>
      </w:r>
      <w:r w:rsidR="003C6F11">
        <w:rPr>
          <w:b/>
          <w:i/>
          <w:color w:val="000000"/>
          <w:sz w:val="22"/>
          <w:szCs w:val="22"/>
        </w:rPr>
        <w:t xml:space="preserve"> </w:t>
      </w:r>
      <w:r w:rsidR="00DE628C" w:rsidRPr="003C6F11">
        <w:rPr>
          <w:b/>
          <w:i/>
          <w:color w:val="000000"/>
          <w:sz w:val="22"/>
          <w:szCs w:val="22"/>
        </w:rPr>
        <w:t>HPV-007 and HPV-023 (ATP cohort for immunogenicity)</w:t>
      </w:r>
    </w:p>
    <w:p w:rsidR="002C54CD" w:rsidRDefault="00A767D7" w:rsidP="00DE628C">
      <w:pPr>
        <w:rPr>
          <w:b/>
        </w:rPr>
      </w:pPr>
      <w:r>
        <w:rPr>
          <w:b/>
          <w:i/>
          <w:noProof/>
          <w:color w:val="FF0000"/>
        </w:rPr>
        <w:drawing>
          <wp:inline distT="0" distB="0" distL="0" distR="0">
            <wp:extent cx="5476875" cy="2771775"/>
            <wp:effectExtent l="19050" t="0" r="9525"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5476875" cy="2771775"/>
                    </a:xfrm>
                    <a:prstGeom prst="rect">
                      <a:avLst/>
                    </a:prstGeom>
                    <a:noFill/>
                    <a:ln w="9525">
                      <a:noFill/>
                      <a:miter lim="800000"/>
                      <a:headEnd/>
                      <a:tailEnd/>
                    </a:ln>
                  </pic:spPr>
                </pic:pic>
              </a:graphicData>
            </a:graphic>
          </wp:inline>
        </w:drawing>
      </w:r>
    </w:p>
    <w:p w:rsidR="005F17CB" w:rsidRPr="00502950" w:rsidRDefault="00996F90" w:rsidP="00DE628C">
      <w:pPr>
        <w:rPr>
          <w:b/>
          <w:sz w:val="18"/>
        </w:rPr>
      </w:pPr>
      <w:r w:rsidRPr="00502950">
        <w:rPr>
          <w:b/>
          <w:sz w:val="18"/>
        </w:rPr>
        <w:t xml:space="preserve">Note: Number above </w:t>
      </w:r>
      <w:r w:rsidR="00B06081">
        <w:rPr>
          <w:b/>
          <w:sz w:val="18"/>
        </w:rPr>
        <w:t xml:space="preserve">the </w:t>
      </w:r>
      <w:r w:rsidRPr="00502950">
        <w:rPr>
          <w:b/>
          <w:sz w:val="18"/>
        </w:rPr>
        <w:t xml:space="preserve">bar is percentage </w:t>
      </w:r>
      <w:r w:rsidR="00502950" w:rsidRPr="00502950">
        <w:rPr>
          <w:b/>
          <w:sz w:val="18"/>
        </w:rPr>
        <w:t xml:space="preserve">of subjects </w:t>
      </w:r>
      <w:r w:rsidR="009C643D">
        <w:rPr>
          <w:b/>
          <w:sz w:val="18"/>
        </w:rPr>
        <w:t xml:space="preserve">that were seropositive for </w:t>
      </w:r>
      <w:r w:rsidR="00502950" w:rsidRPr="00502950">
        <w:rPr>
          <w:b/>
          <w:sz w:val="18"/>
        </w:rPr>
        <w:t>HPV-16 IgG antibodies</w:t>
      </w:r>
    </w:p>
    <w:p w:rsidR="00996F90" w:rsidRDefault="00996F90" w:rsidP="00DE628C">
      <w:pPr>
        <w:rPr>
          <w:b/>
        </w:rPr>
      </w:pPr>
    </w:p>
    <w:p w:rsidR="00DE628C" w:rsidRPr="003C6F11" w:rsidRDefault="00B24880" w:rsidP="00DE628C">
      <w:pPr>
        <w:rPr>
          <w:b/>
          <w:i/>
          <w:color w:val="000000"/>
          <w:sz w:val="22"/>
          <w:szCs w:val="22"/>
        </w:rPr>
      </w:pPr>
      <w:r>
        <w:rPr>
          <w:noProof/>
          <w:lang w:val="en-GB" w:eastAsia="en-GB"/>
        </w:rPr>
        <w:pict>
          <v:shapetype id="_x0000_t202" coordsize="21600,21600" o:spt="202" path="m,l,21600r21600,l21600,xe">
            <v:stroke joinstyle="miter"/>
            <v:path gradientshapeok="t" o:connecttype="rect"/>
          </v:shapetype>
          <v:shape id="Text Box 10" o:spid="_x0000_s1034" type="#_x0000_t202" style="position:absolute;left:0;text-align:left;margin-left:504.65pt;margin-top:2.75pt;width:48.45pt;height:15.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" stroked="f">
            <v:textbox>
              <w:txbxContent>
                <w:p w:rsidR="00BB411E" w:rsidRPr="009765FA" w:rsidRDefault="00BB411E" w:rsidP="00DE628C">
                  <w:pPr>
                    <w:rPr>
                      <w:sz w:val="14"/>
                      <w:szCs w:val="14"/>
                      <w:lang w:val="fr-BE"/>
                    </w:rPr>
                  </w:pPr>
                  <w:r w:rsidRPr="009765FA">
                    <w:rPr>
                      <w:sz w:val="14"/>
                      <w:szCs w:val="14"/>
                      <w:lang w:val="fr-BE"/>
                    </w:rPr>
                    <w:t>M =</w:t>
                  </w:r>
                  <w:r>
                    <w:rPr>
                      <w:sz w:val="16"/>
                      <w:szCs w:val="16"/>
                      <w:lang w:val="fr-BE"/>
                    </w:rPr>
                    <w:t xml:space="preserve"> </w:t>
                  </w:r>
                  <w:proofErr w:type="spellStart"/>
                  <w:r w:rsidRPr="009765FA">
                    <w:rPr>
                      <w:sz w:val="14"/>
                      <w:szCs w:val="14"/>
                      <w:lang w:val="fr-BE"/>
                    </w:rPr>
                    <w:t>Month</w:t>
                  </w:r>
                  <w:proofErr w:type="spellEnd"/>
                </w:p>
              </w:txbxContent>
            </v:textbox>
          </v:shape>
        </w:pict>
      </w:r>
      <w:r w:rsidR="0050528D" w:rsidRPr="003C6F11">
        <w:rPr>
          <w:b/>
          <w:i/>
          <w:color w:val="000000"/>
          <w:sz w:val="22"/>
          <w:szCs w:val="22"/>
        </w:rPr>
        <w:t xml:space="preserve">Figure 2: </w:t>
      </w:r>
      <w:r w:rsidR="00DE628C" w:rsidRPr="003C6F11">
        <w:rPr>
          <w:b/>
          <w:i/>
          <w:color w:val="000000"/>
          <w:sz w:val="22"/>
          <w:szCs w:val="22"/>
        </w:rPr>
        <w:t>Evolution of GMTs for anti-HPV-18 IgG antibodies during studies HPV-00</w:t>
      </w:r>
      <w:r w:rsidR="00840141">
        <w:rPr>
          <w:b/>
          <w:i/>
          <w:color w:val="000000"/>
          <w:sz w:val="22"/>
          <w:szCs w:val="22"/>
        </w:rPr>
        <w:t>1</w:t>
      </w:r>
      <w:r w:rsidR="00DE628C" w:rsidRPr="003C6F11">
        <w:rPr>
          <w:b/>
          <w:i/>
          <w:color w:val="000000"/>
          <w:sz w:val="22"/>
          <w:szCs w:val="22"/>
        </w:rPr>
        <w:t>,</w:t>
      </w:r>
      <w:r w:rsidR="003C6F11">
        <w:rPr>
          <w:b/>
          <w:i/>
          <w:color w:val="000000"/>
          <w:sz w:val="22"/>
          <w:szCs w:val="22"/>
        </w:rPr>
        <w:t xml:space="preserve"> </w:t>
      </w:r>
      <w:r w:rsidR="00DE628C" w:rsidRPr="003C6F11">
        <w:rPr>
          <w:b/>
          <w:i/>
          <w:color w:val="000000"/>
          <w:sz w:val="22"/>
          <w:szCs w:val="22"/>
        </w:rPr>
        <w:t>HPV-007 and HPV-023 (ATP cohort for immunogenicity)</w:t>
      </w:r>
    </w:p>
    <w:p w:rsidR="00DE628C" w:rsidRDefault="00A767D7" w:rsidP="00DE628C">
      <w:r>
        <w:rPr>
          <w:b/>
          <w:i/>
          <w:noProof/>
          <w:color w:val="FF0000"/>
          <w:sz w:val="22"/>
          <w:szCs w:val="22"/>
        </w:rPr>
        <w:drawing>
          <wp:inline distT="0" distB="0" distL="0" distR="0">
            <wp:extent cx="5486400" cy="325755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486400" cy="3257550"/>
                    </a:xfrm>
                    <a:prstGeom prst="rect">
                      <a:avLst/>
                    </a:prstGeom>
                    <a:noFill/>
                    <a:ln w="9525">
                      <a:noFill/>
                      <a:miter lim="800000"/>
                      <a:headEnd/>
                      <a:tailEnd/>
                    </a:ln>
                  </pic:spPr>
                </pic:pic>
              </a:graphicData>
            </a:graphic>
          </wp:inline>
        </w:drawing>
      </w:r>
    </w:p>
    <w:p w:rsidR="00B06081" w:rsidRPr="00502950" w:rsidRDefault="00B06081" w:rsidP="00B06081">
      <w:pPr>
        <w:rPr>
          <w:b/>
          <w:sz w:val="18"/>
        </w:rPr>
      </w:pPr>
      <w:r w:rsidRPr="00502950">
        <w:rPr>
          <w:b/>
          <w:sz w:val="18"/>
        </w:rPr>
        <w:t xml:space="preserve">Note: Number above </w:t>
      </w:r>
      <w:r>
        <w:rPr>
          <w:b/>
          <w:sz w:val="18"/>
        </w:rPr>
        <w:t xml:space="preserve">the </w:t>
      </w:r>
      <w:r w:rsidRPr="00502950">
        <w:rPr>
          <w:b/>
          <w:sz w:val="18"/>
        </w:rPr>
        <w:t xml:space="preserve">bar is percentage of subjects </w:t>
      </w:r>
      <w:r w:rsidR="009C643D">
        <w:rPr>
          <w:b/>
          <w:sz w:val="18"/>
        </w:rPr>
        <w:t>that were seropositive</w:t>
      </w:r>
      <w:r w:rsidR="004E2BF8">
        <w:rPr>
          <w:b/>
          <w:sz w:val="18"/>
        </w:rPr>
        <w:t xml:space="preserve"> </w:t>
      </w:r>
      <w:r w:rsidR="009C643D">
        <w:rPr>
          <w:b/>
          <w:sz w:val="18"/>
        </w:rPr>
        <w:t>for</w:t>
      </w:r>
      <w:r w:rsidRPr="00502950">
        <w:rPr>
          <w:b/>
          <w:sz w:val="18"/>
        </w:rPr>
        <w:t xml:space="preserve"> anti-HPV-1</w:t>
      </w:r>
      <w:r>
        <w:rPr>
          <w:b/>
          <w:sz w:val="18"/>
        </w:rPr>
        <w:t>8</w:t>
      </w:r>
      <w:r w:rsidRPr="00502950">
        <w:rPr>
          <w:b/>
          <w:sz w:val="18"/>
        </w:rPr>
        <w:t xml:space="preserve"> IgG antibodies</w:t>
      </w:r>
    </w:p>
    <w:p w:rsidR="00DE628C" w:rsidRDefault="00DE628C" w:rsidP="00DE628C"/>
    <w:p w:rsidR="00DE628C" w:rsidRPr="003C6F11" w:rsidRDefault="00B24880" w:rsidP="0066667E">
      <w:pPr>
        <w:rPr>
          <w:rFonts w:ascii="Arial" w:hAnsi="Arial" w:cs="Arial"/>
          <w:color w:val="000000"/>
          <w:sz w:val="24"/>
          <w:szCs w:val="24"/>
        </w:rPr>
      </w:pPr>
      <w:r>
        <w:rPr>
          <w:noProof/>
          <w:lang w:val="en-GB" w:eastAsia="en-GB"/>
        </w:rPr>
        <w:pict>
          <v:shape id="Text Box 11" o:spid="_x0000_s1035" type="#_x0000_t202" style="position:absolute;left:0;text-align:left;margin-left:450.3pt;margin-top:21.15pt;width:48.45pt;height:15.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" stroked="f">
            <v:textbox>
              <w:txbxContent>
                <w:p w:rsidR="00BB411E" w:rsidRPr="009765FA" w:rsidRDefault="00BB411E" w:rsidP="00DE628C">
                  <w:pPr>
                    <w:rPr>
                      <w:sz w:val="14"/>
                      <w:szCs w:val="14"/>
                      <w:lang w:val="fr-BE"/>
                    </w:rPr>
                  </w:pPr>
                  <w:r w:rsidRPr="009765FA">
                    <w:rPr>
                      <w:sz w:val="14"/>
                      <w:szCs w:val="14"/>
                      <w:lang w:val="fr-BE"/>
                    </w:rPr>
                    <w:t>M =</w:t>
                  </w:r>
                  <w:r>
                    <w:rPr>
                      <w:sz w:val="16"/>
                      <w:szCs w:val="16"/>
                      <w:lang w:val="fr-BE"/>
                    </w:rPr>
                    <w:t xml:space="preserve"> </w:t>
                  </w:r>
                  <w:proofErr w:type="spellStart"/>
                  <w:r w:rsidRPr="009765FA">
                    <w:rPr>
                      <w:sz w:val="14"/>
                      <w:szCs w:val="14"/>
                      <w:lang w:val="fr-BE"/>
                    </w:rPr>
                    <w:t>Month</w:t>
                  </w:r>
                  <w:proofErr w:type="spellEnd"/>
                </w:p>
              </w:txbxContent>
            </v:textbox>
          </v:shape>
        </w:pict>
      </w:r>
      <w:r w:rsidR="00DE628C" w:rsidRPr="00DE628C">
        <w:rPr>
          <w:rFonts w:ascii="Arial" w:hAnsi="Arial" w:cs="Arial"/>
          <w:sz w:val="24"/>
          <w:szCs w:val="24"/>
        </w:rPr>
        <w:t xml:space="preserve">Vaccine-induced IgG Geometric Mean Titres (GMT) for both HPV-16 and HPV-18 peaked at month 7 and then declined to reach a plateau from month 18 </w:t>
      </w:r>
      <w:r w:rsidR="00DE628C" w:rsidRPr="008B12D0">
        <w:rPr>
          <w:rFonts w:ascii="Arial" w:hAnsi="Arial" w:cs="Arial"/>
          <w:color w:val="000000"/>
          <w:sz w:val="24"/>
          <w:szCs w:val="24"/>
        </w:rPr>
        <w:t xml:space="preserve">with no substantial decline </w:t>
      </w:r>
      <w:r w:rsidR="00DE628C" w:rsidRPr="003C6F11">
        <w:rPr>
          <w:rFonts w:ascii="Arial" w:hAnsi="Arial" w:cs="Arial"/>
          <w:color w:val="000000"/>
          <w:sz w:val="24"/>
          <w:szCs w:val="24"/>
        </w:rPr>
        <w:t xml:space="preserve">up to the end of the follow-up period (month </w:t>
      </w:r>
      <w:r w:rsidR="00BD613E">
        <w:rPr>
          <w:rFonts w:ascii="Arial" w:hAnsi="Arial" w:cs="Arial"/>
          <w:color w:val="000000"/>
          <w:sz w:val="24"/>
          <w:szCs w:val="24"/>
        </w:rPr>
        <w:t>113</w:t>
      </w:r>
      <w:r w:rsidR="00DE628C" w:rsidRPr="003C6F11">
        <w:rPr>
          <w:rFonts w:ascii="Arial" w:hAnsi="Arial" w:cs="Arial"/>
          <w:color w:val="000000"/>
          <w:sz w:val="24"/>
          <w:szCs w:val="24"/>
        </w:rPr>
        <w:t xml:space="preserve">). At </w:t>
      </w:r>
      <w:r w:rsidR="008B12D0" w:rsidRPr="003C6F11">
        <w:rPr>
          <w:rFonts w:ascii="Arial" w:hAnsi="Arial" w:cs="Arial"/>
          <w:color w:val="000000"/>
          <w:sz w:val="24"/>
          <w:szCs w:val="24"/>
        </w:rPr>
        <w:t>(</w:t>
      </w:r>
      <w:r w:rsidR="00DE628C" w:rsidRPr="003C6F11">
        <w:rPr>
          <w:rFonts w:ascii="Arial" w:hAnsi="Arial" w:cs="Arial"/>
          <w:color w:val="000000"/>
          <w:sz w:val="24"/>
          <w:szCs w:val="24"/>
        </w:rPr>
        <w:t>month</w:t>
      </w:r>
      <w:r w:rsidR="008B12D0" w:rsidRPr="003C6F11">
        <w:rPr>
          <w:rFonts w:ascii="Arial" w:hAnsi="Arial" w:cs="Arial"/>
          <w:color w:val="000000"/>
          <w:sz w:val="24"/>
          <w:szCs w:val="24"/>
        </w:rPr>
        <w:t xml:space="preserve"> </w:t>
      </w:r>
      <w:r w:rsidR="00BD613E">
        <w:rPr>
          <w:rFonts w:ascii="Arial" w:hAnsi="Arial" w:cs="Arial"/>
          <w:color w:val="000000"/>
          <w:sz w:val="24"/>
          <w:szCs w:val="24"/>
        </w:rPr>
        <w:t>113</w:t>
      </w:r>
      <w:r w:rsidR="008B12D0" w:rsidRPr="003C6F11">
        <w:rPr>
          <w:rFonts w:ascii="Arial" w:hAnsi="Arial" w:cs="Arial"/>
          <w:color w:val="000000"/>
          <w:sz w:val="24"/>
          <w:szCs w:val="24"/>
        </w:rPr>
        <w:t>)</w:t>
      </w:r>
      <w:r w:rsidR="00DE628C" w:rsidRPr="003C6F11">
        <w:rPr>
          <w:rFonts w:ascii="Arial" w:hAnsi="Arial" w:cs="Arial"/>
          <w:color w:val="000000"/>
          <w:sz w:val="24"/>
          <w:szCs w:val="24"/>
        </w:rPr>
        <w:t xml:space="preserve">, GMTs for both HPV-16 and HPV-18 were still at least 11-fold higher than titres observed in women previously infected but who cleared HPV infection (natural infection) and 100% of the women were </w:t>
      </w:r>
      <w:r w:rsidR="00DE628C" w:rsidRPr="003C6F11">
        <w:rPr>
          <w:rFonts w:ascii="Arial" w:hAnsi="Arial" w:cs="Arial"/>
          <w:color w:val="000000"/>
          <w:sz w:val="24"/>
          <w:szCs w:val="24"/>
        </w:rPr>
        <w:lastRenderedPageBreak/>
        <w:t xml:space="preserve">seropositive </w:t>
      </w:r>
      <w:r w:rsidR="00920AB1" w:rsidRPr="003C6F11">
        <w:rPr>
          <w:rFonts w:ascii="Arial" w:hAnsi="Arial" w:cs="Arial"/>
          <w:color w:val="000000"/>
          <w:sz w:val="24"/>
          <w:szCs w:val="24"/>
        </w:rPr>
        <w:t xml:space="preserve">by ELISA </w:t>
      </w:r>
      <w:r w:rsidR="00DE628C" w:rsidRPr="003C6F11">
        <w:rPr>
          <w:rFonts w:ascii="Arial" w:hAnsi="Arial" w:cs="Arial"/>
          <w:color w:val="000000"/>
          <w:sz w:val="24"/>
          <w:szCs w:val="24"/>
        </w:rPr>
        <w:t>for both antigens</w:t>
      </w:r>
      <w:r w:rsidR="00DE628C" w:rsidRPr="003C6F11">
        <w:rPr>
          <w:color w:val="000000"/>
        </w:rPr>
        <w:t>.</w:t>
      </w:r>
      <w:r w:rsidR="008B12D0" w:rsidRPr="003C6F11">
        <w:rPr>
          <w:b/>
          <w:strike/>
          <w:color w:val="000000"/>
        </w:rPr>
        <w:t xml:space="preserve"> </w:t>
      </w:r>
    </w:p>
    <w:p w:rsidR="00E45C81" w:rsidRDefault="00E45C81" w:rsidP="0066667E">
      <w:pPr>
        <w:rPr>
          <w:rFonts w:ascii="Arial" w:hAnsi="Arial" w:cs="Arial"/>
          <w:color w:val="000000"/>
          <w:sz w:val="24"/>
          <w:szCs w:val="24"/>
        </w:rPr>
      </w:pPr>
    </w:p>
    <w:p w:rsidR="0050528D" w:rsidRPr="003C6F11" w:rsidRDefault="0050528D" w:rsidP="0066667E">
      <w:pPr>
        <w:rPr>
          <w:rFonts w:ascii="Arial" w:hAnsi="Arial" w:cs="Arial"/>
          <w:color w:val="000000"/>
          <w:sz w:val="24"/>
          <w:szCs w:val="24"/>
        </w:rPr>
      </w:pPr>
      <w:r w:rsidRPr="003C6F11">
        <w:rPr>
          <w:rFonts w:ascii="Arial" w:hAnsi="Arial" w:cs="Arial"/>
          <w:color w:val="000000"/>
          <w:sz w:val="24"/>
          <w:szCs w:val="24"/>
        </w:rPr>
        <w:t>A similar kinetic profile was observed with the neutralizing antibodies.</w:t>
      </w:r>
    </w:p>
    <w:p w:rsidR="0050528D" w:rsidRDefault="0050528D" w:rsidP="0066667E">
      <w:pPr>
        <w:rPr>
          <w:rFonts w:ascii="Arial" w:hAnsi="Arial" w:cs="Arial"/>
          <w:sz w:val="24"/>
          <w:szCs w:val="24"/>
        </w:rPr>
      </w:pPr>
    </w:p>
    <w:p w:rsidR="0066667E" w:rsidRPr="00DE628C" w:rsidRDefault="00DE628C" w:rsidP="0066667E">
      <w:pPr>
        <w:rPr>
          <w:rFonts w:ascii="Arial" w:hAnsi="Arial" w:cs="Arial"/>
          <w:sz w:val="24"/>
          <w:szCs w:val="24"/>
          <w:u w:val="single"/>
        </w:rPr>
      </w:pPr>
      <w:r w:rsidRPr="00DE628C">
        <w:rPr>
          <w:rFonts w:ascii="Arial" w:hAnsi="Arial" w:cs="Arial"/>
          <w:sz w:val="24"/>
          <w:szCs w:val="24"/>
        </w:rPr>
        <w:t xml:space="preserve">In study HPV-008, immunogenicity </w:t>
      </w:r>
      <w:r w:rsidRPr="00DE628C">
        <w:rPr>
          <w:rFonts w:ascii="Arial" w:hAnsi="Arial" w:cs="Arial"/>
          <w:color w:val="000000"/>
          <w:sz w:val="24"/>
          <w:szCs w:val="24"/>
        </w:rPr>
        <w:t>up to month 36</w:t>
      </w:r>
      <w:r w:rsidRPr="00DE628C">
        <w:rPr>
          <w:rFonts w:ascii="Arial" w:hAnsi="Arial" w:cs="Arial"/>
          <w:sz w:val="24"/>
          <w:szCs w:val="24"/>
        </w:rPr>
        <w:t xml:space="preserve"> was similar to the response observed in study HPV-001/007.</w:t>
      </w:r>
      <w:r w:rsidRPr="00DE628C">
        <w:rPr>
          <w:rFonts w:ascii="Arial" w:hAnsi="Arial" w:cs="Arial"/>
          <w:color w:val="FF0000"/>
          <w:sz w:val="24"/>
          <w:szCs w:val="24"/>
        </w:rPr>
        <w:t xml:space="preserve"> </w:t>
      </w:r>
    </w:p>
    <w:p w:rsidR="00014864" w:rsidRPr="00F2256D" w:rsidRDefault="00014864">
      <w:pPr>
        <w:rPr>
          <w:strike/>
          <w:szCs w:val="24"/>
          <w:highlight w:val="yellow"/>
        </w:rPr>
      </w:pPr>
    </w:p>
    <w:p w:rsidR="00014864" w:rsidRPr="00F2256D" w:rsidRDefault="00014864">
      <w:pPr>
        <w:spacing w:line="360" w:lineRule="exact"/>
        <w:rPr>
          <w:rFonts w:ascii="Arial" w:hAnsi="Arial" w:cs="Arial"/>
          <w:b/>
          <w:sz w:val="24"/>
          <w:szCs w:val="24"/>
          <w:highlight w:val="yellow"/>
        </w:rPr>
      </w:pPr>
      <w:r w:rsidRPr="00F2256D">
        <w:rPr>
          <w:rFonts w:ascii="Arial" w:hAnsi="Arial" w:cs="Arial"/>
          <w:b/>
          <w:sz w:val="24"/>
          <w:szCs w:val="24"/>
        </w:rPr>
        <w:t xml:space="preserve">Bridging the efficacy of </w:t>
      </w:r>
      <w:r w:rsidR="0078272C" w:rsidRPr="00F2256D">
        <w:rPr>
          <w:rFonts w:ascii="Arial" w:hAnsi="Arial" w:cs="Arial"/>
          <w:b/>
          <w:sz w:val="24"/>
          <w:szCs w:val="24"/>
        </w:rPr>
        <w:t xml:space="preserve">CERVARIX </w:t>
      </w:r>
      <w:r w:rsidRPr="00F2256D">
        <w:rPr>
          <w:rFonts w:ascii="Arial" w:hAnsi="Arial" w:cs="Arial"/>
          <w:b/>
          <w:sz w:val="24"/>
          <w:szCs w:val="24"/>
        </w:rPr>
        <w:t>demonstrated in 15 to 25 year olds to other age groups</w:t>
      </w:r>
    </w:p>
    <w:p w:rsidR="00014864" w:rsidRPr="00F2256D" w:rsidRDefault="00014864">
      <w:pPr>
        <w:autoSpaceDE w:val="0"/>
        <w:autoSpaceDN w:val="0"/>
        <w:spacing w:line="360" w:lineRule="exact"/>
        <w:rPr>
          <w:rFonts w:ascii="Arial" w:hAnsi="Arial" w:cs="Arial"/>
          <w:sz w:val="24"/>
          <w:szCs w:val="24"/>
          <w:lang w:val="en-US"/>
        </w:rPr>
      </w:pPr>
      <w:r w:rsidRPr="00F2256D">
        <w:rPr>
          <w:rFonts w:ascii="Arial" w:hAnsi="Arial" w:cs="Arial"/>
          <w:sz w:val="24"/>
          <w:szCs w:val="24"/>
          <w:lang w:val="en-US"/>
        </w:rPr>
        <w:t xml:space="preserve">In two clinical trials </w:t>
      </w:r>
      <w:r w:rsidR="005071BE">
        <w:rPr>
          <w:rFonts w:ascii="Arial" w:hAnsi="Arial" w:cs="Arial"/>
          <w:sz w:val="24"/>
          <w:szCs w:val="24"/>
          <w:lang w:val="en-US"/>
        </w:rPr>
        <w:t xml:space="preserve">(HPV-012 &amp; HPV-013) </w:t>
      </w:r>
      <w:r w:rsidRPr="00F2256D">
        <w:rPr>
          <w:rFonts w:ascii="Arial" w:hAnsi="Arial" w:cs="Arial"/>
          <w:sz w:val="24"/>
          <w:szCs w:val="24"/>
          <w:lang w:val="en-US"/>
        </w:rPr>
        <w:t xml:space="preserve">performed </w:t>
      </w:r>
      <w:r w:rsidRPr="00F2256D">
        <w:rPr>
          <w:rFonts w:ascii="Arial" w:hAnsi="Arial" w:cs="Arial"/>
          <w:sz w:val="24"/>
          <w:szCs w:val="24"/>
        </w:rPr>
        <w:t xml:space="preserve">in girls aged </w:t>
      </w:r>
      <w:r w:rsidRPr="00F2256D">
        <w:rPr>
          <w:rFonts w:ascii="Arial" w:hAnsi="Arial" w:cs="Arial"/>
          <w:sz w:val="24"/>
          <w:szCs w:val="24"/>
          <w:lang w:val="en-US"/>
        </w:rPr>
        <w:t>10 to 14 years, all subjects seroconverted to both HPV type 16 and 18 after the third dose (at month 7) with GMTs at least 2-fold higher compared to women aged 15 to 25 years.</w:t>
      </w:r>
    </w:p>
    <w:p w:rsidR="00014864" w:rsidRPr="00F2256D" w:rsidRDefault="00014864">
      <w:pPr>
        <w:autoSpaceDE w:val="0"/>
        <w:autoSpaceDN w:val="0"/>
        <w:spacing w:line="360" w:lineRule="exact"/>
        <w:rPr>
          <w:rFonts w:ascii="Arial" w:hAnsi="Arial" w:cs="Arial"/>
          <w:sz w:val="24"/>
          <w:szCs w:val="24"/>
        </w:rPr>
      </w:pPr>
    </w:p>
    <w:p w:rsidR="00A8389A" w:rsidRDefault="00014864" w:rsidP="00A8389A">
      <w:pPr>
        <w:autoSpaceDE w:val="0"/>
        <w:autoSpaceDN w:val="0"/>
        <w:spacing w:line="360" w:lineRule="exact"/>
        <w:rPr>
          <w:rFonts w:ascii="Arial" w:hAnsi="Arial" w:cs="Arial"/>
          <w:sz w:val="24"/>
          <w:szCs w:val="24"/>
          <w:lang w:val="en-US"/>
        </w:rPr>
      </w:pPr>
      <w:r w:rsidRPr="001C1148">
        <w:rPr>
          <w:rFonts w:ascii="Arial" w:hAnsi="Arial" w:cs="Arial"/>
          <w:color w:val="000000"/>
          <w:sz w:val="24"/>
          <w:szCs w:val="24"/>
          <w:lang w:val="en-US"/>
        </w:rPr>
        <w:t xml:space="preserve">In study </w:t>
      </w:r>
      <w:r w:rsidR="003F4245" w:rsidRPr="001C1148">
        <w:rPr>
          <w:rFonts w:ascii="Arial" w:hAnsi="Arial" w:cs="Arial"/>
          <w:color w:val="000000"/>
          <w:sz w:val="24"/>
          <w:szCs w:val="24"/>
          <w:lang w:val="en-US"/>
        </w:rPr>
        <w:t xml:space="preserve">HPV-014 </w:t>
      </w:r>
      <w:r w:rsidRPr="001C1148">
        <w:rPr>
          <w:rFonts w:ascii="Arial" w:hAnsi="Arial" w:cs="Arial"/>
          <w:color w:val="000000"/>
          <w:sz w:val="24"/>
          <w:szCs w:val="24"/>
          <w:lang w:val="en-US"/>
        </w:rPr>
        <w:t xml:space="preserve">performed </w:t>
      </w:r>
      <w:r w:rsidRPr="001C1148">
        <w:rPr>
          <w:rFonts w:ascii="Arial" w:hAnsi="Arial" w:cs="Arial"/>
          <w:color w:val="000000"/>
          <w:sz w:val="24"/>
          <w:szCs w:val="24"/>
        </w:rPr>
        <w:t xml:space="preserve">in women aged </w:t>
      </w:r>
      <w:r w:rsidRPr="001C1148">
        <w:rPr>
          <w:rFonts w:ascii="Arial" w:hAnsi="Arial" w:cs="Arial"/>
          <w:color w:val="000000"/>
          <w:sz w:val="24"/>
          <w:szCs w:val="24"/>
          <w:lang w:val="en-US"/>
        </w:rPr>
        <w:t>26 to 55 years</w:t>
      </w:r>
      <w:r w:rsidR="00473DFD" w:rsidRPr="001C1148">
        <w:rPr>
          <w:rFonts w:ascii="Arial" w:hAnsi="Arial" w:cs="Arial"/>
          <w:color w:val="000000"/>
          <w:sz w:val="24"/>
          <w:szCs w:val="24"/>
          <w:lang w:val="en-US"/>
        </w:rPr>
        <w:t xml:space="preserve"> (N= 362)</w:t>
      </w:r>
      <w:r w:rsidRPr="001C1148">
        <w:rPr>
          <w:rFonts w:ascii="Arial" w:hAnsi="Arial" w:cs="Arial"/>
          <w:color w:val="000000"/>
          <w:sz w:val="24"/>
          <w:szCs w:val="24"/>
          <w:lang w:val="en-US"/>
        </w:rPr>
        <w:t>,</w:t>
      </w:r>
      <w:r w:rsidR="005A56B7" w:rsidRPr="001C1148">
        <w:rPr>
          <w:rFonts w:ascii="Arial" w:hAnsi="Arial" w:cs="Arial"/>
          <w:color w:val="000000"/>
          <w:sz w:val="24"/>
          <w:szCs w:val="24"/>
          <w:lang w:val="en-US"/>
        </w:rPr>
        <w:t xml:space="preserve"> </w:t>
      </w:r>
      <w:r w:rsidR="005A56B7" w:rsidRPr="001C1148">
        <w:rPr>
          <w:rFonts w:ascii="Arial" w:hAnsi="Arial"/>
          <w:color w:val="000000"/>
          <w:sz w:val="24"/>
          <w:szCs w:val="24"/>
        </w:rPr>
        <w:t>after vaccination,</w:t>
      </w:r>
      <w:r w:rsidR="005A56B7" w:rsidRPr="003C6F11">
        <w:rPr>
          <w:rFonts w:ascii="Arial" w:hAnsi="Arial"/>
          <w:color w:val="000000"/>
          <w:sz w:val="24"/>
          <w:szCs w:val="24"/>
        </w:rPr>
        <w:t xml:space="preserve"> 100% of initially seronegative subjects had seroconverted to both HPV-16 and HPV-18 antigens in all age groups</w:t>
      </w:r>
      <w:r w:rsidRPr="003C6F11">
        <w:rPr>
          <w:rFonts w:ascii="Arial" w:hAnsi="Arial" w:cs="Arial"/>
          <w:color w:val="000000"/>
          <w:sz w:val="24"/>
          <w:szCs w:val="24"/>
          <w:lang w:val="en-US"/>
        </w:rPr>
        <w:t xml:space="preserve"> </w:t>
      </w:r>
      <w:r w:rsidR="00473DFD" w:rsidRPr="003C6F11">
        <w:rPr>
          <w:rFonts w:ascii="Arial" w:hAnsi="Arial" w:cs="Arial"/>
          <w:color w:val="000000"/>
          <w:sz w:val="24"/>
          <w:szCs w:val="24"/>
          <w:lang w:val="en-US"/>
        </w:rPr>
        <w:t xml:space="preserve">after the third dose </w:t>
      </w:r>
      <w:r w:rsidRPr="003C6F11">
        <w:rPr>
          <w:rFonts w:ascii="Arial" w:hAnsi="Arial" w:cs="Arial"/>
          <w:color w:val="000000"/>
          <w:sz w:val="24"/>
          <w:szCs w:val="24"/>
          <w:lang w:val="en-US"/>
        </w:rPr>
        <w:t>(at month 7)</w:t>
      </w:r>
      <w:r w:rsidR="00473DFD" w:rsidRPr="003C6F11">
        <w:rPr>
          <w:rFonts w:ascii="Arial" w:hAnsi="Arial" w:cs="Arial"/>
          <w:color w:val="000000"/>
          <w:sz w:val="24"/>
          <w:szCs w:val="24"/>
          <w:lang w:val="en-US"/>
        </w:rPr>
        <w:t>.</w:t>
      </w:r>
      <w:r w:rsidRPr="003C6F11">
        <w:rPr>
          <w:rFonts w:ascii="Arial" w:hAnsi="Arial" w:cs="Arial"/>
          <w:color w:val="000000"/>
          <w:sz w:val="24"/>
          <w:szCs w:val="24"/>
          <w:lang w:val="en-US"/>
        </w:rPr>
        <w:t xml:space="preserve"> </w:t>
      </w:r>
      <w:r w:rsidR="00473DFD" w:rsidRPr="003C6F11">
        <w:rPr>
          <w:rFonts w:ascii="Arial" w:hAnsi="Arial" w:cs="Arial"/>
          <w:color w:val="000000"/>
          <w:sz w:val="24"/>
          <w:szCs w:val="24"/>
          <w:lang w:val="en-US"/>
        </w:rPr>
        <w:t xml:space="preserve"> The GMTs were lower in this population compared to women aged 15 to 25 years. However, all subjects remained seropositive for HPV-16 and all subjects except one remained seropositive for HPV-18 throughout the follow-up phase (up to month 48) maintaining antibody levels at an order of magnitude above those encountered after natural infection.</w:t>
      </w:r>
    </w:p>
    <w:p w:rsidR="00384FD6" w:rsidRDefault="00384FD6" w:rsidP="00A8389A">
      <w:pPr>
        <w:autoSpaceDE w:val="0"/>
        <w:autoSpaceDN w:val="0"/>
        <w:spacing w:line="360" w:lineRule="exact"/>
        <w:rPr>
          <w:rFonts w:ascii="Arial" w:hAnsi="Arial" w:cs="Arial"/>
          <w:sz w:val="24"/>
          <w:szCs w:val="24"/>
          <w:lang w:val="en-US"/>
        </w:rPr>
      </w:pPr>
    </w:p>
    <w:p w:rsidR="00384FD6" w:rsidRDefault="00384FD6" w:rsidP="00A8389A">
      <w:pPr>
        <w:autoSpaceDE w:val="0"/>
        <w:autoSpaceDN w:val="0"/>
        <w:spacing w:line="360" w:lineRule="exact"/>
        <w:rPr>
          <w:rFonts w:ascii="Arial" w:hAnsi="Arial" w:cs="Arial"/>
          <w:sz w:val="24"/>
          <w:szCs w:val="24"/>
          <w:lang w:val="en-US"/>
        </w:rPr>
      </w:pPr>
      <w:r>
        <w:rPr>
          <w:rFonts w:ascii="Arial" w:hAnsi="Arial" w:cs="Arial"/>
          <w:sz w:val="24"/>
          <w:szCs w:val="24"/>
          <w:lang w:val="en-US"/>
        </w:rPr>
        <w:t xml:space="preserve">On the basis of immunogenicity data observed in females aged 10 to 14 years and aged 26 to 45 years, the efficacy of </w:t>
      </w:r>
      <w:r w:rsidR="00984B2C">
        <w:rPr>
          <w:rFonts w:ascii="Arial" w:hAnsi="Arial" w:cs="Arial"/>
          <w:sz w:val="24"/>
          <w:szCs w:val="24"/>
          <w:lang w:val="en-US"/>
        </w:rPr>
        <w:t xml:space="preserve">CERVARIX </w:t>
      </w:r>
      <w:r>
        <w:rPr>
          <w:rFonts w:ascii="Arial" w:hAnsi="Arial" w:cs="Arial"/>
          <w:sz w:val="24"/>
          <w:szCs w:val="24"/>
          <w:lang w:val="en-US"/>
        </w:rPr>
        <w:t>is inferred from 10 to 45 years</w:t>
      </w:r>
      <w:r w:rsidR="005068E7">
        <w:rPr>
          <w:rFonts w:ascii="Arial" w:hAnsi="Arial" w:cs="Arial"/>
          <w:sz w:val="24"/>
          <w:szCs w:val="24"/>
          <w:lang w:val="en-US"/>
        </w:rPr>
        <w:t>.</w:t>
      </w:r>
    </w:p>
    <w:p w:rsidR="00A8389A" w:rsidRDefault="00A8389A" w:rsidP="00A8389A">
      <w:pPr>
        <w:autoSpaceDE w:val="0"/>
        <w:autoSpaceDN w:val="0"/>
        <w:spacing w:line="360" w:lineRule="exact"/>
        <w:rPr>
          <w:rFonts w:ascii="Arial" w:hAnsi="Arial" w:cs="Arial"/>
          <w:sz w:val="24"/>
          <w:szCs w:val="24"/>
          <w:lang w:val="en-US"/>
        </w:rPr>
      </w:pPr>
    </w:p>
    <w:p w:rsidR="00E5519A" w:rsidRPr="00E5519A" w:rsidRDefault="00E5519A" w:rsidP="00E5519A">
      <w:pPr>
        <w:spacing w:line="360" w:lineRule="exact"/>
        <w:rPr>
          <w:rFonts w:ascii="Arial" w:hAnsi="Arial"/>
          <w:b/>
          <w:sz w:val="24"/>
        </w:rPr>
      </w:pPr>
      <w:r w:rsidRPr="00E5519A">
        <w:rPr>
          <w:rFonts w:ascii="Arial" w:hAnsi="Arial"/>
          <w:b/>
          <w:sz w:val="24"/>
        </w:rPr>
        <w:t xml:space="preserve">Two dose schedule in </w:t>
      </w:r>
      <w:r w:rsidR="00384FD6">
        <w:rPr>
          <w:rFonts w:ascii="Arial" w:hAnsi="Arial"/>
          <w:b/>
          <w:sz w:val="24"/>
        </w:rPr>
        <w:t xml:space="preserve">girls </w:t>
      </w:r>
      <w:r w:rsidRPr="00E5519A">
        <w:rPr>
          <w:rFonts w:ascii="Arial" w:hAnsi="Arial"/>
          <w:b/>
          <w:sz w:val="24"/>
        </w:rPr>
        <w:t xml:space="preserve">9-14 years </w:t>
      </w:r>
      <w:r w:rsidR="00384FD6">
        <w:rPr>
          <w:rFonts w:ascii="Arial" w:hAnsi="Arial"/>
          <w:b/>
          <w:sz w:val="24"/>
        </w:rPr>
        <w:t>of age</w:t>
      </w:r>
    </w:p>
    <w:p w:rsidR="00E33080" w:rsidRDefault="00A8389A" w:rsidP="00A8389A">
      <w:pPr>
        <w:autoSpaceDE w:val="0"/>
        <w:autoSpaceDN w:val="0"/>
        <w:spacing w:line="360" w:lineRule="exact"/>
        <w:rPr>
          <w:rFonts w:ascii="Arial" w:hAnsi="Arial" w:cs="Arial"/>
          <w:sz w:val="24"/>
          <w:szCs w:val="24"/>
          <w:lang w:val="en-GB"/>
        </w:rPr>
      </w:pPr>
      <w:r w:rsidRPr="005071BE">
        <w:rPr>
          <w:rFonts w:ascii="Arial" w:hAnsi="Arial" w:cs="Arial"/>
          <w:sz w:val="24"/>
          <w:szCs w:val="24"/>
          <w:lang w:val="en-GB"/>
        </w:rPr>
        <w:t xml:space="preserve">In a clinical trial (HPV-070) </w:t>
      </w:r>
      <w:r w:rsidR="00E33080">
        <w:rPr>
          <w:rFonts w:ascii="Arial" w:hAnsi="Arial" w:cs="Arial"/>
          <w:sz w:val="24"/>
          <w:szCs w:val="24"/>
          <w:lang w:val="en-GB"/>
        </w:rPr>
        <w:t xml:space="preserve">immune response </w:t>
      </w:r>
      <w:r w:rsidRPr="005071BE">
        <w:rPr>
          <w:rFonts w:ascii="Arial" w:hAnsi="Arial" w:cs="Arial"/>
          <w:sz w:val="24"/>
          <w:szCs w:val="24"/>
          <w:lang w:val="en-GB"/>
        </w:rPr>
        <w:t>in girls aged 9 to 14 years receiving a 2-dose schedule (0, 6 months or 0, 12 months)</w:t>
      </w:r>
      <w:r w:rsidR="00E33080">
        <w:rPr>
          <w:rFonts w:ascii="Arial" w:hAnsi="Arial" w:cs="Arial"/>
          <w:sz w:val="24"/>
          <w:szCs w:val="24"/>
          <w:lang w:val="en-GB"/>
        </w:rPr>
        <w:t xml:space="preserve"> was compared with immune response after 3 doses (0, 1, 6 months) in women aged 15 to 25 years.</w:t>
      </w:r>
    </w:p>
    <w:p w:rsidR="00E33080" w:rsidRDefault="00E33080" w:rsidP="00A8389A">
      <w:pPr>
        <w:autoSpaceDE w:val="0"/>
        <w:autoSpaceDN w:val="0"/>
        <w:spacing w:line="360" w:lineRule="exact"/>
        <w:rPr>
          <w:rFonts w:ascii="Arial" w:hAnsi="Arial" w:cs="Arial"/>
          <w:sz w:val="24"/>
          <w:szCs w:val="24"/>
          <w:lang w:val="en-GB"/>
        </w:rPr>
      </w:pPr>
    </w:p>
    <w:p w:rsidR="00E33080" w:rsidRDefault="00E33080" w:rsidP="00A8389A">
      <w:pPr>
        <w:autoSpaceDE w:val="0"/>
        <w:autoSpaceDN w:val="0"/>
        <w:spacing w:line="360" w:lineRule="exact"/>
        <w:rPr>
          <w:rFonts w:ascii="Arial" w:hAnsi="Arial" w:cs="Arial"/>
          <w:sz w:val="24"/>
          <w:szCs w:val="24"/>
          <w:lang w:val="en-GB"/>
        </w:rPr>
      </w:pPr>
      <w:r>
        <w:rPr>
          <w:rFonts w:ascii="Arial" w:hAnsi="Arial" w:cs="Arial"/>
          <w:sz w:val="24"/>
          <w:szCs w:val="24"/>
          <w:lang w:val="en-GB"/>
        </w:rPr>
        <w:t>After Dose 1 (Day 0), the trial protocol allowed some flexibility in the administration of the 2</w:t>
      </w:r>
      <w:r w:rsidRPr="00E33080">
        <w:rPr>
          <w:rFonts w:ascii="Arial" w:hAnsi="Arial" w:cs="Arial"/>
          <w:sz w:val="24"/>
          <w:szCs w:val="24"/>
          <w:vertAlign w:val="superscript"/>
          <w:lang w:val="en-GB"/>
        </w:rPr>
        <w:t>nd</w:t>
      </w:r>
      <w:r>
        <w:rPr>
          <w:rFonts w:ascii="Arial" w:hAnsi="Arial" w:cs="Arial"/>
          <w:sz w:val="24"/>
          <w:szCs w:val="24"/>
          <w:lang w:val="en-GB"/>
        </w:rPr>
        <w:t xml:space="preserve"> dose of the vaccine (180 ± 30 days in 0, 6 months group and 365 ± 60 days in 0, 12 months group).  The 2</w:t>
      </w:r>
      <w:r w:rsidRPr="00E33080">
        <w:rPr>
          <w:rFonts w:ascii="Arial" w:hAnsi="Arial" w:cs="Arial"/>
          <w:sz w:val="24"/>
          <w:szCs w:val="24"/>
          <w:vertAlign w:val="superscript"/>
          <w:lang w:val="en-GB"/>
        </w:rPr>
        <w:t>nd</w:t>
      </w:r>
      <w:r>
        <w:rPr>
          <w:rFonts w:ascii="Arial" w:hAnsi="Arial" w:cs="Arial"/>
          <w:sz w:val="24"/>
          <w:szCs w:val="24"/>
          <w:lang w:val="en-GB"/>
        </w:rPr>
        <w:t xml:space="preserve"> and 3</w:t>
      </w:r>
      <w:r w:rsidRPr="00E33080">
        <w:rPr>
          <w:rFonts w:ascii="Arial" w:hAnsi="Arial" w:cs="Arial"/>
          <w:sz w:val="24"/>
          <w:szCs w:val="24"/>
          <w:vertAlign w:val="superscript"/>
          <w:lang w:val="en-GB"/>
        </w:rPr>
        <w:t>rd</w:t>
      </w:r>
      <w:r>
        <w:rPr>
          <w:rFonts w:ascii="Arial" w:hAnsi="Arial" w:cs="Arial"/>
          <w:sz w:val="24"/>
          <w:szCs w:val="24"/>
          <w:lang w:val="en-GB"/>
        </w:rPr>
        <w:t xml:space="preserve"> doses in the 3-dose (0, 1, 6 months) group could be administered at 21-90 days and 180 ± 30 days respectively.</w:t>
      </w:r>
    </w:p>
    <w:p w:rsidR="00E33080" w:rsidRDefault="00E33080" w:rsidP="00A8389A">
      <w:pPr>
        <w:autoSpaceDE w:val="0"/>
        <w:autoSpaceDN w:val="0"/>
        <w:spacing w:line="360" w:lineRule="exact"/>
        <w:rPr>
          <w:rFonts w:ascii="Arial" w:hAnsi="Arial" w:cs="Arial"/>
          <w:sz w:val="24"/>
          <w:szCs w:val="24"/>
          <w:lang w:val="en-GB"/>
        </w:rPr>
      </w:pPr>
    </w:p>
    <w:p w:rsidR="00A8389A" w:rsidRDefault="00E33080" w:rsidP="00A8389A">
      <w:pPr>
        <w:autoSpaceDE w:val="0"/>
        <w:autoSpaceDN w:val="0"/>
        <w:spacing w:line="360" w:lineRule="exact"/>
        <w:rPr>
          <w:rFonts w:ascii="Arial" w:hAnsi="Arial" w:cs="Arial"/>
          <w:sz w:val="24"/>
          <w:szCs w:val="24"/>
          <w:lang w:val="en-GB"/>
        </w:rPr>
      </w:pPr>
      <w:r>
        <w:rPr>
          <w:rFonts w:ascii="Arial" w:hAnsi="Arial" w:cs="Arial"/>
          <w:sz w:val="24"/>
          <w:szCs w:val="24"/>
          <w:lang w:val="en-GB"/>
        </w:rPr>
        <w:t>A</w:t>
      </w:r>
      <w:r w:rsidR="00A8389A" w:rsidRPr="005071BE">
        <w:rPr>
          <w:rFonts w:ascii="Arial" w:hAnsi="Arial" w:cs="Arial"/>
          <w:sz w:val="24"/>
          <w:szCs w:val="24"/>
          <w:lang w:val="en-GB"/>
        </w:rPr>
        <w:t>ll subjects seroconverted to both HPV types 16 and 18 one month after the</w:t>
      </w:r>
      <w:r>
        <w:rPr>
          <w:rFonts w:ascii="Arial" w:hAnsi="Arial" w:cs="Arial"/>
          <w:sz w:val="24"/>
          <w:szCs w:val="24"/>
          <w:lang w:val="en-GB"/>
        </w:rPr>
        <w:t xml:space="preserve"> completion of respective schedule</w:t>
      </w:r>
      <w:r w:rsidR="00A8389A" w:rsidRPr="005071BE">
        <w:rPr>
          <w:rFonts w:ascii="Arial" w:hAnsi="Arial" w:cs="Arial"/>
          <w:sz w:val="24"/>
          <w:szCs w:val="24"/>
          <w:lang w:val="en-GB"/>
        </w:rPr>
        <w:t>. The immune response after 2 doses in females aged 9 to 14 years was demonstrated to be non-inferior to the immune response after 3 doses in women aged 15 to 25 years.</w:t>
      </w:r>
    </w:p>
    <w:p w:rsidR="00A8389A" w:rsidRDefault="00A8389A" w:rsidP="00A8389A">
      <w:pPr>
        <w:autoSpaceDE w:val="0"/>
        <w:autoSpaceDN w:val="0"/>
        <w:spacing w:line="360" w:lineRule="exact"/>
        <w:rPr>
          <w:rFonts w:ascii="Arial" w:hAnsi="Arial" w:cs="Arial"/>
          <w:sz w:val="24"/>
          <w:szCs w:val="24"/>
          <w:lang w:val="en-GB"/>
        </w:rPr>
      </w:pPr>
    </w:p>
    <w:p w:rsidR="00E5519A" w:rsidRPr="0097736E" w:rsidRDefault="00384FD6" w:rsidP="005071BE">
      <w:pPr>
        <w:autoSpaceDE w:val="0"/>
        <w:autoSpaceDN w:val="0"/>
        <w:spacing w:line="360" w:lineRule="exact"/>
        <w:rPr>
          <w:rFonts w:ascii="Arial" w:hAnsi="Arial" w:cs="Arial"/>
          <w:sz w:val="24"/>
          <w:szCs w:val="24"/>
          <w:lang w:val="en-US"/>
        </w:rPr>
      </w:pPr>
      <w:r>
        <w:rPr>
          <w:rFonts w:ascii="Arial" w:hAnsi="Arial" w:cs="Arial"/>
          <w:sz w:val="24"/>
          <w:szCs w:val="24"/>
          <w:lang w:val="en-GB"/>
        </w:rPr>
        <w:lastRenderedPageBreak/>
        <w:t xml:space="preserve">The efficacy of 2-dose </w:t>
      </w:r>
      <w:r w:rsidR="00984B2C">
        <w:rPr>
          <w:rFonts w:ascii="Arial" w:hAnsi="Arial" w:cs="Arial"/>
          <w:sz w:val="24"/>
          <w:szCs w:val="24"/>
          <w:lang w:val="en-GB"/>
        </w:rPr>
        <w:t xml:space="preserve">CERVARIX </w:t>
      </w:r>
      <w:r>
        <w:rPr>
          <w:rFonts w:ascii="Arial" w:hAnsi="Arial" w:cs="Arial"/>
          <w:sz w:val="24"/>
          <w:szCs w:val="24"/>
          <w:lang w:val="en-GB"/>
        </w:rPr>
        <w:t>is inferred on the basis of immunogenicity data observed in girls vaccinated from age 9 to 14 years.</w:t>
      </w:r>
      <w:r w:rsidR="001E22D2">
        <w:rPr>
          <w:rFonts w:ascii="Arial" w:hAnsi="Arial" w:cs="Arial"/>
          <w:sz w:val="24"/>
          <w:szCs w:val="24"/>
          <w:lang w:val="en-GB"/>
        </w:rPr>
        <w:t xml:space="preserve">  </w:t>
      </w:r>
      <w:r w:rsidR="001E22D2">
        <w:rPr>
          <w:rFonts w:ascii="Arial" w:hAnsi="Arial" w:cs="Arial"/>
          <w:sz w:val="24"/>
          <w:szCs w:val="24"/>
          <w:lang w:val="en-US"/>
        </w:rPr>
        <w:t>I</w:t>
      </w:r>
      <w:r w:rsidR="00E5519A">
        <w:rPr>
          <w:rFonts w:ascii="Arial" w:hAnsi="Arial" w:cs="Arial"/>
          <w:sz w:val="24"/>
          <w:szCs w:val="24"/>
          <w:lang w:val="en-US"/>
        </w:rPr>
        <w:t>mmunological correlates of efficacy have not been established.</w:t>
      </w:r>
    </w:p>
    <w:p w:rsidR="0097736E" w:rsidRPr="0097736E" w:rsidRDefault="0097736E" w:rsidP="003C3F6E">
      <w:pPr>
        <w:autoSpaceDE w:val="0"/>
        <w:autoSpaceDN w:val="0"/>
        <w:spacing w:line="360" w:lineRule="exact"/>
        <w:rPr>
          <w:rFonts w:ascii="Arial" w:hAnsi="Arial" w:cs="Arial"/>
          <w:sz w:val="24"/>
          <w:szCs w:val="24"/>
          <w:lang w:val="en-US"/>
        </w:rPr>
      </w:pPr>
    </w:p>
    <w:p w:rsidR="00014864" w:rsidRPr="00F2256D" w:rsidRDefault="00014864">
      <w:pPr>
        <w:spacing w:line="360" w:lineRule="exact"/>
        <w:rPr>
          <w:rFonts w:ascii="Arial" w:hAnsi="Arial"/>
          <w:b/>
          <w:sz w:val="24"/>
        </w:rPr>
      </w:pPr>
      <w:r w:rsidRPr="00F2256D">
        <w:rPr>
          <w:rFonts w:ascii="Arial" w:hAnsi="Arial"/>
          <w:b/>
          <w:sz w:val="24"/>
        </w:rPr>
        <w:t xml:space="preserve">Immunogenicity in seropositive women </w:t>
      </w:r>
    </w:p>
    <w:p w:rsidR="00014864" w:rsidRDefault="00014864">
      <w:pPr>
        <w:spacing w:line="360" w:lineRule="exact"/>
        <w:rPr>
          <w:rFonts w:ascii="Arial" w:hAnsi="Arial" w:cs="Arial"/>
          <w:sz w:val="24"/>
          <w:szCs w:val="24"/>
        </w:rPr>
      </w:pPr>
      <w:r w:rsidRPr="00F2256D">
        <w:rPr>
          <w:rFonts w:ascii="Arial" w:hAnsi="Arial" w:cs="Arial"/>
          <w:sz w:val="24"/>
          <w:szCs w:val="24"/>
        </w:rPr>
        <w:t>The vaccination of women who were initially seropositive for HPV-16 or HPV-18 or both types has shown that the presence of anti-HPV-16 and/or anti-HPV-18 antibodies from natural infection does not affect the immune response to the HPV-16/18 vaccine.</w:t>
      </w:r>
      <w:r w:rsidR="0066667E" w:rsidRPr="00F2256D">
        <w:rPr>
          <w:rFonts w:ascii="Arial" w:hAnsi="Arial" w:cs="Arial"/>
          <w:sz w:val="24"/>
          <w:szCs w:val="24"/>
        </w:rPr>
        <w:t xml:space="preserve">  </w:t>
      </w:r>
    </w:p>
    <w:p w:rsidR="00EE30CE" w:rsidRDefault="00EE30CE">
      <w:pPr>
        <w:spacing w:line="360" w:lineRule="exact"/>
        <w:rPr>
          <w:rFonts w:ascii="Arial" w:hAnsi="Arial" w:cs="Arial"/>
          <w:sz w:val="24"/>
          <w:szCs w:val="24"/>
        </w:rPr>
      </w:pPr>
    </w:p>
    <w:p w:rsidR="00014864" w:rsidRPr="00F2256D" w:rsidRDefault="00014864">
      <w:pPr>
        <w:spacing w:line="360" w:lineRule="exact"/>
        <w:rPr>
          <w:rFonts w:ascii="Arial" w:hAnsi="Arial" w:cs="Arial"/>
          <w:b/>
          <w:sz w:val="24"/>
          <w:szCs w:val="24"/>
        </w:rPr>
      </w:pPr>
      <w:r w:rsidRPr="00F2256D">
        <w:rPr>
          <w:rFonts w:ascii="Arial" w:hAnsi="Arial" w:cs="Arial"/>
          <w:b/>
          <w:sz w:val="24"/>
          <w:szCs w:val="24"/>
        </w:rPr>
        <w:t>Immunogenicity in males</w:t>
      </w:r>
    </w:p>
    <w:p w:rsidR="00014864" w:rsidRPr="00F2256D" w:rsidRDefault="00014864">
      <w:pPr>
        <w:spacing w:line="360" w:lineRule="exact"/>
        <w:rPr>
          <w:rFonts w:ascii="Arial" w:hAnsi="Arial" w:cs="Arial"/>
          <w:sz w:val="24"/>
          <w:szCs w:val="24"/>
          <w:highlight w:val="yellow"/>
        </w:rPr>
      </w:pPr>
      <w:r w:rsidRPr="00F2256D">
        <w:rPr>
          <w:rFonts w:ascii="Arial" w:hAnsi="Arial" w:cs="Arial"/>
          <w:sz w:val="24"/>
          <w:szCs w:val="24"/>
        </w:rPr>
        <w:t>To date, the vaccine has not been evaluated in males.</w:t>
      </w:r>
    </w:p>
    <w:p w:rsidR="00014864" w:rsidRPr="00F2256D" w:rsidRDefault="00014864">
      <w:pPr>
        <w:tabs>
          <w:tab w:val="left" w:pos="567"/>
        </w:tabs>
        <w:spacing w:line="360" w:lineRule="exact"/>
        <w:rPr>
          <w:rFonts w:ascii="Arial" w:hAnsi="Arial" w:cs="Arial"/>
          <w:snapToGrid w:val="0"/>
          <w:sz w:val="24"/>
          <w:szCs w:val="24"/>
        </w:rPr>
      </w:pPr>
    </w:p>
    <w:p w:rsidR="00014864" w:rsidRPr="00F2256D" w:rsidRDefault="00014864">
      <w:pPr>
        <w:spacing w:line="360" w:lineRule="exact"/>
        <w:rPr>
          <w:rFonts w:ascii="Arial" w:hAnsi="Arial" w:cs="Arial"/>
          <w:b/>
          <w:sz w:val="24"/>
          <w:szCs w:val="24"/>
        </w:rPr>
      </w:pPr>
      <w:r w:rsidRPr="00F2256D">
        <w:rPr>
          <w:rFonts w:ascii="Arial" w:hAnsi="Arial"/>
          <w:b/>
          <w:sz w:val="24"/>
        </w:rPr>
        <w:t>INDICATIONS</w:t>
      </w:r>
    </w:p>
    <w:p w:rsidR="00014864" w:rsidRPr="00F2256D" w:rsidRDefault="00014864" w:rsidP="009256A3">
      <w:pPr>
        <w:tabs>
          <w:tab w:val="left" w:pos="720"/>
          <w:tab w:val="left" w:pos="1560"/>
          <w:tab w:val="left" w:pos="2280"/>
        </w:tabs>
        <w:spacing w:line="360" w:lineRule="exact"/>
        <w:rPr>
          <w:rFonts w:ascii="Arial" w:hAnsi="Arial" w:cs="Arial"/>
          <w:b/>
          <w:bCs/>
          <w:strike/>
          <w:sz w:val="24"/>
          <w:szCs w:val="24"/>
          <w:u w:val="single"/>
        </w:rPr>
      </w:pPr>
      <w:r w:rsidRPr="00F2256D">
        <w:rPr>
          <w:rFonts w:ascii="Arial" w:hAnsi="Arial" w:cs="Arial"/>
          <w:sz w:val="24"/>
          <w:szCs w:val="24"/>
        </w:rPr>
        <w:t xml:space="preserve">CERVARIX is indicated in females from 10 </w:t>
      </w:r>
      <w:r w:rsidRPr="00F2256D">
        <w:rPr>
          <w:rFonts w:ascii="Arial" w:hAnsi="Arial" w:cs="Arial"/>
          <w:bCs/>
          <w:sz w:val="24"/>
          <w:szCs w:val="24"/>
        </w:rPr>
        <w:t xml:space="preserve">to 45 </w:t>
      </w:r>
      <w:r w:rsidRPr="00F2256D">
        <w:rPr>
          <w:rFonts w:ascii="Arial" w:hAnsi="Arial" w:cs="Arial"/>
          <w:sz w:val="24"/>
          <w:szCs w:val="24"/>
        </w:rPr>
        <w:t xml:space="preserve">years of age for the prevention of </w:t>
      </w:r>
      <w:r w:rsidR="00327E01">
        <w:rPr>
          <w:rFonts w:ascii="Arial" w:hAnsi="Arial" w:cs="Arial"/>
          <w:sz w:val="24"/>
          <w:szCs w:val="24"/>
        </w:rPr>
        <w:t xml:space="preserve">persistent infection, premalignant cervical lesions and </w:t>
      </w:r>
      <w:r w:rsidRPr="00F2256D">
        <w:rPr>
          <w:rFonts w:ascii="Arial" w:hAnsi="Arial" w:cs="Arial"/>
          <w:sz w:val="24"/>
          <w:szCs w:val="24"/>
        </w:rPr>
        <w:t>cervical cancer caused by human papillomavirus</w:t>
      </w:r>
      <w:r w:rsidR="0085745E" w:rsidRPr="00F2256D">
        <w:rPr>
          <w:rFonts w:ascii="Arial" w:hAnsi="Arial" w:cs="Arial"/>
          <w:sz w:val="24"/>
          <w:szCs w:val="24"/>
        </w:rPr>
        <w:t xml:space="preserve"> </w:t>
      </w:r>
      <w:r w:rsidRPr="00F2256D">
        <w:rPr>
          <w:rFonts w:ascii="Arial" w:hAnsi="Arial" w:cs="Arial"/>
          <w:sz w:val="24"/>
          <w:szCs w:val="24"/>
        </w:rPr>
        <w:t xml:space="preserve">types 16 and 18. </w:t>
      </w:r>
      <w:r w:rsidRPr="00F2256D">
        <w:rPr>
          <w:rFonts w:ascii="Arial" w:hAnsi="Arial" w:cs="Arial"/>
          <w:bCs/>
          <w:sz w:val="24"/>
          <w:szCs w:val="24"/>
        </w:rPr>
        <w:t>Immunogenicity studies have been conducted in females aged 10 to 14 years and 26 to 45 years to link efficacy in females aged 15 to 25 years to other populations.</w:t>
      </w:r>
      <w:r w:rsidR="00327E01" w:rsidRPr="00327E01">
        <w:rPr>
          <w:rFonts w:ascii="Arial" w:hAnsi="Arial" w:cs="Arial"/>
          <w:bCs/>
          <w:sz w:val="24"/>
          <w:szCs w:val="24"/>
        </w:rPr>
        <w:t xml:space="preserve"> </w:t>
      </w:r>
      <w:proofErr w:type="gramStart"/>
      <w:r w:rsidR="00327E01">
        <w:rPr>
          <w:rFonts w:ascii="Arial" w:hAnsi="Arial" w:cs="Arial"/>
          <w:bCs/>
          <w:sz w:val="24"/>
          <w:szCs w:val="24"/>
        </w:rPr>
        <w:t>(</w:t>
      </w:r>
      <w:r w:rsidR="00327E01">
        <w:rPr>
          <w:rFonts w:ascii="Arial" w:hAnsi="Arial" w:cs="Arial"/>
          <w:bCs/>
          <w:i/>
          <w:sz w:val="24"/>
          <w:szCs w:val="24"/>
        </w:rPr>
        <w:t>See Precautions and Clinical Trials).</w:t>
      </w:r>
      <w:proofErr w:type="gramEnd"/>
    </w:p>
    <w:p w:rsidR="00E45C81" w:rsidRDefault="00E45C81">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CONTRAINDICATIONS</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CERVARIX should not be administered to subjects with known hypersensitivity to any component of the vaccine (</w:t>
      </w:r>
      <w:r w:rsidRPr="00F2256D">
        <w:rPr>
          <w:rFonts w:ascii="Arial" w:hAnsi="Arial"/>
          <w:i/>
          <w:sz w:val="24"/>
        </w:rPr>
        <w:t>See Description)</w:t>
      </w:r>
      <w:r w:rsidRPr="00F2256D">
        <w:rPr>
          <w:rFonts w:ascii="Arial" w:hAnsi="Arial"/>
          <w:sz w:val="24"/>
        </w:rPr>
        <w:t>.</w:t>
      </w:r>
    </w:p>
    <w:p w:rsidR="002C4F52" w:rsidRDefault="002C4F52">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PRECAUTIONS</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As with other vaccines, the administration of CERVARIX should be postponed in subjects suffering from acute severe febrile illness. However, the presence of a minor infection, such as a cold, should not result in the deferral of vaccination.</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It is good clinical practice to precede vaccination by a review of the medical history (especially with regard to previous vaccination and possible occurrence of undesirable events) and a clinical examination.</w:t>
      </w:r>
    </w:p>
    <w:p w:rsidR="00014864" w:rsidRPr="00F2256D" w:rsidRDefault="00014864">
      <w:pPr>
        <w:spacing w:line="360" w:lineRule="exact"/>
        <w:ind w:right="140"/>
        <w:rPr>
          <w:rFonts w:ascii="Arial" w:hAnsi="Arial" w:cs="Arial"/>
          <w:sz w:val="24"/>
          <w:szCs w:val="24"/>
        </w:rPr>
      </w:pPr>
    </w:p>
    <w:p w:rsidR="00014864" w:rsidRDefault="00014864">
      <w:pPr>
        <w:spacing w:line="360" w:lineRule="exact"/>
        <w:ind w:right="140"/>
        <w:rPr>
          <w:rFonts w:ascii="Arial" w:hAnsi="Arial" w:cs="Arial"/>
          <w:sz w:val="24"/>
          <w:szCs w:val="24"/>
        </w:rPr>
      </w:pPr>
      <w:r w:rsidRPr="00F2256D">
        <w:rPr>
          <w:rFonts w:ascii="Arial" w:hAnsi="Arial" w:cs="Arial"/>
          <w:sz w:val="24"/>
          <w:szCs w:val="24"/>
        </w:rPr>
        <w:t>As with all injectable vaccines, appropriate medical treatment and supervision should always be readily available in case of a rare anaphylactic event following the administration of the vaccine.</w:t>
      </w:r>
    </w:p>
    <w:p w:rsidR="00F75F84" w:rsidRDefault="00F75F84">
      <w:pPr>
        <w:spacing w:line="360" w:lineRule="exact"/>
        <w:ind w:right="140"/>
        <w:rPr>
          <w:rFonts w:ascii="Arial" w:hAnsi="Arial" w:cs="Arial"/>
          <w:color w:val="000000"/>
          <w:sz w:val="24"/>
          <w:szCs w:val="24"/>
        </w:rPr>
      </w:pPr>
    </w:p>
    <w:p w:rsidR="00473DFD" w:rsidRPr="0056748F" w:rsidRDefault="00473DFD">
      <w:pPr>
        <w:spacing w:line="360" w:lineRule="exact"/>
        <w:ind w:right="140"/>
        <w:rPr>
          <w:rFonts w:ascii="Arial" w:hAnsi="Arial" w:cs="Arial"/>
          <w:color w:val="000000"/>
          <w:sz w:val="24"/>
          <w:szCs w:val="24"/>
        </w:rPr>
      </w:pPr>
      <w:r w:rsidRPr="0056748F">
        <w:rPr>
          <w:rFonts w:ascii="Arial" w:hAnsi="Arial" w:cs="Arial"/>
          <w:color w:val="000000"/>
          <w:sz w:val="24"/>
          <w:szCs w:val="24"/>
        </w:rPr>
        <w:t>Syncope (fainting) can occur following, or even before, any vaccination as a psychogenic response to the needle injection. It is important that procedures are in place to avoid injury from faints.</w:t>
      </w:r>
    </w:p>
    <w:p w:rsidR="00014864" w:rsidRPr="00F2256D" w:rsidRDefault="00014864">
      <w:pPr>
        <w:tabs>
          <w:tab w:val="left" w:pos="720"/>
          <w:tab w:val="left" w:pos="1560"/>
          <w:tab w:val="left" w:pos="2280"/>
        </w:tabs>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As for other vaccines administered intramuscularly, CERVARIX</w:t>
      </w:r>
      <w:r w:rsidRPr="00F2256D" w:rsidDel="00FD5C2A">
        <w:rPr>
          <w:rFonts w:ascii="Arial" w:hAnsi="Arial" w:cs="Arial"/>
          <w:sz w:val="24"/>
          <w:szCs w:val="24"/>
        </w:rPr>
        <w:t xml:space="preserve"> </w:t>
      </w:r>
      <w:r w:rsidRPr="00F2256D">
        <w:rPr>
          <w:rFonts w:ascii="Arial" w:hAnsi="Arial" w:cs="Arial"/>
          <w:sz w:val="24"/>
          <w:szCs w:val="24"/>
        </w:rPr>
        <w:t>should be given with caution to individuals with thrombocytopenia or any coagulation disorder since bleeding</w:t>
      </w:r>
      <w:r w:rsidR="00F03003">
        <w:rPr>
          <w:rFonts w:ascii="Arial" w:hAnsi="Arial" w:cs="Arial"/>
          <w:sz w:val="24"/>
          <w:szCs w:val="24"/>
        </w:rPr>
        <w:t xml:space="preserve"> </w:t>
      </w:r>
      <w:r w:rsidRPr="00F2256D">
        <w:rPr>
          <w:rFonts w:ascii="Arial" w:hAnsi="Arial" w:cs="Arial"/>
          <w:sz w:val="24"/>
          <w:szCs w:val="24"/>
        </w:rPr>
        <w:t>may occur following an intramuscular administration to these subjects.</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CERVARIX should under no circumstances be administered </w:t>
      </w:r>
      <w:proofErr w:type="spellStart"/>
      <w:r w:rsidRPr="00F2256D">
        <w:rPr>
          <w:rFonts w:ascii="Arial" w:hAnsi="Arial" w:cs="Arial"/>
          <w:sz w:val="24"/>
          <w:szCs w:val="24"/>
        </w:rPr>
        <w:t>intravascularly</w:t>
      </w:r>
      <w:proofErr w:type="spellEnd"/>
      <w:r w:rsidRPr="00F2256D">
        <w:rPr>
          <w:rFonts w:ascii="Arial" w:hAnsi="Arial" w:cs="Arial"/>
          <w:sz w:val="24"/>
          <w:szCs w:val="24"/>
        </w:rPr>
        <w:t xml:space="preserve"> or </w:t>
      </w:r>
      <w:proofErr w:type="spellStart"/>
      <w:r w:rsidRPr="00F2256D">
        <w:rPr>
          <w:rFonts w:ascii="Arial" w:hAnsi="Arial" w:cs="Arial"/>
          <w:sz w:val="24"/>
          <w:szCs w:val="24"/>
        </w:rPr>
        <w:t>intradermally</w:t>
      </w:r>
      <w:proofErr w:type="spellEnd"/>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No data are available on subcutaneous administration of CERVARIX.</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As with any vaccine, a protective immune response may not be elicited in all </w:t>
      </w:r>
      <w:proofErr w:type="spellStart"/>
      <w:r w:rsidRPr="00F2256D">
        <w:rPr>
          <w:rFonts w:ascii="Arial" w:hAnsi="Arial" w:cs="Arial"/>
          <w:sz w:val="24"/>
          <w:szCs w:val="24"/>
        </w:rPr>
        <w:t>vaccinees</w:t>
      </w:r>
      <w:proofErr w:type="spellEnd"/>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olor w:val="000000"/>
          <w:sz w:val="24"/>
          <w:szCs w:val="24"/>
        </w:rPr>
      </w:pPr>
      <w:r w:rsidRPr="00F2256D">
        <w:rPr>
          <w:rFonts w:ascii="Arial" w:hAnsi="Arial" w:cs="Arial"/>
          <w:sz w:val="24"/>
          <w:szCs w:val="24"/>
        </w:rPr>
        <w:t xml:space="preserve">CERVARIX is a prophylactic vaccine.  </w:t>
      </w:r>
      <w:r w:rsidR="000644CF" w:rsidRPr="00F2256D">
        <w:rPr>
          <w:rFonts w:ascii="Arial" w:hAnsi="Arial" w:cs="Arial"/>
          <w:sz w:val="24"/>
          <w:szCs w:val="24"/>
        </w:rPr>
        <w:t>CERVARIX</w:t>
      </w:r>
      <w:r w:rsidR="0085745E" w:rsidRPr="00F2256D">
        <w:rPr>
          <w:rFonts w:ascii="Arial" w:hAnsi="Arial" w:cs="Arial"/>
          <w:sz w:val="24"/>
          <w:szCs w:val="24"/>
        </w:rPr>
        <w:t xml:space="preserve"> </w:t>
      </w:r>
      <w:r w:rsidRPr="00F2256D">
        <w:rPr>
          <w:rFonts w:ascii="Arial" w:hAnsi="Arial" w:cs="Arial"/>
          <w:sz w:val="24"/>
          <w:szCs w:val="24"/>
        </w:rPr>
        <w:t xml:space="preserve">is not intended to </w:t>
      </w:r>
      <w:r w:rsidR="000644CF" w:rsidRPr="00F2256D">
        <w:rPr>
          <w:rFonts w:ascii="Arial" w:hAnsi="Arial" w:cs="Arial"/>
          <w:sz w:val="24"/>
          <w:szCs w:val="24"/>
        </w:rPr>
        <w:t xml:space="preserve">be a treatment for persistent infection or for </w:t>
      </w:r>
      <w:r w:rsidRPr="00F2256D">
        <w:rPr>
          <w:rFonts w:ascii="Arial" w:hAnsi="Arial" w:cs="Arial"/>
          <w:sz w:val="24"/>
          <w:szCs w:val="24"/>
        </w:rPr>
        <w:t xml:space="preserve">HPV-related lesions present at the time of vaccination.  </w:t>
      </w:r>
      <w:r w:rsidR="00876B7A" w:rsidRPr="00F2256D">
        <w:rPr>
          <w:rFonts w:ascii="Arial" w:hAnsi="Arial"/>
          <w:color w:val="000000"/>
          <w:sz w:val="24"/>
          <w:szCs w:val="24"/>
        </w:rPr>
        <w:t xml:space="preserve">CERVARIX </w:t>
      </w:r>
      <w:r w:rsidR="00C632B6" w:rsidRPr="00F2256D">
        <w:rPr>
          <w:rFonts w:ascii="Arial" w:hAnsi="Arial"/>
          <w:color w:val="000000"/>
          <w:sz w:val="24"/>
          <w:szCs w:val="24"/>
        </w:rPr>
        <w:t xml:space="preserve">is not </w:t>
      </w:r>
      <w:r w:rsidR="00876B7A" w:rsidRPr="00F2256D">
        <w:rPr>
          <w:rFonts w:ascii="Arial" w:hAnsi="Arial"/>
          <w:color w:val="000000"/>
          <w:sz w:val="24"/>
          <w:szCs w:val="24"/>
        </w:rPr>
        <w:t>intended to prevent progression of established HPV-related lesions present at the time of vaccination.</w:t>
      </w:r>
    </w:p>
    <w:p w:rsidR="00876B7A" w:rsidRPr="00F2256D" w:rsidRDefault="00876B7A">
      <w:pPr>
        <w:spacing w:line="360" w:lineRule="exact"/>
        <w:rPr>
          <w:rFonts w:ascii="Arial" w:hAnsi="Arial" w:cs="Arial"/>
          <w:sz w:val="24"/>
          <w:szCs w:val="24"/>
          <w:highlight w:val="yellow"/>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HPV-16 and HPV-18 are not responsible for all cervical cancers (</w:t>
      </w:r>
      <w:r w:rsidRPr="00F2256D">
        <w:rPr>
          <w:rFonts w:ascii="Arial" w:hAnsi="Arial" w:cs="Arial"/>
          <w:i/>
          <w:sz w:val="24"/>
          <w:szCs w:val="24"/>
        </w:rPr>
        <w:t>see Clinical Studies).</w:t>
      </w:r>
      <w:r w:rsidRPr="00F2256D">
        <w:rPr>
          <w:rFonts w:ascii="Arial" w:hAnsi="Arial" w:cs="Arial"/>
          <w:i/>
          <w:strike/>
          <w:sz w:val="24"/>
          <w:szCs w:val="24"/>
          <w:highlight w:val="yellow"/>
        </w:rPr>
        <w:t xml:space="preserve"> </w:t>
      </w:r>
      <w:r w:rsidRPr="00F2256D">
        <w:rPr>
          <w:rFonts w:ascii="Arial" w:hAnsi="Arial" w:cs="Arial"/>
          <w:strike/>
          <w:sz w:val="24"/>
          <w:szCs w:val="24"/>
          <w:highlight w:val="yellow"/>
        </w:rPr>
        <w:t xml:space="preserve"> </w:t>
      </w:r>
      <w:r w:rsidRPr="00F2256D">
        <w:rPr>
          <w:rFonts w:ascii="Arial" w:hAnsi="Arial" w:cs="Arial"/>
          <w:sz w:val="24"/>
          <w:szCs w:val="24"/>
        </w:rPr>
        <w:t>Other oncogenic HPV types can also cause cervical cancer.  HPV infections and related clinical outcomes due to these other oncogenic types may not be prevented by vaccination.</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Vaccination is primary prevention and is not a substitute for regular cytological screening (secondary prevention) or for precautions against exposure to HPV and sexually transmitted diseases.</w:t>
      </w:r>
    </w:p>
    <w:p w:rsidR="00014864" w:rsidRPr="00F2256D" w:rsidRDefault="00014864">
      <w:pPr>
        <w:tabs>
          <w:tab w:val="left" w:pos="720"/>
          <w:tab w:val="left" w:pos="1560"/>
          <w:tab w:val="left" w:pos="2280"/>
        </w:tabs>
        <w:spacing w:line="360" w:lineRule="exact"/>
        <w:rPr>
          <w:rFonts w:ascii="Arial" w:hAnsi="Arial" w:cs="Arial"/>
          <w:snapToGrid w:val="0"/>
          <w:sz w:val="24"/>
          <w:szCs w:val="24"/>
        </w:rPr>
      </w:pPr>
    </w:p>
    <w:p w:rsidR="00014864" w:rsidRPr="00F2256D" w:rsidRDefault="00014864">
      <w:pPr>
        <w:tabs>
          <w:tab w:val="left" w:pos="720"/>
          <w:tab w:val="left" w:pos="1560"/>
          <w:tab w:val="left" w:pos="2280"/>
        </w:tabs>
        <w:spacing w:line="360" w:lineRule="exact"/>
        <w:rPr>
          <w:rFonts w:ascii="Arial" w:hAnsi="Arial" w:cs="Arial"/>
          <w:strike/>
          <w:sz w:val="24"/>
          <w:szCs w:val="24"/>
        </w:rPr>
      </w:pPr>
      <w:r w:rsidRPr="00F2256D">
        <w:rPr>
          <w:rFonts w:ascii="Arial" w:hAnsi="Arial" w:cs="Arial"/>
          <w:snapToGrid w:val="0"/>
          <w:sz w:val="24"/>
          <w:szCs w:val="24"/>
        </w:rPr>
        <w:t>There are no data on the use of CERVARIX in subjects with impaired immune responsiveness such as HIV infected patients or patients receiving immunosuppressive treatment.  For these individuals an adequate immune response may not be elicited.</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rPr>
          <w:rFonts w:ascii="Arial" w:hAnsi="Arial"/>
          <w:i/>
          <w:sz w:val="24"/>
        </w:rPr>
      </w:pPr>
      <w:r w:rsidRPr="00F2256D">
        <w:rPr>
          <w:rFonts w:ascii="Arial" w:hAnsi="Arial"/>
          <w:sz w:val="24"/>
        </w:rPr>
        <w:t xml:space="preserve">Duration of protection has not been established.  </w:t>
      </w:r>
      <w:r w:rsidR="000644CF" w:rsidRPr="00F2256D">
        <w:rPr>
          <w:rFonts w:ascii="Arial" w:hAnsi="Arial"/>
          <w:sz w:val="24"/>
        </w:rPr>
        <w:t xml:space="preserve">Limited data support protective efficacy for </w:t>
      </w:r>
      <w:r w:rsidR="00327E01">
        <w:rPr>
          <w:rFonts w:ascii="Arial" w:hAnsi="Arial"/>
          <w:sz w:val="24"/>
        </w:rPr>
        <w:t>6.4</w:t>
      </w:r>
      <w:r w:rsidRPr="00F2256D">
        <w:rPr>
          <w:rFonts w:ascii="Arial" w:hAnsi="Arial"/>
          <w:sz w:val="24"/>
        </w:rPr>
        <w:t xml:space="preserve"> years after the first dose.  Long-term studies are ongoing to establish the duration of protection</w:t>
      </w:r>
      <w:r w:rsidRPr="00F2256D">
        <w:rPr>
          <w:rFonts w:ascii="Arial" w:hAnsi="Arial"/>
          <w:i/>
          <w:sz w:val="24"/>
        </w:rPr>
        <w:t>.</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rPr>
          <w:rFonts w:ascii="Arial" w:hAnsi="Arial"/>
          <w:b/>
          <w:sz w:val="24"/>
          <w:highlight w:val="yellow"/>
        </w:rPr>
      </w:pPr>
      <w:r w:rsidRPr="00F2256D">
        <w:rPr>
          <w:rFonts w:ascii="Arial" w:hAnsi="Arial"/>
          <w:b/>
          <w:sz w:val="24"/>
        </w:rPr>
        <w:t>Effects on Fertility</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Fertility was not affected in female rats given double the clinical dose of CERVARIX by intramuscular administration 30 days prior to mating.</w:t>
      </w:r>
    </w:p>
    <w:p w:rsidR="00014864" w:rsidRPr="00F2256D" w:rsidRDefault="00014864">
      <w:pPr>
        <w:tabs>
          <w:tab w:val="left" w:pos="720"/>
          <w:tab w:val="left" w:pos="1560"/>
          <w:tab w:val="left" w:pos="2280"/>
        </w:tabs>
        <w:spacing w:line="360" w:lineRule="exact"/>
        <w:rPr>
          <w:rFonts w:ascii="Arial" w:hAnsi="Arial"/>
          <w:b/>
          <w:sz w:val="24"/>
          <w:u w:val="single"/>
        </w:rPr>
      </w:pPr>
    </w:p>
    <w:p w:rsidR="00014864" w:rsidRPr="00F2256D" w:rsidRDefault="00014864" w:rsidP="00671D56">
      <w:pPr>
        <w:pageBreakBefore/>
        <w:tabs>
          <w:tab w:val="left" w:pos="720"/>
          <w:tab w:val="left" w:pos="1560"/>
          <w:tab w:val="left" w:pos="2280"/>
        </w:tabs>
        <w:spacing w:line="360" w:lineRule="exact"/>
        <w:rPr>
          <w:rFonts w:ascii="Arial" w:hAnsi="Arial"/>
          <w:b/>
          <w:sz w:val="24"/>
        </w:rPr>
      </w:pPr>
      <w:r w:rsidRPr="00F2256D">
        <w:rPr>
          <w:rFonts w:ascii="Arial" w:hAnsi="Arial"/>
          <w:b/>
          <w:sz w:val="24"/>
        </w:rPr>
        <w:lastRenderedPageBreak/>
        <w:t>Use in Pregnancy (Category B2)</w:t>
      </w:r>
    </w:p>
    <w:p w:rsidR="00795DC3" w:rsidRDefault="00014864" w:rsidP="002322F1">
      <w:pPr>
        <w:spacing w:line="360" w:lineRule="exact"/>
        <w:rPr>
          <w:rFonts w:ascii="Arial" w:hAnsi="Arial" w:cs="Arial"/>
          <w:sz w:val="24"/>
          <w:szCs w:val="24"/>
          <w:shd w:val="clear" w:color="auto" w:fill="FFFFFF" w:themeFill="background1"/>
        </w:rPr>
      </w:pPr>
      <w:r w:rsidRPr="00795DC3">
        <w:rPr>
          <w:rFonts w:ascii="Arial" w:hAnsi="Arial" w:cs="Arial"/>
          <w:sz w:val="24"/>
          <w:szCs w:val="24"/>
          <w:shd w:val="clear" w:color="auto" w:fill="FFFFFF" w:themeFill="background1"/>
        </w:rPr>
        <w:t xml:space="preserve">No adverse effects on </w:t>
      </w:r>
      <w:proofErr w:type="spellStart"/>
      <w:r w:rsidRPr="00795DC3">
        <w:rPr>
          <w:rFonts w:ascii="Arial" w:hAnsi="Arial" w:cs="Arial"/>
          <w:sz w:val="24"/>
          <w:szCs w:val="24"/>
          <w:shd w:val="clear" w:color="auto" w:fill="FFFFFF" w:themeFill="background1"/>
        </w:rPr>
        <w:t>emb</w:t>
      </w:r>
      <w:r w:rsidR="003B58D5" w:rsidRPr="00795DC3">
        <w:rPr>
          <w:rFonts w:ascii="Arial" w:hAnsi="Arial" w:cs="Arial"/>
          <w:sz w:val="24"/>
          <w:szCs w:val="24"/>
          <w:shd w:val="clear" w:color="auto" w:fill="FFFFFF" w:themeFill="background1"/>
        </w:rPr>
        <w:t>r</w:t>
      </w:r>
      <w:r w:rsidRPr="00795DC3">
        <w:rPr>
          <w:rFonts w:ascii="Arial" w:hAnsi="Arial" w:cs="Arial"/>
          <w:sz w:val="24"/>
          <w:szCs w:val="24"/>
          <w:shd w:val="clear" w:color="auto" w:fill="FFFFFF" w:themeFill="background1"/>
        </w:rPr>
        <w:t>yofetal</w:t>
      </w:r>
      <w:proofErr w:type="spellEnd"/>
      <w:r w:rsidRPr="00795DC3">
        <w:rPr>
          <w:rFonts w:ascii="Arial" w:hAnsi="Arial" w:cs="Arial"/>
          <w:sz w:val="24"/>
          <w:szCs w:val="24"/>
          <w:shd w:val="clear" w:color="auto" w:fill="FFFFFF" w:themeFill="background1"/>
        </w:rPr>
        <w:t xml:space="preserve"> development, parturition or postnatal development were observed in pregnant rats that received double the clinical dose of vaccine on 4 occasions during gestation.</w:t>
      </w:r>
    </w:p>
    <w:p w:rsidR="00E5519A" w:rsidRDefault="00E5519A" w:rsidP="00E5519A">
      <w:pPr>
        <w:spacing w:line="360" w:lineRule="exact"/>
        <w:rPr>
          <w:rFonts w:ascii="Arial" w:hAnsi="Arial" w:cs="Arial"/>
          <w:sz w:val="24"/>
          <w:szCs w:val="24"/>
          <w:lang w:val="en-GB"/>
        </w:rPr>
      </w:pPr>
    </w:p>
    <w:p w:rsidR="001E22D2" w:rsidRPr="00E5519A" w:rsidRDefault="001E22D2" w:rsidP="001E22D2">
      <w:pPr>
        <w:spacing w:line="360" w:lineRule="exact"/>
        <w:rPr>
          <w:rFonts w:ascii="Arial" w:hAnsi="Arial" w:cs="Arial"/>
          <w:sz w:val="24"/>
          <w:szCs w:val="24"/>
          <w:lang w:val="en-GB"/>
        </w:rPr>
      </w:pPr>
      <w:r w:rsidRPr="00E5519A">
        <w:rPr>
          <w:rFonts w:ascii="Arial" w:hAnsi="Arial" w:cs="Arial"/>
          <w:sz w:val="24"/>
          <w:szCs w:val="24"/>
          <w:lang w:val="en-GB"/>
        </w:rPr>
        <w:t>Specific studies of CERVARIX in pregnant women have not been conducted.</w:t>
      </w:r>
    </w:p>
    <w:p w:rsidR="001E22D2" w:rsidRPr="00E5519A" w:rsidRDefault="001E22D2" w:rsidP="001E22D2">
      <w:pPr>
        <w:spacing w:line="360" w:lineRule="exact"/>
        <w:rPr>
          <w:rFonts w:ascii="Arial" w:hAnsi="Arial" w:cs="Arial"/>
          <w:sz w:val="24"/>
          <w:szCs w:val="24"/>
          <w:lang w:val="en-GB"/>
        </w:rPr>
      </w:pPr>
    </w:p>
    <w:p w:rsidR="001E22D2" w:rsidRPr="00E5519A" w:rsidRDefault="001E22D2" w:rsidP="001E22D2">
      <w:pPr>
        <w:spacing w:line="360" w:lineRule="exact"/>
        <w:rPr>
          <w:rFonts w:ascii="Arial" w:hAnsi="Arial" w:cs="Arial"/>
          <w:sz w:val="24"/>
          <w:szCs w:val="24"/>
          <w:lang w:val="en-GB"/>
        </w:rPr>
      </w:pPr>
      <w:r w:rsidRPr="00E5519A">
        <w:rPr>
          <w:rFonts w:ascii="Arial" w:hAnsi="Arial" w:cs="Arial"/>
          <w:sz w:val="24"/>
          <w:szCs w:val="24"/>
          <w:lang w:val="en-GB"/>
        </w:rPr>
        <w:t xml:space="preserve">Data in pregnant women collected as part of pregnancy registries, epidemiological studies and inadvertent exposure during clinical trials are insufficient to conclude whether or not vaccination with CERVARIX affects the risk of adverse pregnancy outcomes including spontaneous abortion. </w:t>
      </w:r>
    </w:p>
    <w:p w:rsidR="00E5519A" w:rsidRDefault="00E5519A" w:rsidP="00E5519A">
      <w:pPr>
        <w:spacing w:line="360" w:lineRule="exact"/>
        <w:rPr>
          <w:rFonts w:ascii="Arial" w:hAnsi="Arial" w:cs="Arial"/>
          <w:i/>
          <w:iCs/>
          <w:sz w:val="24"/>
          <w:szCs w:val="24"/>
        </w:rPr>
      </w:pPr>
    </w:p>
    <w:p w:rsidR="00E5519A" w:rsidRPr="00E5519A" w:rsidRDefault="00E5519A" w:rsidP="00E5519A">
      <w:pPr>
        <w:spacing w:line="360" w:lineRule="exact"/>
        <w:rPr>
          <w:rFonts w:ascii="Arial" w:hAnsi="Arial" w:cs="Arial"/>
          <w:sz w:val="24"/>
          <w:szCs w:val="24"/>
          <w:lang w:val="en-GB"/>
        </w:rPr>
      </w:pPr>
      <w:r w:rsidRPr="00E5519A">
        <w:rPr>
          <w:rFonts w:ascii="Arial" w:hAnsi="Arial" w:cs="Arial"/>
          <w:sz w:val="24"/>
          <w:szCs w:val="24"/>
          <w:lang w:val="en-GB"/>
        </w:rPr>
        <w:t>During the clinical development program, a total of 10,476 pregnancies were reported including 5,387 in women exposed to CERVARIX.</w:t>
      </w:r>
    </w:p>
    <w:p w:rsidR="002322F1" w:rsidRDefault="002322F1" w:rsidP="002322F1">
      <w:pPr>
        <w:spacing w:line="360" w:lineRule="exact"/>
        <w:rPr>
          <w:rFonts w:ascii="Arial" w:hAnsi="Arial" w:cs="Arial"/>
          <w:sz w:val="24"/>
          <w:szCs w:val="24"/>
          <w:lang w:val="en-GB"/>
        </w:rPr>
      </w:pPr>
    </w:p>
    <w:p w:rsidR="002322F1" w:rsidRPr="002322F1" w:rsidRDefault="002322F1" w:rsidP="002322F1">
      <w:pPr>
        <w:spacing w:line="360" w:lineRule="exact"/>
        <w:rPr>
          <w:rFonts w:ascii="Arial" w:hAnsi="Arial" w:cs="Arial"/>
          <w:sz w:val="24"/>
          <w:szCs w:val="24"/>
          <w:lang w:val="en-GB"/>
        </w:rPr>
      </w:pPr>
      <w:r w:rsidRPr="002322F1">
        <w:rPr>
          <w:rFonts w:ascii="Arial" w:hAnsi="Arial" w:cs="Arial"/>
          <w:sz w:val="24"/>
          <w:szCs w:val="24"/>
          <w:lang w:val="en-GB"/>
        </w:rPr>
        <w:t>Women who are pregnant or trying to become pregnant are advised to postpone vaccination until completion of pregnancy.</w:t>
      </w:r>
    </w:p>
    <w:p w:rsidR="00965A73" w:rsidRPr="00F2256D" w:rsidRDefault="00965A73">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Use in Lactation</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CERVARIX should only be used during breast-feeding when the possible advantages outweigh the possible risks.</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The effect on breastfed infants of the administration of CERVARIX to their mothers has not been evaluated in clinical studies.</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trike/>
          <w:sz w:val="24"/>
          <w:szCs w:val="24"/>
        </w:rPr>
      </w:pPr>
      <w:r w:rsidRPr="00F2256D">
        <w:rPr>
          <w:rFonts w:ascii="Arial" w:hAnsi="Arial" w:cs="Arial"/>
          <w:sz w:val="24"/>
          <w:szCs w:val="24"/>
        </w:rPr>
        <w:t>Serological data suggest a transfer of anti-HPV-16 and anti-HPV</w:t>
      </w:r>
      <w:r w:rsidR="00DB548B" w:rsidRPr="00F2256D">
        <w:rPr>
          <w:rFonts w:ascii="Arial" w:hAnsi="Arial" w:cs="Arial"/>
          <w:sz w:val="24"/>
          <w:szCs w:val="24"/>
        </w:rPr>
        <w:t>-</w:t>
      </w:r>
      <w:r w:rsidRPr="00F2256D">
        <w:rPr>
          <w:rFonts w:ascii="Arial" w:hAnsi="Arial" w:cs="Arial"/>
          <w:sz w:val="24"/>
          <w:szCs w:val="24"/>
        </w:rPr>
        <w:t>18 antibodies via the milk during the lactation period in rats.  However, it is unknown whether vaccine-induced antibodies are excreted in human breast milk.</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rPr>
          <w:rFonts w:ascii="Arial" w:hAnsi="Arial"/>
          <w:b/>
          <w:sz w:val="24"/>
        </w:rPr>
      </w:pPr>
      <w:proofErr w:type="spellStart"/>
      <w:r w:rsidRPr="00F2256D">
        <w:rPr>
          <w:rFonts w:ascii="Arial" w:hAnsi="Arial"/>
          <w:b/>
          <w:sz w:val="24"/>
        </w:rPr>
        <w:t>Genotoxicity</w:t>
      </w:r>
      <w:proofErr w:type="spellEnd"/>
    </w:p>
    <w:p w:rsidR="00014864" w:rsidRPr="00F2256D" w:rsidRDefault="00014864">
      <w:pPr>
        <w:tabs>
          <w:tab w:val="left" w:pos="720"/>
          <w:tab w:val="left" w:pos="1560"/>
          <w:tab w:val="left" w:pos="2280"/>
        </w:tabs>
        <w:spacing w:line="360" w:lineRule="exact"/>
        <w:rPr>
          <w:rFonts w:ascii="Arial" w:hAnsi="Arial"/>
          <w:sz w:val="24"/>
          <w:u w:val="single"/>
        </w:rPr>
      </w:pPr>
      <w:r w:rsidRPr="00F2256D">
        <w:rPr>
          <w:rFonts w:ascii="Arial" w:hAnsi="Arial"/>
          <w:sz w:val="24"/>
        </w:rPr>
        <w:t xml:space="preserve">The </w:t>
      </w:r>
      <w:proofErr w:type="spellStart"/>
      <w:r w:rsidRPr="00F2256D">
        <w:rPr>
          <w:rFonts w:ascii="Arial" w:hAnsi="Arial"/>
          <w:sz w:val="24"/>
        </w:rPr>
        <w:t>genotoxic</w:t>
      </w:r>
      <w:proofErr w:type="spellEnd"/>
      <w:r w:rsidRPr="00F2256D">
        <w:rPr>
          <w:rFonts w:ascii="Arial" w:hAnsi="Arial"/>
          <w:sz w:val="24"/>
        </w:rPr>
        <w:t xml:space="preserve"> potential of CERVARIX has not been investigated.  The adjuvant substance MPL has been tested for </w:t>
      </w:r>
      <w:proofErr w:type="spellStart"/>
      <w:r w:rsidRPr="00F2256D">
        <w:rPr>
          <w:rFonts w:ascii="Arial" w:hAnsi="Arial"/>
          <w:sz w:val="24"/>
        </w:rPr>
        <w:t>genotoxicity</w:t>
      </w:r>
      <w:proofErr w:type="spellEnd"/>
      <w:r w:rsidRPr="00F2256D">
        <w:rPr>
          <w:rFonts w:ascii="Arial" w:hAnsi="Arial"/>
          <w:sz w:val="24"/>
        </w:rPr>
        <w:t xml:space="preserve"> in a series of </w:t>
      </w:r>
      <w:r w:rsidRPr="00F2256D">
        <w:rPr>
          <w:rFonts w:ascii="Arial" w:hAnsi="Arial"/>
          <w:i/>
          <w:sz w:val="24"/>
        </w:rPr>
        <w:t xml:space="preserve">in vitro </w:t>
      </w:r>
      <w:r w:rsidRPr="00F2256D">
        <w:rPr>
          <w:rFonts w:ascii="Arial" w:hAnsi="Arial"/>
          <w:sz w:val="24"/>
        </w:rPr>
        <w:t xml:space="preserve">assays (bacterial mutation and chromosomal aberration) and an </w:t>
      </w:r>
      <w:r w:rsidRPr="00F2256D">
        <w:rPr>
          <w:rFonts w:ascii="Arial" w:hAnsi="Arial"/>
          <w:i/>
          <w:sz w:val="24"/>
        </w:rPr>
        <w:t xml:space="preserve">in vivo </w:t>
      </w:r>
      <w:r w:rsidRPr="00F2256D">
        <w:rPr>
          <w:rFonts w:ascii="Arial" w:hAnsi="Arial"/>
          <w:sz w:val="24"/>
        </w:rPr>
        <w:t>rat micronucleus test.  Under the condition of these assays, MPL did not cause genetic damage.</w:t>
      </w:r>
    </w:p>
    <w:p w:rsidR="008545F2" w:rsidRDefault="008545F2">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highlight w:val="yellow"/>
        </w:rPr>
      </w:pPr>
      <w:r w:rsidRPr="00F2256D">
        <w:rPr>
          <w:rFonts w:ascii="Arial" w:hAnsi="Arial"/>
          <w:b/>
          <w:sz w:val="24"/>
        </w:rPr>
        <w:t>Carcinogenicity</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The carcinogenic potential of CERVARIX has not been investigated.</w:t>
      </w:r>
    </w:p>
    <w:p w:rsidR="00014864" w:rsidRPr="00F2256D" w:rsidRDefault="00014864" w:rsidP="00671D56">
      <w:pPr>
        <w:pageBreakBefore/>
        <w:tabs>
          <w:tab w:val="left" w:pos="720"/>
          <w:tab w:val="left" w:pos="1560"/>
          <w:tab w:val="left" w:pos="2280"/>
        </w:tabs>
        <w:spacing w:line="360" w:lineRule="exact"/>
        <w:rPr>
          <w:rFonts w:ascii="Arial Bold" w:hAnsi="Arial Bold"/>
          <w:b/>
          <w:sz w:val="24"/>
          <w:szCs w:val="24"/>
        </w:rPr>
      </w:pPr>
      <w:r w:rsidRPr="00F2256D">
        <w:rPr>
          <w:rFonts w:ascii="Arial Bold" w:hAnsi="Arial Bold"/>
          <w:b/>
          <w:sz w:val="24"/>
          <w:szCs w:val="24"/>
        </w:rPr>
        <w:lastRenderedPageBreak/>
        <w:t>Ability to perform tasks that require judgement, motor or cognitive skills</w:t>
      </w:r>
    </w:p>
    <w:p w:rsidR="00014864" w:rsidRPr="00F2256D" w:rsidRDefault="00014864">
      <w:pPr>
        <w:tabs>
          <w:tab w:val="left" w:pos="720"/>
          <w:tab w:val="left" w:pos="1560"/>
          <w:tab w:val="left" w:pos="2280"/>
        </w:tabs>
        <w:spacing w:line="360" w:lineRule="exact"/>
        <w:rPr>
          <w:rFonts w:ascii="Arial" w:hAnsi="Arial"/>
          <w:sz w:val="24"/>
          <w:szCs w:val="24"/>
        </w:rPr>
      </w:pPr>
      <w:r w:rsidRPr="00F2256D">
        <w:rPr>
          <w:rFonts w:ascii="Arial" w:hAnsi="Arial"/>
          <w:sz w:val="24"/>
          <w:szCs w:val="24"/>
        </w:rPr>
        <w:t xml:space="preserve">No studies on the effects on the ability to drive or use machines have been </w:t>
      </w:r>
      <w:r w:rsidRPr="00F2256D">
        <w:rPr>
          <w:rFonts w:ascii="Arial" w:hAnsi="Arial" w:hint="eastAsia"/>
          <w:sz w:val="24"/>
          <w:szCs w:val="24"/>
        </w:rPr>
        <w:t>performed</w:t>
      </w:r>
      <w:r w:rsidRPr="00F2256D">
        <w:rPr>
          <w:rFonts w:ascii="Arial" w:hAnsi="Arial"/>
          <w:sz w:val="24"/>
          <w:szCs w:val="24"/>
        </w:rPr>
        <w:t>.</w:t>
      </w:r>
    </w:p>
    <w:p w:rsidR="00014864" w:rsidRPr="00F2256D" w:rsidRDefault="00014864">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Interactions</w:t>
      </w:r>
    </w:p>
    <w:p w:rsidR="003F4245" w:rsidRPr="00F2256D" w:rsidRDefault="003F4245">
      <w:pPr>
        <w:tabs>
          <w:tab w:val="left" w:pos="540"/>
        </w:tabs>
        <w:spacing w:line="360" w:lineRule="exact"/>
        <w:ind w:right="-1"/>
        <w:rPr>
          <w:rFonts w:ascii="Arial" w:hAnsi="Arial" w:cs="Arial"/>
          <w:sz w:val="24"/>
          <w:szCs w:val="24"/>
        </w:rPr>
      </w:pPr>
    </w:p>
    <w:p w:rsidR="00014864" w:rsidRPr="00F2256D" w:rsidRDefault="00014864">
      <w:pPr>
        <w:tabs>
          <w:tab w:val="left" w:pos="540"/>
        </w:tabs>
        <w:spacing w:line="360" w:lineRule="exact"/>
        <w:ind w:right="-1"/>
        <w:rPr>
          <w:rFonts w:ascii="Arial" w:hAnsi="Arial" w:cs="Arial"/>
          <w:b/>
          <w:sz w:val="24"/>
          <w:szCs w:val="24"/>
        </w:rPr>
      </w:pPr>
      <w:r w:rsidRPr="00F2256D">
        <w:rPr>
          <w:rFonts w:ascii="Arial" w:hAnsi="Arial" w:cs="Arial"/>
          <w:b/>
          <w:sz w:val="24"/>
          <w:szCs w:val="24"/>
        </w:rPr>
        <w:t>Use with other vaccines</w:t>
      </w:r>
    </w:p>
    <w:p w:rsidR="00473DFD" w:rsidRPr="003C6F11" w:rsidRDefault="00551E21" w:rsidP="00473DFD">
      <w:pPr>
        <w:rPr>
          <w:rFonts w:ascii="Arial" w:hAnsi="Arial" w:cs="Arial"/>
          <w:color w:val="000000"/>
          <w:sz w:val="24"/>
          <w:szCs w:val="24"/>
        </w:rPr>
      </w:pPr>
      <w:r w:rsidRPr="00F2256D">
        <w:rPr>
          <w:rFonts w:ascii="Arial" w:hAnsi="Arial" w:cs="Arial"/>
          <w:sz w:val="24"/>
          <w:szCs w:val="24"/>
        </w:rPr>
        <w:t xml:space="preserve"> </w:t>
      </w:r>
      <w:r w:rsidR="00327E01">
        <w:rPr>
          <w:rFonts w:ascii="Arial" w:hAnsi="Arial" w:cs="Arial"/>
          <w:sz w:val="24"/>
          <w:szCs w:val="24"/>
        </w:rPr>
        <w:t>CERVARIX can be given concomitantly with any of the following vaccines: reduced antigen diphtheria-tetanus-acellular pertussis vaccine (</w:t>
      </w:r>
      <w:proofErr w:type="spellStart"/>
      <w:r w:rsidR="00327E01">
        <w:rPr>
          <w:rFonts w:ascii="Arial" w:hAnsi="Arial" w:cs="Arial"/>
          <w:sz w:val="24"/>
          <w:szCs w:val="24"/>
        </w:rPr>
        <w:t>dTpa</w:t>
      </w:r>
      <w:proofErr w:type="spellEnd"/>
      <w:r w:rsidR="00327E01">
        <w:rPr>
          <w:rFonts w:ascii="Arial" w:hAnsi="Arial" w:cs="Arial"/>
          <w:sz w:val="24"/>
          <w:szCs w:val="24"/>
        </w:rPr>
        <w:t>), inactivated poliovirus vaccine (IPV)</w:t>
      </w:r>
      <w:r w:rsidR="003F4245">
        <w:rPr>
          <w:rFonts w:ascii="Arial" w:hAnsi="Arial" w:cs="Arial"/>
          <w:sz w:val="24"/>
          <w:szCs w:val="24"/>
        </w:rPr>
        <w:t>,</w:t>
      </w:r>
      <w:r w:rsidR="00327E01">
        <w:rPr>
          <w:rFonts w:ascii="Arial" w:hAnsi="Arial" w:cs="Arial"/>
          <w:sz w:val="24"/>
          <w:szCs w:val="24"/>
        </w:rPr>
        <w:t xml:space="preserve"> the combined </w:t>
      </w:r>
      <w:proofErr w:type="spellStart"/>
      <w:r w:rsidR="00327E01">
        <w:rPr>
          <w:rFonts w:ascii="Arial" w:hAnsi="Arial" w:cs="Arial"/>
          <w:sz w:val="24"/>
          <w:szCs w:val="24"/>
        </w:rPr>
        <w:t>dTpa</w:t>
      </w:r>
      <w:proofErr w:type="spellEnd"/>
      <w:r w:rsidR="00327E01">
        <w:rPr>
          <w:rFonts w:ascii="Arial" w:hAnsi="Arial" w:cs="Arial"/>
          <w:sz w:val="24"/>
          <w:szCs w:val="24"/>
        </w:rPr>
        <w:t>-IPV vaccine</w:t>
      </w:r>
      <w:r w:rsidR="003F4245">
        <w:rPr>
          <w:rFonts w:ascii="Arial" w:hAnsi="Arial" w:cs="Arial"/>
          <w:sz w:val="24"/>
          <w:szCs w:val="24"/>
        </w:rPr>
        <w:t xml:space="preserve">, </w:t>
      </w:r>
      <w:r w:rsidR="00473DFD" w:rsidRPr="003C6F11">
        <w:rPr>
          <w:rFonts w:ascii="Arial" w:hAnsi="Arial" w:cs="Arial"/>
          <w:color w:val="000000"/>
          <w:sz w:val="24"/>
          <w:szCs w:val="24"/>
        </w:rPr>
        <w:t xml:space="preserve">hepatitis </w:t>
      </w:r>
      <w:proofErr w:type="gramStart"/>
      <w:r w:rsidR="00473DFD" w:rsidRPr="003C6F11">
        <w:rPr>
          <w:rFonts w:ascii="Arial" w:hAnsi="Arial" w:cs="Arial"/>
          <w:color w:val="000000"/>
          <w:sz w:val="24"/>
          <w:szCs w:val="24"/>
        </w:rPr>
        <w:t>A</w:t>
      </w:r>
      <w:proofErr w:type="gramEnd"/>
      <w:r w:rsidR="00473DFD" w:rsidRPr="003C6F11">
        <w:rPr>
          <w:rFonts w:ascii="Arial" w:hAnsi="Arial" w:cs="Arial"/>
          <w:color w:val="000000"/>
          <w:sz w:val="24"/>
          <w:szCs w:val="24"/>
        </w:rPr>
        <w:t xml:space="preserve"> (inactivated) vaccine (</w:t>
      </w:r>
      <w:proofErr w:type="spellStart"/>
      <w:r w:rsidR="00473DFD" w:rsidRPr="003C6F11">
        <w:rPr>
          <w:rFonts w:ascii="Arial" w:hAnsi="Arial" w:cs="Arial"/>
          <w:color w:val="000000"/>
          <w:sz w:val="24"/>
          <w:szCs w:val="24"/>
        </w:rPr>
        <w:t>HepA</w:t>
      </w:r>
      <w:proofErr w:type="spellEnd"/>
      <w:r w:rsidR="00473DFD" w:rsidRPr="003C6F11">
        <w:rPr>
          <w:rFonts w:ascii="Arial" w:hAnsi="Arial" w:cs="Arial"/>
          <w:color w:val="000000"/>
          <w:sz w:val="24"/>
          <w:szCs w:val="24"/>
        </w:rPr>
        <w:t>), hepatitis B (rDNA) vaccine (</w:t>
      </w:r>
      <w:proofErr w:type="spellStart"/>
      <w:r w:rsidR="00473DFD" w:rsidRPr="003C6F11">
        <w:rPr>
          <w:rFonts w:ascii="Arial" w:hAnsi="Arial" w:cs="Arial"/>
          <w:color w:val="000000"/>
          <w:sz w:val="24"/>
          <w:szCs w:val="24"/>
        </w:rPr>
        <w:t>HepB</w:t>
      </w:r>
      <w:proofErr w:type="spellEnd"/>
      <w:r w:rsidR="00473DFD" w:rsidRPr="003C6F11">
        <w:rPr>
          <w:rFonts w:ascii="Arial" w:hAnsi="Arial" w:cs="Arial"/>
          <w:color w:val="000000"/>
          <w:sz w:val="24"/>
          <w:szCs w:val="24"/>
        </w:rPr>
        <w:t xml:space="preserve">) and the combined </w:t>
      </w:r>
      <w:proofErr w:type="spellStart"/>
      <w:r w:rsidR="00473DFD" w:rsidRPr="003C6F11">
        <w:rPr>
          <w:rFonts w:ascii="Arial" w:hAnsi="Arial" w:cs="Arial"/>
          <w:color w:val="000000"/>
          <w:sz w:val="24"/>
          <w:szCs w:val="24"/>
        </w:rPr>
        <w:t>HepA-HepB</w:t>
      </w:r>
      <w:proofErr w:type="spellEnd"/>
      <w:r w:rsidR="00473DFD" w:rsidRPr="003C6F11">
        <w:rPr>
          <w:rFonts w:ascii="Arial" w:hAnsi="Arial" w:cs="Arial"/>
          <w:color w:val="000000"/>
          <w:sz w:val="24"/>
          <w:szCs w:val="24"/>
        </w:rPr>
        <w:t xml:space="preserve"> vaccine.</w:t>
      </w:r>
    </w:p>
    <w:p w:rsidR="00473DFD" w:rsidRPr="003C6F11" w:rsidRDefault="00473DFD" w:rsidP="00473DFD">
      <w:pPr>
        <w:rPr>
          <w:rFonts w:ascii="Arial" w:hAnsi="Arial" w:cs="Arial"/>
          <w:color w:val="000000"/>
          <w:sz w:val="24"/>
          <w:szCs w:val="24"/>
        </w:rPr>
      </w:pPr>
    </w:p>
    <w:p w:rsidR="00473DFD" w:rsidRPr="003C6F11" w:rsidRDefault="00473DFD" w:rsidP="00473DFD">
      <w:pPr>
        <w:tabs>
          <w:tab w:val="left" w:pos="540"/>
        </w:tabs>
        <w:spacing w:line="360" w:lineRule="exact"/>
        <w:ind w:right="-1"/>
        <w:rPr>
          <w:rFonts w:ascii="Arial" w:hAnsi="Arial" w:cs="Arial"/>
          <w:color w:val="000000"/>
          <w:sz w:val="24"/>
          <w:szCs w:val="24"/>
        </w:rPr>
      </w:pPr>
      <w:r w:rsidRPr="003C6F11">
        <w:rPr>
          <w:rFonts w:ascii="Arial" w:hAnsi="Arial" w:cs="Arial"/>
          <w:color w:val="000000"/>
          <w:sz w:val="24"/>
          <w:szCs w:val="24"/>
        </w:rPr>
        <w:t xml:space="preserve">Administration of </w:t>
      </w:r>
      <w:r w:rsidR="00984B2C">
        <w:rPr>
          <w:rFonts w:ascii="Arial" w:hAnsi="Arial" w:cs="Arial"/>
          <w:color w:val="000000"/>
          <w:sz w:val="24"/>
          <w:szCs w:val="24"/>
        </w:rPr>
        <w:t xml:space="preserve">CERVARIX </w:t>
      </w:r>
      <w:r w:rsidRPr="003C6F11">
        <w:rPr>
          <w:rFonts w:ascii="Arial" w:hAnsi="Arial" w:cs="Arial"/>
          <w:color w:val="000000"/>
          <w:sz w:val="24"/>
          <w:szCs w:val="24"/>
        </w:rPr>
        <w:t xml:space="preserve">at the same time as </w:t>
      </w:r>
      <w:proofErr w:type="spellStart"/>
      <w:r w:rsidRPr="003C6F11">
        <w:rPr>
          <w:rFonts w:ascii="Arial" w:hAnsi="Arial" w:cs="Arial"/>
          <w:color w:val="000000"/>
          <w:sz w:val="24"/>
          <w:szCs w:val="24"/>
        </w:rPr>
        <w:t>Twinrix</w:t>
      </w:r>
      <w:proofErr w:type="spellEnd"/>
      <w:r w:rsidRPr="003C6F11">
        <w:rPr>
          <w:rFonts w:ascii="Arial" w:hAnsi="Arial" w:cs="Arial"/>
          <w:color w:val="000000"/>
          <w:sz w:val="24"/>
          <w:szCs w:val="24"/>
        </w:rPr>
        <w:t xml:space="preserve"> (combined </w:t>
      </w:r>
      <w:proofErr w:type="spellStart"/>
      <w:r w:rsidRPr="003C6F11">
        <w:rPr>
          <w:rFonts w:ascii="Arial" w:hAnsi="Arial" w:cs="Arial"/>
          <w:color w:val="000000"/>
          <w:sz w:val="24"/>
          <w:szCs w:val="24"/>
        </w:rPr>
        <w:t>HepA-HepB</w:t>
      </w:r>
      <w:proofErr w:type="spellEnd"/>
      <w:r w:rsidRPr="003C6F11">
        <w:rPr>
          <w:rFonts w:ascii="Arial" w:hAnsi="Arial" w:cs="Arial"/>
          <w:color w:val="000000"/>
          <w:sz w:val="24"/>
          <w:szCs w:val="24"/>
        </w:rPr>
        <w:t xml:space="preserve"> vaccine) has shown no clinically relevant interference in the antibody response to the HPV and hepatitis A antigens. Anti-HBs geometric mean antibody </w:t>
      </w:r>
      <w:proofErr w:type="spellStart"/>
      <w:r w:rsidRPr="003C6F11">
        <w:rPr>
          <w:rFonts w:ascii="Arial" w:hAnsi="Arial" w:cs="Arial"/>
          <w:color w:val="000000"/>
          <w:sz w:val="24"/>
          <w:szCs w:val="24"/>
        </w:rPr>
        <w:t>titers</w:t>
      </w:r>
      <w:proofErr w:type="spellEnd"/>
      <w:r w:rsidRPr="003C6F11">
        <w:rPr>
          <w:rFonts w:ascii="Arial" w:hAnsi="Arial" w:cs="Arial"/>
          <w:color w:val="000000"/>
          <w:sz w:val="24"/>
          <w:szCs w:val="24"/>
        </w:rPr>
        <w:t xml:space="preserve"> were lower on co-administration, but the clinical significance of this observation is not known since the seroprotection rates remain unaffected. The proportion of subjects reaching anti-HBs </w:t>
      </w:r>
      <w:r w:rsidRPr="003C6F11">
        <w:rPr>
          <w:rFonts w:ascii="Arial" w:hAnsi="Arial" w:cs="Arial"/>
          <w:color w:val="000000"/>
          <w:sz w:val="24"/>
          <w:szCs w:val="24"/>
        </w:rPr>
        <w:sym w:font="Symbol" w:char="F0B3"/>
      </w:r>
      <w:r w:rsidRPr="003C6F11">
        <w:rPr>
          <w:rFonts w:ascii="Arial" w:hAnsi="Arial" w:cs="Arial"/>
          <w:color w:val="000000"/>
          <w:sz w:val="24"/>
          <w:szCs w:val="24"/>
        </w:rPr>
        <w:t xml:space="preserve"> 10mIU/ml was 98.3% for concomitant vaccination and 100% for </w:t>
      </w:r>
      <w:proofErr w:type="spellStart"/>
      <w:r w:rsidRPr="003C6F11">
        <w:rPr>
          <w:rFonts w:ascii="Arial" w:hAnsi="Arial" w:cs="Arial"/>
          <w:color w:val="000000"/>
          <w:sz w:val="24"/>
          <w:szCs w:val="24"/>
        </w:rPr>
        <w:t>Twinrix</w:t>
      </w:r>
      <w:proofErr w:type="spellEnd"/>
      <w:r w:rsidRPr="003C6F11">
        <w:rPr>
          <w:rFonts w:ascii="Arial" w:hAnsi="Arial" w:cs="Arial"/>
          <w:color w:val="000000"/>
          <w:sz w:val="24"/>
          <w:szCs w:val="24"/>
        </w:rPr>
        <w:t xml:space="preserve"> </w:t>
      </w:r>
      <w:r w:rsidRPr="003C6F11">
        <w:rPr>
          <w:rFonts w:ascii="Arial" w:eastAsia="Batang" w:hAnsi="Arial" w:cs="Arial"/>
          <w:color w:val="000000"/>
          <w:sz w:val="24"/>
          <w:szCs w:val="24"/>
          <w:lang w:eastAsia="ko-KR"/>
        </w:rPr>
        <w:t>alone</w:t>
      </w:r>
      <w:r w:rsidR="0051078A" w:rsidRPr="003C6F11">
        <w:rPr>
          <w:rFonts w:ascii="Arial" w:hAnsi="Arial" w:cs="Arial"/>
          <w:color w:val="000000"/>
          <w:sz w:val="24"/>
          <w:szCs w:val="24"/>
        </w:rPr>
        <w:t>.</w:t>
      </w:r>
      <w:r w:rsidR="000641F1" w:rsidRPr="003C6F11">
        <w:rPr>
          <w:rFonts w:ascii="Arial" w:hAnsi="Arial" w:cs="Arial"/>
          <w:color w:val="000000"/>
          <w:sz w:val="24"/>
          <w:szCs w:val="24"/>
        </w:rPr>
        <w:t xml:space="preserve">  </w:t>
      </w:r>
    </w:p>
    <w:p w:rsidR="00473DFD" w:rsidRPr="003C6F11" w:rsidRDefault="00473DFD" w:rsidP="00473DFD">
      <w:pPr>
        <w:tabs>
          <w:tab w:val="left" w:pos="540"/>
        </w:tabs>
        <w:spacing w:line="360" w:lineRule="exact"/>
        <w:ind w:right="-1"/>
        <w:rPr>
          <w:rFonts w:ascii="Arial" w:hAnsi="Arial" w:cs="Arial"/>
          <w:color w:val="000000"/>
          <w:sz w:val="24"/>
          <w:szCs w:val="24"/>
        </w:rPr>
      </w:pPr>
    </w:p>
    <w:p w:rsidR="00014864" w:rsidRPr="00F2256D" w:rsidRDefault="00014864" w:rsidP="00473DFD">
      <w:pPr>
        <w:tabs>
          <w:tab w:val="left" w:pos="540"/>
        </w:tabs>
        <w:spacing w:line="360" w:lineRule="exact"/>
        <w:ind w:right="-1"/>
        <w:rPr>
          <w:rFonts w:ascii="Arial" w:hAnsi="Arial" w:cs="Arial"/>
          <w:sz w:val="24"/>
          <w:szCs w:val="24"/>
        </w:rPr>
      </w:pPr>
      <w:r w:rsidRPr="00F2256D">
        <w:rPr>
          <w:rFonts w:ascii="Arial" w:hAnsi="Arial" w:cs="Arial"/>
          <w:sz w:val="24"/>
          <w:szCs w:val="24"/>
        </w:rPr>
        <w:t>If CERVARIX is to be given at the same time as another injectable vaccine, the vaccines should always be administered at different injection sites.</w:t>
      </w:r>
    </w:p>
    <w:p w:rsidR="00014864" w:rsidRPr="00F2256D" w:rsidRDefault="00014864">
      <w:pPr>
        <w:spacing w:line="360" w:lineRule="exact"/>
        <w:rPr>
          <w:rFonts w:ascii="Arial" w:hAnsi="Arial" w:cs="Arial"/>
          <w:b/>
          <w:sz w:val="24"/>
          <w:szCs w:val="24"/>
          <w:highlight w:val="yellow"/>
          <w:u w:val="single"/>
        </w:rPr>
      </w:pPr>
    </w:p>
    <w:p w:rsidR="00014864" w:rsidRPr="00F2256D" w:rsidRDefault="00014864">
      <w:pPr>
        <w:spacing w:line="360" w:lineRule="exact"/>
        <w:rPr>
          <w:rFonts w:ascii="Arial" w:hAnsi="Arial" w:cs="Arial"/>
          <w:b/>
          <w:sz w:val="24"/>
          <w:szCs w:val="24"/>
          <w:highlight w:val="yellow"/>
        </w:rPr>
      </w:pPr>
      <w:r w:rsidRPr="00F2256D">
        <w:rPr>
          <w:rFonts w:ascii="Arial" w:hAnsi="Arial" w:cs="Arial"/>
          <w:b/>
          <w:sz w:val="24"/>
          <w:szCs w:val="24"/>
        </w:rPr>
        <w:t>Use with hormonal contraceptive</w:t>
      </w:r>
    </w:p>
    <w:p w:rsidR="00014864" w:rsidRPr="00F2256D" w:rsidRDefault="00014864">
      <w:pPr>
        <w:spacing w:line="360" w:lineRule="exact"/>
        <w:rPr>
          <w:rFonts w:ascii="Arial" w:hAnsi="Arial" w:cs="Arial"/>
          <w:sz w:val="24"/>
          <w:szCs w:val="24"/>
          <w:highlight w:val="yellow"/>
        </w:rPr>
      </w:pPr>
      <w:r w:rsidRPr="00F2256D">
        <w:rPr>
          <w:rFonts w:ascii="Arial" w:hAnsi="Arial" w:cs="Arial"/>
          <w:sz w:val="24"/>
          <w:szCs w:val="24"/>
        </w:rPr>
        <w:t>In clinical studies, approximately 60% of women who received CERVARIX used hormonal contraceptives.  There is no evidence that the use of hormonal contraceptives has an impact on the efficacy of CERVARIX.</w:t>
      </w:r>
    </w:p>
    <w:p w:rsidR="00014864" w:rsidRPr="00F2256D" w:rsidRDefault="00014864">
      <w:pPr>
        <w:spacing w:line="360" w:lineRule="exact"/>
        <w:rPr>
          <w:rFonts w:ascii="Arial" w:hAnsi="Arial" w:cs="Arial"/>
          <w:b/>
          <w:sz w:val="24"/>
          <w:szCs w:val="24"/>
          <w:highlight w:val="yellow"/>
          <w:u w:val="single"/>
        </w:rPr>
      </w:pPr>
    </w:p>
    <w:p w:rsidR="00014864" w:rsidRPr="00F2256D" w:rsidRDefault="00014864">
      <w:pPr>
        <w:spacing w:line="360" w:lineRule="exact"/>
        <w:rPr>
          <w:rFonts w:ascii="Arial" w:hAnsi="Arial" w:cs="Arial"/>
          <w:b/>
          <w:sz w:val="24"/>
          <w:szCs w:val="24"/>
        </w:rPr>
      </w:pPr>
      <w:r w:rsidRPr="00F2256D">
        <w:rPr>
          <w:rFonts w:ascii="Arial" w:hAnsi="Arial" w:cs="Arial"/>
          <w:b/>
          <w:sz w:val="24"/>
          <w:szCs w:val="24"/>
        </w:rPr>
        <w:t>Use with systemic immunosuppressive medications</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As with other vaccines it may be expected that in patients receiving immunosuppressive treatment, an adequate response may not be elicited.</w:t>
      </w:r>
    </w:p>
    <w:p w:rsidR="00014864" w:rsidRPr="00F2256D" w:rsidRDefault="00014864">
      <w:pPr>
        <w:rPr>
          <w:rFonts w:ascii="Arial" w:hAnsi="Arial"/>
          <w:sz w:val="24"/>
        </w:rPr>
      </w:pPr>
    </w:p>
    <w:p w:rsidR="00014864" w:rsidRPr="00F2256D" w:rsidRDefault="00014864">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AD</w:t>
      </w:r>
      <w:smartTag w:uri="schemas-GSKSiteLocations-com/fourthcoffee" w:element="flavor">
        <w:r w:rsidRPr="00F2256D">
          <w:rPr>
            <w:rFonts w:ascii="Arial" w:hAnsi="Arial"/>
            <w:b/>
            <w:sz w:val="24"/>
          </w:rPr>
          <w:t>VER</w:t>
        </w:r>
      </w:smartTag>
      <w:r w:rsidRPr="00F2256D">
        <w:rPr>
          <w:rFonts w:ascii="Arial" w:hAnsi="Arial"/>
          <w:b/>
          <w:sz w:val="24"/>
        </w:rPr>
        <w:t>SE REACTIONS</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In total approximately 45,000 doses of CERVARIX were administered to approximately 16,000 subjects aged 10 – 68 years.  These subjects were followed to assess the safety of the vaccine.</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Adverse reactions occurring after vaccination during these studies were reported. The most common reaction observed after vaccine administration was injection site pain which occurred after 78% of all doses. The majority of these reactions were of mild to moderate </w:t>
      </w:r>
      <w:r w:rsidRPr="00F2256D">
        <w:rPr>
          <w:rFonts w:ascii="Arial" w:hAnsi="Arial" w:cs="Arial"/>
          <w:sz w:val="24"/>
          <w:szCs w:val="24"/>
        </w:rPr>
        <w:lastRenderedPageBreak/>
        <w:t>severity and were not long lasting.</w:t>
      </w:r>
    </w:p>
    <w:p w:rsidR="00014864" w:rsidRPr="00F2256D" w:rsidRDefault="00014864">
      <w:pPr>
        <w:spacing w:line="360" w:lineRule="exact"/>
        <w:ind w:right="112"/>
        <w:rPr>
          <w:rFonts w:ascii="Arial" w:hAnsi="Arial" w:cs="Arial"/>
          <w:sz w:val="24"/>
          <w:szCs w:val="24"/>
        </w:rPr>
      </w:pPr>
    </w:p>
    <w:p w:rsidR="00014864" w:rsidRPr="00F2256D" w:rsidRDefault="00014864">
      <w:pPr>
        <w:spacing w:line="360" w:lineRule="exact"/>
        <w:ind w:right="112"/>
        <w:rPr>
          <w:rFonts w:ascii="Arial" w:hAnsi="Arial" w:cs="Arial"/>
          <w:sz w:val="24"/>
          <w:szCs w:val="24"/>
        </w:rPr>
      </w:pPr>
      <w:r w:rsidRPr="00F2256D">
        <w:rPr>
          <w:rFonts w:ascii="Arial" w:hAnsi="Arial" w:cs="Arial"/>
          <w:sz w:val="24"/>
          <w:szCs w:val="24"/>
        </w:rPr>
        <w:t>The following table summarises data from seven pivotal studies for solicited local and general symptoms reported during a 7-day follow-up period after vaccination.</w:t>
      </w:r>
    </w:p>
    <w:p w:rsidR="00014864" w:rsidRPr="00F2256D" w:rsidRDefault="00014864">
      <w:pPr>
        <w:spacing w:line="360" w:lineRule="exact"/>
        <w:ind w:right="112"/>
        <w:rPr>
          <w:rFonts w:ascii="Arial" w:hAnsi="Arial" w:cs="Arial"/>
          <w:sz w:val="24"/>
          <w:szCs w:val="24"/>
        </w:rPr>
      </w:pPr>
    </w:p>
    <w:p w:rsidR="004E2BF8" w:rsidRDefault="004E2BF8">
      <w:pPr>
        <w:widowControl/>
        <w:adjustRightInd/>
        <w:spacing w:line="240" w:lineRule="auto"/>
        <w:jc w:val="left"/>
        <w:textAlignment w:val="auto"/>
        <w:rPr>
          <w:rFonts w:ascii="Arial" w:hAnsi="Arial" w:cs="Arial"/>
          <w:b/>
          <w:sz w:val="24"/>
          <w:szCs w:val="24"/>
        </w:rPr>
      </w:pPr>
      <w:r>
        <w:rPr>
          <w:rFonts w:ascii="Arial" w:hAnsi="Arial" w:cs="Arial"/>
          <w:b/>
          <w:sz w:val="24"/>
          <w:szCs w:val="24"/>
        </w:rPr>
        <w:br w:type="page"/>
      </w:r>
    </w:p>
    <w:p w:rsidR="00014864" w:rsidRDefault="00014864" w:rsidP="004B7507">
      <w:pPr>
        <w:rPr>
          <w:rFonts w:ascii="Arial" w:hAnsi="Arial" w:cs="Arial"/>
          <w:b/>
          <w:sz w:val="24"/>
          <w:szCs w:val="24"/>
        </w:rPr>
      </w:pPr>
      <w:r w:rsidRPr="00F2256D">
        <w:rPr>
          <w:rFonts w:ascii="Arial" w:hAnsi="Arial" w:cs="Arial"/>
          <w:b/>
          <w:sz w:val="24"/>
          <w:szCs w:val="24"/>
        </w:rPr>
        <w:lastRenderedPageBreak/>
        <w:t xml:space="preserve">Table </w:t>
      </w:r>
      <w:r w:rsidR="001B0F4B">
        <w:rPr>
          <w:rFonts w:ascii="Arial" w:hAnsi="Arial" w:cs="Arial"/>
          <w:b/>
          <w:sz w:val="24"/>
          <w:szCs w:val="24"/>
        </w:rPr>
        <w:t>11</w:t>
      </w:r>
      <w:r w:rsidRPr="00F2256D">
        <w:rPr>
          <w:rFonts w:ascii="Arial" w:hAnsi="Arial" w:cs="Arial"/>
          <w:b/>
          <w:sz w:val="24"/>
          <w:szCs w:val="24"/>
        </w:rPr>
        <w:tab/>
        <w:t>Pooled safety analysis:  Incidence of solicited local and general symptoms reporting during the 7-day (Days 0-6) post-vaccination period following all doses (Total vaccinated cohort)</w:t>
      </w:r>
    </w:p>
    <w:p w:rsidR="00671D56" w:rsidRPr="00F2256D" w:rsidRDefault="00671D56" w:rsidP="004B7507">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9"/>
        <w:gridCol w:w="962"/>
        <w:gridCol w:w="949"/>
        <w:gridCol w:w="828"/>
        <w:gridCol w:w="867"/>
        <w:gridCol w:w="42"/>
        <w:gridCol w:w="792"/>
        <w:gridCol w:w="886"/>
        <w:gridCol w:w="23"/>
        <w:gridCol w:w="773"/>
        <w:gridCol w:w="909"/>
        <w:gridCol w:w="977"/>
      </w:tblGrid>
      <w:tr w:rsidR="00014864" w:rsidRPr="00EE51D6" w:rsidTr="00EE51D6">
        <w:tc>
          <w:tcPr>
            <w:tcW w:w="2701" w:type="dxa"/>
            <w:gridSpan w:val="2"/>
          </w:tcPr>
          <w:p w:rsidR="00014864" w:rsidRPr="00EE51D6" w:rsidRDefault="00014864" w:rsidP="00EE51D6">
            <w:pPr>
              <w:rPr>
                <w:rFonts w:ascii="Arial" w:hAnsi="Arial" w:cs="Arial"/>
              </w:rPr>
            </w:pPr>
          </w:p>
        </w:tc>
        <w:tc>
          <w:tcPr>
            <w:tcW w:w="1777" w:type="dxa"/>
            <w:gridSpan w:val="2"/>
          </w:tcPr>
          <w:p w:rsidR="00014864" w:rsidRPr="00EE51D6" w:rsidRDefault="00014864" w:rsidP="00EE51D6">
            <w:pPr>
              <w:jc w:val="center"/>
              <w:rPr>
                <w:rFonts w:ascii="Arial" w:hAnsi="Arial" w:cs="Arial"/>
                <w:b/>
              </w:rPr>
            </w:pPr>
            <w:r w:rsidRPr="00EE51D6">
              <w:rPr>
                <w:rFonts w:ascii="Arial" w:hAnsi="Arial" w:cs="Arial"/>
                <w:b/>
              </w:rPr>
              <w:t>CERVARIX</w:t>
            </w:r>
          </w:p>
        </w:tc>
        <w:tc>
          <w:tcPr>
            <w:tcW w:w="1701" w:type="dxa"/>
            <w:gridSpan w:val="3"/>
          </w:tcPr>
          <w:p w:rsidR="00014864" w:rsidRPr="00EE51D6" w:rsidRDefault="00014864" w:rsidP="00EE51D6">
            <w:pPr>
              <w:jc w:val="center"/>
              <w:rPr>
                <w:rFonts w:ascii="Arial" w:hAnsi="Arial" w:cs="Arial"/>
                <w:b/>
              </w:rPr>
            </w:pPr>
            <w:r w:rsidRPr="00EE51D6">
              <w:rPr>
                <w:rFonts w:ascii="Arial" w:hAnsi="Arial" w:cs="Arial"/>
                <w:b/>
              </w:rPr>
              <w:t>ALU</w:t>
            </w:r>
          </w:p>
        </w:tc>
        <w:tc>
          <w:tcPr>
            <w:tcW w:w="1682" w:type="dxa"/>
            <w:gridSpan w:val="3"/>
          </w:tcPr>
          <w:p w:rsidR="00014864" w:rsidRPr="00EE51D6" w:rsidRDefault="00014864" w:rsidP="00EE51D6">
            <w:pPr>
              <w:jc w:val="center"/>
              <w:rPr>
                <w:rFonts w:ascii="Arial" w:hAnsi="Arial" w:cs="Arial"/>
                <w:b/>
              </w:rPr>
            </w:pPr>
            <w:r w:rsidRPr="00EE51D6">
              <w:rPr>
                <w:rFonts w:ascii="Arial" w:hAnsi="Arial" w:cs="Arial"/>
                <w:b/>
              </w:rPr>
              <w:t>HAV360</w:t>
            </w:r>
          </w:p>
        </w:tc>
        <w:tc>
          <w:tcPr>
            <w:tcW w:w="1886" w:type="dxa"/>
            <w:gridSpan w:val="2"/>
          </w:tcPr>
          <w:p w:rsidR="00014864" w:rsidRPr="00EE51D6" w:rsidRDefault="00014864" w:rsidP="00EE51D6">
            <w:pPr>
              <w:jc w:val="center"/>
              <w:rPr>
                <w:rFonts w:ascii="Arial" w:hAnsi="Arial" w:cs="Arial"/>
                <w:b/>
              </w:rPr>
            </w:pPr>
            <w:r w:rsidRPr="00EE51D6">
              <w:rPr>
                <w:rFonts w:ascii="Arial" w:hAnsi="Arial" w:cs="Arial"/>
                <w:b/>
              </w:rPr>
              <w:t>HAV720</w:t>
            </w:r>
          </w:p>
        </w:tc>
      </w:tr>
      <w:tr w:rsidR="00014864" w:rsidRPr="00EE51D6" w:rsidTr="00EE51D6">
        <w:tc>
          <w:tcPr>
            <w:tcW w:w="1739" w:type="dxa"/>
          </w:tcPr>
          <w:p w:rsidR="00014864" w:rsidRPr="00EE51D6" w:rsidRDefault="00014864" w:rsidP="00EE51D6">
            <w:pPr>
              <w:rPr>
                <w:rFonts w:ascii="Arial" w:hAnsi="Arial" w:cs="Arial"/>
                <w:b/>
              </w:rPr>
            </w:pPr>
            <w:r w:rsidRPr="00EE51D6">
              <w:rPr>
                <w:rFonts w:ascii="Arial" w:hAnsi="Arial" w:cs="Arial"/>
                <w:b/>
              </w:rPr>
              <w:t>Symptom</w:t>
            </w:r>
          </w:p>
        </w:tc>
        <w:tc>
          <w:tcPr>
            <w:tcW w:w="962" w:type="dxa"/>
          </w:tcPr>
          <w:p w:rsidR="00014864" w:rsidRPr="00EE51D6" w:rsidRDefault="00014864" w:rsidP="00EE51D6">
            <w:pPr>
              <w:rPr>
                <w:rFonts w:ascii="Arial" w:hAnsi="Arial" w:cs="Arial"/>
                <w:b/>
              </w:rPr>
            </w:pPr>
            <w:r w:rsidRPr="00EE51D6">
              <w:rPr>
                <w:rFonts w:ascii="Arial" w:hAnsi="Arial" w:cs="Arial"/>
                <w:b/>
              </w:rPr>
              <w:t>Type</w:t>
            </w:r>
          </w:p>
        </w:tc>
        <w:tc>
          <w:tcPr>
            <w:tcW w:w="949" w:type="dxa"/>
          </w:tcPr>
          <w:p w:rsidR="00014864" w:rsidRPr="00EE51D6" w:rsidRDefault="00014864" w:rsidP="00EE51D6">
            <w:pPr>
              <w:jc w:val="center"/>
              <w:rPr>
                <w:rFonts w:ascii="Arial" w:hAnsi="Arial" w:cs="Arial"/>
                <w:b/>
              </w:rPr>
            </w:pPr>
            <w:r w:rsidRPr="00EE51D6">
              <w:rPr>
                <w:rFonts w:ascii="Arial" w:hAnsi="Arial" w:cs="Arial"/>
                <w:b/>
              </w:rPr>
              <w:t>N</w:t>
            </w:r>
          </w:p>
        </w:tc>
        <w:tc>
          <w:tcPr>
            <w:tcW w:w="828" w:type="dxa"/>
          </w:tcPr>
          <w:p w:rsidR="00014864" w:rsidRPr="00EE51D6" w:rsidRDefault="00014864" w:rsidP="00EE51D6">
            <w:pPr>
              <w:jc w:val="center"/>
              <w:rPr>
                <w:rFonts w:ascii="Arial" w:hAnsi="Arial" w:cs="Arial"/>
                <w:b/>
              </w:rPr>
            </w:pPr>
            <w:r w:rsidRPr="00EE51D6">
              <w:rPr>
                <w:rFonts w:ascii="Arial" w:hAnsi="Arial" w:cs="Arial"/>
                <w:b/>
              </w:rPr>
              <w:t>%</w:t>
            </w:r>
          </w:p>
        </w:tc>
        <w:tc>
          <w:tcPr>
            <w:tcW w:w="909" w:type="dxa"/>
            <w:gridSpan w:val="2"/>
          </w:tcPr>
          <w:p w:rsidR="00014864" w:rsidRPr="00EE51D6" w:rsidRDefault="00014864" w:rsidP="00EE51D6">
            <w:pPr>
              <w:jc w:val="center"/>
              <w:rPr>
                <w:rFonts w:ascii="Arial" w:hAnsi="Arial" w:cs="Arial"/>
                <w:b/>
              </w:rPr>
            </w:pPr>
            <w:r w:rsidRPr="00EE51D6">
              <w:rPr>
                <w:rFonts w:ascii="Arial" w:hAnsi="Arial" w:cs="Arial"/>
                <w:b/>
              </w:rPr>
              <w:t>N</w:t>
            </w:r>
          </w:p>
        </w:tc>
        <w:tc>
          <w:tcPr>
            <w:tcW w:w="792" w:type="dxa"/>
          </w:tcPr>
          <w:p w:rsidR="00014864" w:rsidRPr="00EE51D6" w:rsidRDefault="00014864" w:rsidP="00EE51D6">
            <w:pPr>
              <w:jc w:val="center"/>
              <w:rPr>
                <w:rFonts w:ascii="Arial" w:hAnsi="Arial" w:cs="Arial"/>
                <w:b/>
              </w:rPr>
            </w:pPr>
            <w:r w:rsidRPr="00EE51D6">
              <w:rPr>
                <w:rFonts w:ascii="Arial" w:hAnsi="Arial" w:cs="Arial"/>
                <w:b/>
              </w:rPr>
              <w:t>%</w:t>
            </w:r>
          </w:p>
        </w:tc>
        <w:tc>
          <w:tcPr>
            <w:tcW w:w="886" w:type="dxa"/>
          </w:tcPr>
          <w:p w:rsidR="00014864" w:rsidRPr="00EE51D6" w:rsidRDefault="00014864" w:rsidP="00EE51D6">
            <w:pPr>
              <w:jc w:val="center"/>
              <w:rPr>
                <w:rFonts w:ascii="Arial" w:hAnsi="Arial" w:cs="Arial"/>
                <w:b/>
              </w:rPr>
            </w:pPr>
            <w:r w:rsidRPr="00EE51D6">
              <w:rPr>
                <w:rFonts w:ascii="Arial" w:hAnsi="Arial" w:cs="Arial"/>
                <w:b/>
              </w:rPr>
              <w:t>N</w:t>
            </w:r>
          </w:p>
        </w:tc>
        <w:tc>
          <w:tcPr>
            <w:tcW w:w="796" w:type="dxa"/>
            <w:gridSpan w:val="2"/>
          </w:tcPr>
          <w:p w:rsidR="00014864" w:rsidRPr="00EE51D6" w:rsidRDefault="00014864" w:rsidP="00EE51D6">
            <w:pPr>
              <w:jc w:val="center"/>
              <w:rPr>
                <w:rFonts w:ascii="Arial" w:hAnsi="Arial" w:cs="Arial"/>
                <w:b/>
              </w:rPr>
            </w:pPr>
            <w:r w:rsidRPr="00EE51D6">
              <w:rPr>
                <w:rFonts w:ascii="Arial" w:hAnsi="Arial" w:cs="Arial"/>
                <w:b/>
              </w:rPr>
              <w:t>%</w:t>
            </w:r>
          </w:p>
        </w:tc>
        <w:tc>
          <w:tcPr>
            <w:tcW w:w="909" w:type="dxa"/>
          </w:tcPr>
          <w:p w:rsidR="00014864" w:rsidRPr="00EE51D6" w:rsidRDefault="00014864" w:rsidP="00EE51D6">
            <w:pPr>
              <w:jc w:val="center"/>
              <w:rPr>
                <w:rFonts w:ascii="Arial" w:hAnsi="Arial" w:cs="Arial"/>
                <w:b/>
              </w:rPr>
            </w:pPr>
            <w:r w:rsidRPr="00EE51D6">
              <w:rPr>
                <w:rFonts w:ascii="Arial" w:hAnsi="Arial" w:cs="Arial"/>
                <w:b/>
              </w:rPr>
              <w:t>N</w:t>
            </w:r>
          </w:p>
        </w:tc>
        <w:tc>
          <w:tcPr>
            <w:tcW w:w="977" w:type="dxa"/>
          </w:tcPr>
          <w:p w:rsidR="00014864" w:rsidRPr="00EE51D6" w:rsidRDefault="00014864" w:rsidP="00EE51D6">
            <w:pPr>
              <w:jc w:val="center"/>
              <w:rPr>
                <w:rFonts w:ascii="Arial" w:hAnsi="Arial" w:cs="Arial"/>
                <w:b/>
              </w:rPr>
            </w:pPr>
            <w:r w:rsidRPr="00EE51D6">
              <w:rPr>
                <w:rFonts w:ascii="Arial" w:hAnsi="Arial" w:cs="Arial"/>
                <w:b/>
              </w:rPr>
              <w:t>%</w:t>
            </w:r>
          </w:p>
        </w:tc>
      </w:tr>
      <w:tr w:rsidR="00014864" w:rsidRPr="00EE51D6" w:rsidTr="00EE51D6">
        <w:tc>
          <w:tcPr>
            <w:tcW w:w="9747" w:type="dxa"/>
            <w:gridSpan w:val="12"/>
          </w:tcPr>
          <w:p w:rsidR="00014864" w:rsidRPr="00EE51D6" w:rsidRDefault="00014864" w:rsidP="00EE51D6">
            <w:pPr>
              <w:rPr>
                <w:rFonts w:ascii="Arial" w:hAnsi="Arial" w:cs="Arial"/>
                <w:b/>
              </w:rPr>
            </w:pPr>
            <w:r w:rsidRPr="00EE51D6">
              <w:rPr>
                <w:rFonts w:ascii="Arial" w:hAnsi="Arial" w:cs="Arial"/>
                <w:b/>
              </w:rPr>
              <w:t>Solicited local symptoms</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Pain</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78.0</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52.5</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41.3</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58.9</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6.3</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3.4</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0.8</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1.8</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Redness (mm)</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29.6</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10.6</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13.7</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16.0</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&gt;50</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0.6</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0.0</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0.1</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0.0</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Swelling (mm)</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25.8</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8.2</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8.6</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10.1</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&gt;50</w:t>
            </w:r>
          </w:p>
        </w:tc>
        <w:tc>
          <w:tcPr>
            <w:tcW w:w="949" w:type="dxa"/>
          </w:tcPr>
          <w:p w:rsidR="00014864" w:rsidRPr="00EE51D6" w:rsidRDefault="00014864" w:rsidP="00EE51D6">
            <w:pPr>
              <w:jc w:val="center"/>
              <w:rPr>
                <w:rFonts w:ascii="Arial" w:hAnsi="Arial" w:cs="Arial"/>
              </w:rPr>
            </w:pPr>
            <w:r w:rsidRPr="00EE51D6">
              <w:rPr>
                <w:rFonts w:ascii="Arial" w:hAnsi="Arial" w:cs="Arial"/>
              </w:rPr>
              <w:t>22806</w:t>
            </w:r>
          </w:p>
        </w:tc>
        <w:tc>
          <w:tcPr>
            <w:tcW w:w="828" w:type="dxa"/>
          </w:tcPr>
          <w:p w:rsidR="00014864" w:rsidRPr="00EE51D6" w:rsidRDefault="00014864" w:rsidP="00EE51D6">
            <w:pPr>
              <w:jc w:val="center"/>
              <w:rPr>
                <w:rFonts w:ascii="Arial" w:hAnsi="Arial" w:cs="Arial"/>
              </w:rPr>
            </w:pPr>
            <w:r w:rsidRPr="00EE51D6">
              <w:rPr>
                <w:rFonts w:ascii="Arial" w:hAnsi="Arial" w:cs="Arial"/>
              </w:rPr>
              <w:t>1.1</w:t>
            </w:r>
          </w:p>
        </w:tc>
        <w:tc>
          <w:tcPr>
            <w:tcW w:w="867" w:type="dxa"/>
          </w:tcPr>
          <w:p w:rsidR="00014864" w:rsidRPr="00EE51D6" w:rsidRDefault="00014864" w:rsidP="00EE51D6">
            <w:pPr>
              <w:jc w:val="center"/>
              <w:rPr>
                <w:rFonts w:ascii="Arial" w:hAnsi="Arial" w:cs="Arial"/>
              </w:rPr>
            </w:pPr>
            <w:r w:rsidRPr="00EE51D6">
              <w:rPr>
                <w:rFonts w:ascii="Arial" w:hAnsi="Arial" w:cs="Arial"/>
              </w:rPr>
              <w:t>4485</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0.0</w:t>
            </w:r>
          </w:p>
        </w:tc>
        <w:tc>
          <w:tcPr>
            <w:tcW w:w="886" w:type="dxa"/>
          </w:tcPr>
          <w:p w:rsidR="00014864" w:rsidRPr="00EE51D6" w:rsidRDefault="00014864" w:rsidP="00EE51D6">
            <w:pPr>
              <w:jc w:val="center"/>
              <w:rPr>
                <w:rFonts w:ascii="Arial" w:hAnsi="Arial" w:cs="Arial"/>
              </w:rPr>
            </w:pPr>
            <w:r w:rsidRPr="00EE51D6">
              <w:rPr>
                <w:rFonts w:ascii="Arial" w:hAnsi="Arial" w:cs="Arial"/>
              </w:rPr>
              <w:t>3059</w:t>
            </w:r>
          </w:p>
        </w:tc>
        <w:tc>
          <w:tcPr>
            <w:tcW w:w="796" w:type="dxa"/>
            <w:gridSpan w:val="2"/>
          </w:tcPr>
          <w:p w:rsidR="00014864" w:rsidRPr="00EE51D6" w:rsidRDefault="00014864" w:rsidP="00EE51D6">
            <w:pPr>
              <w:jc w:val="center"/>
              <w:rPr>
                <w:rFonts w:ascii="Arial" w:hAnsi="Arial" w:cs="Arial"/>
              </w:rPr>
            </w:pPr>
            <w:r w:rsidRPr="00EE51D6">
              <w:rPr>
                <w:rFonts w:ascii="Arial" w:hAnsi="Arial" w:cs="Arial"/>
              </w:rPr>
              <w:t>0.2</w:t>
            </w:r>
          </w:p>
        </w:tc>
        <w:tc>
          <w:tcPr>
            <w:tcW w:w="909" w:type="dxa"/>
          </w:tcPr>
          <w:p w:rsidR="00014864" w:rsidRPr="00EE51D6" w:rsidRDefault="00014864" w:rsidP="00EE51D6">
            <w:pPr>
              <w:jc w:val="center"/>
              <w:rPr>
                <w:rFonts w:ascii="Arial" w:hAnsi="Arial" w:cs="Arial"/>
              </w:rPr>
            </w:pPr>
            <w:r w:rsidRPr="00EE51D6">
              <w:rPr>
                <w:rFonts w:ascii="Arial" w:hAnsi="Arial" w:cs="Arial"/>
              </w:rPr>
              <w:t>8750</w:t>
            </w:r>
          </w:p>
        </w:tc>
        <w:tc>
          <w:tcPr>
            <w:tcW w:w="977" w:type="dxa"/>
          </w:tcPr>
          <w:p w:rsidR="00014864" w:rsidRPr="00EE51D6" w:rsidRDefault="00014864" w:rsidP="00EE51D6">
            <w:pPr>
              <w:jc w:val="center"/>
              <w:rPr>
                <w:rFonts w:ascii="Arial" w:hAnsi="Arial" w:cs="Arial"/>
              </w:rPr>
            </w:pPr>
            <w:r w:rsidRPr="00EE51D6">
              <w:rPr>
                <w:rFonts w:ascii="Arial" w:hAnsi="Arial" w:cs="Arial"/>
              </w:rPr>
              <w:t>0.2</w:t>
            </w:r>
          </w:p>
        </w:tc>
      </w:tr>
      <w:tr w:rsidR="00014864" w:rsidRPr="00EE51D6" w:rsidTr="00EE51D6">
        <w:tc>
          <w:tcPr>
            <w:tcW w:w="9747" w:type="dxa"/>
            <w:gridSpan w:val="12"/>
          </w:tcPr>
          <w:p w:rsidR="00014864" w:rsidRPr="00EE51D6" w:rsidRDefault="00014864" w:rsidP="00EE51D6">
            <w:pPr>
              <w:rPr>
                <w:rFonts w:ascii="Arial" w:hAnsi="Arial" w:cs="Arial"/>
                <w:b/>
              </w:rPr>
            </w:pPr>
            <w:r w:rsidRPr="00EE51D6">
              <w:rPr>
                <w:rFonts w:ascii="Arial" w:hAnsi="Arial" w:cs="Arial"/>
                <w:b/>
              </w:rPr>
              <w:t>Solicited general symptoms</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Fatigue</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33.1</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22.8</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24.6</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35.3</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1.5</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1.2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1.1</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1.3</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Gastrointestinal</w:t>
            </w:r>
          </w:p>
          <w:p w:rsidR="00014864" w:rsidRPr="00EE51D6" w:rsidRDefault="00014864" w:rsidP="00EE51D6">
            <w:pPr>
              <w:rPr>
                <w:rFonts w:ascii="Arial" w:hAnsi="Arial" w:cs="Arial"/>
              </w:rPr>
            </w:pPr>
            <w:r w:rsidRPr="00EE51D6">
              <w:rPr>
                <w:rFonts w:ascii="Arial" w:hAnsi="Arial" w:cs="Arial"/>
              </w:rPr>
              <w:t>symptoms</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12.9</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11.6</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11.3</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14.0</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0.7</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0.7</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0.8</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0.7</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Headache</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29.5</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25.9</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25.4</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30.8</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1.6</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1.2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1.6</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1.4</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Arthralgia</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21222</w:t>
            </w:r>
          </w:p>
        </w:tc>
        <w:tc>
          <w:tcPr>
            <w:tcW w:w="828" w:type="dxa"/>
          </w:tcPr>
          <w:p w:rsidR="00014864" w:rsidRPr="00EE51D6" w:rsidRDefault="00014864" w:rsidP="00EE51D6">
            <w:pPr>
              <w:jc w:val="center"/>
              <w:rPr>
                <w:rFonts w:ascii="Arial" w:hAnsi="Arial" w:cs="Arial"/>
              </w:rPr>
            </w:pPr>
            <w:r w:rsidRPr="00EE51D6">
              <w:rPr>
                <w:rFonts w:ascii="Arial" w:hAnsi="Arial" w:cs="Arial"/>
              </w:rPr>
              <w:t>10.2</w:t>
            </w:r>
          </w:p>
        </w:tc>
        <w:tc>
          <w:tcPr>
            <w:tcW w:w="867" w:type="dxa"/>
          </w:tcPr>
          <w:p w:rsidR="00014864" w:rsidRPr="00EE51D6" w:rsidRDefault="00014864" w:rsidP="00EE51D6">
            <w:pPr>
              <w:jc w:val="center"/>
              <w:rPr>
                <w:rFonts w:ascii="Arial" w:hAnsi="Arial" w:cs="Arial"/>
              </w:rPr>
            </w:pPr>
            <w:r w:rsidRPr="00EE51D6">
              <w:rPr>
                <w:rFonts w:ascii="Arial" w:hAnsi="Arial" w:cs="Arial"/>
              </w:rPr>
              <w:t>2916</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7.6</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9.3</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8.6</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21222</w:t>
            </w:r>
          </w:p>
        </w:tc>
        <w:tc>
          <w:tcPr>
            <w:tcW w:w="828" w:type="dxa"/>
          </w:tcPr>
          <w:p w:rsidR="00014864" w:rsidRPr="00EE51D6" w:rsidRDefault="00014864" w:rsidP="00EE51D6">
            <w:pPr>
              <w:jc w:val="center"/>
              <w:rPr>
                <w:rFonts w:ascii="Arial" w:hAnsi="Arial" w:cs="Arial"/>
              </w:rPr>
            </w:pPr>
            <w:r w:rsidRPr="00EE51D6">
              <w:rPr>
                <w:rFonts w:ascii="Arial" w:hAnsi="Arial" w:cs="Arial"/>
              </w:rPr>
              <w:t>0.4</w:t>
            </w:r>
          </w:p>
        </w:tc>
        <w:tc>
          <w:tcPr>
            <w:tcW w:w="867" w:type="dxa"/>
          </w:tcPr>
          <w:p w:rsidR="00014864" w:rsidRPr="00EE51D6" w:rsidRDefault="00014864" w:rsidP="00EE51D6">
            <w:pPr>
              <w:jc w:val="center"/>
              <w:rPr>
                <w:rFonts w:ascii="Arial" w:hAnsi="Arial" w:cs="Arial"/>
              </w:rPr>
            </w:pPr>
            <w:r w:rsidRPr="00EE51D6">
              <w:rPr>
                <w:rFonts w:ascii="Arial" w:hAnsi="Arial" w:cs="Arial"/>
              </w:rPr>
              <w:t>2916</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0.2</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0.3</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Myalgia</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21222</w:t>
            </w:r>
          </w:p>
        </w:tc>
        <w:tc>
          <w:tcPr>
            <w:tcW w:w="828" w:type="dxa"/>
          </w:tcPr>
          <w:p w:rsidR="00014864" w:rsidRPr="00EE51D6" w:rsidRDefault="00014864" w:rsidP="00EE51D6">
            <w:pPr>
              <w:jc w:val="center"/>
              <w:rPr>
                <w:rFonts w:ascii="Arial" w:hAnsi="Arial" w:cs="Arial"/>
              </w:rPr>
            </w:pPr>
            <w:r w:rsidRPr="00EE51D6">
              <w:rPr>
                <w:rFonts w:ascii="Arial" w:hAnsi="Arial" w:cs="Arial"/>
              </w:rPr>
              <w:t>28.1</w:t>
            </w:r>
          </w:p>
        </w:tc>
        <w:tc>
          <w:tcPr>
            <w:tcW w:w="867" w:type="dxa"/>
          </w:tcPr>
          <w:p w:rsidR="00014864" w:rsidRPr="00EE51D6" w:rsidRDefault="00014864" w:rsidP="00EE51D6">
            <w:pPr>
              <w:jc w:val="center"/>
              <w:rPr>
                <w:rFonts w:ascii="Arial" w:hAnsi="Arial" w:cs="Arial"/>
              </w:rPr>
            </w:pPr>
            <w:r w:rsidRPr="00EE51D6">
              <w:rPr>
                <w:rFonts w:ascii="Arial" w:hAnsi="Arial" w:cs="Arial"/>
              </w:rPr>
              <w:t>2916</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9.9</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17.1</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26.5</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21222</w:t>
            </w:r>
          </w:p>
        </w:tc>
        <w:tc>
          <w:tcPr>
            <w:tcW w:w="828" w:type="dxa"/>
          </w:tcPr>
          <w:p w:rsidR="00014864" w:rsidRPr="00EE51D6" w:rsidRDefault="00014864" w:rsidP="00EE51D6">
            <w:pPr>
              <w:jc w:val="center"/>
              <w:rPr>
                <w:rFonts w:ascii="Arial" w:hAnsi="Arial" w:cs="Arial"/>
              </w:rPr>
            </w:pPr>
            <w:r w:rsidRPr="00EE51D6">
              <w:rPr>
                <w:rFonts w:ascii="Arial" w:hAnsi="Arial" w:cs="Arial"/>
              </w:rPr>
              <w:t>1.4</w:t>
            </w:r>
          </w:p>
        </w:tc>
        <w:tc>
          <w:tcPr>
            <w:tcW w:w="867" w:type="dxa"/>
          </w:tcPr>
          <w:p w:rsidR="00014864" w:rsidRPr="00EE51D6" w:rsidRDefault="00014864" w:rsidP="00EE51D6">
            <w:pPr>
              <w:jc w:val="center"/>
              <w:rPr>
                <w:rFonts w:ascii="Arial" w:hAnsi="Arial" w:cs="Arial"/>
              </w:rPr>
            </w:pPr>
            <w:r w:rsidRPr="00EE51D6">
              <w:rPr>
                <w:rFonts w:ascii="Arial" w:hAnsi="Arial" w:cs="Arial"/>
              </w:rPr>
              <w:t>2916</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0.5</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0.6</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Fever (Axillary)</w:t>
            </w:r>
            <w:r w:rsidRPr="00EE51D6">
              <w:rPr>
                <w:rFonts w:ascii="Arial" w:hAnsi="Arial" w:cs="Arial"/>
              </w:rPr>
              <w:br/>
              <w:t>(</w:t>
            </w:r>
            <w:r w:rsidRPr="00EE51D6">
              <w:rPr>
                <w:rFonts w:ascii="Arial" w:hAnsi="Arial" w:cs="Arial"/>
              </w:rPr>
              <w:sym w:font="Symbol" w:char="F0B0"/>
            </w:r>
            <w:r w:rsidRPr="00EE51D6">
              <w:rPr>
                <w:rFonts w:ascii="Arial" w:hAnsi="Arial" w:cs="Arial"/>
              </w:rPr>
              <w:t>C)</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5.1</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5.2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6.8</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4.6</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&gt;39</w:t>
            </w:r>
            <w:r w:rsidRPr="00EE51D6">
              <w:rPr>
                <w:rFonts w:ascii="Arial" w:hAnsi="Arial" w:cs="Arial"/>
              </w:rPr>
              <w:sym w:font="Symbol" w:char="F0B0"/>
            </w:r>
            <w:r w:rsidRPr="00EE51D6">
              <w:rPr>
                <w:rFonts w:ascii="Arial" w:hAnsi="Arial" w:cs="Arial"/>
              </w:rPr>
              <w:t>C</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0.2</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0.2</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0.6</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0.1</w:t>
            </w:r>
          </w:p>
        </w:tc>
      </w:tr>
      <w:tr w:rsidR="00014864" w:rsidRPr="00EE51D6" w:rsidTr="00EE51D6">
        <w:tc>
          <w:tcPr>
            <w:tcW w:w="1739" w:type="dxa"/>
            <w:vMerge w:val="restart"/>
          </w:tcPr>
          <w:p w:rsidR="00014864" w:rsidRPr="00EE51D6" w:rsidRDefault="00014864" w:rsidP="00EE51D6">
            <w:pPr>
              <w:rPr>
                <w:rFonts w:ascii="Arial" w:hAnsi="Arial" w:cs="Arial"/>
              </w:rPr>
            </w:pPr>
            <w:r w:rsidRPr="00EE51D6">
              <w:rPr>
                <w:rFonts w:ascii="Arial" w:hAnsi="Arial" w:cs="Arial"/>
              </w:rPr>
              <w:t>Rash</w:t>
            </w:r>
          </w:p>
        </w:tc>
        <w:tc>
          <w:tcPr>
            <w:tcW w:w="962" w:type="dxa"/>
          </w:tcPr>
          <w:p w:rsidR="00014864" w:rsidRPr="00EE51D6" w:rsidRDefault="00014864" w:rsidP="00EE51D6">
            <w:pPr>
              <w:rPr>
                <w:rFonts w:ascii="Arial" w:hAnsi="Arial" w:cs="Arial"/>
              </w:rPr>
            </w:pPr>
            <w:r w:rsidRPr="00EE51D6">
              <w:rPr>
                <w:rFonts w:ascii="Arial" w:hAnsi="Arial" w:cs="Arial"/>
              </w:rPr>
              <w:t>All</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3.8</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2.7</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2.6</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3.6</w:t>
            </w:r>
          </w:p>
        </w:tc>
      </w:tr>
      <w:tr w:rsidR="00014864" w:rsidRPr="00EE51D6" w:rsidTr="00EE51D6">
        <w:tc>
          <w:tcPr>
            <w:tcW w:w="1739" w:type="dxa"/>
            <w:vMerge/>
          </w:tcPr>
          <w:p w:rsidR="00014864" w:rsidRPr="00EE51D6" w:rsidRDefault="00014864" w:rsidP="00EE51D6">
            <w:pPr>
              <w:rPr>
                <w:rFonts w:ascii="Arial" w:hAnsi="Arial" w:cs="Arial"/>
              </w:rPr>
            </w:pPr>
          </w:p>
        </w:tc>
        <w:tc>
          <w:tcPr>
            <w:tcW w:w="962" w:type="dxa"/>
          </w:tcPr>
          <w:p w:rsidR="00014864" w:rsidRPr="00EE51D6" w:rsidRDefault="00014864" w:rsidP="00EE51D6">
            <w:pPr>
              <w:rPr>
                <w:rFonts w:ascii="Arial" w:hAnsi="Arial" w:cs="Arial"/>
              </w:rPr>
            </w:pPr>
            <w:r w:rsidRPr="00EE51D6">
              <w:rPr>
                <w:rFonts w:ascii="Arial" w:hAnsi="Arial" w:cs="Arial"/>
              </w:rPr>
              <w:t>Grade 3</w:t>
            </w:r>
          </w:p>
        </w:tc>
        <w:tc>
          <w:tcPr>
            <w:tcW w:w="949" w:type="dxa"/>
          </w:tcPr>
          <w:p w:rsidR="00014864" w:rsidRPr="00EE51D6" w:rsidRDefault="00014864" w:rsidP="00EE51D6">
            <w:pPr>
              <w:jc w:val="center"/>
              <w:rPr>
                <w:rFonts w:ascii="Arial" w:hAnsi="Arial" w:cs="Arial"/>
              </w:rPr>
            </w:pPr>
            <w:r w:rsidRPr="00EE51D6">
              <w:rPr>
                <w:rFonts w:ascii="Arial" w:hAnsi="Arial" w:cs="Arial"/>
              </w:rPr>
              <w:t>22802</w:t>
            </w:r>
          </w:p>
        </w:tc>
        <w:tc>
          <w:tcPr>
            <w:tcW w:w="828" w:type="dxa"/>
          </w:tcPr>
          <w:p w:rsidR="00014864" w:rsidRPr="00EE51D6" w:rsidRDefault="00014864" w:rsidP="00EE51D6">
            <w:pPr>
              <w:jc w:val="center"/>
              <w:rPr>
                <w:rFonts w:ascii="Arial" w:hAnsi="Arial" w:cs="Arial"/>
              </w:rPr>
            </w:pPr>
            <w:r w:rsidRPr="00EE51D6">
              <w:rPr>
                <w:rFonts w:ascii="Arial" w:hAnsi="Arial" w:cs="Arial"/>
              </w:rPr>
              <w:t>0.1</w:t>
            </w:r>
          </w:p>
        </w:tc>
        <w:tc>
          <w:tcPr>
            <w:tcW w:w="867" w:type="dxa"/>
          </w:tcPr>
          <w:p w:rsidR="00014864" w:rsidRPr="00EE51D6" w:rsidRDefault="00014864" w:rsidP="00EE51D6">
            <w:pPr>
              <w:jc w:val="center"/>
              <w:rPr>
                <w:rFonts w:ascii="Arial" w:hAnsi="Arial" w:cs="Arial"/>
              </w:rPr>
            </w:pPr>
            <w:r w:rsidRPr="00EE51D6">
              <w:rPr>
                <w:rFonts w:ascii="Arial" w:hAnsi="Arial" w:cs="Arial"/>
              </w:rPr>
              <w:t>4481</w:t>
            </w:r>
          </w:p>
        </w:tc>
        <w:tc>
          <w:tcPr>
            <w:tcW w:w="834" w:type="dxa"/>
            <w:gridSpan w:val="2"/>
          </w:tcPr>
          <w:p w:rsidR="00014864" w:rsidRPr="00EE51D6" w:rsidRDefault="00014864" w:rsidP="00EE51D6">
            <w:pPr>
              <w:jc w:val="center"/>
              <w:rPr>
                <w:rFonts w:ascii="Arial" w:hAnsi="Arial" w:cs="Arial"/>
              </w:rPr>
            </w:pPr>
            <w:r w:rsidRPr="00EE51D6">
              <w:rPr>
                <w:rFonts w:ascii="Arial" w:hAnsi="Arial" w:cs="Arial"/>
              </w:rPr>
              <w:t>0.0</w:t>
            </w:r>
          </w:p>
        </w:tc>
        <w:tc>
          <w:tcPr>
            <w:tcW w:w="909" w:type="dxa"/>
            <w:gridSpan w:val="2"/>
          </w:tcPr>
          <w:p w:rsidR="00014864" w:rsidRPr="00EE51D6" w:rsidRDefault="00014864" w:rsidP="00EE51D6">
            <w:pPr>
              <w:jc w:val="center"/>
              <w:rPr>
                <w:rFonts w:ascii="Arial" w:hAnsi="Arial" w:cs="Arial"/>
              </w:rPr>
            </w:pPr>
            <w:r w:rsidRPr="00EE51D6">
              <w:rPr>
                <w:rFonts w:ascii="Arial" w:hAnsi="Arial" w:cs="Arial"/>
              </w:rPr>
              <w:t>3058</w:t>
            </w:r>
          </w:p>
        </w:tc>
        <w:tc>
          <w:tcPr>
            <w:tcW w:w="773" w:type="dxa"/>
          </w:tcPr>
          <w:p w:rsidR="00014864" w:rsidRPr="00EE51D6" w:rsidRDefault="00014864" w:rsidP="00EE51D6">
            <w:pPr>
              <w:jc w:val="center"/>
              <w:rPr>
                <w:rFonts w:ascii="Arial" w:hAnsi="Arial" w:cs="Arial"/>
              </w:rPr>
            </w:pPr>
            <w:r w:rsidRPr="00EE51D6">
              <w:rPr>
                <w:rFonts w:ascii="Arial" w:hAnsi="Arial" w:cs="Arial"/>
              </w:rPr>
              <w:t>0.1</w:t>
            </w:r>
          </w:p>
        </w:tc>
        <w:tc>
          <w:tcPr>
            <w:tcW w:w="909" w:type="dxa"/>
          </w:tcPr>
          <w:p w:rsidR="00014864" w:rsidRPr="00EE51D6" w:rsidRDefault="00014864" w:rsidP="00EE51D6">
            <w:pPr>
              <w:jc w:val="center"/>
              <w:rPr>
                <w:rFonts w:ascii="Arial" w:hAnsi="Arial" w:cs="Arial"/>
              </w:rPr>
            </w:pPr>
            <w:r w:rsidRPr="00EE51D6">
              <w:rPr>
                <w:rFonts w:ascii="Arial" w:hAnsi="Arial" w:cs="Arial"/>
              </w:rPr>
              <w:t>8751</w:t>
            </w:r>
          </w:p>
        </w:tc>
        <w:tc>
          <w:tcPr>
            <w:tcW w:w="977" w:type="dxa"/>
          </w:tcPr>
          <w:p w:rsidR="00014864" w:rsidRPr="00EE51D6" w:rsidRDefault="00014864" w:rsidP="00EE51D6">
            <w:pPr>
              <w:jc w:val="center"/>
              <w:rPr>
                <w:rFonts w:ascii="Arial" w:hAnsi="Arial" w:cs="Arial"/>
              </w:rPr>
            </w:pPr>
            <w:r w:rsidRPr="00EE51D6">
              <w:rPr>
                <w:rFonts w:ascii="Arial" w:hAnsi="Arial" w:cs="Arial"/>
              </w:rPr>
              <w:t>0.1</w:t>
            </w:r>
          </w:p>
        </w:tc>
      </w:tr>
    </w:tbl>
    <w:p w:rsidR="00014864" w:rsidRPr="00F2256D" w:rsidRDefault="00014864" w:rsidP="00327E01">
      <w:pPr>
        <w:spacing w:line="240" w:lineRule="auto"/>
        <w:rPr>
          <w:rFonts w:ascii="Arial" w:hAnsi="Arial" w:cs="Arial"/>
        </w:rPr>
      </w:pPr>
      <w:r w:rsidRPr="00F2256D">
        <w:rPr>
          <w:rFonts w:ascii="Arial" w:hAnsi="Arial" w:cs="Arial"/>
        </w:rPr>
        <w:t xml:space="preserve">CERVARIX group (Studies HPV-001, 008 subset, </w:t>
      </w:r>
      <w:r w:rsidR="00DB548B" w:rsidRPr="00F2256D">
        <w:rPr>
          <w:rFonts w:ascii="Arial" w:hAnsi="Arial" w:cs="Arial"/>
        </w:rPr>
        <w:t>-</w:t>
      </w:r>
      <w:r w:rsidRPr="00F2256D">
        <w:rPr>
          <w:rFonts w:ascii="Arial" w:hAnsi="Arial" w:cs="Arial"/>
        </w:rPr>
        <w:t xml:space="preserve">012, </w:t>
      </w:r>
      <w:r w:rsidR="00DB548B" w:rsidRPr="00F2256D">
        <w:rPr>
          <w:rFonts w:ascii="Arial" w:hAnsi="Arial" w:cs="Arial"/>
        </w:rPr>
        <w:t>-</w:t>
      </w:r>
      <w:r w:rsidRPr="00F2256D">
        <w:rPr>
          <w:rFonts w:ascii="Arial" w:hAnsi="Arial" w:cs="Arial"/>
        </w:rPr>
        <w:t xml:space="preserve">013, </w:t>
      </w:r>
      <w:r w:rsidR="00DB548B" w:rsidRPr="00F2256D">
        <w:rPr>
          <w:rFonts w:ascii="Arial" w:hAnsi="Arial" w:cs="Arial"/>
        </w:rPr>
        <w:t>-</w:t>
      </w:r>
      <w:r w:rsidRPr="00F2256D">
        <w:rPr>
          <w:rFonts w:ascii="Arial" w:hAnsi="Arial" w:cs="Arial"/>
        </w:rPr>
        <w:t xml:space="preserve">014, </w:t>
      </w:r>
      <w:r w:rsidR="00DB548B" w:rsidRPr="00F2256D">
        <w:rPr>
          <w:rFonts w:ascii="Arial" w:hAnsi="Arial" w:cs="Arial"/>
        </w:rPr>
        <w:t>-</w:t>
      </w:r>
      <w:r w:rsidRPr="00F2256D">
        <w:rPr>
          <w:rFonts w:ascii="Arial" w:hAnsi="Arial" w:cs="Arial"/>
        </w:rPr>
        <w:t xml:space="preserve">015 subset and </w:t>
      </w:r>
      <w:r w:rsidR="00DB548B" w:rsidRPr="00F2256D">
        <w:rPr>
          <w:rFonts w:ascii="Arial" w:hAnsi="Arial" w:cs="Arial"/>
        </w:rPr>
        <w:t>-</w:t>
      </w:r>
      <w:r w:rsidRPr="00F2256D">
        <w:rPr>
          <w:rFonts w:ascii="Arial" w:hAnsi="Arial" w:cs="Arial"/>
        </w:rPr>
        <w:t>016: girls and women 10 years and above)</w:t>
      </w:r>
    </w:p>
    <w:p w:rsidR="00014864" w:rsidRPr="00F2256D" w:rsidRDefault="00014864" w:rsidP="00327E01">
      <w:pPr>
        <w:spacing w:line="240" w:lineRule="auto"/>
        <w:rPr>
          <w:rFonts w:ascii="Arial" w:hAnsi="Arial" w:cs="Arial"/>
        </w:rPr>
      </w:pPr>
      <w:r w:rsidRPr="00F2256D">
        <w:rPr>
          <w:rFonts w:ascii="Arial" w:hAnsi="Arial" w:cs="Arial"/>
        </w:rPr>
        <w:t xml:space="preserve">ALU = </w:t>
      </w:r>
      <w:proofErr w:type="gramStart"/>
      <w:r w:rsidRPr="00F2256D">
        <w:rPr>
          <w:rFonts w:ascii="Arial" w:hAnsi="Arial" w:cs="Arial"/>
        </w:rPr>
        <w:t>AI(</w:t>
      </w:r>
      <w:proofErr w:type="gramEnd"/>
      <w:r w:rsidRPr="00F2256D">
        <w:rPr>
          <w:rFonts w:ascii="Arial" w:hAnsi="Arial" w:cs="Arial"/>
        </w:rPr>
        <w:t>OH)</w:t>
      </w:r>
      <w:r w:rsidRPr="00F2256D">
        <w:rPr>
          <w:rFonts w:ascii="Arial" w:hAnsi="Arial" w:cs="Arial"/>
          <w:vertAlign w:val="subscript"/>
        </w:rPr>
        <w:t>3</w:t>
      </w:r>
      <w:r w:rsidRPr="00F2256D">
        <w:rPr>
          <w:rFonts w:ascii="Arial" w:hAnsi="Arial" w:cs="Arial"/>
        </w:rPr>
        <w:t xml:space="preserve"> control group (Studies HPV-001 and </w:t>
      </w:r>
      <w:r w:rsidR="00DB548B" w:rsidRPr="00F2256D">
        <w:rPr>
          <w:rFonts w:ascii="Arial" w:hAnsi="Arial" w:cs="Arial"/>
        </w:rPr>
        <w:t>-</w:t>
      </w:r>
      <w:r w:rsidRPr="00F2256D">
        <w:rPr>
          <w:rFonts w:ascii="Arial" w:hAnsi="Arial" w:cs="Arial"/>
        </w:rPr>
        <w:t>015 subset; adolescent girls and women 15 years and above)</w:t>
      </w:r>
    </w:p>
    <w:p w:rsidR="00014864" w:rsidRPr="00F2256D" w:rsidRDefault="00014864" w:rsidP="00327E01">
      <w:pPr>
        <w:spacing w:line="240" w:lineRule="auto"/>
        <w:rPr>
          <w:rFonts w:ascii="Arial" w:hAnsi="Arial" w:cs="Arial"/>
        </w:rPr>
      </w:pPr>
      <w:r w:rsidRPr="00F2256D">
        <w:rPr>
          <w:rFonts w:ascii="Arial" w:hAnsi="Arial" w:cs="Arial"/>
        </w:rPr>
        <w:t>HAV360 = Hepatitis A control group containing 360 EU hepatitis A antigen per dose (Study HPV-013; girls 10-14 years of age)</w:t>
      </w:r>
    </w:p>
    <w:p w:rsidR="00014864" w:rsidRPr="00F2256D" w:rsidRDefault="00014864" w:rsidP="00327E01">
      <w:pPr>
        <w:spacing w:line="240" w:lineRule="auto"/>
        <w:rPr>
          <w:rFonts w:ascii="Arial" w:hAnsi="Arial" w:cs="Arial"/>
        </w:rPr>
      </w:pPr>
      <w:r w:rsidRPr="00F2256D">
        <w:rPr>
          <w:rFonts w:ascii="Arial" w:hAnsi="Arial" w:cs="Arial"/>
        </w:rPr>
        <w:t>HAV720 = Hepatitis A control group containing 720 EU hepatitis A antigen per dose (Study HPV-008 subset; adolescent girls and women 15-25 years of age)</w:t>
      </w:r>
    </w:p>
    <w:p w:rsidR="00014864" w:rsidRPr="00F2256D" w:rsidRDefault="00014864" w:rsidP="00327E01">
      <w:pPr>
        <w:spacing w:line="240" w:lineRule="auto"/>
        <w:ind w:left="1440" w:hanging="1440"/>
        <w:rPr>
          <w:rFonts w:ascii="Arial" w:hAnsi="Arial" w:cs="Arial"/>
        </w:rPr>
      </w:pPr>
      <w:r w:rsidRPr="00F2256D">
        <w:rPr>
          <w:rFonts w:ascii="Arial" w:hAnsi="Arial" w:cs="Arial"/>
        </w:rPr>
        <w:t>N=number of documented doses</w:t>
      </w:r>
    </w:p>
    <w:p w:rsidR="00014864" w:rsidRPr="00F2256D" w:rsidRDefault="00014864" w:rsidP="00327E01">
      <w:pPr>
        <w:spacing w:line="240" w:lineRule="auto"/>
        <w:rPr>
          <w:rFonts w:ascii="Arial" w:hAnsi="Arial" w:cs="Arial"/>
        </w:rPr>
      </w:pPr>
      <w:r w:rsidRPr="00F2256D">
        <w:rPr>
          <w:rFonts w:ascii="Arial" w:hAnsi="Arial" w:cs="Arial"/>
        </w:rPr>
        <w:t>% = percentage of doses followed by at least one type of symptom</w:t>
      </w:r>
    </w:p>
    <w:p w:rsidR="00014864" w:rsidRPr="00F2256D" w:rsidRDefault="00014864" w:rsidP="00327E01">
      <w:pPr>
        <w:spacing w:line="240" w:lineRule="auto"/>
        <w:rPr>
          <w:rFonts w:ascii="Arial" w:hAnsi="Arial" w:cs="Arial"/>
        </w:rPr>
      </w:pPr>
      <w:r w:rsidRPr="00F2256D">
        <w:rPr>
          <w:rFonts w:ascii="Arial" w:hAnsi="Arial" w:cs="Arial"/>
        </w:rPr>
        <w:t>Grade 3 Pain:  Spontaneously painful (HPV-001) or Pain that prevents normal activity (HPV-008, HPV-012, HPV-013, HPV-014, HPV-015 and HPV-016)</w:t>
      </w:r>
    </w:p>
    <w:p w:rsidR="00014864" w:rsidRPr="00F2256D" w:rsidRDefault="00014864">
      <w:pPr>
        <w:spacing w:line="360" w:lineRule="exact"/>
        <w:ind w:right="112"/>
        <w:rPr>
          <w:rFonts w:ascii="Arial" w:hAnsi="Arial" w:cs="Arial"/>
          <w:sz w:val="24"/>
          <w:szCs w:val="24"/>
        </w:rPr>
      </w:pPr>
    </w:p>
    <w:p w:rsidR="00F23D5F" w:rsidRDefault="00F23D5F" w:rsidP="00F23D5F">
      <w:pPr>
        <w:spacing w:line="360" w:lineRule="exact"/>
        <w:ind w:right="112"/>
        <w:rPr>
          <w:rFonts w:ascii="Arial" w:hAnsi="Arial" w:cs="Arial"/>
          <w:sz w:val="24"/>
          <w:szCs w:val="24"/>
        </w:rPr>
      </w:pPr>
      <w:r w:rsidRPr="00F23D5F">
        <w:rPr>
          <w:rFonts w:ascii="Arial" w:hAnsi="Arial" w:cs="Arial"/>
          <w:sz w:val="24"/>
          <w:szCs w:val="24"/>
        </w:rPr>
        <w:t>Data generated on the 2</w:t>
      </w:r>
      <w:r>
        <w:rPr>
          <w:rFonts w:ascii="Arial" w:hAnsi="Arial" w:cs="Arial"/>
          <w:sz w:val="24"/>
          <w:szCs w:val="24"/>
        </w:rPr>
        <w:t>-</w:t>
      </w:r>
      <w:r w:rsidRPr="00F23D5F">
        <w:rPr>
          <w:rFonts w:ascii="Arial" w:hAnsi="Arial" w:cs="Arial"/>
          <w:sz w:val="24"/>
          <w:szCs w:val="24"/>
        </w:rPr>
        <w:t xml:space="preserve">dose schedule for </w:t>
      </w:r>
      <w:r w:rsidR="00984B2C">
        <w:rPr>
          <w:rFonts w:ascii="Arial" w:hAnsi="Arial" w:cs="Arial"/>
          <w:sz w:val="24"/>
          <w:szCs w:val="24"/>
        </w:rPr>
        <w:t xml:space="preserve">CERVARIX </w:t>
      </w:r>
      <w:r w:rsidRPr="00F23D5F">
        <w:rPr>
          <w:rFonts w:ascii="Arial" w:hAnsi="Arial" w:cs="Arial"/>
          <w:sz w:val="24"/>
          <w:szCs w:val="24"/>
        </w:rPr>
        <w:t>administered as a 0,</w:t>
      </w:r>
      <w:r>
        <w:rPr>
          <w:rFonts w:ascii="Arial" w:hAnsi="Arial" w:cs="Arial"/>
          <w:sz w:val="24"/>
          <w:szCs w:val="24"/>
        </w:rPr>
        <w:t xml:space="preserve"> </w:t>
      </w:r>
      <w:r w:rsidRPr="00F23D5F">
        <w:rPr>
          <w:rFonts w:ascii="Arial" w:hAnsi="Arial" w:cs="Arial"/>
          <w:sz w:val="24"/>
          <w:szCs w:val="24"/>
        </w:rPr>
        <w:t xml:space="preserve">5-13 month  in the 9-14 years age group provides a similar safety profile to that observed in 15-25 </w:t>
      </w:r>
      <w:r w:rsidRPr="00F23D5F">
        <w:rPr>
          <w:rFonts w:ascii="Arial" w:hAnsi="Arial" w:cs="Arial"/>
          <w:sz w:val="24"/>
          <w:szCs w:val="24"/>
        </w:rPr>
        <w:lastRenderedPageBreak/>
        <w:t>years age group having received a standard 3-dose schedule (0,1,6 months).</w:t>
      </w:r>
    </w:p>
    <w:p w:rsidR="00671D56" w:rsidRPr="00F23D5F" w:rsidRDefault="00671D56" w:rsidP="00F23D5F">
      <w:pPr>
        <w:spacing w:line="360" w:lineRule="exact"/>
        <w:ind w:right="112"/>
        <w:rPr>
          <w:rFonts w:ascii="Arial" w:hAnsi="Arial" w:cs="Arial"/>
          <w:sz w:val="24"/>
          <w:szCs w:val="24"/>
        </w:rPr>
      </w:pPr>
    </w:p>
    <w:p w:rsidR="00014864" w:rsidRPr="00F2256D" w:rsidRDefault="00014864">
      <w:pPr>
        <w:spacing w:line="360" w:lineRule="exact"/>
        <w:ind w:right="112"/>
        <w:rPr>
          <w:rFonts w:ascii="Arial" w:hAnsi="Arial" w:cs="Arial"/>
          <w:b/>
          <w:sz w:val="24"/>
          <w:szCs w:val="24"/>
          <w:u w:val="single"/>
        </w:rPr>
      </w:pPr>
      <w:r w:rsidRPr="00F2256D">
        <w:rPr>
          <w:rFonts w:ascii="Arial" w:hAnsi="Arial" w:cs="Arial"/>
          <w:b/>
          <w:sz w:val="24"/>
          <w:szCs w:val="24"/>
          <w:u w:val="single"/>
        </w:rPr>
        <w:t>Other events</w:t>
      </w:r>
    </w:p>
    <w:p w:rsidR="00014864" w:rsidRPr="00F2256D" w:rsidRDefault="00014864">
      <w:pPr>
        <w:spacing w:line="360" w:lineRule="exact"/>
        <w:ind w:right="112"/>
        <w:rPr>
          <w:rFonts w:ascii="Arial" w:hAnsi="Arial" w:cs="Arial"/>
          <w:sz w:val="24"/>
          <w:szCs w:val="24"/>
        </w:rPr>
      </w:pPr>
    </w:p>
    <w:p w:rsidR="00014864" w:rsidRPr="00F2256D" w:rsidRDefault="00014864">
      <w:pPr>
        <w:spacing w:line="360" w:lineRule="exact"/>
        <w:ind w:right="112"/>
        <w:rPr>
          <w:rFonts w:ascii="Arial" w:hAnsi="Arial" w:cs="Arial"/>
          <w:sz w:val="24"/>
          <w:szCs w:val="24"/>
        </w:rPr>
      </w:pPr>
      <w:r w:rsidRPr="00F2256D">
        <w:rPr>
          <w:rFonts w:ascii="Arial" w:hAnsi="Arial" w:cs="Arial"/>
          <w:sz w:val="24"/>
          <w:szCs w:val="24"/>
        </w:rPr>
        <w:t>Other adverse reactions considered as being at least possibly related to vaccination have been categorised by frequency.</w:t>
      </w:r>
    </w:p>
    <w:p w:rsidR="00014864" w:rsidRPr="00F2256D" w:rsidRDefault="00014864">
      <w:pPr>
        <w:spacing w:line="360" w:lineRule="exact"/>
        <w:ind w:right="112"/>
        <w:rPr>
          <w:rFonts w:ascii="Arial" w:hAnsi="Arial" w:cs="Arial"/>
          <w:sz w:val="24"/>
          <w:szCs w:val="24"/>
        </w:rPr>
      </w:pPr>
      <w:r w:rsidRPr="00F2256D">
        <w:rPr>
          <w:rFonts w:ascii="Arial" w:hAnsi="Arial" w:cs="Arial"/>
          <w:sz w:val="24"/>
          <w:szCs w:val="24"/>
        </w:rPr>
        <w:t>Frequencies are reported as:</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Very common (</w:t>
      </w:r>
      <w:r w:rsidRPr="00F2256D">
        <w:rPr>
          <w:rFonts w:ascii="Arial" w:hAnsi="Arial" w:cs="Arial"/>
          <w:sz w:val="24"/>
          <w:szCs w:val="24"/>
        </w:rPr>
        <w:sym w:font="Symbol" w:char="F0B3"/>
      </w:r>
      <w:r w:rsidRPr="00F2256D">
        <w:rPr>
          <w:rFonts w:ascii="Arial" w:hAnsi="Arial" w:cs="Arial"/>
          <w:sz w:val="24"/>
          <w:szCs w:val="24"/>
        </w:rPr>
        <w:t>1/10)</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Common (</w:t>
      </w:r>
      <w:r w:rsidRPr="00F2256D">
        <w:rPr>
          <w:rFonts w:ascii="Arial" w:hAnsi="Arial" w:cs="Arial"/>
          <w:sz w:val="24"/>
          <w:szCs w:val="24"/>
        </w:rPr>
        <w:sym w:font="Symbol" w:char="F0B3"/>
      </w:r>
      <w:r w:rsidRPr="00F2256D">
        <w:rPr>
          <w:rFonts w:ascii="Arial" w:hAnsi="Arial" w:cs="Arial"/>
          <w:sz w:val="24"/>
          <w:szCs w:val="24"/>
        </w:rPr>
        <w:t>1/100 to &lt;1/10)</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Uncommon (</w:t>
      </w:r>
      <w:r w:rsidRPr="00F2256D">
        <w:rPr>
          <w:rFonts w:ascii="Arial" w:hAnsi="Arial" w:cs="Arial"/>
          <w:sz w:val="24"/>
          <w:szCs w:val="24"/>
        </w:rPr>
        <w:sym w:font="Symbol" w:char="F0B3"/>
      </w:r>
      <w:r w:rsidRPr="00F2256D">
        <w:rPr>
          <w:rFonts w:ascii="Arial" w:hAnsi="Arial" w:cs="Arial"/>
          <w:sz w:val="24"/>
          <w:szCs w:val="24"/>
        </w:rPr>
        <w:t xml:space="preserve">1/1,000 to </w:t>
      </w:r>
      <w:r w:rsidRPr="00F2256D">
        <w:rPr>
          <w:rFonts w:ascii="Arial" w:hAnsi="Arial" w:cs="Arial"/>
          <w:sz w:val="24"/>
          <w:szCs w:val="24"/>
        </w:rPr>
        <w:sym w:font="Symbol" w:char="F0A3"/>
      </w:r>
      <w:r w:rsidRPr="00F2256D">
        <w:rPr>
          <w:rFonts w:ascii="Arial" w:hAnsi="Arial" w:cs="Arial"/>
          <w:sz w:val="24"/>
          <w:szCs w:val="24"/>
        </w:rPr>
        <w:t>1/100)</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Rare (≥1/10,000 to, </w:t>
      </w:r>
      <w:r w:rsidRPr="00F2256D">
        <w:rPr>
          <w:rFonts w:ascii="Arial" w:hAnsi="Arial" w:cs="Arial"/>
          <w:sz w:val="24"/>
          <w:szCs w:val="24"/>
        </w:rPr>
        <w:sym w:font="Symbol" w:char="F0A3"/>
      </w:r>
      <w:r w:rsidRPr="00F2256D">
        <w:rPr>
          <w:rFonts w:ascii="Arial" w:hAnsi="Arial" w:cs="Arial"/>
          <w:sz w:val="24"/>
          <w:szCs w:val="24"/>
        </w:rPr>
        <w:t>1/1,000)</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u w:val="single"/>
        </w:rPr>
      </w:pPr>
      <w:r w:rsidRPr="00F2256D">
        <w:rPr>
          <w:rFonts w:ascii="Arial" w:hAnsi="Arial" w:cs="Arial"/>
          <w:sz w:val="24"/>
          <w:szCs w:val="24"/>
          <w:u w:val="single"/>
        </w:rPr>
        <w:t>Infections and infestations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Uncommon: upper respiratory tract infection</w:t>
      </w:r>
    </w:p>
    <w:p w:rsidR="00014864" w:rsidRPr="0056748F" w:rsidRDefault="00014864">
      <w:pPr>
        <w:spacing w:line="360" w:lineRule="exact"/>
        <w:rPr>
          <w:rFonts w:ascii="Arial" w:hAnsi="Arial" w:cs="Arial"/>
          <w:color w:val="000000"/>
          <w:sz w:val="24"/>
          <w:szCs w:val="24"/>
        </w:rPr>
      </w:pPr>
    </w:p>
    <w:p w:rsidR="00473DFD" w:rsidRPr="0056748F" w:rsidRDefault="00473DFD" w:rsidP="00473DFD">
      <w:pPr>
        <w:rPr>
          <w:rFonts w:ascii="Arial" w:hAnsi="Arial" w:cs="Arial"/>
          <w:color w:val="000000"/>
          <w:sz w:val="24"/>
          <w:szCs w:val="24"/>
          <w:u w:val="single"/>
        </w:rPr>
      </w:pPr>
      <w:r w:rsidRPr="0056748F">
        <w:rPr>
          <w:rFonts w:ascii="Arial" w:hAnsi="Arial" w:cs="Arial"/>
          <w:color w:val="000000"/>
          <w:sz w:val="24"/>
          <w:szCs w:val="24"/>
          <w:u w:val="single"/>
        </w:rPr>
        <w:t>Blood and lymphatic system disorders:</w:t>
      </w:r>
    </w:p>
    <w:p w:rsidR="00473DFD" w:rsidRPr="0056748F" w:rsidRDefault="00473DFD" w:rsidP="00473DFD">
      <w:pPr>
        <w:spacing w:line="360" w:lineRule="exact"/>
        <w:rPr>
          <w:rFonts w:ascii="Arial" w:hAnsi="Arial" w:cs="Arial"/>
          <w:color w:val="000000"/>
          <w:sz w:val="24"/>
          <w:szCs w:val="24"/>
        </w:rPr>
      </w:pPr>
      <w:r w:rsidRPr="0056748F">
        <w:rPr>
          <w:rFonts w:ascii="Arial" w:hAnsi="Arial" w:cs="Arial"/>
          <w:color w:val="000000"/>
          <w:sz w:val="24"/>
          <w:szCs w:val="24"/>
        </w:rPr>
        <w:t>Uncommon: lymphadenopathy</w:t>
      </w:r>
    </w:p>
    <w:p w:rsidR="00473DFD" w:rsidRPr="00F2256D" w:rsidRDefault="00473DFD" w:rsidP="00473DFD">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u w:val="single"/>
        </w:rPr>
        <w:t>Nervous system disorders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Very common: headache</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Uncommon: dizziness</w:t>
      </w:r>
    </w:p>
    <w:p w:rsidR="00014864" w:rsidRPr="00F2256D" w:rsidRDefault="00014864">
      <w:pPr>
        <w:spacing w:line="360" w:lineRule="exact"/>
        <w:rPr>
          <w:rFonts w:ascii="Arial" w:hAnsi="Arial" w:cs="Arial"/>
          <w:strike/>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u w:val="single"/>
        </w:rPr>
        <w:t>Gastrointestinal disorders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Common: gastrointestinal including nausea, vomiting, diarrhoea and abdominal pain</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u w:val="single"/>
        </w:rPr>
        <w:t>Skin and subcutaneous tissue disorders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Common: itching/pruritus, rash, </w:t>
      </w:r>
      <w:proofErr w:type="spellStart"/>
      <w:r w:rsidRPr="00F2256D">
        <w:rPr>
          <w:rFonts w:ascii="Arial" w:hAnsi="Arial" w:cs="Arial"/>
          <w:sz w:val="24"/>
          <w:szCs w:val="24"/>
        </w:rPr>
        <w:t>urticaria</w:t>
      </w:r>
      <w:proofErr w:type="spellEnd"/>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u w:val="single"/>
        </w:rPr>
        <w:t>Musculoskeletal and connective tissue and bone disorders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Very common: myalgia</w:t>
      </w:r>
    </w:p>
    <w:p w:rsidR="00014864" w:rsidRPr="00F2256D" w:rsidRDefault="00014864">
      <w:pPr>
        <w:spacing w:line="360" w:lineRule="exact"/>
        <w:rPr>
          <w:rFonts w:ascii="Arial" w:hAnsi="Arial" w:cs="Arial"/>
          <w:strike/>
          <w:sz w:val="24"/>
          <w:szCs w:val="24"/>
        </w:rPr>
      </w:pPr>
      <w:r w:rsidRPr="00F2256D">
        <w:rPr>
          <w:rFonts w:ascii="Arial" w:hAnsi="Arial" w:cs="Arial"/>
          <w:sz w:val="24"/>
          <w:szCs w:val="24"/>
        </w:rPr>
        <w:t>Common: arthralgia</w:t>
      </w:r>
    </w:p>
    <w:p w:rsidR="00014864" w:rsidRPr="00F2256D" w:rsidRDefault="00014864">
      <w:pPr>
        <w:spacing w:line="360" w:lineRule="exact"/>
        <w:rPr>
          <w:rFonts w:ascii="Arial" w:hAnsi="Arial" w:cs="Arial"/>
          <w:strike/>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u w:val="single"/>
        </w:rPr>
        <w:t>General disorders and administration site conditions</w:t>
      </w:r>
      <w:r w:rsidRPr="00F2256D">
        <w:rPr>
          <w:rFonts w:ascii="Arial" w:hAnsi="Arial" w:cs="Arial"/>
          <w:sz w:val="24"/>
          <w:szCs w:val="24"/>
        </w:rPr>
        <w:t>:</w:t>
      </w:r>
    </w:p>
    <w:p w:rsidR="00014864" w:rsidRPr="00F2256D" w:rsidRDefault="00014864">
      <w:pPr>
        <w:spacing w:line="360" w:lineRule="exact"/>
        <w:rPr>
          <w:rFonts w:ascii="Arial" w:hAnsi="Arial" w:cs="Arial"/>
          <w:sz w:val="24"/>
          <w:szCs w:val="24"/>
        </w:rPr>
      </w:pPr>
      <w:r w:rsidRPr="00F2256D">
        <w:rPr>
          <w:rFonts w:ascii="Arial" w:hAnsi="Arial" w:cs="Arial"/>
          <w:sz w:val="24"/>
          <w:szCs w:val="24"/>
        </w:rPr>
        <w:t>Very common: injection site reactions including pain, redness, swelling; fatigue</w:t>
      </w:r>
    </w:p>
    <w:p w:rsidR="00014864" w:rsidRPr="00F2256D" w:rsidRDefault="00014864">
      <w:pPr>
        <w:spacing w:line="360" w:lineRule="exact"/>
        <w:rPr>
          <w:rFonts w:ascii="Arial" w:hAnsi="Arial" w:cs="Arial"/>
          <w:b/>
          <w:strike/>
          <w:sz w:val="24"/>
          <w:szCs w:val="24"/>
          <w:u w:val="single"/>
        </w:rPr>
      </w:pPr>
      <w:r w:rsidRPr="00F2256D">
        <w:rPr>
          <w:rFonts w:ascii="Arial" w:hAnsi="Arial" w:cs="Arial"/>
          <w:sz w:val="24"/>
          <w:szCs w:val="24"/>
        </w:rPr>
        <w:t>Common: fever (≥38</w:t>
      </w:r>
      <w:r w:rsidRPr="00F2256D">
        <w:rPr>
          <w:rFonts w:ascii="Arial" w:hAnsi="Arial" w:cs="Arial"/>
          <w:sz w:val="24"/>
          <w:szCs w:val="24"/>
        </w:rPr>
        <w:sym w:font="Symbol" w:char="F0B0"/>
      </w:r>
      <w:r w:rsidRPr="00F2256D">
        <w:rPr>
          <w:rFonts w:ascii="Arial" w:hAnsi="Arial" w:cs="Arial"/>
          <w:sz w:val="24"/>
          <w:szCs w:val="24"/>
        </w:rPr>
        <w:t>C)</w:t>
      </w:r>
    </w:p>
    <w:p w:rsidR="00014864" w:rsidRPr="00F2256D" w:rsidRDefault="00014864">
      <w:pPr>
        <w:spacing w:line="360" w:lineRule="exact"/>
        <w:rPr>
          <w:rFonts w:ascii="Arial" w:hAnsi="Arial" w:cs="Arial"/>
          <w:strike/>
          <w:sz w:val="24"/>
          <w:szCs w:val="24"/>
          <w:highlight w:val="yellow"/>
        </w:rPr>
      </w:pPr>
      <w:r w:rsidRPr="00F2256D">
        <w:rPr>
          <w:rFonts w:ascii="Arial" w:hAnsi="Arial" w:cs="Arial"/>
          <w:sz w:val="24"/>
          <w:szCs w:val="24"/>
        </w:rPr>
        <w:t>Uncommon: other injection site reactions such as induration, local paraesthesia</w:t>
      </w:r>
    </w:p>
    <w:p w:rsidR="00014864" w:rsidRPr="00F2256D" w:rsidRDefault="00014864">
      <w:pPr>
        <w:tabs>
          <w:tab w:val="left" w:pos="720"/>
          <w:tab w:val="left" w:pos="1560"/>
          <w:tab w:val="left" w:pos="2280"/>
        </w:tabs>
        <w:spacing w:line="360" w:lineRule="exact"/>
        <w:rPr>
          <w:rFonts w:ascii="Arial" w:hAnsi="Arial"/>
          <w:i/>
          <w:sz w:val="24"/>
          <w:u w:val="single"/>
        </w:rPr>
      </w:pPr>
    </w:p>
    <w:p w:rsidR="00D13E2C" w:rsidRPr="00671D56" w:rsidRDefault="00D13E2C" w:rsidP="00671D56">
      <w:pPr>
        <w:pStyle w:val="NoNumHead3"/>
      </w:pPr>
      <w:r w:rsidRPr="00671D56">
        <w:lastRenderedPageBreak/>
        <w:t>Post Marketing Data</w:t>
      </w:r>
    </w:p>
    <w:p w:rsidR="00D13E2C" w:rsidRPr="005822FE" w:rsidRDefault="00D13E2C" w:rsidP="00D13E2C">
      <w:pPr>
        <w:rPr>
          <w:rFonts w:ascii="Arial" w:hAnsi="Arial" w:cs="Arial"/>
          <w:color w:val="000000"/>
          <w:sz w:val="24"/>
          <w:szCs w:val="24"/>
          <w:u w:val="single"/>
        </w:rPr>
      </w:pPr>
      <w:r w:rsidRPr="005822FE">
        <w:rPr>
          <w:rFonts w:ascii="Arial" w:hAnsi="Arial" w:cs="Arial"/>
          <w:color w:val="000000"/>
          <w:sz w:val="24"/>
          <w:szCs w:val="24"/>
          <w:u w:val="single"/>
        </w:rPr>
        <w:t>Immune system disorders</w:t>
      </w:r>
      <w:r w:rsidR="00435A74" w:rsidRPr="005822FE">
        <w:rPr>
          <w:rFonts w:ascii="Arial" w:hAnsi="Arial" w:cs="Arial"/>
          <w:color w:val="000000"/>
          <w:sz w:val="24"/>
          <w:szCs w:val="24"/>
          <w:u w:val="single"/>
        </w:rPr>
        <w:t>:</w:t>
      </w:r>
    </w:p>
    <w:p w:rsidR="00D13E2C" w:rsidRPr="005822FE" w:rsidRDefault="00D13E2C" w:rsidP="00D13E2C">
      <w:pPr>
        <w:rPr>
          <w:rFonts w:ascii="Arial" w:hAnsi="Arial" w:cs="Arial"/>
          <w:color w:val="000000"/>
          <w:sz w:val="24"/>
          <w:szCs w:val="24"/>
        </w:rPr>
      </w:pPr>
      <w:r w:rsidRPr="005822FE">
        <w:rPr>
          <w:rFonts w:ascii="Arial" w:hAnsi="Arial" w:cs="Arial"/>
          <w:color w:val="000000"/>
          <w:sz w:val="24"/>
          <w:szCs w:val="24"/>
        </w:rPr>
        <w:t xml:space="preserve">Rare: allergic reactions (including anaphylactic and </w:t>
      </w:r>
      <w:proofErr w:type="spellStart"/>
      <w:r w:rsidRPr="005822FE">
        <w:rPr>
          <w:rFonts w:ascii="Arial" w:hAnsi="Arial" w:cs="Arial"/>
          <w:color w:val="000000"/>
          <w:sz w:val="24"/>
          <w:szCs w:val="24"/>
        </w:rPr>
        <w:t>anaphylactoid</w:t>
      </w:r>
      <w:proofErr w:type="spellEnd"/>
      <w:r w:rsidRPr="005822FE">
        <w:rPr>
          <w:rFonts w:ascii="Arial" w:hAnsi="Arial" w:cs="Arial"/>
          <w:color w:val="000000"/>
          <w:sz w:val="24"/>
          <w:szCs w:val="24"/>
        </w:rPr>
        <w:t xml:space="preserve"> reactions), angioedema</w:t>
      </w:r>
    </w:p>
    <w:p w:rsidR="00435A74" w:rsidRDefault="00435A74" w:rsidP="00D13E2C">
      <w:pPr>
        <w:rPr>
          <w:rFonts w:ascii="Arial" w:hAnsi="Arial" w:cs="Arial"/>
          <w:color w:val="000000"/>
          <w:sz w:val="24"/>
          <w:szCs w:val="24"/>
          <w:highlight w:val="lightGray"/>
        </w:rPr>
      </w:pPr>
    </w:p>
    <w:p w:rsidR="00D13E2C" w:rsidRPr="005822FE" w:rsidRDefault="00D13E2C" w:rsidP="00D13E2C">
      <w:pPr>
        <w:rPr>
          <w:rFonts w:ascii="Arial" w:hAnsi="Arial" w:cs="Arial"/>
          <w:color w:val="000000"/>
          <w:sz w:val="24"/>
          <w:szCs w:val="24"/>
          <w:u w:val="single"/>
          <w:lang w:val="en-US"/>
        </w:rPr>
      </w:pPr>
      <w:r w:rsidRPr="005822FE">
        <w:rPr>
          <w:rFonts w:ascii="Arial" w:hAnsi="Arial" w:cs="Arial"/>
          <w:color w:val="000000"/>
          <w:sz w:val="24"/>
          <w:szCs w:val="24"/>
          <w:u w:val="single"/>
          <w:lang w:val="en-US"/>
        </w:rPr>
        <w:t>Nervous system disorders</w:t>
      </w:r>
      <w:r w:rsidR="00435A74" w:rsidRPr="005822FE">
        <w:rPr>
          <w:rFonts w:ascii="Arial" w:hAnsi="Arial" w:cs="Arial"/>
          <w:color w:val="000000"/>
          <w:sz w:val="24"/>
          <w:szCs w:val="24"/>
          <w:u w:val="single"/>
          <w:lang w:val="en-US"/>
        </w:rPr>
        <w:t>:</w:t>
      </w:r>
    </w:p>
    <w:p w:rsidR="00014864" w:rsidRPr="005822FE" w:rsidRDefault="00D13E2C" w:rsidP="00D13E2C">
      <w:pPr>
        <w:tabs>
          <w:tab w:val="left" w:pos="720"/>
          <w:tab w:val="left" w:pos="1560"/>
          <w:tab w:val="left" w:pos="2280"/>
        </w:tabs>
        <w:spacing w:line="360" w:lineRule="exact"/>
        <w:rPr>
          <w:rFonts w:ascii="Arial" w:hAnsi="Arial" w:cs="Arial"/>
          <w:color w:val="000000"/>
          <w:sz w:val="24"/>
          <w:szCs w:val="24"/>
        </w:rPr>
      </w:pPr>
      <w:r w:rsidRPr="005822FE">
        <w:rPr>
          <w:rFonts w:ascii="Arial" w:hAnsi="Arial" w:cs="Arial"/>
          <w:color w:val="000000"/>
          <w:sz w:val="24"/>
          <w:szCs w:val="24"/>
        </w:rPr>
        <w:t>Rare: syncope or vasovagal responses to injection, sometimes accompanied by tonic-</w:t>
      </w:r>
      <w:proofErr w:type="spellStart"/>
      <w:r w:rsidRPr="005822FE">
        <w:rPr>
          <w:rFonts w:ascii="Arial" w:hAnsi="Arial" w:cs="Arial"/>
          <w:color w:val="000000"/>
          <w:sz w:val="24"/>
          <w:szCs w:val="24"/>
        </w:rPr>
        <w:t>clonic</w:t>
      </w:r>
      <w:proofErr w:type="spellEnd"/>
      <w:r w:rsidRPr="005822FE">
        <w:rPr>
          <w:rFonts w:ascii="Arial" w:hAnsi="Arial" w:cs="Arial"/>
          <w:color w:val="000000"/>
          <w:sz w:val="24"/>
          <w:szCs w:val="24"/>
        </w:rPr>
        <w:t xml:space="preserve"> movements.</w:t>
      </w:r>
    </w:p>
    <w:p w:rsidR="00D13E2C" w:rsidRPr="00F2256D" w:rsidRDefault="00D13E2C" w:rsidP="00D13E2C">
      <w:pPr>
        <w:tabs>
          <w:tab w:val="left" w:pos="720"/>
          <w:tab w:val="left" w:pos="1560"/>
          <w:tab w:val="left" w:pos="2280"/>
        </w:tabs>
        <w:spacing w:line="360" w:lineRule="exact"/>
        <w:rPr>
          <w:rFonts w:ascii="Arial" w:hAnsi="Arial"/>
          <w:i/>
          <w:sz w:val="24"/>
          <w:u w:val="single"/>
        </w:rPr>
      </w:pPr>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b/>
          <w:sz w:val="24"/>
        </w:rPr>
        <w:t>DOSAGE AND ADMINISTRATION</w:t>
      </w:r>
    </w:p>
    <w:p w:rsidR="00014864" w:rsidRPr="00F2256D" w:rsidRDefault="00014864">
      <w:pPr>
        <w:spacing w:line="360" w:lineRule="exact"/>
        <w:rPr>
          <w:rFonts w:ascii="Arial" w:hAnsi="Arial" w:cs="Arial"/>
          <w:b/>
          <w:sz w:val="24"/>
          <w:szCs w:val="24"/>
        </w:rPr>
      </w:pPr>
    </w:p>
    <w:p w:rsidR="00014864" w:rsidRPr="00F2256D" w:rsidRDefault="00014864">
      <w:pPr>
        <w:spacing w:line="360" w:lineRule="exact"/>
        <w:rPr>
          <w:rFonts w:ascii="Arial" w:hAnsi="Arial" w:cs="Arial"/>
          <w:b/>
          <w:sz w:val="24"/>
          <w:szCs w:val="24"/>
        </w:rPr>
      </w:pPr>
      <w:r w:rsidRPr="00F2256D">
        <w:rPr>
          <w:rFonts w:ascii="Arial" w:hAnsi="Arial" w:cs="Arial"/>
          <w:b/>
          <w:sz w:val="24"/>
          <w:szCs w:val="24"/>
        </w:rPr>
        <w:t>Dosage</w:t>
      </w:r>
    </w:p>
    <w:p w:rsidR="004D2E56" w:rsidRPr="004D2E56" w:rsidRDefault="004D2E56" w:rsidP="004D2E56">
      <w:pPr>
        <w:spacing w:after="240" w:line="360" w:lineRule="exact"/>
        <w:rPr>
          <w:rFonts w:ascii="Arial" w:hAnsi="Arial" w:cs="Arial"/>
          <w:sz w:val="24"/>
          <w:szCs w:val="24"/>
        </w:rPr>
      </w:pPr>
      <w:r w:rsidRPr="004D2E56">
        <w:rPr>
          <w:rFonts w:ascii="Arial" w:hAnsi="Arial" w:cs="Arial"/>
          <w:sz w:val="24"/>
          <w:szCs w:val="24"/>
        </w:rPr>
        <w:t>The vaccination schedule depends on the age of the subject.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4D2E56" w:rsidRPr="00A12CA9" w:rsidTr="004D2E56">
        <w:trPr>
          <w:trHeight w:val="587"/>
        </w:trPr>
        <w:tc>
          <w:tcPr>
            <w:tcW w:w="3969" w:type="dxa"/>
            <w:shd w:val="clear" w:color="auto" w:fill="auto"/>
            <w:vAlign w:val="center"/>
          </w:tcPr>
          <w:p w:rsidR="004D2E56" w:rsidRPr="004D2E56" w:rsidRDefault="004D2E56" w:rsidP="004D2E56">
            <w:pPr>
              <w:jc w:val="center"/>
              <w:rPr>
                <w:rFonts w:ascii="Arial" w:eastAsia="Calibri" w:hAnsi="Arial" w:cs="Arial"/>
                <w:b/>
                <w:sz w:val="22"/>
                <w:szCs w:val="22"/>
              </w:rPr>
            </w:pPr>
            <w:r w:rsidRPr="004D2E56">
              <w:rPr>
                <w:rFonts w:ascii="Arial" w:eastAsia="Calibri" w:hAnsi="Arial" w:cs="Arial"/>
                <w:b/>
                <w:sz w:val="22"/>
                <w:szCs w:val="22"/>
              </w:rPr>
              <w:t>Age at the time of the first injection</w:t>
            </w:r>
          </w:p>
        </w:tc>
        <w:tc>
          <w:tcPr>
            <w:tcW w:w="5387" w:type="dxa"/>
            <w:shd w:val="clear" w:color="auto" w:fill="auto"/>
            <w:vAlign w:val="center"/>
          </w:tcPr>
          <w:p w:rsidR="004D2E56" w:rsidRPr="004D2E56" w:rsidRDefault="004D2E56" w:rsidP="004D2E56">
            <w:pPr>
              <w:jc w:val="center"/>
              <w:rPr>
                <w:rFonts w:ascii="Arial" w:eastAsia="Calibri" w:hAnsi="Arial" w:cs="Arial"/>
                <w:b/>
                <w:sz w:val="22"/>
                <w:szCs w:val="22"/>
              </w:rPr>
            </w:pPr>
            <w:r w:rsidRPr="004D2E56">
              <w:rPr>
                <w:rFonts w:ascii="Arial" w:eastAsia="Calibri" w:hAnsi="Arial" w:cs="Arial"/>
                <w:b/>
                <w:sz w:val="22"/>
                <w:szCs w:val="22"/>
              </w:rPr>
              <w:t>Immunisation and schedule</w:t>
            </w:r>
          </w:p>
        </w:tc>
      </w:tr>
      <w:tr w:rsidR="004D2E56" w:rsidRPr="00A12CA9" w:rsidTr="004D2E56">
        <w:trPr>
          <w:trHeight w:val="1799"/>
        </w:trPr>
        <w:tc>
          <w:tcPr>
            <w:tcW w:w="3969" w:type="dxa"/>
            <w:shd w:val="clear" w:color="auto" w:fill="auto"/>
            <w:vAlign w:val="center"/>
          </w:tcPr>
          <w:p w:rsidR="004D2E56" w:rsidRPr="004D2E56" w:rsidRDefault="004D2E56" w:rsidP="000C334F">
            <w:pPr>
              <w:jc w:val="center"/>
              <w:rPr>
                <w:rFonts w:ascii="Arial" w:eastAsia="Calibri" w:hAnsi="Arial" w:cs="Arial"/>
                <w:sz w:val="22"/>
                <w:szCs w:val="22"/>
              </w:rPr>
            </w:pPr>
            <w:r w:rsidRPr="004D2E56">
              <w:rPr>
                <w:rFonts w:ascii="Arial" w:eastAsia="Calibri" w:hAnsi="Arial" w:cs="Arial"/>
                <w:sz w:val="22"/>
                <w:szCs w:val="22"/>
              </w:rPr>
              <w:t>10 - 14 years</w:t>
            </w:r>
          </w:p>
        </w:tc>
        <w:tc>
          <w:tcPr>
            <w:tcW w:w="5387" w:type="dxa"/>
            <w:shd w:val="clear" w:color="auto" w:fill="auto"/>
            <w:vAlign w:val="center"/>
          </w:tcPr>
          <w:p w:rsidR="004D2E56" w:rsidRPr="00F624B2" w:rsidRDefault="00025607" w:rsidP="004D2E56">
            <w:pPr>
              <w:jc w:val="center"/>
              <w:rPr>
                <w:rFonts w:ascii="Arial" w:eastAsia="Calibri" w:hAnsi="Arial" w:cs="Arial"/>
                <w:sz w:val="22"/>
                <w:szCs w:val="22"/>
              </w:rPr>
            </w:pPr>
            <w:r w:rsidRPr="00F624B2">
              <w:rPr>
                <w:rFonts w:ascii="Arial" w:eastAsia="Calibri" w:hAnsi="Arial" w:cs="Arial"/>
                <w:sz w:val="22"/>
                <w:szCs w:val="22"/>
              </w:rPr>
              <w:t>The vaccination schedule consists of a total of t</w:t>
            </w:r>
            <w:r w:rsidR="004D2E56" w:rsidRPr="00F624B2">
              <w:rPr>
                <w:rFonts w:ascii="Arial" w:eastAsia="Calibri" w:hAnsi="Arial" w:cs="Arial"/>
                <w:sz w:val="22"/>
                <w:szCs w:val="22"/>
              </w:rPr>
              <w:t>wo doses each of 0.5 ml. The second dose given between 5 and 13 months after the first dose</w:t>
            </w:r>
            <w:r w:rsidR="000C334F" w:rsidRPr="00F624B2">
              <w:rPr>
                <w:rFonts w:ascii="Arial" w:eastAsia="Calibri" w:hAnsi="Arial" w:cs="Arial"/>
                <w:sz w:val="22"/>
                <w:szCs w:val="22"/>
              </w:rPr>
              <w:t>*</w:t>
            </w:r>
          </w:p>
          <w:p w:rsidR="004D2E56" w:rsidRPr="00F624B2" w:rsidRDefault="004D2E56" w:rsidP="004D2E56">
            <w:pPr>
              <w:jc w:val="center"/>
              <w:rPr>
                <w:rFonts w:ascii="Arial" w:eastAsia="Calibri" w:hAnsi="Arial" w:cs="Arial"/>
                <w:b/>
                <w:sz w:val="22"/>
                <w:szCs w:val="22"/>
              </w:rPr>
            </w:pPr>
            <w:r w:rsidRPr="00F624B2">
              <w:rPr>
                <w:rFonts w:ascii="Arial" w:eastAsia="Calibri" w:hAnsi="Arial" w:cs="Arial"/>
                <w:b/>
                <w:sz w:val="22"/>
                <w:szCs w:val="22"/>
              </w:rPr>
              <w:t>OR</w:t>
            </w:r>
          </w:p>
          <w:p w:rsidR="004D2E56" w:rsidRPr="00F624B2" w:rsidRDefault="00025607" w:rsidP="005068E7">
            <w:pPr>
              <w:jc w:val="center"/>
              <w:rPr>
                <w:rFonts w:ascii="Arial" w:eastAsia="Calibri" w:hAnsi="Arial" w:cs="Arial"/>
                <w:sz w:val="22"/>
                <w:szCs w:val="22"/>
              </w:rPr>
            </w:pPr>
            <w:r w:rsidRPr="00F624B2">
              <w:rPr>
                <w:rFonts w:ascii="Arial" w:eastAsia="Calibri" w:hAnsi="Arial" w:cs="Arial"/>
                <w:sz w:val="22"/>
                <w:szCs w:val="22"/>
              </w:rPr>
              <w:t>The vaccination schedule consists of a total of t</w:t>
            </w:r>
            <w:r w:rsidR="004D2E56" w:rsidRPr="00F624B2">
              <w:rPr>
                <w:rFonts w:ascii="Arial" w:eastAsia="Calibri" w:hAnsi="Arial" w:cs="Arial"/>
                <w:sz w:val="22"/>
                <w:szCs w:val="22"/>
              </w:rPr>
              <w:t xml:space="preserve">hree doses each of 0.5 ml </w:t>
            </w:r>
            <w:r w:rsidR="00DD3BBE" w:rsidRPr="00F624B2">
              <w:rPr>
                <w:rFonts w:ascii="Arial" w:eastAsia="Calibri" w:hAnsi="Arial" w:cs="Arial"/>
                <w:sz w:val="22"/>
                <w:szCs w:val="22"/>
              </w:rPr>
              <w:t xml:space="preserve">given </w:t>
            </w:r>
            <w:r w:rsidR="004D2E56" w:rsidRPr="00F624B2">
              <w:rPr>
                <w:rFonts w:ascii="Arial" w:eastAsia="Calibri" w:hAnsi="Arial" w:cs="Arial"/>
                <w:sz w:val="22"/>
                <w:szCs w:val="22"/>
              </w:rPr>
              <w:t>at 0, 1, 6 months**</w:t>
            </w:r>
          </w:p>
        </w:tc>
      </w:tr>
      <w:tr w:rsidR="004D2E56" w:rsidRPr="00A12CA9" w:rsidTr="004D2E56">
        <w:trPr>
          <w:trHeight w:val="625"/>
        </w:trPr>
        <w:tc>
          <w:tcPr>
            <w:tcW w:w="3969" w:type="dxa"/>
            <w:shd w:val="clear" w:color="auto" w:fill="auto"/>
            <w:vAlign w:val="center"/>
          </w:tcPr>
          <w:p w:rsidR="00E5519A" w:rsidRPr="00E5519A" w:rsidRDefault="00E5519A" w:rsidP="00AF75A6">
            <w:pPr>
              <w:jc w:val="center"/>
              <w:rPr>
                <w:rFonts w:ascii="Arial" w:eastAsia="Calibri" w:hAnsi="Arial" w:cs="Arial"/>
                <w:sz w:val="22"/>
                <w:szCs w:val="22"/>
              </w:rPr>
            </w:pPr>
            <w:r w:rsidRPr="00E5519A">
              <w:rPr>
                <w:rFonts w:ascii="Arial" w:eastAsia="Calibri" w:hAnsi="Arial" w:cs="Arial"/>
                <w:sz w:val="22"/>
                <w:szCs w:val="22"/>
              </w:rPr>
              <w:t xml:space="preserve">15 </w:t>
            </w:r>
            <w:r w:rsidR="00AF75A6">
              <w:rPr>
                <w:rFonts w:ascii="Arial" w:eastAsia="Calibri" w:hAnsi="Arial" w:cs="Arial"/>
                <w:sz w:val="22"/>
                <w:szCs w:val="22"/>
              </w:rPr>
              <w:t>-</w:t>
            </w:r>
            <w:r w:rsidRPr="00E5519A">
              <w:rPr>
                <w:rFonts w:ascii="Arial" w:eastAsia="Calibri" w:hAnsi="Arial" w:cs="Arial"/>
                <w:sz w:val="22"/>
                <w:szCs w:val="22"/>
              </w:rPr>
              <w:t xml:space="preserve"> 45 years</w:t>
            </w:r>
          </w:p>
        </w:tc>
        <w:tc>
          <w:tcPr>
            <w:tcW w:w="5387" w:type="dxa"/>
            <w:shd w:val="clear" w:color="auto" w:fill="auto"/>
            <w:vAlign w:val="center"/>
          </w:tcPr>
          <w:p w:rsidR="004D2E56" w:rsidRPr="00F624B2" w:rsidRDefault="00C92295" w:rsidP="005068E7">
            <w:pPr>
              <w:jc w:val="center"/>
              <w:rPr>
                <w:rFonts w:ascii="Arial" w:eastAsia="Calibri" w:hAnsi="Arial" w:cs="Arial"/>
                <w:sz w:val="22"/>
                <w:szCs w:val="22"/>
              </w:rPr>
            </w:pPr>
            <w:r w:rsidRPr="00F624B2">
              <w:rPr>
                <w:rFonts w:ascii="Arial" w:eastAsia="Calibri" w:hAnsi="Arial" w:cs="Arial"/>
                <w:sz w:val="22"/>
                <w:szCs w:val="22"/>
              </w:rPr>
              <w:t>The vaccination schedule consists of a total of t</w:t>
            </w:r>
            <w:r w:rsidR="004D2E56" w:rsidRPr="00F624B2">
              <w:rPr>
                <w:rFonts w:ascii="Arial" w:eastAsia="Calibri" w:hAnsi="Arial" w:cs="Arial"/>
                <w:sz w:val="22"/>
                <w:szCs w:val="22"/>
              </w:rPr>
              <w:t xml:space="preserve">hree doses each of 0.5 ml </w:t>
            </w:r>
            <w:r w:rsidR="00DD3BBE" w:rsidRPr="00F624B2">
              <w:rPr>
                <w:rFonts w:ascii="Arial" w:eastAsia="Calibri" w:hAnsi="Arial" w:cs="Arial"/>
                <w:sz w:val="22"/>
                <w:szCs w:val="22"/>
              </w:rPr>
              <w:t xml:space="preserve">given </w:t>
            </w:r>
            <w:r w:rsidR="004D2E56" w:rsidRPr="00F624B2">
              <w:rPr>
                <w:rFonts w:ascii="Arial" w:eastAsia="Calibri" w:hAnsi="Arial" w:cs="Arial"/>
                <w:sz w:val="22"/>
                <w:szCs w:val="22"/>
              </w:rPr>
              <w:t>at 0, 1, 6 months**</w:t>
            </w:r>
          </w:p>
        </w:tc>
      </w:tr>
    </w:tbl>
    <w:p w:rsidR="004D2E56" w:rsidRPr="004D2E56" w:rsidRDefault="004D2E56" w:rsidP="002322F1">
      <w:pPr>
        <w:spacing w:before="120" w:after="120" w:line="360" w:lineRule="exact"/>
        <w:ind w:left="709" w:right="425" w:hanging="425"/>
        <w:rPr>
          <w:rFonts w:ascii="Arial" w:hAnsi="Arial" w:cs="Arial"/>
          <w:i/>
          <w:sz w:val="24"/>
          <w:szCs w:val="24"/>
        </w:rPr>
      </w:pPr>
      <w:r w:rsidRPr="004D2E56">
        <w:rPr>
          <w:rFonts w:ascii="Arial" w:hAnsi="Arial" w:cs="Arial"/>
          <w:i/>
          <w:sz w:val="24"/>
          <w:szCs w:val="24"/>
        </w:rPr>
        <w:t xml:space="preserve">* </w:t>
      </w:r>
      <w:r w:rsidRPr="004D2E56">
        <w:rPr>
          <w:rFonts w:ascii="Arial" w:hAnsi="Arial" w:cs="Arial"/>
          <w:i/>
          <w:sz w:val="24"/>
          <w:szCs w:val="24"/>
        </w:rPr>
        <w:tab/>
        <w:t>If the second vaccine dose is administered before the 5th month after the first dose, a third dose should always be administered.</w:t>
      </w:r>
    </w:p>
    <w:p w:rsidR="00014864" w:rsidRPr="004D2E56" w:rsidRDefault="004D2E56" w:rsidP="002322F1">
      <w:pPr>
        <w:spacing w:line="360" w:lineRule="exact"/>
        <w:ind w:left="709" w:right="425" w:hanging="425"/>
        <w:rPr>
          <w:rFonts w:ascii="Arial" w:hAnsi="Arial" w:cs="Arial"/>
          <w:i/>
          <w:strike/>
          <w:sz w:val="24"/>
          <w:szCs w:val="24"/>
        </w:rPr>
      </w:pPr>
      <w:r w:rsidRPr="004D2E56">
        <w:rPr>
          <w:rFonts w:ascii="Arial" w:hAnsi="Arial" w:cs="Arial"/>
          <w:i/>
          <w:sz w:val="24"/>
          <w:szCs w:val="24"/>
        </w:rPr>
        <w:t xml:space="preserve">** </w:t>
      </w:r>
      <w:r w:rsidRPr="004D2E56">
        <w:rPr>
          <w:rFonts w:ascii="Arial" w:hAnsi="Arial" w:cs="Arial"/>
          <w:i/>
          <w:sz w:val="24"/>
          <w:szCs w:val="24"/>
        </w:rPr>
        <w:tab/>
      </w:r>
      <w:r w:rsidR="00014864" w:rsidRPr="004D2E56">
        <w:rPr>
          <w:rFonts w:ascii="Arial" w:hAnsi="Arial" w:cs="Arial"/>
          <w:i/>
          <w:sz w:val="24"/>
          <w:szCs w:val="24"/>
        </w:rPr>
        <w:t>If flexibility in the vaccination schedule is necessary, the second dose can be administered between 1 month and 2.5 months after the first dose</w:t>
      </w:r>
      <w:r w:rsidR="00327E01" w:rsidRPr="004D2E56">
        <w:rPr>
          <w:rFonts w:ascii="Arial" w:hAnsi="Arial" w:cs="Arial"/>
          <w:i/>
          <w:sz w:val="24"/>
          <w:szCs w:val="24"/>
        </w:rPr>
        <w:t xml:space="preserve"> and the third dose between 5 and </w:t>
      </w:r>
      <w:r w:rsidR="002E0DC8" w:rsidRPr="004D2E56">
        <w:rPr>
          <w:rFonts w:ascii="Arial" w:hAnsi="Arial" w:cs="Arial"/>
          <w:i/>
          <w:sz w:val="24"/>
          <w:szCs w:val="24"/>
        </w:rPr>
        <w:t>12</w:t>
      </w:r>
      <w:r w:rsidR="00327E01" w:rsidRPr="004D2E56">
        <w:rPr>
          <w:rFonts w:ascii="Arial" w:hAnsi="Arial" w:cs="Arial"/>
          <w:i/>
          <w:sz w:val="24"/>
          <w:szCs w:val="24"/>
        </w:rPr>
        <w:t xml:space="preserve"> months after the first dose</w:t>
      </w:r>
      <w:r w:rsidR="00014864" w:rsidRPr="004D2E56">
        <w:rPr>
          <w:rFonts w:ascii="Arial" w:hAnsi="Arial" w:cs="Arial"/>
          <w:i/>
          <w:sz w:val="24"/>
          <w:szCs w:val="24"/>
        </w:rPr>
        <w:t>.</w:t>
      </w:r>
    </w:p>
    <w:p w:rsidR="00014864" w:rsidRPr="00F2256D" w:rsidRDefault="00014864">
      <w:pPr>
        <w:spacing w:line="360" w:lineRule="exact"/>
        <w:rPr>
          <w:rFonts w:ascii="Arial" w:hAnsi="Arial" w:cs="Arial"/>
          <w:snapToGrid w:val="0"/>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The necessity for a booster dose has yet to be established</w:t>
      </w:r>
      <w:r w:rsidRPr="00DE628C">
        <w:rPr>
          <w:rFonts w:ascii="Arial" w:hAnsi="Arial" w:cs="Arial"/>
          <w:sz w:val="24"/>
          <w:szCs w:val="24"/>
        </w:rPr>
        <w:t xml:space="preserve"> </w:t>
      </w:r>
      <w:r w:rsidRPr="00F2256D">
        <w:rPr>
          <w:rFonts w:ascii="Arial" w:hAnsi="Arial" w:cs="Arial"/>
          <w:i/>
          <w:sz w:val="24"/>
          <w:szCs w:val="24"/>
        </w:rPr>
        <w:t>(see “Clinical Studies”)</w:t>
      </w:r>
      <w:r w:rsidRPr="00F2256D">
        <w:rPr>
          <w:rFonts w:ascii="Arial" w:hAnsi="Arial" w:cs="Arial"/>
          <w:sz w:val="24"/>
          <w:szCs w:val="24"/>
        </w:rPr>
        <w:t>.</w:t>
      </w:r>
    </w:p>
    <w:p w:rsidR="00014864" w:rsidRPr="00F2256D" w:rsidRDefault="00014864">
      <w:pPr>
        <w:spacing w:line="360" w:lineRule="exact"/>
        <w:rPr>
          <w:rFonts w:ascii="Arial" w:hAnsi="Arial" w:cs="Arial"/>
          <w:b/>
          <w:sz w:val="24"/>
          <w:szCs w:val="24"/>
        </w:rPr>
      </w:pPr>
    </w:p>
    <w:p w:rsidR="00014864" w:rsidRPr="00F2256D" w:rsidRDefault="00014864">
      <w:pPr>
        <w:spacing w:line="360" w:lineRule="exact"/>
        <w:rPr>
          <w:rFonts w:ascii="Arial" w:hAnsi="Arial" w:cs="Arial"/>
          <w:b/>
          <w:sz w:val="24"/>
          <w:szCs w:val="24"/>
        </w:rPr>
      </w:pPr>
      <w:r w:rsidRPr="00F2256D">
        <w:rPr>
          <w:rFonts w:ascii="Arial" w:hAnsi="Arial" w:cs="Arial"/>
          <w:b/>
          <w:sz w:val="24"/>
          <w:szCs w:val="24"/>
        </w:rPr>
        <w:t>Method of administration</w:t>
      </w:r>
    </w:p>
    <w:p w:rsidR="00014864" w:rsidRPr="00F2256D" w:rsidRDefault="00014864">
      <w:pPr>
        <w:spacing w:line="360" w:lineRule="exact"/>
        <w:rPr>
          <w:rFonts w:ascii="Arial" w:hAnsi="Arial" w:cs="Arial"/>
          <w:b/>
          <w:sz w:val="24"/>
          <w:szCs w:val="24"/>
        </w:rPr>
      </w:pPr>
      <w:r w:rsidRPr="00F2256D">
        <w:rPr>
          <w:rFonts w:ascii="Arial" w:hAnsi="Arial" w:cs="Arial"/>
          <w:sz w:val="24"/>
          <w:szCs w:val="24"/>
        </w:rPr>
        <w:t xml:space="preserve">CERVARIX is for intramuscular injection in the deltoid region </w:t>
      </w:r>
      <w:r w:rsidRPr="00F2256D">
        <w:rPr>
          <w:rFonts w:ascii="Arial" w:hAnsi="Arial" w:cs="Arial"/>
          <w:i/>
          <w:sz w:val="24"/>
          <w:szCs w:val="24"/>
        </w:rPr>
        <w:t>(</w:t>
      </w:r>
      <w:proofErr w:type="gramStart"/>
      <w:r w:rsidRPr="00F2256D">
        <w:rPr>
          <w:rFonts w:ascii="Arial" w:hAnsi="Arial" w:cs="Arial"/>
          <w:i/>
          <w:sz w:val="24"/>
          <w:szCs w:val="24"/>
        </w:rPr>
        <w:t>see  “</w:t>
      </w:r>
      <w:proofErr w:type="gramEnd"/>
      <w:r w:rsidRPr="00F2256D">
        <w:rPr>
          <w:rFonts w:ascii="Arial" w:hAnsi="Arial" w:cs="Arial"/>
          <w:i/>
          <w:sz w:val="24"/>
          <w:szCs w:val="24"/>
        </w:rPr>
        <w:t>Precautions”, “</w:t>
      </w:r>
      <w:r w:rsidR="001A688B" w:rsidRPr="00F2256D">
        <w:rPr>
          <w:rFonts w:ascii="Arial" w:hAnsi="Arial" w:cs="Arial"/>
          <w:i/>
          <w:sz w:val="24"/>
          <w:szCs w:val="24"/>
        </w:rPr>
        <w:t>Drug</w:t>
      </w:r>
      <w:r w:rsidR="001A688B" w:rsidRPr="00F2256D">
        <w:rPr>
          <w:rFonts w:ascii="Arial" w:hAnsi="Arial" w:cs="Arial"/>
          <w:b/>
          <w:i/>
          <w:sz w:val="24"/>
          <w:szCs w:val="24"/>
          <w:u w:val="single"/>
        </w:rPr>
        <w:t xml:space="preserve"> </w:t>
      </w:r>
      <w:r w:rsidRPr="00F2256D">
        <w:rPr>
          <w:rFonts w:ascii="Arial" w:hAnsi="Arial" w:cs="Arial"/>
          <w:i/>
          <w:sz w:val="24"/>
          <w:szCs w:val="24"/>
        </w:rPr>
        <w:t>Interactions”)</w:t>
      </w:r>
      <w:r w:rsidRPr="00F2256D">
        <w:rPr>
          <w:rFonts w:ascii="Arial" w:hAnsi="Arial" w:cs="Arial"/>
          <w:sz w:val="24"/>
          <w:szCs w:val="24"/>
        </w:rPr>
        <w:t>.</w:t>
      </w:r>
    </w:p>
    <w:p w:rsidR="00014864" w:rsidRPr="00F2256D" w:rsidRDefault="00014864">
      <w:pPr>
        <w:spacing w:line="360" w:lineRule="exact"/>
        <w:rPr>
          <w:rFonts w:ascii="Arial" w:hAnsi="Arial" w:cs="Arial"/>
          <w:b/>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The content of the syringe/vial should be inspected visually both before and after shaking for any foreign particulate matter and/or abnormal physical appearance prior to administration. </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ind w:right="-1"/>
        <w:rPr>
          <w:rFonts w:ascii="Arial" w:hAnsi="Arial" w:cs="Arial"/>
          <w:sz w:val="24"/>
          <w:szCs w:val="24"/>
        </w:rPr>
      </w:pPr>
      <w:r w:rsidRPr="00F2256D">
        <w:rPr>
          <w:rFonts w:ascii="Arial" w:hAnsi="Arial" w:cs="Arial"/>
          <w:sz w:val="24"/>
          <w:szCs w:val="24"/>
        </w:rPr>
        <w:t>In the event of either being observed, discard the vaccine.</w:t>
      </w:r>
    </w:p>
    <w:p w:rsidR="00014864" w:rsidRPr="00F2256D" w:rsidRDefault="00014864">
      <w:pPr>
        <w:spacing w:line="360" w:lineRule="exact"/>
        <w:rPr>
          <w:rFonts w:ascii="Arial" w:hAnsi="Arial" w:cs="Arial"/>
          <w:sz w:val="24"/>
          <w:szCs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The vaccine should be well shaken before use.</w:t>
      </w:r>
    </w:p>
    <w:p w:rsidR="00014864" w:rsidRDefault="00014864">
      <w:pPr>
        <w:tabs>
          <w:tab w:val="left" w:pos="720"/>
          <w:tab w:val="left" w:pos="1560"/>
          <w:tab w:val="left" w:pos="2280"/>
        </w:tabs>
        <w:spacing w:line="360" w:lineRule="exact"/>
        <w:rPr>
          <w:rFonts w:ascii="Arial" w:hAnsi="Arial" w:cs="Arial"/>
          <w:sz w:val="24"/>
          <w:szCs w:val="24"/>
        </w:rPr>
      </w:pPr>
    </w:p>
    <w:p w:rsidR="00E80563" w:rsidRPr="005822FE" w:rsidRDefault="00B24880" w:rsidP="00E80563">
      <w:pPr>
        <w:rPr>
          <w:rFonts w:ascii="Arial" w:hAnsi="Arial" w:cs="Arial"/>
          <w:color w:val="000000"/>
          <w:sz w:val="24"/>
          <w:szCs w:val="24"/>
        </w:rPr>
      </w:pPr>
      <w:r>
        <w:rPr>
          <w:rFonts w:ascii="Arial" w:hAnsi="Arial" w:cs="Arial"/>
          <w:noProof/>
          <w:color w:val="000000"/>
          <w:lang w:val="en-GB" w:eastAsia="en-GB"/>
        </w:rPr>
        <w:pict>
          <v:shape id="Text Box 2" o:spid="_x0000_s1026" type="#_x0000_t202" style="position:absolute;left:0;text-align:left;margin-left:109.05pt;margin-top:7.05pt;width:101.25pt;height:33.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NCuA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" filled="f" stroked="f">
            <v:textbox>
              <w:txbxContent>
                <w:p w:rsidR="00BB411E" w:rsidRPr="00483BBB" w:rsidRDefault="00BB411E" w:rsidP="00E80563">
                  <w:pPr>
                    <w:rPr>
                      <w:sz w:val="16"/>
                      <w:szCs w:val="16"/>
                      <w:lang w:val="fr-BE"/>
                    </w:rPr>
                  </w:pPr>
                  <w:proofErr w:type="spellStart"/>
                  <w:r>
                    <w:rPr>
                      <w:sz w:val="16"/>
                      <w:szCs w:val="16"/>
                      <w:lang w:val="fr-BE"/>
                    </w:rPr>
                    <w:t>Needle</w:t>
                  </w:r>
                  <w:proofErr w:type="spellEnd"/>
                  <w:r>
                    <w:rPr>
                      <w:sz w:val="16"/>
                      <w:szCs w:val="16"/>
                      <w:lang w:val="fr-BE"/>
                    </w:rPr>
                    <w:t xml:space="preserve"> </w:t>
                  </w:r>
                  <w:proofErr w:type="spellStart"/>
                  <w:r>
                    <w:rPr>
                      <w:sz w:val="16"/>
                      <w:szCs w:val="16"/>
                      <w:lang w:val="fr-BE"/>
                    </w:rPr>
                    <w:t>protector</w:t>
                  </w:r>
                  <w:proofErr w:type="spellEnd"/>
                </w:p>
              </w:txbxContent>
            </v:textbox>
          </v:shape>
        </w:pict>
      </w:r>
      <w:r w:rsidR="0097119B">
        <w:rPr>
          <w:rFonts w:ascii="Arial" w:hAnsi="Arial" w:cs="Arial"/>
          <w:noProof/>
          <w:color w:val="000000"/>
          <w:sz w:val="24"/>
          <w:szCs w:val="24"/>
        </w:rPr>
        <w:drawing>
          <wp:anchor distT="0" distB="0" distL="114300" distR="114300" simplePos="0" relativeHeight="251654656" behindDoc="1" locked="0" layoutInCell="1" allowOverlap="1">
            <wp:simplePos x="0" y="0"/>
            <wp:positionH relativeFrom="column">
              <wp:posOffset>2931795</wp:posOffset>
            </wp:positionH>
            <wp:positionV relativeFrom="paragraph">
              <wp:posOffset>272415</wp:posOffset>
            </wp:positionV>
            <wp:extent cx="2063115" cy="197421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063115" cy="1974215"/>
                    </a:xfrm>
                    <a:prstGeom prst="rect">
                      <a:avLst/>
                    </a:prstGeom>
                    <a:noFill/>
                    <a:ln w="9525">
                      <a:noFill/>
                      <a:miter lim="800000"/>
                      <a:headEnd/>
                      <a:tailEnd/>
                    </a:ln>
                  </pic:spPr>
                </pic:pic>
              </a:graphicData>
            </a:graphic>
          </wp:anchor>
        </w:drawing>
      </w:r>
      <w:r w:rsidR="00E80563" w:rsidRPr="005822FE">
        <w:rPr>
          <w:rFonts w:ascii="Arial" w:hAnsi="Arial" w:cs="Arial"/>
          <w:color w:val="000000"/>
          <w:sz w:val="24"/>
          <w:szCs w:val="24"/>
        </w:rPr>
        <w:t>Instructions for administration of the vaccine presented in pre-filled syringe</w:t>
      </w:r>
    </w:p>
    <w:p w:rsidR="00E80563" w:rsidRPr="005822FE" w:rsidRDefault="0097119B" w:rsidP="00E80563">
      <w:pPr>
        <w:rPr>
          <w:rFonts w:ascii="Arial" w:hAnsi="Arial" w:cs="Arial"/>
          <w:color w:val="000000"/>
        </w:rPr>
      </w:pPr>
      <w:r>
        <w:rPr>
          <w:rFonts w:ascii="Arial" w:hAnsi="Arial" w:cs="Arial"/>
          <w:noProof/>
          <w:color w:val="000000"/>
        </w:rPr>
        <w:drawing>
          <wp:anchor distT="0" distB="0" distL="114300" distR="114300" simplePos="0" relativeHeight="251656704" behindDoc="1" locked="0" layoutInCell="1" allowOverlap="1">
            <wp:simplePos x="0" y="0"/>
            <wp:positionH relativeFrom="column">
              <wp:posOffset>1122045</wp:posOffset>
            </wp:positionH>
            <wp:positionV relativeFrom="paragraph">
              <wp:posOffset>43815</wp:posOffset>
            </wp:positionV>
            <wp:extent cx="1556385" cy="659765"/>
            <wp:effectExtent l="1905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1556385" cy="659765"/>
                    </a:xfrm>
                    <a:prstGeom prst="rect">
                      <a:avLst/>
                    </a:prstGeom>
                    <a:noFill/>
                    <a:ln w="9525">
                      <a:noFill/>
                      <a:miter lim="800000"/>
                      <a:headEnd/>
                      <a:tailEnd/>
                    </a:ln>
                  </pic:spPr>
                </pic:pic>
              </a:graphicData>
            </a:graphic>
          </wp:anchor>
        </w:drawing>
      </w:r>
      <w:r w:rsidR="00B24880">
        <w:rPr>
          <w:rFonts w:ascii="Arial" w:hAnsi="Arial" w:cs="Arial"/>
          <w:noProof/>
          <w:color w:val="000000"/>
          <w:lang w:val="en-GB" w:eastAsia="en-GB"/>
        </w:rPr>
        <w:pict>
          <v:line id="Line 9" o:spid="_x0000_s1033" style="position:absolute;left:0;text-align:left;z-index:251660800;visibility:visible;mso-position-horizontal-relative:text;mso-position-vertical-relative:text" from="171pt,18.45pt" to="17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">
            <v:stroke endarrow="classic"/>
          </v:line>
        </w:pict>
      </w:r>
      <w:r w:rsidR="00E80563" w:rsidRPr="005822FE">
        <w:rPr>
          <w:rFonts w:ascii="Arial" w:hAnsi="Arial" w:cs="Arial"/>
          <w:color w:val="000000"/>
        </w:rPr>
        <w:t>Needle</w:t>
      </w:r>
    </w:p>
    <w:p w:rsidR="00E80563" w:rsidRPr="005822FE" w:rsidRDefault="00E80563" w:rsidP="00E80563">
      <w:pPr>
        <w:rPr>
          <w:b/>
          <w:i/>
          <w:color w:val="000000"/>
        </w:rPr>
      </w:pPr>
    </w:p>
    <w:p w:rsidR="00E80563" w:rsidRPr="005822FE" w:rsidRDefault="00E80563" w:rsidP="00E80563">
      <w:pPr>
        <w:rPr>
          <w:b/>
          <w:i/>
          <w:color w:val="000000"/>
        </w:rPr>
      </w:pPr>
    </w:p>
    <w:p w:rsidR="00E80563" w:rsidRPr="005822FE" w:rsidRDefault="0097119B" w:rsidP="00E80563">
      <w:pPr>
        <w:rPr>
          <w:rFonts w:ascii="Arial" w:hAnsi="Arial" w:cs="Arial"/>
          <w:color w:val="000000"/>
        </w:rPr>
      </w:pPr>
      <w:r>
        <w:rPr>
          <w:b/>
          <w:i/>
          <w:noProof/>
          <w:color w:val="000000"/>
        </w:rPr>
        <w:drawing>
          <wp:anchor distT="0" distB="0" distL="114300" distR="114300" simplePos="0" relativeHeight="251655680" behindDoc="1" locked="0" layoutInCell="1" allowOverlap="1">
            <wp:simplePos x="0" y="0"/>
            <wp:positionH relativeFrom="column">
              <wp:posOffset>832485</wp:posOffset>
            </wp:positionH>
            <wp:positionV relativeFrom="paragraph">
              <wp:posOffset>118110</wp:posOffset>
            </wp:positionV>
            <wp:extent cx="1771650" cy="93345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771650" cy="933450"/>
                    </a:xfrm>
                    <a:prstGeom prst="rect">
                      <a:avLst/>
                    </a:prstGeom>
                    <a:noFill/>
                    <a:ln w="9525">
                      <a:noFill/>
                      <a:miter lim="800000"/>
                      <a:headEnd/>
                      <a:tailEnd/>
                    </a:ln>
                  </pic:spPr>
                </pic:pic>
              </a:graphicData>
            </a:graphic>
          </wp:anchor>
        </w:drawing>
      </w:r>
      <w:r w:rsidR="00E80563" w:rsidRPr="005822FE">
        <w:rPr>
          <w:rFonts w:ascii="Arial" w:hAnsi="Arial" w:cs="Arial"/>
          <w:color w:val="000000"/>
        </w:rPr>
        <w:t>Syringe</w:t>
      </w:r>
    </w:p>
    <w:p w:rsidR="00E80563" w:rsidRPr="005822FE" w:rsidRDefault="00B24880" w:rsidP="00E80563">
      <w:pPr>
        <w:tabs>
          <w:tab w:val="left" w:pos="5625"/>
        </w:tabs>
        <w:rPr>
          <w:b/>
          <w:i/>
          <w:color w:val="000000"/>
        </w:rPr>
      </w:pPr>
      <w:r>
        <w:rPr>
          <w:rFonts w:ascii="Arial" w:hAnsi="Arial" w:cs="Arial"/>
          <w:noProof/>
          <w:color w:val="000000"/>
          <w:lang w:val="en-GB" w:eastAsia="en-GB"/>
        </w:rPr>
        <w:pict>
          <v:line id="Line 6" o:spid="_x0000_s1030" style="position:absolute;left:0;text-align:left;flip:y;z-index:251657728;visibility:visible" from="59.85pt,15.6pt" to="79.8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">
            <v:stroke endarrow="classic"/>
          </v:line>
        </w:pict>
      </w:r>
      <w:r w:rsidR="00E80563" w:rsidRPr="005822FE">
        <w:rPr>
          <w:b/>
          <w:i/>
          <w:color w:val="000000"/>
        </w:rPr>
        <w:tab/>
      </w:r>
    </w:p>
    <w:p w:rsidR="00E80563" w:rsidRPr="005822FE" w:rsidRDefault="00B24880" w:rsidP="00E80563">
      <w:pPr>
        <w:rPr>
          <w:b/>
          <w:i/>
          <w:color w:val="000000"/>
        </w:rPr>
      </w:pPr>
      <w:r>
        <w:rPr>
          <w:rFonts w:ascii="Arial" w:hAnsi="Arial" w:cs="Arial"/>
          <w:noProof/>
          <w:color w:val="000000"/>
          <w:lang w:val="en-GB" w:eastAsia="en-GB"/>
        </w:rPr>
        <w:pict>
          <v:line id="Line 7" o:spid="_x0000_s1031" style="position:absolute;left:0;text-align:left;flip:y;z-index:251658752;visibility:visible" from="117.75pt,14.25pt" to="129.1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">
            <v:stroke endarrow="classic"/>
          </v:line>
        </w:pict>
      </w:r>
      <w:r>
        <w:rPr>
          <w:b/>
          <w:i/>
          <w:noProof/>
          <w:color w:val="000000"/>
          <w:lang w:val="en-GB" w:eastAsia="en-GB"/>
        </w:rPr>
        <w:pict>
          <v:shape id="Text Box 3" o:spid="_x0000_s1027" type="#_x0000_t202" style="position:absolute;left:0;text-align:left;margin-left:19.95pt;margin-top:16.2pt;width:75.6pt;height:30.6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" stroked="f">
            <v:textbox>
              <w:txbxContent>
                <w:p w:rsidR="00BB411E" w:rsidRPr="00892E15" w:rsidRDefault="00BB411E" w:rsidP="00E80563">
                  <w:pPr>
                    <w:rPr>
                      <w:sz w:val="15"/>
                      <w:szCs w:val="15"/>
                      <w:lang w:val="fr-BE"/>
                    </w:rPr>
                  </w:pPr>
                  <w:r w:rsidRPr="00892E15">
                    <w:rPr>
                      <w:sz w:val="15"/>
                      <w:szCs w:val="15"/>
                      <w:lang w:val="fr-BE"/>
                    </w:rPr>
                    <w:t xml:space="preserve">Syringe </w:t>
                  </w:r>
                  <w:proofErr w:type="spellStart"/>
                  <w:r w:rsidRPr="00892E15">
                    <w:rPr>
                      <w:sz w:val="15"/>
                      <w:szCs w:val="15"/>
                      <w:lang w:val="fr-BE"/>
                    </w:rPr>
                    <w:t>plunge</w:t>
                  </w:r>
                  <w:r>
                    <w:rPr>
                      <w:sz w:val="15"/>
                      <w:szCs w:val="15"/>
                      <w:lang w:val="fr-BE"/>
                    </w:rPr>
                    <w:t>r</w:t>
                  </w:r>
                  <w:proofErr w:type="spellEnd"/>
                </w:p>
              </w:txbxContent>
            </v:textbox>
          </v:shape>
        </w:pict>
      </w:r>
    </w:p>
    <w:p w:rsidR="00E80563" w:rsidRPr="005822FE" w:rsidRDefault="00B24880" w:rsidP="00E80563">
      <w:pPr>
        <w:tabs>
          <w:tab w:val="num" w:pos="684"/>
        </w:tabs>
        <w:ind w:left="357" w:hanging="357"/>
        <w:rPr>
          <w:b/>
          <w:i/>
          <w:color w:val="000000"/>
          <w:highlight w:val="lightGray"/>
        </w:rPr>
      </w:pPr>
      <w:r>
        <w:rPr>
          <w:b/>
          <w:i/>
          <w:noProof/>
          <w:color w:val="000000"/>
          <w:lang w:val="en-GB" w:eastAsia="en-GB"/>
        </w:rPr>
        <w:pict>
          <v:line id="Line 8" o:spid="_x0000_s1032" style="position:absolute;left:0;text-align:left;flip:y;z-index:251659776;visibility:visible" from="170.85pt,14.1pt" to="190.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">
            <v:stroke endarrow="classic"/>
          </v:line>
        </w:pict>
      </w:r>
      <w:r>
        <w:rPr>
          <w:b/>
          <w:i/>
          <w:noProof/>
          <w:color w:val="000000"/>
          <w:lang w:val="en-GB" w:eastAsia="en-GB"/>
        </w:rPr>
        <w:pict>
          <v:shape id="Text Box 4" o:spid="_x0000_s1028" type="#_x0000_t202" style="position:absolute;left:0;text-align:left;margin-left:79.8pt;margin-top:14.1pt;width:63pt;height:28.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" stroked="f">
            <v:textbox>
              <w:txbxContent>
                <w:p w:rsidR="00BB411E" w:rsidRPr="004D6704" w:rsidRDefault="00BB411E" w:rsidP="00E80563">
                  <w:pPr>
                    <w:rPr>
                      <w:sz w:val="16"/>
                      <w:szCs w:val="16"/>
                      <w:lang w:val="fr-BE"/>
                    </w:rPr>
                  </w:pPr>
                  <w:r w:rsidRPr="004D6704">
                    <w:rPr>
                      <w:sz w:val="16"/>
                      <w:szCs w:val="16"/>
                      <w:lang w:val="fr-BE"/>
                    </w:rPr>
                    <w:t>Syringe barrel</w:t>
                  </w:r>
                </w:p>
              </w:txbxContent>
            </v:textbox>
          </v:shape>
        </w:pict>
      </w:r>
    </w:p>
    <w:p w:rsidR="00E80563" w:rsidRPr="005822FE" w:rsidRDefault="00B24880" w:rsidP="00E80563">
      <w:pPr>
        <w:tabs>
          <w:tab w:val="num" w:pos="684"/>
        </w:tabs>
        <w:ind w:left="357" w:hanging="357"/>
        <w:rPr>
          <w:b/>
          <w:i/>
          <w:color w:val="000000"/>
          <w:highlight w:val="lightGray"/>
        </w:rPr>
      </w:pPr>
      <w:r>
        <w:rPr>
          <w:b/>
          <w:i/>
          <w:noProof/>
          <w:color w:val="000000"/>
          <w:lang w:val="en-GB" w:eastAsia="en-GB"/>
        </w:rPr>
        <w:pict>
          <v:shape id="Text Box 5" o:spid="_x0000_s1029" type="#_x0000_t202" style="position:absolute;left:0;text-align:left;margin-left:136.8pt;margin-top:3.6pt;width:54pt;height:29.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s5hgIAABUFAAAOAAAAZHJzL2Uyb0RvYy54bWysVNuO2yAQfa/Uf0C8Z32pc7G1zmovTVVp&#10;e5F2+wEEcIyKgQKJvV313zvgJH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" stroked="f">
            <v:textbox>
              <w:txbxContent>
                <w:p w:rsidR="00BB411E" w:rsidRPr="00DD4774" w:rsidRDefault="00BB411E" w:rsidP="00E80563">
                  <w:pPr>
                    <w:rPr>
                      <w:sz w:val="16"/>
                      <w:szCs w:val="16"/>
                      <w:lang w:val="fr-BE"/>
                    </w:rPr>
                  </w:pPr>
                  <w:r>
                    <w:rPr>
                      <w:sz w:val="16"/>
                      <w:szCs w:val="16"/>
                      <w:lang w:val="fr-BE"/>
                    </w:rPr>
                    <w:t>Syringe cap</w:t>
                  </w:r>
                </w:p>
              </w:txbxContent>
            </v:textbox>
          </v:shape>
        </w:pict>
      </w:r>
    </w:p>
    <w:p w:rsidR="00E80563" w:rsidRPr="005822FE" w:rsidRDefault="00E80563" w:rsidP="00E80563">
      <w:pPr>
        <w:tabs>
          <w:tab w:val="num" w:pos="684"/>
        </w:tabs>
        <w:ind w:left="357" w:hanging="357"/>
        <w:rPr>
          <w:b/>
          <w:i/>
          <w:color w:val="000000"/>
          <w:highlight w:val="lightGray"/>
        </w:rPr>
      </w:pPr>
    </w:p>
    <w:p w:rsidR="00E80563" w:rsidRPr="005822FE" w:rsidRDefault="00E80563" w:rsidP="007E35DF">
      <w:pPr>
        <w:numPr>
          <w:ilvl w:val="0"/>
          <w:numId w:val="16"/>
        </w:numPr>
        <w:spacing w:line="360" w:lineRule="auto"/>
        <w:rPr>
          <w:rFonts w:ascii="Arial" w:hAnsi="Arial" w:cs="Arial"/>
          <w:color w:val="000000"/>
          <w:sz w:val="24"/>
          <w:szCs w:val="24"/>
        </w:rPr>
      </w:pPr>
      <w:r w:rsidRPr="005822FE">
        <w:rPr>
          <w:rFonts w:ascii="Arial" w:hAnsi="Arial" w:cs="Arial"/>
          <w:color w:val="000000"/>
          <w:sz w:val="24"/>
          <w:szCs w:val="24"/>
        </w:rPr>
        <w:t xml:space="preserve">Holding the syringe </w:t>
      </w:r>
      <w:r w:rsidRPr="005822FE">
        <w:rPr>
          <w:rFonts w:ascii="Arial" w:hAnsi="Arial" w:cs="Arial"/>
          <w:color w:val="000000"/>
          <w:sz w:val="24"/>
          <w:szCs w:val="24"/>
          <w:u w:val="single"/>
        </w:rPr>
        <w:t>barrel</w:t>
      </w:r>
      <w:r w:rsidRPr="005822FE">
        <w:rPr>
          <w:rFonts w:ascii="Arial" w:hAnsi="Arial" w:cs="Arial"/>
          <w:color w:val="000000"/>
          <w:sz w:val="24"/>
          <w:szCs w:val="24"/>
        </w:rPr>
        <w:t xml:space="preserve"> in one hand (avoid holding the syringe plunger), unscrew the syringe cap by twisting it anticlockwise.</w:t>
      </w:r>
    </w:p>
    <w:p w:rsidR="00E80563" w:rsidRPr="005822FE" w:rsidRDefault="00E80563" w:rsidP="007E35DF">
      <w:pPr>
        <w:numPr>
          <w:ilvl w:val="0"/>
          <w:numId w:val="16"/>
        </w:numPr>
        <w:spacing w:line="360" w:lineRule="auto"/>
        <w:rPr>
          <w:rFonts w:ascii="Arial" w:hAnsi="Arial" w:cs="Arial"/>
          <w:color w:val="000000"/>
          <w:sz w:val="24"/>
          <w:szCs w:val="24"/>
        </w:rPr>
      </w:pPr>
      <w:r w:rsidRPr="005822FE">
        <w:rPr>
          <w:rFonts w:ascii="Arial" w:hAnsi="Arial" w:cs="Arial"/>
          <w:color w:val="000000"/>
          <w:sz w:val="24"/>
          <w:szCs w:val="24"/>
        </w:rPr>
        <w:t>To attach the needle to the syringe, twist the needle clockwise into the syringe until you feel it lock. (see picture)</w:t>
      </w:r>
    </w:p>
    <w:p w:rsidR="00E80563" w:rsidRDefault="00E80563" w:rsidP="007E35DF">
      <w:pPr>
        <w:widowControl/>
        <w:numPr>
          <w:ilvl w:val="0"/>
          <w:numId w:val="16"/>
        </w:numPr>
        <w:adjustRightInd/>
        <w:spacing w:line="360" w:lineRule="auto"/>
        <w:jc w:val="left"/>
        <w:textAlignment w:val="auto"/>
        <w:rPr>
          <w:rFonts w:ascii="Arial" w:hAnsi="Arial" w:cs="Arial"/>
          <w:color w:val="000000"/>
          <w:sz w:val="24"/>
          <w:szCs w:val="24"/>
        </w:rPr>
      </w:pPr>
      <w:r w:rsidRPr="005822FE">
        <w:rPr>
          <w:rFonts w:ascii="Arial" w:hAnsi="Arial" w:cs="Arial"/>
          <w:color w:val="000000"/>
          <w:sz w:val="24"/>
          <w:szCs w:val="24"/>
        </w:rPr>
        <w:t>Re</w:t>
      </w:r>
      <w:r w:rsidRPr="00965A73">
        <w:rPr>
          <w:rFonts w:ascii="Arial" w:hAnsi="Arial" w:cs="Arial"/>
          <w:color w:val="000000"/>
          <w:sz w:val="24"/>
          <w:szCs w:val="24"/>
        </w:rPr>
        <w:t>move the needle protector, which on occasion can be a little stiff.</w:t>
      </w:r>
    </w:p>
    <w:p w:rsidR="00E80563" w:rsidRPr="00965A73" w:rsidRDefault="00E80563" w:rsidP="00965A73">
      <w:pPr>
        <w:widowControl/>
        <w:numPr>
          <w:ilvl w:val="0"/>
          <w:numId w:val="16"/>
        </w:numPr>
        <w:adjustRightInd/>
        <w:spacing w:line="360" w:lineRule="auto"/>
        <w:jc w:val="left"/>
        <w:textAlignment w:val="auto"/>
        <w:rPr>
          <w:rFonts w:ascii="Arial" w:hAnsi="Arial" w:cs="Arial"/>
          <w:color w:val="000000"/>
          <w:sz w:val="24"/>
          <w:szCs w:val="24"/>
        </w:rPr>
      </w:pPr>
      <w:r w:rsidRPr="00965A73">
        <w:rPr>
          <w:rFonts w:ascii="Arial" w:hAnsi="Arial" w:cs="Arial"/>
          <w:color w:val="000000"/>
          <w:sz w:val="24"/>
          <w:szCs w:val="24"/>
        </w:rPr>
        <w:t>Administer the vaccine.</w:t>
      </w:r>
    </w:p>
    <w:p w:rsidR="00E80563" w:rsidRPr="00F2256D" w:rsidRDefault="00E80563" w:rsidP="007E35DF">
      <w:pPr>
        <w:tabs>
          <w:tab w:val="left" w:pos="720"/>
          <w:tab w:val="left" w:pos="1560"/>
          <w:tab w:val="left" w:pos="2280"/>
        </w:tabs>
        <w:spacing w:line="240" w:lineRule="auto"/>
        <w:rPr>
          <w:rFonts w:ascii="Arial" w:hAnsi="Arial" w:cs="Arial"/>
          <w:sz w:val="24"/>
          <w:szCs w:val="24"/>
        </w:rPr>
      </w:pPr>
    </w:p>
    <w:p w:rsidR="00014864" w:rsidRPr="00F2256D" w:rsidRDefault="00014864">
      <w:pPr>
        <w:tabs>
          <w:tab w:val="left" w:pos="720"/>
          <w:tab w:val="left" w:pos="1560"/>
          <w:tab w:val="left" w:pos="2280"/>
        </w:tabs>
        <w:spacing w:line="360" w:lineRule="exact"/>
        <w:rPr>
          <w:rFonts w:ascii="Arial" w:hAnsi="Arial" w:cs="Arial"/>
          <w:sz w:val="24"/>
          <w:szCs w:val="24"/>
        </w:rPr>
      </w:pPr>
      <w:r w:rsidRPr="00F2256D">
        <w:rPr>
          <w:rFonts w:ascii="Arial" w:hAnsi="Arial" w:cs="Arial"/>
          <w:sz w:val="24"/>
          <w:szCs w:val="24"/>
        </w:rPr>
        <w:t xml:space="preserve">CERVARIX </w:t>
      </w:r>
      <w:r w:rsidR="0051078A" w:rsidRPr="00F2256D">
        <w:rPr>
          <w:rFonts w:ascii="Arial" w:hAnsi="Arial" w:cs="Arial"/>
          <w:sz w:val="24"/>
          <w:szCs w:val="24"/>
        </w:rPr>
        <w:t>syringe or vials are</w:t>
      </w:r>
      <w:r w:rsidRPr="00F2256D">
        <w:rPr>
          <w:rFonts w:ascii="Arial" w:hAnsi="Arial" w:cs="Arial"/>
          <w:sz w:val="24"/>
          <w:szCs w:val="24"/>
        </w:rPr>
        <w:t xml:space="preserve"> for single use </w:t>
      </w:r>
      <w:r w:rsidR="0051078A" w:rsidRPr="00F2256D">
        <w:rPr>
          <w:rFonts w:ascii="Arial" w:hAnsi="Arial" w:cs="Arial"/>
          <w:sz w:val="24"/>
          <w:szCs w:val="24"/>
        </w:rPr>
        <w:t xml:space="preserve">in a single patient </w:t>
      </w:r>
      <w:r w:rsidRPr="00F2256D">
        <w:rPr>
          <w:rFonts w:ascii="Arial" w:hAnsi="Arial" w:cs="Arial"/>
          <w:sz w:val="24"/>
          <w:szCs w:val="24"/>
        </w:rPr>
        <w:t xml:space="preserve">only.  Any unused product </w:t>
      </w:r>
      <w:r w:rsidR="00A8389A">
        <w:rPr>
          <w:rFonts w:ascii="Arial" w:hAnsi="Arial" w:cs="Arial"/>
          <w:sz w:val="24"/>
          <w:szCs w:val="24"/>
        </w:rPr>
        <w:t xml:space="preserve">or </w:t>
      </w:r>
      <w:r w:rsidRPr="00F2256D">
        <w:rPr>
          <w:rFonts w:ascii="Arial" w:hAnsi="Arial" w:cs="Arial"/>
          <w:sz w:val="24"/>
          <w:szCs w:val="24"/>
        </w:rPr>
        <w:t>waste material should be disposed of in accordance with local requirements.</w:t>
      </w:r>
    </w:p>
    <w:p w:rsidR="00014864" w:rsidRPr="00F2256D" w:rsidRDefault="00014864">
      <w:pPr>
        <w:tabs>
          <w:tab w:val="left" w:pos="720"/>
          <w:tab w:val="left" w:pos="1560"/>
          <w:tab w:val="left" w:pos="2280"/>
        </w:tabs>
        <w:spacing w:line="360" w:lineRule="exact"/>
        <w:rPr>
          <w:rFonts w:ascii="Arial" w:hAnsi="Arial"/>
          <w:b/>
          <w:sz w:val="24"/>
          <w:u w:val="single"/>
        </w:rPr>
      </w:pPr>
    </w:p>
    <w:p w:rsidR="00014864" w:rsidRPr="00F2256D" w:rsidRDefault="00014864">
      <w:pPr>
        <w:pStyle w:val="NoNumHead2"/>
        <w:spacing w:after="120" w:line="360" w:lineRule="exact"/>
        <w:rPr>
          <w:rFonts w:cs="Arial"/>
          <w:sz w:val="24"/>
          <w:szCs w:val="24"/>
        </w:rPr>
      </w:pPr>
      <w:proofErr w:type="spellStart"/>
      <w:r w:rsidRPr="00F2256D">
        <w:rPr>
          <w:rFonts w:cs="Arial"/>
          <w:sz w:val="24"/>
          <w:szCs w:val="24"/>
        </w:rPr>
        <w:t>Overdosage</w:t>
      </w:r>
      <w:proofErr w:type="spellEnd"/>
    </w:p>
    <w:p w:rsidR="00014864" w:rsidRPr="00F2256D" w:rsidRDefault="00014864">
      <w:pPr>
        <w:tabs>
          <w:tab w:val="left" w:pos="720"/>
          <w:tab w:val="left" w:pos="1560"/>
          <w:tab w:val="left" w:pos="2280"/>
        </w:tabs>
        <w:spacing w:line="360" w:lineRule="exact"/>
        <w:rPr>
          <w:rFonts w:ascii="Arial" w:hAnsi="Arial"/>
          <w:b/>
          <w:sz w:val="24"/>
        </w:rPr>
      </w:pPr>
      <w:r w:rsidRPr="00F2256D">
        <w:rPr>
          <w:rFonts w:ascii="Arial" w:hAnsi="Arial" w:cs="Arial"/>
          <w:sz w:val="24"/>
          <w:szCs w:val="24"/>
        </w:rPr>
        <w:t xml:space="preserve">No case of overdose has been reported. </w:t>
      </w:r>
      <w:r w:rsidRPr="00F2256D">
        <w:rPr>
          <w:rFonts w:ascii="Arial" w:hAnsi="Arial" w:cs="Arial"/>
          <w:bCs/>
          <w:sz w:val="24"/>
          <w:szCs w:val="24"/>
        </w:rPr>
        <w:t xml:space="preserve">In the event of </w:t>
      </w:r>
      <w:proofErr w:type="spellStart"/>
      <w:r w:rsidRPr="00F2256D">
        <w:rPr>
          <w:rFonts w:ascii="Arial" w:hAnsi="Arial" w:cs="Arial"/>
          <w:bCs/>
          <w:sz w:val="24"/>
          <w:szCs w:val="24"/>
        </w:rPr>
        <w:t>overdosage</w:t>
      </w:r>
      <w:proofErr w:type="spellEnd"/>
      <w:r w:rsidRPr="00F2256D">
        <w:rPr>
          <w:rFonts w:ascii="Arial" w:hAnsi="Arial" w:cs="Arial"/>
          <w:bCs/>
          <w:sz w:val="24"/>
          <w:szCs w:val="24"/>
        </w:rPr>
        <w:t>, please contact the Poisons Information Centre on 13 11 26.</w:t>
      </w:r>
    </w:p>
    <w:p w:rsidR="00014864" w:rsidRPr="00F2256D" w:rsidRDefault="00014864">
      <w:pPr>
        <w:tabs>
          <w:tab w:val="left" w:pos="720"/>
          <w:tab w:val="left" w:pos="1560"/>
          <w:tab w:val="left" w:pos="2280"/>
        </w:tabs>
        <w:spacing w:line="360" w:lineRule="exact"/>
        <w:rPr>
          <w:rFonts w:ascii="Arial" w:hAnsi="Arial"/>
          <w:b/>
          <w:sz w:val="24"/>
        </w:rPr>
      </w:pP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b/>
          <w:sz w:val="24"/>
        </w:rPr>
        <w:t>STORAGE</w:t>
      </w:r>
    </w:p>
    <w:p w:rsidR="00014864" w:rsidRPr="00F2256D" w:rsidRDefault="00014864">
      <w:pPr>
        <w:tabs>
          <w:tab w:val="left" w:pos="720"/>
          <w:tab w:val="left" w:pos="1560"/>
          <w:tab w:val="left" w:pos="2280"/>
        </w:tabs>
        <w:spacing w:line="360" w:lineRule="exact"/>
        <w:rPr>
          <w:rFonts w:ascii="Arial" w:hAnsi="Arial" w:cs="Arial"/>
          <w:sz w:val="24"/>
          <w:szCs w:val="24"/>
        </w:rPr>
      </w:pPr>
      <w:r w:rsidRPr="00F2256D">
        <w:rPr>
          <w:rFonts w:ascii="Arial" w:hAnsi="Arial"/>
          <w:sz w:val="24"/>
        </w:rPr>
        <w:t xml:space="preserve">CERVARIX must be stored at </w:t>
      </w:r>
      <w:smartTag w:uri="urn:schemas-microsoft-com:office:smarttags" w:element="time">
        <w:smartTagPr>
          <w:attr w:name="Hour" w:val="19"/>
          <w:attr w:name="Minute" w:val="58"/>
        </w:smartTagPr>
        <w:r w:rsidRPr="00F2256D">
          <w:rPr>
            <w:rFonts w:ascii="Arial" w:hAnsi="Arial"/>
            <w:sz w:val="24"/>
          </w:rPr>
          <w:t>+2</w:t>
        </w:r>
        <w:r w:rsidRPr="00F2256D">
          <w:rPr>
            <w:rFonts w:ascii="Arial" w:hAnsi="Arial"/>
            <w:sz w:val="24"/>
          </w:rPr>
          <w:sym w:font="Symbol" w:char="F0B0"/>
        </w:r>
        <w:r w:rsidRPr="00F2256D">
          <w:rPr>
            <w:rFonts w:ascii="Arial" w:hAnsi="Arial"/>
            <w:sz w:val="24"/>
          </w:rPr>
          <w:t>C to +8</w:t>
        </w:r>
        <w:r w:rsidRPr="00F2256D">
          <w:rPr>
            <w:rFonts w:ascii="Arial" w:hAnsi="Arial"/>
            <w:sz w:val="24"/>
          </w:rPr>
          <w:sym w:font="Symbol" w:char="F0B0"/>
        </w:r>
        <w:r w:rsidRPr="00F2256D">
          <w:rPr>
            <w:rFonts w:ascii="Arial" w:hAnsi="Arial"/>
            <w:sz w:val="24"/>
          </w:rPr>
          <w:t>C.</w:t>
        </w:r>
      </w:smartTag>
      <w:r w:rsidRPr="00F2256D">
        <w:rPr>
          <w:rFonts w:ascii="Arial" w:hAnsi="Arial"/>
          <w:sz w:val="24"/>
        </w:rPr>
        <w:t xml:space="preserve">  DO NOT </w:t>
      </w:r>
      <w:proofErr w:type="gramStart"/>
      <w:r w:rsidRPr="00F2256D">
        <w:rPr>
          <w:rFonts w:ascii="Arial" w:hAnsi="Arial"/>
          <w:sz w:val="24"/>
        </w:rPr>
        <w:t>FREEZE,</w:t>
      </w:r>
      <w:proofErr w:type="gramEnd"/>
      <w:r w:rsidRPr="00F2256D">
        <w:rPr>
          <w:rFonts w:ascii="Arial" w:hAnsi="Arial"/>
          <w:sz w:val="24"/>
        </w:rPr>
        <w:t xml:space="preserve"> discard if vaccine has been frozen.  The vaccine should be s</w:t>
      </w:r>
      <w:r w:rsidRPr="00F2256D">
        <w:rPr>
          <w:rFonts w:ascii="Arial" w:hAnsi="Arial" w:cs="Arial"/>
          <w:sz w:val="24"/>
          <w:szCs w:val="24"/>
        </w:rPr>
        <w:t>tored in the original package in order to protect from light.</w:t>
      </w:r>
    </w:p>
    <w:p w:rsidR="00014864" w:rsidRPr="00F2256D" w:rsidRDefault="00014864">
      <w:pPr>
        <w:tabs>
          <w:tab w:val="left" w:pos="720"/>
          <w:tab w:val="left" w:pos="1560"/>
          <w:tab w:val="left" w:pos="2280"/>
        </w:tabs>
        <w:spacing w:line="360" w:lineRule="exact"/>
        <w:rPr>
          <w:rFonts w:ascii="Arial" w:hAnsi="Arial" w:cs="Arial"/>
          <w:sz w:val="24"/>
          <w:szCs w:val="24"/>
        </w:rPr>
      </w:pPr>
    </w:p>
    <w:p w:rsidR="00B33489" w:rsidRPr="00EC385D" w:rsidRDefault="00EC385D" w:rsidP="00EC385D">
      <w:pPr>
        <w:pStyle w:val="Default"/>
        <w:widowControl w:val="0"/>
        <w:autoSpaceDE/>
        <w:autoSpaceDN/>
        <w:spacing w:line="360" w:lineRule="exact"/>
        <w:jc w:val="both"/>
        <w:textAlignment w:val="baseline"/>
        <w:rPr>
          <w:rFonts w:ascii="Arial" w:hAnsi="Arial" w:cs="Arial"/>
          <w:color w:val="auto"/>
        </w:rPr>
      </w:pPr>
      <w:r w:rsidRPr="00EC385D">
        <w:rPr>
          <w:rFonts w:ascii="Arial" w:hAnsi="Arial" w:cs="Arial"/>
          <w:color w:val="auto"/>
        </w:rPr>
        <w:t>CERVARIX</w:t>
      </w:r>
      <w:r w:rsidR="00B33489" w:rsidRPr="00EC385D">
        <w:rPr>
          <w:rFonts w:ascii="Arial" w:hAnsi="Arial" w:cs="Arial"/>
          <w:color w:val="auto"/>
        </w:rPr>
        <w:t xml:space="preserve"> should be administered as soon as possible after being removed from refrigeration. </w:t>
      </w:r>
      <w:r w:rsidRPr="00EC385D">
        <w:rPr>
          <w:rFonts w:ascii="Arial" w:hAnsi="Arial" w:cs="Arial"/>
          <w:color w:val="auto"/>
        </w:rPr>
        <w:t>CERVARIX</w:t>
      </w:r>
      <w:r w:rsidR="00B33489" w:rsidRPr="00EC385D">
        <w:rPr>
          <w:rFonts w:ascii="Arial" w:hAnsi="Arial" w:cs="Arial"/>
          <w:color w:val="auto"/>
        </w:rPr>
        <w:t xml:space="preserve"> can be kept out of refrigeration at temperatures at or below </w:t>
      </w:r>
      <w:bookmarkStart w:id="2" w:name="OLE_LINK1"/>
      <w:r w:rsidR="00B33489" w:rsidRPr="00EC385D">
        <w:rPr>
          <w:rFonts w:ascii="Arial" w:hAnsi="Arial" w:cs="Arial"/>
          <w:color w:val="auto"/>
        </w:rPr>
        <w:t>25°</w:t>
      </w:r>
      <w:bookmarkEnd w:id="2"/>
      <w:r w:rsidR="00B33489" w:rsidRPr="00EC385D">
        <w:rPr>
          <w:rFonts w:ascii="Arial" w:hAnsi="Arial" w:cs="Arial"/>
          <w:color w:val="auto"/>
        </w:rPr>
        <w:t xml:space="preserve">C, for a total time of not more than 72 hours or at temperatures between 25°C and 37°C, for a total time of not more than 24 hours. </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rsidP="00EC385D">
      <w:pPr>
        <w:tabs>
          <w:tab w:val="left" w:pos="720"/>
          <w:tab w:val="left" w:pos="1560"/>
          <w:tab w:val="left" w:pos="2280"/>
        </w:tabs>
        <w:spacing w:line="360" w:lineRule="exact"/>
        <w:rPr>
          <w:rFonts w:ascii="Arial" w:hAnsi="Arial" w:cs="Arial"/>
          <w:sz w:val="24"/>
          <w:szCs w:val="24"/>
        </w:rPr>
      </w:pPr>
      <w:r w:rsidRPr="00F2256D">
        <w:rPr>
          <w:rFonts w:ascii="Arial" w:hAnsi="Arial" w:cs="Arial"/>
          <w:sz w:val="24"/>
          <w:szCs w:val="24"/>
        </w:rPr>
        <w:t xml:space="preserve">The shelf life of CERVARIX is </w:t>
      </w:r>
      <w:r w:rsidR="009A661D">
        <w:rPr>
          <w:rFonts w:ascii="Arial" w:hAnsi="Arial" w:cs="Arial"/>
          <w:sz w:val="24"/>
          <w:szCs w:val="24"/>
        </w:rPr>
        <w:t xml:space="preserve">four </w:t>
      </w:r>
      <w:r w:rsidRPr="00F2256D">
        <w:rPr>
          <w:rFonts w:ascii="Arial" w:hAnsi="Arial" w:cs="Arial"/>
          <w:sz w:val="24"/>
          <w:szCs w:val="24"/>
        </w:rPr>
        <w:t xml:space="preserve">years from the date of manufacture at temperatures of </w:t>
      </w:r>
      <w:smartTag w:uri="urn:schemas-microsoft-com:office:smarttags" w:element="time">
        <w:smartTagPr>
          <w:attr w:name="Minute" w:val="58"/>
          <w:attr w:name="Hour" w:val="19"/>
        </w:smartTagPr>
        <w:r w:rsidRPr="00F2256D">
          <w:rPr>
            <w:rFonts w:ascii="Arial" w:hAnsi="Arial" w:cs="Arial"/>
            <w:sz w:val="24"/>
            <w:szCs w:val="24"/>
          </w:rPr>
          <w:t>+2</w:t>
        </w:r>
        <w:r w:rsidRPr="00F2256D">
          <w:rPr>
            <w:rFonts w:ascii="Arial" w:hAnsi="Arial" w:cs="Arial"/>
            <w:sz w:val="24"/>
            <w:szCs w:val="24"/>
          </w:rPr>
          <w:sym w:font="Symbol" w:char="F0B0"/>
        </w:r>
        <w:r w:rsidRPr="00F2256D">
          <w:rPr>
            <w:rFonts w:ascii="Arial" w:hAnsi="Arial" w:cs="Arial"/>
            <w:sz w:val="24"/>
            <w:szCs w:val="24"/>
          </w:rPr>
          <w:t>C to +8</w:t>
        </w:r>
        <w:r w:rsidRPr="00F2256D">
          <w:rPr>
            <w:rFonts w:ascii="Arial" w:hAnsi="Arial" w:cs="Arial"/>
            <w:sz w:val="24"/>
            <w:szCs w:val="24"/>
          </w:rPr>
          <w:sym w:font="Symbol" w:char="F0B0"/>
        </w:r>
        <w:r w:rsidRPr="00F2256D">
          <w:rPr>
            <w:rFonts w:ascii="Arial" w:hAnsi="Arial" w:cs="Arial"/>
            <w:sz w:val="24"/>
            <w:szCs w:val="24"/>
          </w:rPr>
          <w:t>C.</w:t>
        </w:r>
      </w:smartTag>
      <w:r w:rsidRPr="00F2256D">
        <w:rPr>
          <w:rFonts w:ascii="Arial" w:hAnsi="Arial" w:cs="Arial"/>
          <w:sz w:val="24"/>
          <w:szCs w:val="24"/>
        </w:rPr>
        <w:t xml:space="preserve">  The expiry date of the vaccine is indicated on the label and packaging.</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b/>
          <w:sz w:val="24"/>
        </w:rPr>
        <w:t>PRESENTATIONS</w:t>
      </w:r>
    </w:p>
    <w:p w:rsidR="00014864" w:rsidRPr="00F2256D" w:rsidRDefault="00014864">
      <w:pPr>
        <w:tabs>
          <w:tab w:val="left" w:pos="720"/>
          <w:tab w:val="left" w:pos="1560"/>
          <w:tab w:val="left" w:pos="2280"/>
        </w:tabs>
        <w:spacing w:line="360" w:lineRule="exact"/>
        <w:rPr>
          <w:rFonts w:ascii="Arial" w:hAnsi="Arial" w:cs="Arial"/>
          <w:sz w:val="24"/>
          <w:szCs w:val="24"/>
        </w:rPr>
      </w:pPr>
      <w:r w:rsidRPr="00F2256D">
        <w:rPr>
          <w:rFonts w:ascii="Arial" w:hAnsi="Arial" w:cs="Arial"/>
          <w:sz w:val="24"/>
          <w:szCs w:val="24"/>
        </w:rPr>
        <w:t>CERVARIX is presented as a turbid white suspension.  Upon storage, a fine white deposit with a clear colourless supernatant can be observed.  This does not constitute a sign of deterioration.</w:t>
      </w:r>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spacing w:line="360" w:lineRule="exact"/>
        <w:rPr>
          <w:rFonts w:ascii="Arial" w:hAnsi="Arial" w:cs="Arial"/>
          <w:sz w:val="24"/>
          <w:szCs w:val="24"/>
        </w:rPr>
      </w:pPr>
      <w:r w:rsidRPr="00F2256D">
        <w:rPr>
          <w:rFonts w:ascii="Arial" w:hAnsi="Arial" w:cs="Arial"/>
          <w:sz w:val="24"/>
          <w:szCs w:val="24"/>
        </w:rPr>
        <w:t xml:space="preserve">CERVARIX is presented as </w:t>
      </w:r>
    </w:p>
    <w:p w:rsidR="00014864" w:rsidRPr="00F2256D" w:rsidRDefault="00014864">
      <w:pPr>
        <w:numPr>
          <w:ilvl w:val="0"/>
          <w:numId w:val="5"/>
        </w:numPr>
        <w:spacing w:line="360" w:lineRule="exact"/>
        <w:rPr>
          <w:rFonts w:ascii="Arial" w:hAnsi="Arial" w:cs="Arial"/>
          <w:sz w:val="24"/>
          <w:szCs w:val="24"/>
        </w:rPr>
      </w:pPr>
      <w:r w:rsidRPr="00F2256D">
        <w:rPr>
          <w:rFonts w:ascii="Arial" w:hAnsi="Arial" w:cs="Arial"/>
          <w:sz w:val="24"/>
          <w:szCs w:val="24"/>
        </w:rPr>
        <w:t xml:space="preserve">0.5 ml of suspension in a pre-filled syringe (type I glass) with a plunger stopper (rubber butyl) with or without needles in pack sizes of 1 and 10, or </w:t>
      </w:r>
    </w:p>
    <w:p w:rsidR="00014864" w:rsidRPr="00F2256D" w:rsidRDefault="00014864">
      <w:pPr>
        <w:numPr>
          <w:ilvl w:val="0"/>
          <w:numId w:val="5"/>
        </w:numPr>
        <w:tabs>
          <w:tab w:val="left" w:pos="1560"/>
          <w:tab w:val="left" w:pos="2280"/>
        </w:tabs>
        <w:spacing w:line="360" w:lineRule="exact"/>
        <w:rPr>
          <w:rFonts w:ascii="Arial" w:hAnsi="Arial" w:cs="Arial"/>
          <w:b/>
          <w:sz w:val="24"/>
          <w:szCs w:val="24"/>
        </w:rPr>
      </w:pPr>
      <w:r w:rsidRPr="00F2256D">
        <w:rPr>
          <w:rFonts w:ascii="Arial" w:hAnsi="Arial" w:cs="Arial"/>
          <w:sz w:val="24"/>
          <w:szCs w:val="24"/>
        </w:rPr>
        <w:t>0.5 ml of suspension in vial (type I glass) with a stopper (rubber butyl) in pack sizes of 1, 10 and 100.</w:t>
      </w:r>
    </w:p>
    <w:p w:rsidR="00014864" w:rsidRPr="00F2256D" w:rsidRDefault="00014864">
      <w:pPr>
        <w:tabs>
          <w:tab w:val="left" w:pos="720"/>
          <w:tab w:val="left" w:pos="1560"/>
          <w:tab w:val="left" w:pos="2280"/>
        </w:tabs>
        <w:spacing w:line="360" w:lineRule="exact"/>
        <w:rPr>
          <w:rFonts w:ascii="Arial" w:hAnsi="Arial"/>
          <w:b/>
          <w:sz w:val="24"/>
        </w:rPr>
      </w:pPr>
    </w:p>
    <w:p w:rsidR="00014864" w:rsidRPr="00990A2A" w:rsidRDefault="00014864">
      <w:pPr>
        <w:tabs>
          <w:tab w:val="left" w:pos="720"/>
          <w:tab w:val="left" w:pos="1560"/>
          <w:tab w:val="left" w:pos="2280"/>
        </w:tabs>
        <w:spacing w:line="360" w:lineRule="exact"/>
        <w:rPr>
          <w:rFonts w:ascii="Arial" w:hAnsi="Arial" w:cs="Arial"/>
          <w:sz w:val="24"/>
          <w:szCs w:val="24"/>
        </w:rPr>
      </w:pPr>
      <w:r w:rsidRPr="00F2256D">
        <w:rPr>
          <w:rFonts w:ascii="Arial" w:hAnsi="Arial"/>
          <w:sz w:val="24"/>
        </w:rPr>
        <w:t>Not all pack sizes may be marketed.</w:t>
      </w:r>
    </w:p>
    <w:p w:rsidR="00014864" w:rsidRPr="00F2256D" w:rsidRDefault="00014864">
      <w:pPr>
        <w:tabs>
          <w:tab w:val="left" w:pos="720"/>
          <w:tab w:val="left" w:pos="1560"/>
          <w:tab w:val="left" w:pos="2280"/>
        </w:tabs>
        <w:spacing w:line="360" w:lineRule="exact"/>
        <w:rPr>
          <w:rFonts w:ascii="Arial" w:hAnsi="Arial"/>
          <w:b/>
          <w:sz w:val="24"/>
        </w:rPr>
      </w:pPr>
    </w:p>
    <w:p w:rsidR="00014864" w:rsidRPr="000C334F" w:rsidRDefault="00014864">
      <w:pPr>
        <w:tabs>
          <w:tab w:val="left" w:pos="720"/>
          <w:tab w:val="left" w:pos="1560"/>
          <w:tab w:val="left" w:pos="2280"/>
        </w:tabs>
        <w:spacing w:line="360" w:lineRule="exact"/>
        <w:rPr>
          <w:rFonts w:ascii="Arial" w:hAnsi="Arial"/>
          <w:sz w:val="24"/>
          <w:lang w:val="fr-BE"/>
        </w:rPr>
      </w:pPr>
      <w:r w:rsidRPr="000C334F">
        <w:rPr>
          <w:rFonts w:ascii="Arial" w:hAnsi="Arial"/>
          <w:b/>
          <w:sz w:val="24"/>
          <w:lang w:val="fr-BE"/>
        </w:rPr>
        <w:t>MANUFACTURER:</w:t>
      </w:r>
    </w:p>
    <w:p w:rsidR="00014864" w:rsidRPr="000C334F" w:rsidRDefault="00014864">
      <w:pPr>
        <w:tabs>
          <w:tab w:val="left" w:pos="720"/>
          <w:tab w:val="left" w:pos="1560"/>
          <w:tab w:val="left" w:pos="2280"/>
        </w:tabs>
        <w:spacing w:line="360" w:lineRule="exact"/>
        <w:rPr>
          <w:rFonts w:ascii="Arial" w:hAnsi="Arial"/>
          <w:sz w:val="24"/>
          <w:lang w:val="fr-BE"/>
        </w:rPr>
      </w:pPr>
      <w:r w:rsidRPr="000C334F">
        <w:rPr>
          <w:rFonts w:ascii="Arial" w:hAnsi="Arial"/>
          <w:sz w:val="24"/>
          <w:lang w:val="fr-BE"/>
        </w:rPr>
        <w:t xml:space="preserve">GlaxoSmithKline </w:t>
      </w:r>
      <w:proofErr w:type="spellStart"/>
      <w:r w:rsidRPr="000C334F">
        <w:rPr>
          <w:rFonts w:ascii="Arial" w:hAnsi="Arial"/>
          <w:sz w:val="24"/>
          <w:lang w:val="fr-BE"/>
        </w:rPr>
        <w:t>Biologicals</w:t>
      </w:r>
      <w:proofErr w:type="spellEnd"/>
      <w:r w:rsidRPr="000C334F">
        <w:rPr>
          <w:rFonts w:ascii="Arial" w:hAnsi="Arial"/>
          <w:sz w:val="24"/>
          <w:lang w:val="fr-BE"/>
        </w:rPr>
        <w:t xml:space="preserve"> </w:t>
      </w:r>
      <w:proofErr w:type="spellStart"/>
      <w:r w:rsidRPr="000C334F">
        <w:rPr>
          <w:rFonts w:ascii="Arial" w:hAnsi="Arial"/>
          <w:sz w:val="24"/>
          <w:lang w:val="fr-BE"/>
        </w:rPr>
        <w:t>s.a.</w:t>
      </w:r>
      <w:proofErr w:type="spellEnd"/>
    </w:p>
    <w:p w:rsidR="00014864" w:rsidRPr="000C334F" w:rsidRDefault="00014864">
      <w:pPr>
        <w:tabs>
          <w:tab w:val="left" w:pos="720"/>
          <w:tab w:val="left" w:pos="1560"/>
          <w:tab w:val="left" w:pos="2280"/>
        </w:tabs>
        <w:spacing w:line="360" w:lineRule="exact"/>
        <w:rPr>
          <w:rFonts w:ascii="Arial" w:hAnsi="Arial"/>
          <w:sz w:val="24"/>
          <w:lang w:val="fr-BE"/>
        </w:rPr>
      </w:pPr>
      <w:r w:rsidRPr="000C334F">
        <w:rPr>
          <w:rFonts w:ascii="Arial" w:hAnsi="Arial"/>
          <w:sz w:val="24"/>
          <w:lang w:val="fr-BE"/>
        </w:rPr>
        <w:t>Rue de l'Institut, 89</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 xml:space="preserve">1330 </w:t>
      </w:r>
      <w:proofErr w:type="spellStart"/>
      <w:r w:rsidRPr="00F2256D">
        <w:rPr>
          <w:rFonts w:ascii="Arial" w:hAnsi="Arial"/>
          <w:sz w:val="24"/>
        </w:rPr>
        <w:t>Rixensart</w:t>
      </w:r>
      <w:proofErr w:type="spellEnd"/>
    </w:p>
    <w:p w:rsidR="00014864" w:rsidRPr="00F2256D" w:rsidRDefault="00014864">
      <w:pPr>
        <w:tabs>
          <w:tab w:val="left" w:pos="720"/>
          <w:tab w:val="left" w:pos="1560"/>
          <w:tab w:val="left" w:pos="2280"/>
        </w:tabs>
        <w:spacing w:line="360" w:lineRule="exact"/>
        <w:rPr>
          <w:rFonts w:ascii="Arial" w:hAnsi="Arial"/>
          <w:sz w:val="24"/>
        </w:rPr>
      </w:pPr>
      <w:smartTag w:uri="urn:schemas-microsoft-com:office:smarttags" w:element="country-region">
        <w:smartTag w:uri="urn:schemas-microsoft-com:office:smarttags" w:element="place">
          <w:r w:rsidRPr="00F2256D">
            <w:rPr>
              <w:rFonts w:ascii="Arial" w:hAnsi="Arial"/>
              <w:sz w:val="24"/>
            </w:rPr>
            <w:t>Belgium</w:t>
          </w:r>
        </w:smartTag>
      </w:smartTag>
    </w:p>
    <w:p w:rsidR="00014864" w:rsidRPr="00F2256D" w:rsidRDefault="00014864">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b/>
          <w:sz w:val="24"/>
        </w:rPr>
        <w:t>DISTRIBUTED IN AUSTRALIA BY:</w:t>
      </w:r>
    </w:p>
    <w:p w:rsidR="00014864" w:rsidRPr="00F2256D" w:rsidRDefault="00014864">
      <w:pPr>
        <w:tabs>
          <w:tab w:val="left" w:pos="720"/>
          <w:tab w:val="left" w:pos="1560"/>
          <w:tab w:val="left" w:pos="2280"/>
        </w:tabs>
        <w:spacing w:line="360" w:lineRule="exact"/>
        <w:rPr>
          <w:rFonts w:ascii="Arial" w:hAnsi="Arial"/>
          <w:sz w:val="24"/>
        </w:rPr>
      </w:pPr>
      <w:r w:rsidRPr="00F2256D">
        <w:rPr>
          <w:rFonts w:ascii="Arial" w:hAnsi="Arial"/>
          <w:sz w:val="24"/>
        </w:rPr>
        <w:t>GlaxoSmithKline Australia Pty Ltd</w:t>
      </w:r>
    </w:p>
    <w:p w:rsidR="00327E01" w:rsidRDefault="00327E01" w:rsidP="00327E01">
      <w:pPr>
        <w:tabs>
          <w:tab w:val="left" w:pos="720"/>
          <w:tab w:val="left" w:pos="1560"/>
          <w:tab w:val="left" w:pos="2280"/>
        </w:tabs>
        <w:spacing w:line="360" w:lineRule="exact"/>
        <w:rPr>
          <w:rFonts w:ascii="Arial" w:hAnsi="Arial"/>
          <w:sz w:val="24"/>
        </w:rPr>
      </w:pPr>
      <w:r>
        <w:rPr>
          <w:rFonts w:ascii="Arial" w:hAnsi="Arial"/>
          <w:sz w:val="24"/>
        </w:rPr>
        <w:t>Level 4, 436 Johnston Street</w:t>
      </w:r>
    </w:p>
    <w:p w:rsidR="00014864" w:rsidRDefault="00327E01" w:rsidP="00327E01">
      <w:pPr>
        <w:tabs>
          <w:tab w:val="left" w:pos="720"/>
          <w:tab w:val="left" w:pos="1560"/>
          <w:tab w:val="left" w:pos="2280"/>
        </w:tabs>
        <w:spacing w:line="360" w:lineRule="exact"/>
        <w:rPr>
          <w:rFonts w:ascii="Arial" w:hAnsi="Arial"/>
          <w:sz w:val="24"/>
        </w:rPr>
      </w:pPr>
      <w:r>
        <w:rPr>
          <w:rFonts w:ascii="Arial" w:hAnsi="Arial"/>
          <w:sz w:val="24"/>
        </w:rPr>
        <w:t>Abbotsford, Victoria, 3067</w:t>
      </w:r>
    </w:p>
    <w:p w:rsidR="00327E01" w:rsidRPr="00F2256D" w:rsidRDefault="00327E01" w:rsidP="00327E01">
      <w:pPr>
        <w:tabs>
          <w:tab w:val="left" w:pos="720"/>
          <w:tab w:val="left" w:pos="1560"/>
          <w:tab w:val="left" w:pos="2280"/>
        </w:tabs>
        <w:spacing w:line="360" w:lineRule="exact"/>
        <w:rPr>
          <w:rFonts w:ascii="Arial" w:hAnsi="Arial"/>
          <w:sz w:val="24"/>
        </w:rPr>
      </w:pPr>
    </w:p>
    <w:p w:rsidR="00140354" w:rsidRPr="00140354" w:rsidRDefault="00140354" w:rsidP="00140354">
      <w:pPr>
        <w:tabs>
          <w:tab w:val="left" w:pos="720"/>
          <w:tab w:val="left" w:pos="1560"/>
          <w:tab w:val="left" w:pos="2280"/>
        </w:tabs>
        <w:spacing w:line="360" w:lineRule="exact"/>
        <w:rPr>
          <w:rFonts w:ascii="Arial" w:hAnsi="Arial"/>
          <w:sz w:val="24"/>
        </w:rPr>
      </w:pPr>
      <w:r w:rsidRPr="00140354">
        <w:rPr>
          <w:rFonts w:ascii="Arial" w:hAnsi="Arial"/>
          <w:b/>
          <w:sz w:val="24"/>
        </w:rPr>
        <w:t xml:space="preserve">Date of first inclusion in the Australian Register of Therapeutic Goods (the ARTG): </w:t>
      </w:r>
      <w:r w:rsidRPr="00140354">
        <w:rPr>
          <w:rFonts w:ascii="Arial" w:hAnsi="Arial"/>
          <w:sz w:val="24"/>
        </w:rPr>
        <w:t>18 May 2007</w:t>
      </w:r>
    </w:p>
    <w:p w:rsidR="00140354" w:rsidRPr="00140354" w:rsidRDefault="00140354" w:rsidP="00140354">
      <w:pPr>
        <w:tabs>
          <w:tab w:val="left" w:pos="720"/>
          <w:tab w:val="left" w:pos="1560"/>
          <w:tab w:val="left" w:pos="2280"/>
        </w:tabs>
        <w:spacing w:line="360" w:lineRule="exact"/>
        <w:rPr>
          <w:rFonts w:ascii="Arial" w:hAnsi="Arial"/>
          <w:sz w:val="24"/>
        </w:rPr>
      </w:pPr>
    </w:p>
    <w:p w:rsidR="00990A2A" w:rsidRDefault="00140354" w:rsidP="00140354">
      <w:pPr>
        <w:tabs>
          <w:tab w:val="left" w:pos="720"/>
          <w:tab w:val="left" w:pos="1560"/>
          <w:tab w:val="left" w:pos="2280"/>
        </w:tabs>
        <w:spacing w:line="360" w:lineRule="exact"/>
        <w:rPr>
          <w:rFonts w:ascii="Arial" w:hAnsi="Arial"/>
          <w:sz w:val="24"/>
        </w:rPr>
      </w:pPr>
      <w:r w:rsidRPr="00140354">
        <w:rPr>
          <w:rFonts w:ascii="Arial" w:hAnsi="Arial"/>
          <w:sz w:val="24"/>
        </w:rPr>
        <w:t>Date of most recent amendment:</w:t>
      </w:r>
      <w:r>
        <w:rPr>
          <w:rFonts w:ascii="Arial" w:hAnsi="Arial"/>
          <w:sz w:val="24"/>
        </w:rPr>
        <w:t xml:space="preserve"> </w:t>
      </w:r>
      <w:r w:rsidR="00091162">
        <w:rPr>
          <w:rFonts w:ascii="Arial" w:hAnsi="Arial"/>
          <w:sz w:val="24"/>
        </w:rPr>
        <w:t xml:space="preserve"> 21 September 2015</w:t>
      </w:r>
    </w:p>
    <w:p w:rsidR="00140354" w:rsidRDefault="00140354" w:rsidP="00140354">
      <w:pPr>
        <w:tabs>
          <w:tab w:val="left" w:pos="720"/>
          <w:tab w:val="left" w:pos="1560"/>
          <w:tab w:val="left" w:pos="2280"/>
        </w:tabs>
        <w:spacing w:line="360" w:lineRule="exact"/>
        <w:rPr>
          <w:rFonts w:ascii="Arial" w:hAnsi="Arial"/>
          <w:sz w:val="24"/>
        </w:rPr>
      </w:pPr>
    </w:p>
    <w:p w:rsidR="008269A6" w:rsidRDefault="008269A6">
      <w:pPr>
        <w:tabs>
          <w:tab w:val="left" w:pos="720"/>
          <w:tab w:val="left" w:pos="1560"/>
          <w:tab w:val="left" w:pos="2280"/>
        </w:tabs>
        <w:spacing w:line="360" w:lineRule="exact"/>
        <w:rPr>
          <w:rFonts w:ascii="Arial" w:hAnsi="Arial"/>
          <w:sz w:val="24"/>
        </w:rPr>
      </w:pPr>
      <w:r>
        <w:rPr>
          <w:rFonts w:ascii="Arial" w:hAnsi="Arial"/>
          <w:sz w:val="24"/>
        </w:rPr>
        <w:t>Version 11</w:t>
      </w:r>
    </w:p>
    <w:p w:rsidR="008269A6" w:rsidRPr="00972C03" w:rsidRDefault="008269A6">
      <w:pPr>
        <w:tabs>
          <w:tab w:val="left" w:pos="720"/>
          <w:tab w:val="left" w:pos="1560"/>
          <w:tab w:val="left" w:pos="2280"/>
        </w:tabs>
        <w:spacing w:line="360" w:lineRule="exact"/>
        <w:rPr>
          <w:rFonts w:ascii="Arial" w:hAnsi="Arial"/>
          <w:sz w:val="24"/>
        </w:rPr>
      </w:pPr>
    </w:p>
    <w:p w:rsidR="00014864" w:rsidRPr="00F2256D" w:rsidRDefault="00014864">
      <w:pPr>
        <w:tabs>
          <w:tab w:val="left" w:pos="720"/>
          <w:tab w:val="left" w:pos="1560"/>
          <w:tab w:val="left" w:pos="2280"/>
        </w:tabs>
        <w:spacing w:line="360" w:lineRule="exact"/>
      </w:pPr>
      <w:r w:rsidRPr="00F2256D">
        <w:rPr>
          <w:rFonts w:ascii="Arial" w:hAnsi="Arial"/>
        </w:rPr>
        <w:t>CERVARIX</w:t>
      </w:r>
      <w:r w:rsidR="0056748F" w:rsidRPr="00F2256D">
        <w:rPr>
          <w:rFonts w:ascii="Arial" w:hAnsi="Arial"/>
        </w:rPr>
        <w:sym w:font="Symbol" w:char="F0D2"/>
      </w:r>
      <w:r w:rsidRPr="00F2256D">
        <w:rPr>
          <w:rFonts w:ascii="Arial" w:hAnsi="Arial"/>
        </w:rPr>
        <w:t xml:space="preserve"> is a registered trademark of the GlaxoSmithKline group of companies</w:t>
      </w:r>
    </w:p>
    <w:sectPr w:rsidR="00014864" w:rsidRPr="00F2256D" w:rsidSect="009E4053">
      <w:headerReference w:type="default" r:id="rId14"/>
      <w:footerReference w:type="default" r:id="rId15"/>
      <w:headerReference w:type="first" r:id="rId16"/>
      <w:footerReference w:type="first" r:id="rId17"/>
      <w:pgSz w:w="11907" w:h="16840" w:code="9"/>
      <w:pgMar w:top="1134" w:right="1134" w:bottom="851" w:left="1134" w:header="510" w:footer="44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8C" w:rsidRDefault="0080048C">
      <w:pPr>
        <w:spacing w:line="240" w:lineRule="auto"/>
      </w:pPr>
      <w:r>
        <w:separator/>
      </w:r>
    </w:p>
  </w:endnote>
  <w:endnote w:type="continuationSeparator" w:id="0">
    <w:p w:rsidR="0080048C" w:rsidRDefault="00800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QWEF I+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1E" w:rsidRDefault="00BB411E">
    <w:pPr>
      <w:pStyle w:val="Footer"/>
      <w:tabs>
        <w:tab w:val="clear" w:pos="4153"/>
        <w:tab w:val="clear" w:pos="8306"/>
        <w:tab w:val="center" w:pos="4820"/>
        <w:tab w:val="right" w:pos="9639"/>
      </w:tabs>
    </w:pPr>
    <w:r>
      <w:tab/>
    </w:r>
    <w:r w:rsidR="00B66017">
      <w:rPr>
        <w:rStyle w:val="PageNumber"/>
      </w:rPr>
      <w:fldChar w:fldCharType="begin"/>
    </w:r>
    <w:r>
      <w:rPr>
        <w:rStyle w:val="PageNumber"/>
      </w:rPr>
      <w:instrText xml:space="preserve"> PAGE </w:instrText>
    </w:r>
    <w:r w:rsidR="00B66017">
      <w:rPr>
        <w:rStyle w:val="PageNumber"/>
      </w:rPr>
      <w:fldChar w:fldCharType="separate"/>
    </w:r>
    <w:r w:rsidR="00B24880">
      <w:rPr>
        <w:rStyle w:val="PageNumber"/>
        <w:noProof/>
      </w:rPr>
      <w:t>2</w:t>
    </w:r>
    <w:r w:rsidR="00B66017">
      <w:rPr>
        <w:rStyle w:val="PageNumber"/>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11E" w:rsidRDefault="00BB411E">
    <w:pPr>
      <w:pStyle w:val="Footer"/>
      <w:tabs>
        <w:tab w:val="clear" w:pos="4153"/>
        <w:tab w:val="clear" w:pos="8306"/>
        <w:tab w:val="center" w:pos="4820"/>
        <w:tab w:val="right" w:pos="9639"/>
      </w:tabs>
    </w:pPr>
    <w:r>
      <w:tab/>
    </w:r>
    <w:r w:rsidR="00B66017">
      <w:rPr>
        <w:rStyle w:val="PageNumber"/>
      </w:rPr>
      <w:fldChar w:fldCharType="begin"/>
    </w:r>
    <w:r>
      <w:rPr>
        <w:rStyle w:val="PageNumber"/>
      </w:rPr>
      <w:instrText xml:space="preserve"> PAGE </w:instrText>
    </w:r>
    <w:r w:rsidR="00B66017">
      <w:rPr>
        <w:rStyle w:val="PageNumber"/>
      </w:rPr>
      <w:fldChar w:fldCharType="separate"/>
    </w:r>
    <w:r w:rsidR="00B24880">
      <w:rPr>
        <w:rStyle w:val="PageNumber"/>
        <w:noProof/>
      </w:rPr>
      <w:t>1</w:t>
    </w:r>
    <w:r w:rsidR="00B66017">
      <w:rPr>
        <w:rStyle w:val="PageNumber"/>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8C" w:rsidRDefault="0080048C">
      <w:pPr>
        <w:spacing w:line="240" w:lineRule="auto"/>
      </w:pPr>
      <w:r>
        <w:separator/>
      </w:r>
    </w:p>
  </w:footnote>
  <w:footnote w:type="continuationSeparator" w:id="0">
    <w:p w:rsidR="0080048C" w:rsidRDefault="008004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C35972" w:rsidTr="003C593C">
      <w:tc>
        <w:tcPr>
          <w:tcW w:w="8720" w:type="dxa"/>
          <w:shd w:val="clear" w:color="auto" w:fill="E4F2E0"/>
        </w:tcPr>
        <w:p w:rsidR="00C35972" w:rsidRPr="00C35972" w:rsidRDefault="00C35972" w:rsidP="003C593C">
          <w:pPr>
            <w:spacing w:before="40" w:after="40" w:line="240" w:lineRule="auto"/>
            <w:rPr>
              <w:rFonts w:ascii="Cambria" w:hAnsi="Cambria"/>
              <w:b/>
            </w:rPr>
          </w:pPr>
          <w:r w:rsidRPr="00C35972">
            <w:rPr>
              <w:rFonts w:ascii="Cambria" w:hAnsi="Cambria"/>
              <w:b/>
            </w:rPr>
            <w:t xml:space="preserve">Attachment 1: Product information for </w:t>
          </w:r>
          <w:proofErr w:type="spellStart"/>
          <w:r w:rsidRPr="00C35972">
            <w:rPr>
              <w:rFonts w:ascii="Cambria" w:hAnsi="Cambria"/>
              <w:b/>
            </w:rPr>
            <w:t>AusPAR</w:t>
          </w:r>
          <w:proofErr w:type="spellEnd"/>
          <w:r w:rsidRPr="00C35972">
            <w:rPr>
              <w:rFonts w:ascii="Cambria" w:hAnsi="Cambria"/>
              <w:b/>
            </w:rPr>
            <w:t xml:space="preserve"> </w:t>
          </w:r>
          <w:proofErr w:type="spellStart"/>
          <w:r w:rsidRPr="00C35972">
            <w:rPr>
              <w:rFonts w:ascii="Cambria" w:hAnsi="Cambria"/>
              <w:b/>
            </w:rPr>
            <w:t>Cervarix</w:t>
          </w:r>
          <w:proofErr w:type="spellEnd"/>
          <w:r w:rsidRPr="00C35972">
            <w:rPr>
              <w:rFonts w:ascii="Cambria" w:hAnsi="Cambria"/>
              <w:b/>
            </w:rPr>
            <w:t xml:space="preserve"> GlaxoSmithKline Australia Pty Ltd PM-2014-01893-1-2</w:t>
          </w:r>
          <w:r>
            <w:rPr>
              <w:rFonts w:ascii="Cambria" w:hAnsi="Cambria"/>
              <w:b/>
            </w:rPr>
            <w:t xml:space="preserve"> </w:t>
          </w:r>
          <w:r w:rsidRPr="00C35972">
            <w:rPr>
              <w:rFonts w:ascii="Cambria" w:hAnsi="Cambria"/>
              <w:b/>
            </w:rPr>
            <w:t xml:space="preserve">Final 4 January 2016. This Product Information was approved at the time this </w:t>
          </w:r>
          <w:proofErr w:type="spellStart"/>
          <w:r w:rsidRPr="00C35972">
            <w:rPr>
              <w:rFonts w:ascii="Cambria" w:hAnsi="Cambria"/>
              <w:b/>
            </w:rPr>
            <w:t>AusPAR</w:t>
          </w:r>
          <w:proofErr w:type="spellEnd"/>
          <w:r w:rsidRPr="00C35972">
            <w:rPr>
              <w:rFonts w:ascii="Cambria" w:hAnsi="Cambria"/>
              <w:b/>
            </w:rPr>
            <w:t xml:space="preserve"> was published.</w:t>
          </w:r>
        </w:p>
      </w:tc>
    </w:tr>
  </w:tbl>
  <w:p w:rsidR="00C35972" w:rsidRDefault="00C359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C35972" w:rsidTr="003C593C">
      <w:tc>
        <w:tcPr>
          <w:tcW w:w="8720" w:type="dxa"/>
          <w:shd w:val="clear" w:color="auto" w:fill="E4F2E0"/>
        </w:tcPr>
        <w:p w:rsidR="00C35972" w:rsidRPr="00C35972" w:rsidRDefault="00C35972" w:rsidP="00C35972">
          <w:pPr>
            <w:spacing w:before="40" w:after="40" w:line="240" w:lineRule="auto"/>
            <w:rPr>
              <w:rFonts w:ascii="Cambria" w:hAnsi="Cambria"/>
              <w:b/>
            </w:rPr>
          </w:pPr>
          <w:r w:rsidRPr="00C35972">
            <w:rPr>
              <w:rFonts w:ascii="Cambria" w:hAnsi="Cambria"/>
              <w:b/>
            </w:rPr>
            <w:t xml:space="preserve">Attachment 1: Product information for </w:t>
          </w:r>
          <w:proofErr w:type="spellStart"/>
          <w:r w:rsidRPr="00C35972">
            <w:rPr>
              <w:rFonts w:ascii="Cambria" w:hAnsi="Cambria"/>
              <w:b/>
            </w:rPr>
            <w:t>AusPAR</w:t>
          </w:r>
          <w:proofErr w:type="spellEnd"/>
          <w:r w:rsidRPr="00C35972">
            <w:rPr>
              <w:rFonts w:ascii="Cambria" w:hAnsi="Cambria"/>
              <w:b/>
            </w:rPr>
            <w:t xml:space="preserve"> </w:t>
          </w:r>
          <w:proofErr w:type="spellStart"/>
          <w:r w:rsidRPr="00C35972">
            <w:rPr>
              <w:rFonts w:ascii="Cambria" w:hAnsi="Cambria"/>
              <w:b/>
            </w:rPr>
            <w:t>Cervarix</w:t>
          </w:r>
          <w:proofErr w:type="spellEnd"/>
          <w:r w:rsidRPr="00C35972">
            <w:rPr>
              <w:rFonts w:ascii="Cambria" w:hAnsi="Cambria"/>
              <w:b/>
            </w:rPr>
            <w:t xml:space="preserve"> GlaxoSmithKline Australia Pty Ltd PM-2014-01893-1-2</w:t>
          </w:r>
          <w:r>
            <w:rPr>
              <w:rFonts w:ascii="Cambria" w:hAnsi="Cambria"/>
              <w:b/>
            </w:rPr>
            <w:t xml:space="preserve"> </w:t>
          </w:r>
          <w:r w:rsidRPr="00C35972">
            <w:rPr>
              <w:rFonts w:ascii="Cambria" w:hAnsi="Cambria"/>
              <w:b/>
            </w:rPr>
            <w:t xml:space="preserve">Final 4 January 2016. This Product Information was approved at the time this </w:t>
          </w:r>
          <w:proofErr w:type="spellStart"/>
          <w:r w:rsidRPr="00C35972">
            <w:rPr>
              <w:rFonts w:ascii="Cambria" w:hAnsi="Cambria"/>
              <w:b/>
            </w:rPr>
            <w:t>AusPAR</w:t>
          </w:r>
          <w:proofErr w:type="spellEnd"/>
          <w:r w:rsidRPr="00C35972">
            <w:rPr>
              <w:rFonts w:ascii="Cambria" w:hAnsi="Cambria"/>
              <w:b/>
            </w:rPr>
            <w:t xml:space="preserve"> was published.</w:t>
          </w:r>
        </w:p>
      </w:tc>
    </w:tr>
  </w:tbl>
  <w:p w:rsidR="00C35972" w:rsidRDefault="00C359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156415"/>
    <w:multiLevelType w:val="hybridMultilevel"/>
    <w:tmpl w:val="037C23AA"/>
    <w:lvl w:ilvl="0" w:tplc="3B709DD8">
      <w:start w:val="2"/>
      <w:numFmt w:val="decimal"/>
      <w:lvlText w:val="%1."/>
      <w:lvlJc w:val="left"/>
      <w:pPr>
        <w:tabs>
          <w:tab w:val="num" w:pos="303"/>
        </w:tabs>
        <w:ind w:left="303" w:hanging="360"/>
      </w:pPr>
      <w:rPr>
        <w:rFonts w:hint="default"/>
      </w:rPr>
    </w:lvl>
    <w:lvl w:ilvl="1" w:tplc="08090019" w:tentative="1">
      <w:start w:val="1"/>
      <w:numFmt w:val="lowerLetter"/>
      <w:lvlText w:val="%2."/>
      <w:lvlJc w:val="left"/>
      <w:pPr>
        <w:tabs>
          <w:tab w:val="num" w:pos="1023"/>
        </w:tabs>
        <w:ind w:left="1023" w:hanging="360"/>
      </w:pPr>
    </w:lvl>
    <w:lvl w:ilvl="2" w:tplc="0809001B" w:tentative="1">
      <w:start w:val="1"/>
      <w:numFmt w:val="lowerRoman"/>
      <w:lvlText w:val="%3."/>
      <w:lvlJc w:val="right"/>
      <w:pPr>
        <w:tabs>
          <w:tab w:val="num" w:pos="1743"/>
        </w:tabs>
        <w:ind w:left="1743" w:hanging="180"/>
      </w:pPr>
    </w:lvl>
    <w:lvl w:ilvl="3" w:tplc="0809000F" w:tentative="1">
      <w:start w:val="1"/>
      <w:numFmt w:val="decimal"/>
      <w:lvlText w:val="%4."/>
      <w:lvlJc w:val="left"/>
      <w:pPr>
        <w:tabs>
          <w:tab w:val="num" w:pos="2463"/>
        </w:tabs>
        <w:ind w:left="2463" w:hanging="360"/>
      </w:pPr>
    </w:lvl>
    <w:lvl w:ilvl="4" w:tplc="08090019" w:tentative="1">
      <w:start w:val="1"/>
      <w:numFmt w:val="lowerLetter"/>
      <w:lvlText w:val="%5."/>
      <w:lvlJc w:val="left"/>
      <w:pPr>
        <w:tabs>
          <w:tab w:val="num" w:pos="3183"/>
        </w:tabs>
        <w:ind w:left="3183" w:hanging="360"/>
      </w:pPr>
    </w:lvl>
    <w:lvl w:ilvl="5" w:tplc="0809001B" w:tentative="1">
      <w:start w:val="1"/>
      <w:numFmt w:val="lowerRoman"/>
      <w:lvlText w:val="%6."/>
      <w:lvlJc w:val="right"/>
      <w:pPr>
        <w:tabs>
          <w:tab w:val="num" w:pos="3903"/>
        </w:tabs>
        <w:ind w:left="3903" w:hanging="180"/>
      </w:pPr>
    </w:lvl>
    <w:lvl w:ilvl="6" w:tplc="0809000F" w:tentative="1">
      <w:start w:val="1"/>
      <w:numFmt w:val="decimal"/>
      <w:lvlText w:val="%7."/>
      <w:lvlJc w:val="left"/>
      <w:pPr>
        <w:tabs>
          <w:tab w:val="num" w:pos="4623"/>
        </w:tabs>
        <w:ind w:left="4623" w:hanging="360"/>
      </w:pPr>
    </w:lvl>
    <w:lvl w:ilvl="7" w:tplc="08090019" w:tentative="1">
      <w:start w:val="1"/>
      <w:numFmt w:val="lowerLetter"/>
      <w:lvlText w:val="%8."/>
      <w:lvlJc w:val="left"/>
      <w:pPr>
        <w:tabs>
          <w:tab w:val="num" w:pos="5343"/>
        </w:tabs>
        <w:ind w:left="5343" w:hanging="360"/>
      </w:pPr>
    </w:lvl>
    <w:lvl w:ilvl="8" w:tplc="0809001B" w:tentative="1">
      <w:start w:val="1"/>
      <w:numFmt w:val="lowerRoman"/>
      <w:lvlText w:val="%9."/>
      <w:lvlJc w:val="right"/>
      <w:pPr>
        <w:tabs>
          <w:tab w:val="num" w:pos="6063"/>
        </w:tabs>
        <w:ind w:left="6063" w:hanging="180"/>
      </w:pPr>
    </w:lvl>
  </w:abstractNum>
  <w:abstractNum w:abstractNumId="2">
    <w:nsid w:val="05C7664A"/>
    <w:multiLevelType w:val="multilevel"/>
    <w:tmpl w:val="A8E005B2"/>
    <w:lvl w:ilvl="0">
      <w:start w:val="3"/>
      <w:numFmt w:val="decimal"/>
      <w:lvlText w:val="%1."/>
      <w:lvlJc w:val="left"/>
      <w:pPr>
        <w:tabs>
          <w:tab w:val="num" w:pos="303"/>
        </w:tabs>
        <w:ind w:left="303" w:hanging="360"/>
      </w:pPr>
      <w:rPr>
        <w:rFonts w:hint="default"/>
      </w:rPr>
    </w:lvl>
    <w:lvl w:ilvl="1">
      <w:start w:val="1"/>
      <w:numFmt w:val="lowerLetter"/>
      <w:lvlText w:val="%2."/>
      <w:lvlJc w:val="left"/>
      <w:pPr>
        <w:tabs>
          <w:tab w:val="num" w:pos="1023"/>
        </w:tabs>
        <w:ind w:left="1023" w:hanging="360"/>
      </w:pPr>
    </w:lvl>
    <w:lvl w:ilvl="2">
      <w:start w:val="1"/>
      <w:numFmt w:val="lowerRoman"/>
      <w:lvlText w:val="%3."/>
      <w:lvlJc w:val="right"/>
      <w:pPr>
        <w:tabs>
          <w:tab w:val="num" w:pos="1743"/>
        </w:tabs>
        <w:ind w:left="1743" w:hanging="180"/>
      </w:pPr>
    </w:lvl>
    <w:lvl w:ilvl="3">
      <w:start w:val="1"/>
      <w:numFmt w:val="decimal"/>
      <w:lvlText w:val="%4."/>
      <w:lvlJc w:val="left"/>
      <w:pPr>
        <w:tabs>
          <w:tab w:val="num" w:pos="2463"/>
        </w:tabs>
        <w:ind w:left="2463" w:hanging="360"/>
      </w:pPr>
    </w:lvl>
    <w:lvl w:ilvl="4">
      <w:start w:val="1"/>
      <w:numFmt w:val="lowerLetter"/>
      <w:lvlText w:val="%5."/>
      <w:lvlJc w:val="left"/>
      <w:pPr>
        <w:tabs>
          <w:tab w:val="num" w:pos="3183"/>
        </w:tabs>
        <w:ind w:left="3183" w:hanging="360"/>
      </w:pPr>
    </w:lvl>
    <w:lvl w:ilvl="5">
      <w:start w:val="1"/>
      <w:numFmt w:val="lowerRoman"/>
      <w:lvlText w:val="%6."/>
      <w:lvlJc w:val="right"/>
      <w:pPr>
        <w:tabs>
          <w:tab w:val="num" w:pos="3903"/>
        </w:tabs>
        <w:ind w:left="3903" w:hanging="180"/>
      </w:pPr>
    </w:lvl>
    <w:lvl w:ilvl="6">
      <w:start w:val="1"/>
      <w:numFmt w:val="decimal"/>
      <w:lvlText w:val="%7."/>
      <w:lvlJc w:val="left"/>
      <w:pPr>
        <w:tabs>
          <w:tab w:val="num" w:pos="4623"/>
        </w:tabs>
        <w:ind w:left="4623" w:hanging="360"/>
      </w:pPr>
    </w:lvl>
    <w:lvl w:ilvl="7">
      <w:start w:val="1"/>
      <w:numFmt w:val="lowerLetter"/>
      <w:lvlText w:val="%8."/>
      <w:lvlJc w:val="left"/>
      <w:pPr>
        <w:tabs>
          <w:tab w:val="num" w:pos="5343"/>
        </w:tabs>
        <w:ind w:left="5343" w:hanging="360"/>
      </w:pPr>
    </w:lvl>
    <w:lvl w:ilvl="8">
      <w:start w:val="1"/>
      <w:numFmt w:val="lowerRoman"/>
      <w:lvlText w:val="%9."/>
      <w:lvlJc w:val="right"/>
      <w:pPr>
        <w:tabs>
          <w:tab w:val="num" w:pos="6063"/>
        </w:tabs>
        <w:ind w:left="6063" w:hanging="180"/>
      </w:pPr>
    </w:lvl>
  </w:abstractNum>
  <w:abstractNum w:abstractNumId="3">
    <w:nsid w:val="07B27410"/>
    <w:multiLevelType w:val="hybridMultilevel"/>
    <w:tmpl w:val="B12A35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091AE1"/>
    <w:multiLevelType w:val="hybridMultilevel"/>
    <w:tmpl w:val="6694D00C"/>
    <w:lvl w:ilvl="0" w:tplc="EB98BAFE">
      <w:start w:val="1"/>
      <w:numFmt w:val="decimal"/>
      <w:lvlText w:val="(%1)"/>
      <w:lvlJc w:val="left"/>
      <w:pPr>
        <w:ind w:left="2520" w:hanging="360"/>
      </w:pPr>
      <w:rPr>
        <w:vertAlign w:val="superscript"/>
      </w:r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5">
    <w:nsid w:val="127F3750"/>
    <w:multiLevelType w:val="multilevel"/>
    <w:tmpl w:val="2A72A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818017D"/>
    <w:multiLevelType w:val="multilevel"/>
    <w:tmpl w:val="4F9C7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3A484F"/>
    <w:multiLevelType w:val="hybridMultilevel"/>
    <w:tmpl w:val="13701968"/>
    <w:lvl w:ilvl="0" w:tplc="57C6A0E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29140B"/>
    <w:multiLevelType w:val="hybridMultilevel"/>
    <w:tmpl w:val="CDE67DB8"/>
    <w:lvl w:ilvl="0" w:tplc="82DA77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403E50"/>
    <w:multiLevelType w:val="multilevel"/>
    <w:tmpl w:val="2A72AE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E63BA0"/>
    <w:multiLevelType w:val="hybridMultilevel"/>
    <w:tmpl w:val="37BC714C"/>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2CB810CA">
      <w:start w:val="17"/>
      <w:numFmt w:val="decimal"/>
      <w:lvlText w:val="%3"/>
      <w:lvlJc w:val="left"/>
      <w:pPr>
        <w:tabs>
          <w:tab w:val="num" w:pos="2520"/>
        </w:tabs>
        <w:ind w:left="2520" w:hanging="72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12">
    <w:nsid w:val="30E20A78"/>
    <w:multiLevelType w:val="hybridMultilevel"/>
    <w:tmpl w:val="26E0B34E"/>
    <w:lvl w:ilvl="0" w:tplc="7C506EBE">
      <w:start w:val="1"/>
      <w:numFmt w:val="bullet"/>
      <w:lvlText w:val="-"/>
      <w:lvlJc w:val="left"/>
      <w:pPr>
        <w:tabs>
          <w:tab w:val="num" w:pos="720"/>
        </w:tabs>
        <w:ind w:left="720" w:hanging="360"/>
      </w:pPr>
      <w:rPr>
        <w:rFonts w:ascii="Arial" w:hAnsi="Arial" w:hint="default"/>
      </w:rPr>
    </w:lvl>
    <w:lvl w:ilvl="1" w:tplc="114E5F98" w:tentative="1">
      <w:start w:val="1"/>
      <w:numFmt w:val="bullet"/>
      <w:lvlText w:val="o"/>
      <w:lvlJc w:val="left"/>
      <w:pPr>
        <w:tabs>
          <w:tab w:val="num" w:pos="1440"/>
        </w:tabs>
        <w:ind w:left="1440" w:hanging="360"/>
      </w:pPr>
      <w:rPr>
        <w:rFonts w:ascii="Courier New" w:hAnsi="Courier New" w:cs="Courier New" w:hint="default"/>
      </w:rPr>
    </w:lvl>
    <w:lvl w:ilvl="2" w:tplc="E37808FA" w:tentative="1">
      <w:start w:val="1"/>
      <w:numFmt w:val="bullet"/>
      <w:lvlText w:val=""/>
      <w:lvlJc w:val="left"/>
      <w:pPr>
        <w:tabs>
          <w:tab w:val="num" w:pos="2160"/>
        </w:tabs>
        <w:ind w:left="2160" w:hanging="360"/>
      </w:pPr>
      <w:rPr>
        <w:rFonts w:ascii="Wingdings" w:hAnsi="Wingdings" w:hint="default"/>
      </w:rPr>
    </w:lvl>
    <w:lvl w:ilvl="3" w:tplc="D562C322" w:tentative="1">
      <w:start w:val="1"/>
      <w:numFmt w:val="bullet"/>
      <w:lvlText w:val=""/>
      <w:lvlJc w:val="left"/>
      <w:pPr>
        <w:tabs>
          <w:tab w:val="num" w:pos="2880"/>
        </w:tabs>
        <w:ind w:left="2880" w:hanging="360"/>
      </w:pPr>
      <w:rPr>
        <w:rFonts w:ascii="Symbol" w:hAnsi="Symbol" w:hint="default"/>
      </w:rPr>
    </w:lvl>
    <w:lvl w:ilvl="4" w:tplc="7BDC1F82" w:tentative="1">
      <w:start w:val="1"/>
      <w:numFmt w:val="bullet"/>
      <w:lvlText w:val="o"/>
      <w:lvlJc w:val="left"/>
      <w:pPr>
        <w:tabs>
          <w:tab w:val="num" w:pos="3600"/>
        </w:tabs>
        <w:ind w:left="3600" w:hanging="360"/>
      </w:pPr>
      <w:rPr>
        <w:rFonts w:ascii="Courier New" w:hAnsi="Courier New" w:cs="Courier New" w:hint="default"/>
      </w:rPr>
    </w:lvl>
    <w:lvl w:ilvl="5" w:tplc="363AC168" w:tentative="1">
      <w:start w:val="1"/>
      <w:numFmt w:val="bullet"/>
      <w:lvlText w:val=""/>
      <w:lvlJc w:val="left"/>
      <w:pPr>
        <w:tabs>
          <w:tab w:val="num" w:pos="4320"/>
        </w:tabs>
        <w:ind w:left="4320" w:hanging="360"/>
      </w:pPr>
      <w:rPr>
        <w:rFonts w:ascii="Wingdings" w:hAnsi="Wingdings" w:hint="default"/>
      </w:rPr>
    </w:lvl>
    <w:lvl w:ilvl="6" w:tplc="5AFABE9C" w:tentative="1">
      <w:start w:val="1"/>
      <w:numFmt w:val="bullet"/>
      <w:lvlText w:val=""/>
      <w:lvlJc w:val="left"/>
      <w:pPr>
        <w:tabs>
          <w:tab w:val="num" w:pos="5040"/>
        </w:tabs>
        <w:ind w:left="5040" w:hanging="360"/>
      </w:pPr>
      <w:rPr>
        <w:rFonts w:ascii="Symbol" w:hAnsi="Symbol" w:hint="default"/>
      </w:rPr>
    </w:lvl>
    <w:lvl w:ilvl="7" w:tplc="D832ABA4" w:tentative="1">
      <w:start w:val="1"/>
      <w:numFmt w:val="bullet"/>
      <w:lvlText w:val="o"/>
      <w:lvlJc w:val="left"/>
      <w:pPr>
        <w:tabs>
          <w:tab w:val="num" w:pos="5760"/>
        </w:tabs>
        <w:ind w:left="5760" w:hanging="360"/>
      </w:pPr>
      <w:rPr>
        <w:rFonts w:ascii="Courier New" w:hAnsi="Courier New" w:cs="Courier New" w:hint="default"/>
      </w:rPr>
    </w:lvl>
    <w:lvl w:ilvl="8" w:tplc="4E7C601A" w:tentative="1">
      <w:start w:val="1"/>
      <w:numFmt w:val="bullet"/>
      <w:lvlText w:val=""/>
      <w:lvlJc w:val="left"/>
      <w:pPr>
        <w:tabs>
          <w:tab w:val="num" w:pos="6480"/>
        </w:tabs>
        <w:ind w:left="6480" w:hanging="360"/>
      </w:pPr>
      <w:rPr>
        <w:rFonts w:ascii="Wingdings" w:hAnsi="Wingdings" w:hint="default"/>
      </w:rPr>
    </w:lvl>
  </w:abstractNum>
  <w:abstractNum w:abstractNumId="13">
    <w:nsid w:val="3C385E90"/>
    <w:multiLevelType w:val="multilevel"/>
    <w:tmpl w:val="8F5A15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FF548AE"/>
    <w:multiLevelType w:val="hybridMultilevel"/>
    <w:tmpl w:val="5D8C4DE0"/>
    <w:lvl w:ilvl="0" w:tplc="FAFAD200">
      <w:numFmt w:val="bullet"/>
      <w:lvlText w:val="-"/>
      <w:lvlJc w:val="left"/>
      <w:pPr>
        <w:tabs>
          <w:tab w:val="num" w:pos="495"/>
        </w:tabs>
        <w:ind w:left="495" w:hanging="495"/>
      </w:pPr>
      <w:rPr>
        <w:rFonts w:ascii="Arial" w:eastAsia="Times New Roman" w:hAnsi="Arial" w:cs="Arial" w:hint="default"/>
      </w:rPr>
    </w:lvl>
    <w:lvl w:ilvl="1" w:tplc="C1964C9E" w:tentative="1">
      <w:start w:val="1"/>
      <w:numFmt w:val="bullet"/>
      <w:lvlText w:val="o"/>
      <w:lvlJc w:val="left"/>
      <w:pPr>
        <w:tabs>
          <w:tab w:val="num" w:pos="1080"/>
        </w:tabs>
        <w:ind w:left="1080" w:hanging="360"/>
      </w:pPr>
      <w:rPr>
        <w:rFonts w:ascii="Courier New" w:hAnsi="Courier New" w:cs="Courier New" w:hint="default"/>
      </w:rPr>
    </w:lvl>
    <w:lvl w:ilvl="2" w:tplc="B62A031C" w:tentative="1">
      <w:start w:val="1"/>
      <w:numFmt w:val="bullet"/>
      <w:lvlText w:val=""/>
      <w:lvlJc w:val="left"/>
      <w:pPr>
        <w:tabs>
          <w:tab w:val="num" w:pos="1800"/>
        </w:tabs>
        <w:ind w:left="1800" w:hanging="360"/>
      </w:pPr>
      <w:rPr>
        <w:rFonts w:ascii="Wingdings" w:hAnsi="Wingdings" w:hint="default"/>
      </w:rPr>
    </w:lvl>
    <w:lvl w:ilvl="3" w:tplc="ABBE0612" w:tentative="1">
      <w:start w:val="1"/>
      <w:numFmt w:val="bullet"/>
      <w:lvlText w:val=""/>
      <w:lvlJc w:val="left"/>
      <w:pPr>
        <w:tabs>
          <w:tab w:val="num" w:pos="2520"/>
        </w:tabs>
        <w:ind w:left="2520" w:hanging="360"/>
      </w:pPr>
      <w:rPr>
        <w:rFonts w:ascii="Symbol" w:hAnsi="Symbol" w:hint="default"/>
      </w:rPr>
    </w:lvl>
    <w:lvl w:ilvl="4" w:tplc="4F54C508" w:tentative="1">
      <w:start w:val="1"/>
      <w:numFmt w:val="bullet"/>
      <w:lvlText w:val="o"/>
      <w:lvlJc w:val="left"/>
      <w:pPr>
        <w:tabs>
          <w:tab w:val="num" w:pos="3240"/>
        </w:tabs>
        <w:ind w:left="3240" w:hanging="360"/>
      </w:pPr>
      <w:rPr>
        <w:rFonts w:ascii="Courier New" w:hAnsi="Courier New" w:cs="Courier New" w:hint="default"/>
      </w:rPr>
    </w:lvl>
    <w:lvl w:ilvl="5" w:tplc="75140076" w:tentative="1">
      <w:start w:val="1"/>
      <w:numFmt w:val="bullet"/>
      <w:lvlText w:val=""/>
      <w:lvlJc w:val="left"/>
      <w:pPr>
        <w:tabs>
          <w:tab w:val="num" w:pos="3960"/>
        </w:tabs>
        <w:ind w:left="3960" w:hanging="360"/>
      </w:pPr>
      <w:rPr>
        <w:rFonts w:ascii="Wingdings" w:hAnsi="Wingdings" w:hint="default"/>
      </w:rPr>
    </w:lvl>
    <w:lvl w:ilvl="6" w:tplc="EC02B11E" w:tentative="1">
      <w:start w:val="1"/>
      <w:numFmt w:val="bullet"/>
      <w:lvlText w:val=""/>
      <w:lvlJc w:val="left"/>
      <w:pPr>
        <w:tabs>
          <w:tab w:val="num" w:pos="4680"/>
        </w:tabs>
        <w:ind w:left="4680" w:hanging="360"/>
      </w:pPr>
      <w:rPr>
        <w:rFonts w:ascii="Symbol" w:hAnsi="Symbol" w:hint="default"/>
      </w:rPr>
    </w:lvl>
    <w:lvl w:ilvl="7" w:tplc="6EF05D6E" w:tentative="1">
      <w:start w:val="1"/>
      <w:numFmt w:val="bullet"/>
      <w:lvlText w:val="o"/>
      <w:lvlJc w:val="left"/>
      <w:pPr>
        <w:tabs>
          <w:tab w:val="num" w:pos="5400"/>
        </w:tabs>
        <w:ind w:left="5400" w:hanging="360"/>
      </w:pPr>
      <w:rPr>
        <w:rFonts w:ascii="Courier New" w:hAnsi="Courier New" w:cs="Courier New" w:hint="default"/>
      </w:rPr>
    </w:lvl>
    <w:lvl w:ilvl="8" w:tplc="DCF66D0C" w:tentative="1">
      <w:start w:val="1"/>
      <w:numFmt w:val="bullet"/>
      <w:lvlText w:val=""/>
      <w:lvlJc w:val="left"/>
      <w:pPr>
        <w:tabs>
          <w:tab w:val="num" w:pos="6120"/>
        </w:tabs>
        <w:ind w:left="6120" w:hanging="360"/>
      </w:pPr>
      <w:rPr>
        <w:rFonts w:ascii="Wingdings" w:hAnsi="Wingdings" w:hint="default"/>
      </w:rPr>
    </w:lvl>
  </w:abstractNum>
  <w:abstractNum w:abstractNumId="15">
    <w:nsid w:val="48B6213B"/>
    <w:multiLevelType w:val="hybridMultilevel"/>
    <w:tmpl w:val="075A7CF2"/>
    <w:lvl w:ilvl="0" w:tplc="95B2634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32B68CA"/>
    <w:multiLevelType w:val="hybridMultilevel"/>
    <w:tmpl w:val="517212F0"/>
    <w:lvl w:ilvl="0" w:tplc="9D402330">
      <w:start w:val="1"/>
      <w:numFmt w:val="decimal"/>
      <w:lvlText w:val="%1."/>
      <w:lvlJc w:val="left"/>
      <w:pPr>
        <w:ind w:left="720" w:hanging="360"/>
      </w:pPr>
      <w:rPr>
        <w:rFonts w:ascii="Times New Roman" w:hAnsi="Times New Roman" w:cs="Times New Roman" w:hint="default"/>
        <w:b/>
        <w:i/>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982499"/>
    <w:multiLevelType w:val="hybridMultilevel"/>
    <w:tmpl w:val="62586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F77CE9"/>
    <w:multiLevelType w:val="hybridMultilevel"/>
    <w:tmpl w:val="8F5A15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88111A8"/>
    <w:multiLevelType w:val="hybridMultilevel"/>
    <w:tmpl w:val="2B98C80E"/>
    <w:lvl w:ilvl="0" w:tplc="B0E4AC4A">
      <w:numFmt w:val="bullet"/>
      <w:lvlText w:val="-"/>
      <w:lvlJc w:val="left"/>
      <w:pPr>
        <w:tabs>
          <w:tab w:val="num" w:pos="420"/>
        </w:tabs>
        <w:ind w:left="420" w:hanging="360"/>
      </w:pPr>
      <w:rPr>
        <w:rFonts w:ascii="Arial Bold" w:eastAsia="Times New Roman" w:hAnsi="Arial Bold"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20">
    <w:nsid w:val="684600D5"/>
    <w:multiLevelType w:val="hybridMultilevel"/>
    <w:tmpl w:val="A0322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14E186B"/>
    <w:multiLevelType w:val="hybridMultilevel"/>
    <w:tmpl w:val="024EA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2A598C"/>
    <w:multiLevelType w:val="hybridMultilevel"/>
    <w:tmpl w:val="2A72A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2"/>
  </w:num>
  <w:num w:numId="3">
    <w:abstractNumId w:val="9"/>
  </w:num>
  <w:num w:numId="4">
    <w:abstractNumId w:val="5"/>
  </w:num>
  <w:num w:numId="5">
    <w:abstractNumId w:val="12"/>
  </w:num>
  <w:num w:numId="6">
    <w:abstractNumId w:val="11"/>
  </w:num>
  <w:num w:numId="7">
    <w:abstractNumId w:val="18"/>
  </w:num>
  <w:num w:numId="8">
    <w:abstractNumId w:val="13"/>
  </w:num>
  <w:num w:numId="9">
    <w:abstractNumId w:val="3"/>
  </w:num>
  <w:num w:numId="10">
    <w:abstractNumId w:val="14"/>
  </w:num>
  <w:num w:numId="11">
    <w:abstractNumId w:val="15"/>
  </w:num>
  <w:num w:numId="12">
    <w:abstractNumId w:val="10"/>
  </w:num>
  <w:num w:numId="13">
    <w:abstractNumId w:val="19"/>
  </w:num>
  <w:num w:numId="14">
    <w:abstractNumId w:val="1"/>
  </w:num>
  <w:num w:numId="15">
    <w:abstractNumId w:val="2"/>
  </w:num>
  <w:num w:numId="16">
    <w:abstractNumId w:val="20"/>
  </w:num>
  <w:num w:numId="17">
    <w:abstractNumId w:val="16"/>
  </w:num>
  <w:num w:numId="18">
    <w:abstractNumId w:val="6"/>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27C5"/>
    <w:rsid w:val="00001032"/>
    <w:rsid w:val="000023A3"/>
    <w:rsid w:val="0000667F"/>
    <w:rsid w:val="00006BBB"/>
    <w:rsid w:val="00010961"/>
    <w:rsid w:val="00014864"/>
    <w:rsid w:val="00025607"/>
    <w:rsid w:val="0002641E"/>
    <w:rsid w:val="00026C94"/>
    <w:rsid w:val="00037B04"/>
    <w:rsid w:val="00041EFB"/>
    <w:rsid w:val="00043C05"/>
    <w:rsid w:val="00045DB1"/>
    <w:rsid w:val="00047736"/>
    <w:rsid w:val="000505AF"/>
    <w:rsid w:val="000556A8"/>
    <w:rsid w:val="000641F1"/>
    <w:rsid w:val="000644CF"/>
    <w:rsid w:val="00065B1F"/>
    <w:rsid w:val="00080F4A"/>
    <w:rsid w:val="000847FC"/>
    <w:rsid w:val="0008618D"/>
    <w:rsid w:val="00091162"/>
    <w:rsid w:val="000922DF"/>
    <w:rsid w:val="000A0638"/>
    <w:rsid w:val="000A13E0"/>
    <w:rsid w:val="000A6D06"/>
    <w:rsid w:val="000A7C16"/>
    <w:rsid w:val="000A7D09"/>
    <w:rsid w:val="000B678F"/>
    <w:rsid w:val="000B7FB7"/>
    <w:rsid w:val="000C334F"/>
    <w:rsid w:val="000D293D"/>
    <w:rsid w:val="000D297D"/>
    <w:rsid w:val="000D4003"/>
    <w:rsid w:val="000D5022"/>
    <w:rsid w:val="000E1B8C"/>
    <w:rsid w:val="000E27CB"/>
    <w:rsid w:val="000F40F4"/>
    <w:rsid w:val="000F422D"/>
    <w:rsid w:val="001002A5"/>
    <w:rsid w:val="001077C7"/>
    <w:rsid w:val="00110099"/>
    <w:rsid w:val="001118E9"/>
    <w:rsid w:val="00112C1F"/>
    <w:rsid w:val="00114168"/>
    <w:rsid w:val="00120691"/>
    <w:rsid w:val="0012237E"/>
    <w:rsid w:val="0012430C"/>
    <w:rsid w:val="001306FD"/>
    <w:rsid w:val="001325FF"/>
    <w:rsid w:val="00133B72"/>
    <w:rsid w:val="00134629"/>
    <w:rsid w:val="00134E37"/>
    <w:rsid w:val="001371CB"/>
    <w:rsid w:val="00140354"/>
    <w:rsid w:val="00140DAC"/>
    <w:rsid w:val="00142A46"/>
    <w:rsid w:val="001453E3"/>
    <w:rsid w:val="0014770D"/>
    <w:rsid w:val="00147D3C"/>
    <w:rsid w:val="00147FD7"/>
    <w:rsid w:val="00156807"/>
    <w:rsid w:val="001578CA"/>
    <w:rsid w:val="001604A9"/>
    <w:rsid w:val="00163B8F"/>
    <w:rsid w:val="001643C7"/>
    <w:rsid w:val="00170B59"/>
    <w:rsid w:val="00175CED"/>
    <w:rsid w:val="00181D92"/>
    <w:rsid w:val="001843B2"/>
    <w:rsid w:val="00186052"/>
    <w:rsid w:val="00187477"/>
    <w:rsid w:val="00190703"/>
    <w:rsid w:val="00190E61"/>
    <w:rsid w:val="00196FC9"/>
    <w:rsid w:val="001A688B"/>
    <w:rsid w:val="001A77A2"/>
    <w:rsid w:val="001B050E"/>
    <w:rsid w:val="001B0F4B"/>
    <w:rsid w:val="001C1148"/>
    <w:rsid w:val="001C1E38"/>
    <w:rsid w:val="001D4C38"/>
    <w:rsid w:val="001E22D2"/>
    <w:rsid w:val="001E2D1B"/>
    <w:rsid w:val="001E4963"/>
    <w:rsid w:val="001F0384"/>
    <w:rsid w:val="001F0CB3"/>
    <w:rsid w:val="001F48D0"/>
    <w:rsid w:val="002001FF"/>
    <w:rsid w:val="002038CC"/>
    <w:rsid w:val="00206989"/>
    <w:rsid w:val="002169E0"/>
    <w:rsid w:val="00224E37"/>
    <w:rsid w:val="0022755C"/>
    <w:rsid w:val="00230BA4"/>
    <w:rsid w:val="002312C8"/>
    <w:rsid w:val="002322F1"/>
    <w:rsid w:val="002344F5"/>
    <w:rsid w:val="00234C25"/>
    <w:rsid w:val="002379DA"/>
    <w:rsid w:val="002402E7"/>
    <w:rsid w:val="00241206"/>
    <w:rsid w:val="00243A4B"/>
    <w:rsid w:val="0025581C"/>
    <w:rsid w:val="00261B41"/>
    <w:rsid w:val="00262BE1"/>
    <w:rsid w:val="00264DD7"/>
    <w:rsid w:val="00284E92"/>
    <w:rsid w:val="00297896"/>
    <w:rsid w:val="002A0A88"/>
    <w:rsid w:val="002A1EF7"/>
    <w:rsid w:val="002A3327"/>
    <w:rsid w:val="002B1FAF"/>
    <w:rsid w:val="002C03D9"/>
    <w:rsid w:val="002C0E90"/>
    <w:rsid w:val="002C4F52"/>
    <w:rsid w:val="002C54CD"/>
    <w:rsid w:val="002D101C"/>
    <w:rsid w:val="002D1F1C"/>
    <w:rsid w:val="002E0DC8"/>
    <w:rsid w:val="002E4A75"/>
    <w:rsid w:val="002F2DA9"/>
    <w:rsid w:val="002F41CD"/>
    <w:rsid w:val="00302688"/>
    <w:rsid w:val="00303DBA"/>
    <w:rsid w:val="0030700D"/>
    <w:rsid w:val="00323A98"/>
    <w:rsid w:val="00323FFF"/>
    <w:rsid w:val="00327B1D"/>
    <w:rsid w:val="00327E01"/>
    <w:rsid w:val="00337B63"/>
    <w:rsid w:val="00337F18"/>
    <w:rsid w:val="00340B74"/>
    <w:rsid w:val="00346FAE"/>
    <w:rsid w:val="00355836"/>
    <w:rsid w:val="00356FF0"/>
    <w:rsid w:val="003626C7"/>
    <w:rsid w:val="00365BB2"/>
    <w:rsid w:val="00371767"/>
    <w:rsid w:val="00375BD3"/>
    <w:rsid w:val="00380544"/>
    <w:rsid w:val="00384FD6"/>
    <w:rsid w:val="0038716E"/>
    <w:rsid w:val="00387DA9"/>
    <w:rsid w:val="00395F07"/>
    <w:rsid w:val="003971C7"/>
    <w:rsid w:val="003A2918"/>
    <w:rsid w:val="003A2AAB"/>
    <w:rsid w:val="003A5B7F"/>
    <w:rsid w:val="003B2A0B"/>
    <w:rsid w:val="003B58D5"/>
    <w:rsid w:val="003C3F6E"/>
    <w:rsid w:val="003C6F11"/>
    <w:rsid w:val="003D0442"/>
    <w:rsid w:val="003D2ECB"/>
    <w:rsid w:val="003E1452"/>
    <w:rsid w:val="003E309A"/>
    <w:rsid w:val="003E7208"/>
    <w:rsid w:val="003F4245"/>
    <w:rsid w:val="00410C29"/>
    <w:rsid w:val="00412B4B"/>
    <w:rsid w:val="004142A3"/>
    <w:rsid w:val="004175A0"/>
    <w:rsid w:val="004248BF"/>
    <w:rsid w:val="00424928"/>
    <w:rsid w:val="004272F4"/>
    <w:rsid w:val="00430765"/>
    <w:rsid w:val="00432CB3"/>
    <w:rsid w:val="00435A74"/>
    <w:rsid w:val="00435E37"/>
    <w:rsid w:val="00437499"/>
    <w:rsid w:val="00437FF0"/>
    <w:rsid w:val="00440B0F"/>
    <w:rsid w:val="004503F5"/>
    <w:rsid w:val="00452D07"/>
    <w:rsid w:val="00461DF1"/>
    <w:rsid w:val="00473DFD"/>
    <w:rsid w:val="00480611"/>
    <w:rsid w:val="00491C18"/>
    <w:rsid w:val="00494EEF"/>
    <w:rsid w:val="004A03D0"/>
    <w:rsid w:val="004A2327"/>
    <w:rsid w:val="004A24EB"/>
    <w:rsid w:val="004A3035"/>
    <w:rsid w:val="004A4CA0"/>
    <w:rsid w:val="004B4E13"/>
    <w:rsid w:val="004B7507"/>
    <w:rsid w:val="004C2E92"/>
    <w:rsid w:val="004D2E56"/>
    <w:rsid w:val="004D7973"/>
    <w:rsid w:val="004E2BF8"/>
    <w:rsid w:val="004F06E1"/>
    <w:rsid w:val="004F2605"/>
    <w:rsid w:val="004F3D31"/>
    <w:rsid w:val="004F62CC"/>
    <w:rsid w:val="004F757F"/>
    <w:rsid w:val="005000FA"/>
    <w:rsid w:val="0050188B"/>
    <w:rsid w:val="005028E6"/>
    <w:rsid w:val="00502950"/>
    <w:rsid w:val="00504081"/>
    <w:rsid w:val="0050528D"/>
    <w:rsid w:val="005068E7"/>
    <w:rsid w:val="005071BE"/>
    <w:rsid w:val="0051078A"/>
    <w:rsid w:val="005118B9"/>
    <w:rsid w:val="00511BE1"/>
    <w:rsid w:val="00516EE7"/>
    <w:rsid w:val="0052492F"/>
    <w:rsid w:val="0052631C"/>
    <w:rsid w:val="00534EF8"/>
    <w:rsid w:val="00535EDC"/>
    <w:rsid w:val="00543916"/>
    <w:rsid w:val="00544328"/>
    <w:rsid w:val="00551E21"/>
    <w:rsid w:val="00561F8B"/>
    <w:rsid w:val="0056748F"/>
    <w:rsid w:val="005822FE"/>
    <w:rsid w:val="00586FA3"/>
    <w:rsid w:val="00592E1E"/>
    <w:rsid w:val="0059523D"/>
    <w:rsid w:val="005A56B7"/>
    <w:rsid w:val="005A6287"/>
    <w:rsid w:val="005B4EF3"/>
    <w:rsid w:val="005B7E36"/>
    <w:rsid w:val="005C1806"/>
    <w:rsid w:val="005C4363"/>
    <w:rsid w:val="005D1EC7"/>
    <w:rsid w:val="005E20F8"/>
    <w:rsid w:val="005E2788"/>
    <w:rsid w:val="005E63B3"/>
    <w:rsid w:val="005F172F"/>
    <w:rsid w:val="005F17CB"/>
    <w:rsid w:val="0060335A"/>
    <w:rsid w:val="00603806"/>
    <w:rsid w:val="00605110"/>
    <w:rsid w:val="006066E9"/>
    <w:rsid w:val="00610AFD"/>
    <w:rsid w:val="00611E9D"/>
    <w:rsid w:val="00616DCA"/>
    <w:rsid w:val="006249FB"/>
    <w:rsid w:val="006453F0"/>
    <w:rsid w:val="00646415"/>
    <w:rsid w:val="00650FA7"/>
    <w:rsid w:val="006535F1"/>
    <w:rsid w:val="00654A55"/>
    <w:rsid w:val="00654CE9"/>
    <w:rsid w:val="00654F50"/>
    <w:rsid w:val="00657001"/>
    <w:rsid w:val="00657E03"/>
    <w:rsid w:val="00660F83"/>
    <w:rsid w:val="0066667E"/>
    <w:rsid w:val="006717F8"/>
    <w:rsid w:val="00671D56"/>
    <w:rsid w:val="00672938"/>
    <w:rsid w:val="00674591"/>
    <w:rsid w:val="006762B9"/>
    <w:rsid w:val="00676654"/>
    <w:rsid w:val="0067782E"/>
    <w:rsid w:val="0068035F"/>
    <w:rsid w:val="00686A66"/>
    <w:rsid w:val="006900CA"/>
    <w:rsid w:val="00694F34"/>
    <w:rsid w:val="006A7422"/>
    <w:rsid w:val="006B3A1A"/>
    <w:rsid w:val="006C100F"/>
    <w:rsid w:val="006C5F42"/>
    <w:rsid w:val="006E548C"/>
    <w:rsid w:val="006E72EF"/>
    <w:rsid w:val="006F387C"/>
    <w:rsid w:val="006F7433"/>
    <w:rsid w:val="006F79F8"/>
    <w:rsid w:val="00710D2F"/>
    <w:rsid w:val="00713944"/>
    <w:rsid w:val="00715323"/>
    <w:rsid w:val="00715399"/>
    <w:rsid w:val="007202EA"/>
    <w:rsid w:val="00721A02"/>
    <w:rsid w:val="0072454C"/>
    <w:rsid w:val="00725B18"/>
    <w:rsid w:val="00727E79"/>
    <w:rsid w:val="007324BD"/>
    <w:rsid w:val="00732EAF"/>
    <w:rsid w:val="007420D3"/>
    <w:rsid w:val="007469C0"/>
    <w:rsid w:val="0075564F"/>
    <w:rsid w:val="00755865"/>
    <w:rsid w:val="0076394C"/>
    <w:rsid w:val="007661EE"/>
    <w:rsid w:val="007729E7"/>
    <w:rsid w:val="00774DBB"/>
    <w:rsid w:val="0078272C"/>
    <w:rsid w:val="0079419E"/>
    <w:rsid w:val="00795DC3"/>
    <w:rsid w:val="007A01BC"/>
    <w:rsid w:val="007B2D4D"/>
    <w:rsid w:val="007B6AF8"/>
    <w:rsid w:val="007C375A"/>
    <w:rsid w:val="007C6C0D"/>
    <w:rsid w:val="007D7155"/>
    <w:rsid w:val="007E1244"/>
    <w:rsid w:val="007E1E88"/>
    <w:rsid w:val="007E2C99"/>
    <w:rsid w:val="007E35DF"/>
    <w:rsid w:val="007F1360"/>
    <w:rsid w:val="0080048C"/>
    <w:rsid w:val="00802BD7"/>
    <w:rsid w:val="008066FB"/>
    <w:rsid w:val="00806B86"/>
    <w:rsid w:val="008269A6"/>
    <w:rsid w:val="00834630"/>
    <w:rsid w:val="00840141"/>
    <w:rsid w:val="00840FFF"/>
    <w:rsid w:val="008504E5"/>
    <w:rsid w:val="008545F2"/>
    <w:rsid w:val="0085745E"/>
    <w:rsid w:val="008607C2"/>
    <w:rsid w:val="0086514F"/>
    <w:rsid w:val="008704F1"/>
    <w:rsid w:val="0087250D"/>
    <w:rsid w:val="00875B10"/>
    <w:rsid w:val="00876B7A"/>
    <w:rsid w:val="00876E0F"/>
    <w:rsid w:val="00882958"/>
    <w:rsid w:val="00885084"/>
    <w:rsid w:val="00886C7F"/>
    <w:rsid w:val="00890AA1"/>
    <w:rsid w:val="00892E15"/>
    <w:rsid w:val="00893B32"/>
    <w:rsid w:val="008A4510"/>
    <w:rsid w:val="008B04CE"/>
    <w:rsid w:val="008B12D0"/>
    <w:rsid w:val="008C109C"/>
    <w:rsid w:val="008D2857"/>
    <w:rsid w:val="008D7201"/>
    <w:rsid w:val="008F0210"/>
    <w:rsid w:val="008F1931"/>
    <w:rsid w:val="008F33CD"/>
    <w:rsid w:val="00901A6A"/>
    <w:rsid w:val="00905145"/>
    <w:rsid w:val="00906888"/>
    <w:rsid w:val="00911FD8"/>
    <w:rsid w:val="00913FBB"/>
    <w:rsid w:val="00916BB0"/>
    <w:rsid w:val="00920AB1"/>
    <w:rsid w:val="00921249"/>
    <w:rsid w:val="009256A3"/>
    <w:rsid w:val="00926AAF"/>
    <w:rsid w:val="00930166"/>
    <w:rsid w:val="009301EA"/>
    <w:rsid w:val="0093127C"/>
    <w:rsid w:val="00931B36"/>
    <w:rsid w:val="00945DC1"/>
    <w:rsid w:val="00953C60"/>
    <w:rsid w:val="009547BC"/>
    <w:rsid w:val="0095646D"/>
    <w:rsid w:val="00956499"/>
    <w:rsid w:val="00960873"/>
    <w:rsid w:val="00962333"/>
    <w:rsid w:val="00963A2D"/>
    <w:rsid w:val="00965A73"/>
    <w:rsid w:val="0097119B"/>
    <w:rsid w:val="00972C03"/>
    <w:rsid w:val="00973FB4"/>
    <w:rsid w:val="0097736E"/>
    <w:rsid w:val="009773D0"/>
    <w:rsid w:val="00984015"/>
    <w:rsid w:val="009849D9"/>
    <w:rsid w:val="00984B2C"/>
    <w:rsid w:val="00990A2A"/>
    <w:rsid w:val="0099463D"/>
    <w:rsid w:val="00994DF0"/>
    <w:rsid w:val="00995614"/>
    <w:rsid w:val="00995A75"/>
    <w:rsid w:val="00996F90"/>
    <w:rsid w:val="009A1AE4"/>
    <w:rsid w:val="009A661D"/>
    <w:rsid w:val="009B0A97"/>
    <w:rsid w:val="009B2613"/>
    <w:rsid w:val="009B63C5"/>
    <w:rsid w:val="009B7418"/>
    <w:rsid w:val="009C0DB8"/>
    <w:rsid w:val="009C6039"/>
    <w:rsid w:val="009C643D"/>
    <w:rsid w:val="009D03A9"/>
    <w:rsid w:val="009D0A82"/>
    <w:rsid w:val="009D7071"/>
    <w:rsid w:val="009D7DCD"/>
    <w:rsid w:val="009E1558"/>
    <w:rsid w:val="009E4053"/>
    <w:rsid w:val="009E668F"/>
    <w:rsid w:val="00A01226"/>
    <w:rsid w:val="00A11893"/>
    <w:rsid w:val="00A15698"/>
    <w:rsid w:val="00A2602F"/>
    <w:rsid w:val="00A26F78"/>
    <w:rsid w:val="00A33B78"/>
    <w:rsid w:val="00A40355"/>
    <w:rsid w:val="00A41A45"/>
    <w:rsid w:val="00A479E4"/>
    <w:rsid w:val="00A62021"/>
    <w:rsid w:val="00A7552E"/>
    <w:rsid w:val="00A767D7"/>
    <w:rsid w:val="00A8389A"/>
    <w:rsid w:val="00A8444A"/>
    <w:rsid w:val="00A90A3B"/>
    <w:rsid w:val="00A97AD0"/>
    <w:rsid w:val="00AB1896"/>
    <w:rsid w:val="00AB210D"/>
    <w:rsid w:val="00AC2D44"/>
    <w:rsid w:val="00AC79B0"/>
    <w:rsid w:val="00AD0C24"/>
    <w:rsid w:val="00AD51A2"/>
    <w:rsid w:val="00AD7CFB"/>
    <w:rsid w:val="00AE7A64"/>
    <w:rsid w:val="00AF037C"/>
    <w:rsid w:val="00AF6591"/>
    <w:rsid w:val="00AF75A6"/>
    <w:rsid w:val="00B01C60"/>
    <w:rsid w:val="00B06081"/>
    <w:rsid w:val="00B0624A"/>
    <w:rsid w:val="00B0761D"/>
    <w:rsid w:val="00B2155E"/>
    <w:rsid w:val="00B23D6E"/>
    <w:rsid w:val="00B24880"/>
    <w:rsid w:val="00B26CEB"/>
    <w:rsid w:val="00B279E0"/>
    <w:rsid w:val="00B31C09"/>
    <w:rsid w:val="00B33489"/>
    <w:rsid w:val="00B3386E"/>
    <w:rsid w:val="00B33D51"/>
    <w:rsid w:val="00B40583"/>
    <w:rsid w:val="00B45D0C"/>
    <w:rsid w:val="00B46451"/>
    <w:rsid w:val="00B4764E"/>
    <w:rsid w:val="00B540E5"/>
    <w:rsid w:val="00B60441"/>
    <w:rsid w:val="00B61E79"/>
    <w:rsid w:val="00B66017"/>
    <w:rsid w:val="00B67534"/>
    <w:rsid w:val="00B70C1F"/>
    <w:rsid w:val="00B72FCA"/>
    <w:rsid w:val="00B812B5"/>
    <w:rsid w:val="00B82585"/>
    <w:rsid w:val="00B92619"/>
    <w:rsid w:val="00B963C4"/>
    <w:rsid w:val="00B97D7E"/>
    <w:rsid w:val="00BA16E4"/>
    <w:rsid w:val="00BB09A5"/>
    <w:rsid w:val="00BB27C5"/>
    <w:rsid w:val="00BB411E"/>
    <w:rsid w:val="00BC123A"/>
    <w:rsid w:val="00BC365D"/>
    <w:rsid w:val="00BC375E"/>
    <w:rsid w:val="00BC5F2B"/>
    <w:rsid w:val="00BD4935"/>
    <w:rsid w:val="00BD4F48"/>
    <w:rsid w:val="00BD5120"/>
    <w:rsid w:val="00BD613E"/>
    <w:rsid w:val="00BE227D"/>
    <w:rsid w:val="00BF04E2"/>
    <w:rsid w:val="00BF5353"/>
    <w:rsid w:val="00C02C1E"/>
    <w:rsid w:val="00C0335E"/>
    <w:rsid w:val="00C075D8"/>
    <w:rsid w:val="00C1188A"/>
    <w:rsid w:val="00C130EE"/>
    <w:rsid w:val="00C13EFB"/>
    <w:rsid w:val="00C2094E"/>
    <w:rsid w:val="00C21676"/>
    <w:rsid w:val="00C23298"/>
    <w:rsid w:val="00C24FDA"/>
    <w:rsid w:val="00C260CC"/>
    <w:rsid w:val="00C31362"/>
    <w:rsid w:val="00C329A6"/>
    <w:rsid w:val="00C333A4"/>
    <w:rsid w:val="00C35972"/>
    <w:rsid w:val="00C41391"/>
    <w:rsid w:val="00C4507A"/>
    <w:rsid w:val="00C45430"/>
    <w:rsid w:val="00C46CBA"/>
    <w:rsid w:val="00C55065"/>
    <w:rsid w:val="00C5533B"/>
    <w:rsid w:val="00C61F22"/>
    <w:rsid w:val="00C632B6"/>
    <w:rsid w:val="00C6395D"/>
    <w:rsid w:val="00C700B7"/>
    <w:rsid w:val="00C727B2"/>
    <w:rsid w:val="00C73F18"/>
    <w:rsid w:val="00C74193"/>
    <w:rsid w:val="00C80582"/>
    <w:rsid w:val="00C8305A"/>
    <w:rsid w:val="00C83670"/>
    <w:rsid w:val="00C9139E"/>
    <w:rsid w:val="00C92295"/>
    <w:rsid w:val="00C941FC"/>
    <w:rsid w:val="00C94A17"/>
    <w:rsid w:val="00CA141B"/>
    <w:rsid w:val="00CA3106"/>
    <w:rsid w:val="00CA3BAA"/>
    <w:rsid w:val="00CA6FE0"/>
    <w:rsid w:val="00CB3E02"/>
    <w:rsid w:val="00CB5684"/>
    <w:rsid w:val="00CC50F4"/>
    <w:rsid w:val="00CC533A"/>
    <w:rsid w:val="00CC53BE"/>
    <w:rsid w:val="00CC6850"/>
    <w:rsid w:val="00CC7B0F"/>
    <w:rsid w:val="00CD623A"/>
    <w:rsid w:val="00CE03F2"/>
    <w:rsid w:val="00CE27F5"/>
    <w:rsid w:val="00CE2C29"/>
    <w:rsid w:val="00CF2E4A"/>
    <w:rsid w:val="00CF31D1"/>
    <w:rsid w:val="00CF5E8F"/>
    <w:rsid w:val="00D05741"/>
    <w:rsid w:val="00D11104"/>
    <w:rsid w:val="00D11D5B"/>
    <w:rsid w:val="00D13E2C"/>
    <w:rsid w:val="00D15A33"/>
    <w:rsid w:val="00D31DB5"/>
    <w:rsid w:val="00D37626"/>
    <w:rsid w:val="00D4153C"/>
    <w:rsid w:val="00D51332"/>
    <w:rsid w:val="00D52871"/>
    <w:rsid w:val="00D57911"/>
    <w:rsid w:val="00D718F8"/>
    <w:rsid w:val="00D72DF3"/>
    <w:rsid w:val="00D76C0E"/>
    <w:rsid w:val="00D97DFB"/>
    <w:rsid w:val="00DA08C9"/>
    <w:rsid w:val="00DA185F"/>
    <w:rsid w:val="00DA58F7"/>
    <w:rsid w:val="00DA6FC4"/>
    <w:rsid w:val="00DB1623"/>
    <w:rsid w:val="00DB548B"/>
    <w:rsid w:val="00DB7460"/>
    <w:rsid w:val="00DC7A03"/>
    <w:rsid w:val="00DD2882"/>
    <w:rsid w:val="00DD3BBE"/>
    <w:rsid w:val="00DD6736"/>
    <w:rsid w:val="00DE0FD2"/>
    <w:rsid w:val="00DE4457"/>
    <w:rsid w:val="00DE4BD0"/>
    <w:rsid w:val="00DE628C"/>
    <w:rsid w:val="00DF4190"/>
    <w:rsid w:val="00E0055C"/>
    <w:rsid w:val="00E02A2B"/>
    <w:rsid w:val="00E05D55"/>
    <w:rsid w:val="00E0683D"/>
    <w:rsid w:val="00E06848"/>
    <w:rsid w:val="00E11021"/>
    <w:rsid w:val="00E11E8C"/>
    <w:rsid w:val="00E237F0"/>
    <w:rsid w:val="00E24CA2"/>
    <w:rsid w:val="00E303CA"/>
    <w:rsid w:val="00E30B93"/>
    <w:rsid w:val="00E314E5"/>
    <w:rsid w:val="00E31BE5"/>
    <w:rsid w:val="00E33080"/>
    <w:rsid w:val="00E36E5A"/>
    <w:rsid w:val="00E44869"/>
    <w:rsid w:val="00E45C81"/>
    <w:rsid w:val="00E4690B"/>
    <w:rsid w:val="00E46F8F"/>
    <w:rsid w:val="00E470C7"/>
    <w:rsid w:val="00E51327"/>
    <w:rsid w:val="00E51BC0"/>
    <w:rsid w:val="00E5519A"/>
    <w:rsid w:val="00E60851"/>
    <w:rsid w:val="00E61D2C"/>
    <w:rsid w:val="00E63DB4"/>
    <w:rsid w:val="00E64A31"/>
    <w:rsid w:val="00E71A55"/>
    <w:rsid w:val="00E74076"/>
    <w:rsid w:val="00E80563"/>
    <w:rsid w:val="00E813FF"/>
    <w:rsid w:val="00E83C55"/>
    <w:rsid w:val="00E85F4A"/>
    <w:rsid w:val="00E86AE0"/>
    <w:rsid w:val="00E9660B"/>
    <w:rsid w:val="00E975AD"/>
    <w:rsid w:val="00EA5826"/>
    <w:rsid w:val="00EB1758"/>
    <w:rsid w:val="00EC385D"/>
    <w:rsid w:val="00EC4D65"/>
    <w:rsid w:val="00EC5A1B"/>
    <w:rsid w:val="00EC71CF"/>
    <w:rsid w:val="00ED11BC"/>
    <w:rsid w:val="00ED5DD6"/>
    <w:rsid w:val="00ED6C29"/>
    <w:rsid w:val="00EE30CE"/>
    <w:rsid w:val="00EE51D6"/>
    <w:rsid w:val="00F03003"/>
    <w:rsid w:val="00F04A5A"/>
    <w:rsid w:val="00F16F8D"/>
    <w:rsid w:val="00F2256D"/>
    <w:rsid w:val="00F237F9"/>
    <w:rsid w:val="00F23D5F"/>
    <w:rsid w:val="00F246E0"/>
    <w:rsid w:val="00F24809"/>
    <w:rsid w:val="00F24C07"/>
    <w:rsid w:val="00F24C4D"/>
    <w:rsid w:val="00F30937"/>
    <w:rsid w:val="00F34905"/>
    <w:rsid w:val="00F34A8F"/>
    <w:rsid w:val="00F46FF3"/>
    <w:rsid w:val="00F6152D"/>
    <w:rsid w:val="00F624B2"/>
    <w:rsid w:val="00F64AD1"/>
    <w:rsid w:val="00F6714C"/>
    <w:rsid w:val="00F75F84"/>
    <w:rsid w:val="00F87C8A"/>
    <w:rsid w:val="00FA2AF0"/>
    <w:rsid w:val="00FA4061"/>
    <w:rsid w:val="00FB32CD"/>
    <w:rsid w:val="00FB3691"/>
    <w:rsid w:val="00FC74DF"/>
    <w:rsid w:val="00FC7929"/>
    <w:rsid w:val="00FD1188"/>
    <w:rsid w:val="00FD5303"/>
    <w:rsid w:val="00FE2242"/>
    <w:rsid w:val="00FE761D"/>
    <w:rsid w:val="00FF1DF5"/>
    <w:rsid w:val="00FF3C11"/>
    <w:rsid w:val="00FF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country-region"/>
  <w:smartTagType w:namespaceuri="urn:schemas-microsoft-com:office:smarttags" w:name="place"/>
  <w:smartTagType w:namespaceuri="urn:schemas-microsoft-com:office:smarttags" w:name="time"/>
  <w:smartTagType w:namespaceuri="urn:schemas-microsoft-com:office:smarttags" w:name="stockticker"/>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53"/>
    <w:pPr>
      <w:widowControl w:val="0"/>
      <w:adjustRightInd w:val="0"/>
      <w:spacing w:line="360" w:lineRule="atLeast"/>
      <w:jc w:val="both"/>
      <w:textAlignment w:val="baseline"/>
    </w:pPr>
  </w:style>
  <w:style w:type="paragraph" w:styleId="Heading1">
    <w:name w:val="heading 1"/>
    <w:basedOn w:val="Normal"/>
    <w:next w:val="Normal"/>
    <w:qFormat/>
    <w:rsid w:val="009E4053"/>
    <w:pPr>
      <w:keepNext/>
      <w:outlineLvl w:val="0"/>
    </w:pPr>
    <w:rPr>
      <w:b/>
      <w:vanish/>
      <w:sz w:val="24"/>
    </w:rPr>
  </w:style>
  <w:style w:type="paragraph" w:styleId="Heading2">
    <w:name w:val="heading 2"/>
    <w:basedOn w:val="Normal"/>
    <w:next w:val="Normal"/>
    <w:qFormat/>
    <w:rsid w:val="009E4053"/>
    <w:pPr>
      <w:keepNext/>
      <w:tabs>
        <w:tab w:val="left" w:pos="720"/>
        <w:tab w:val="left" w:pos="1560"/>
        <w:tab w:val="left" w:pos="2280"/>
      </w:tabs>
      <w:spacing w:line="360" w:lineRule="exac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053"/>
    <w:pPr>
      <w:tabs>
        <w:tab w:val="center" w:pos="4819"/>
        <w:tab w:val="right" w:pos="9071"/>
      </w:tabs>
    </w:pPr>
    <w:rPr>
      <w:rFonts w:ascii="Times" w:hAnsi="Times"/>
    </w:rPr>
  </w:style>
  <w:style w:type="paragraph" w:styleId="Footer">
    <w:name w:val="footer"/>
    <w:basedOn w:val="Normal"/>
    <w:rsid w:val="009E4053"/>
    <w:pPr>
      <w:tabs>
        <w:tab w:val="center" w:pos="4153"/>
        <w:tab w:val="right" w:pos="8306"/>
      </w:tabs>
    </w:pPr>
  </w:style>
  <w:style w:type="paragraph" w:styleId="BodyText2">
    <w:name w:val="Body Text 2"/>
    <w:basedOn w:val="Normal"/>
    <w:rsid w:val="009E4053"/>
    <w:pPr>
      <w:tabs>
        <w:tab w:val="left" w:pos="720"/>
        <w:tab w:val="left" w:pos="1560"/>
        <w:tab w:val="left" w:pos="2280"/>
      </w:tabs>
      <w:spacing w:line="360" w:lineRule="exact"/>
    </w:pPr>
    <w:rPr>
      <w:b/>
      <w:sz w:val="24"/>
      <w:u w:val="single"/>
    </w:rPr>
  </w:style>
  <w:style w:type="character" w:styleId="Hyperlink">
    <w:name w:val="Hyperlink"/>
    <w:basedOn w:val="DefaultParagraphFont"/>
    <w:rsid w:val="009E4053"/>
    <w:rPr>
      <w:color w:val="0000FF"/>
      <w:u w:val="single"/>
    </w:rPr>
  </w:style>
  <w:style w:type="paragraph" w:customStyle="1" w:styleId="NoNumHead4">
    <w:name w:val="NoNum:Head4"/>
    <w:basedOn w:val="Normal"/>
    <w:next w:val="Normal"/>
    <w:autoRedefine/>
    <w:rsid w:val="009E4053"/>
    <w:pPr>
      <w:keepNext/>
      <w:spacing w:before="120" w:after="240"/>
      <w:outlineLvl w:val="0"/>
    </w:pPr>
    <w:rPr>
      <w:rFonts w:ascii="Arial" w:hAnsi="Arial"/>
      <w:b/>
      <w:i/>
      <w:sz w:val="22"/>
      <w:lang w:val="en-GB" w:eastAsia="en-US"/>
    </w:rPr>
  </w:style>
  <w:style w:type="paragraph" w:customStyle="1" w:styleId="NoNumHead2">
    <w:name w:val="NoNum:Head2"/>
    <w:basedOn w:val="Normal"/>
    <w:next w:val="Normal"/>
    <w:autoRedefine/>
    <w:rsid w:val="009E4053"/>
    <w:pPr>
      <w:keepNext/>
      <w:spacing w:before="120" w:after="240"/>
      <w:outlineLvl w:val="0"/>
    </w:pPr>
    <w:rPr>
      <w:rFonts w:ascii="Arial" w:hAnsi="Arial"/>
      <w:b/>
      <w:sz w:val="26"/>
      <w:lang w:val="en-GB" w:eastAsia="en-US"/>
    </w:rPr>
  </w:style>
  <w:style w:type="paragraph" w:customStyle="1" w:styleId="captiontable">
    <w:name w:val="caption:table"/>
    <w:basedOn w:val="Normal"/>
    <w:next w:val="Normal"/>
    <w:rsid w:val="009E4053"/>
    <w:pPr>
      <w:keepNext/>
      <w:spacing w:after="240"/>
      <w:ind w:left="1440" w:hanging="1440"/>
    </w:pPr>
    <w:rPr>
      <w:rFonts w:ascii="Arial" w:hAnsi="Arial" w:cs="Arial"/>
      <w:b/>
      <w:bCs/>
      <w:sz w:val="22"/>
      <w:szCs w:val="22"/>
      <w:lang w:val="en-GB" w:eastAsia="en-US"/>
    </w:rPr>
  </w:style>
  <w:style w:type="paragraph" w:customStyle="1" w:styleId="listbull">
    <w:name w:val="list:bull"/>
    <w:basedOn w:val="Normal"/>
    <w:link w:val="listbullChar"/>
    <w:rsid w:val="009E4053"/>
    <w:pPr>
      <w:numPr>
        <w:numId w:val="6"/>
      </w:numPr>
      <w:spacing w:after="120"/>
    </w:pPr>
    <w:rPr>
      <w:sz w:val="24"/>
      <w:szCs w:val="24"/>
      <w:lang w:val="en-GB" w:eastAsia="en-US"/>
    </w:rPr>
  </w:style>
  <w:style w:type="paragraph" w:customStyle="1" w:styleId="tableref">
    <w:name w:val="table:ref"/>
    <w:basedOn w:val="Normal"/>
    <w:link w:val="tablerefChar"/>
    <w:rsid w:val="009E4053"/>
    <w:pPr>
      <w:tabs>
        <w:tab w:val="left" w:pos="360"/>
      </w:tabs>
      <w:ind w:left="360" w:hanging="360"/>
    </w:pPr>
    <w:rPr>
      <w:rFonts w:ascii="Arial Narrow" w:hAnsi="Arial Narrow" w:cs="Arial Narrow"/>
      <w:lang w:val="en-GB" w:eastAsia="en-US"/>
    </w:rPr>
  </w:style>
  <w:style w:type="table" w:styleId="TableGrid">
    <w:name w:val="Table Grid"/>
    <w:basedOn w:val="TableNormal"/>
    <w:uiPriority w:val="59"/>
    <w:rsid w:val="009E405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Char">
    <w:name w:val="list:bull Char"/>
    <w:basedOn w:val="DefaultParagraphFont"/>
    <w:link w:val="listbull"/>
    <w:rsid w:val="009E4053"/>
    <w:rPr>
      <w:sz w:val="24"/>
      <w:szCs w:val="24"/>
      <w:lang w:val="en-GB" w:eastAsia="en-US" w:bidi="ar-SA"/>
    </w:rPr>
  </w:style>
  <w:style w:type="character" w:customStyle="1" w:styleId="tablerefChar">
    <w:name w:val="table:ref Char"/>
    <w:basedOn w:val="DefaultParagraphFont"/>
    <w:link w:val="tableref"/>
    <w:rsid w:val="009E4053"/>
    <w:rPr>
      <w:rFonts w:ascii="Arial Narrow" w:hAnsi="Arial Narrow" w:cs="Arial Narrow"/>
      <w:lang w:val="en-GB" w:eastAsia="en-US" w:bidi="ar-SA"/>
    </w:rPr>
  </w:style>
  <w:style w:type="paragraph" w:customStyle="1" w:styleId="Text">
    <w:name w:val="Text"/>
    <w:aliases w:val="Graphic"/>
    <w:basedOn w:val="Normal"/>
    <w:link w:val="TextGraphicChar"/>
    <w:rsid w:val="009E4053"/>
    <w:pPr>
      <w:spacing w:after="240" w:line="312" w:lineRule="atLeast"/>
    </w:pPr>
    <w:rPr>
      <w:sz w:val="24"/>
      <w:szCs w:val="24"/>
      <w:lang w:val="en-US" w:eastAsia="en-US"/>
    </w:rPr>
  </w:style>
  <w:style w:type="character" w:customStyle="1" w:styleId="TextGraphicChar">
    <w:name w:val="Text.Graphic Char"/>
    <w:basedOn w:val="DefaultParagraphFont"/>
    <w:link w:val="Text"/>
    <w:rsid w:val="009E4053"/>
    <w:rPr>
      <w:sz w:val="24"/>
      <w:szCs w:val="24"/>
      <w:lang w:val="en-US" w:eastAsia="en-US" w:bidi="ar-SA"/>
    </w:rPr>
  </w:style>
  <w:style w:type="paragraph" w:customStyle="1" w:styleId="captionfigure">
    <w:name w:val="caption:figure"/>
    <w:basedOn w:val="Normal"/>
    <w:next w:val="Normal"/>
    <w:rsid w:val="009E4053"/>
    <w:pPr>
      <w:keepNext/>
      <w:spacing w:after="240"/>
      <w:ind w:left="1440" w:hanging="1440"/>
    </w:pPr>
    <w:rPr>
      <w:rFonts w:ascii="Arial" w:hAnsi="Arial" w:cs="Arial"/>
      <w:b/>
      <w:bCs/>
      <w:sz w:val="22"/>
      <w:szCs w:val="22"/>
      <w:lang w:val="en-GB" w:eastAsia="en-US"/>
    </w:rPr>
  </w:style>
  <w:style w:type="paragraph" w:styleId="BalloonText">
    <w:name w:val="Balloon Text"/>
    <w:basedOn w:val="Normal"/>
    <w:semiHidden/>
    <w:rsid w:val="009E4053"/>
    <w:rPr>
      <w:rFonts w:ascii="Tahoma" w:hAnsi="Tahoma" w:cs="Tahoma"/>
      <w:sz w:val="16"/>
      <w:szCs w:val="16"/>
    </w:rPr>
  </w:style>
  <w:style w:type="paragraph" w:customStyle="1" w:styleId="tabletextNS">
    <w:name w:val="table:textNS"/>
    <w:basedOn w:val="Normal"/>
    <w:link w:val="tabletextNSChar"/>
    <w:rsid w:val="009E4053"/>
    <w:rPr>
      <w:rFonts w:ascii="Arial Narrow" w:hAnsi="Arial Narrow"/>
      <w:sz w:val="24"/>
      <w:lang w:val="en-GB" w:eastAsia="en-US"/>
    </w:rPr>
  </w:style>
  <w:style w:type="character" w:customStyle="1" w:styleId="tabletextNSChar">
    <w:name w:val="table:textNS Char"/>
    <w:basedOn w:val="DefaultParagraphFont"/>
    <w:link w:val="tabletextNS"/>
    <w:rsid w:val="009E4053"/>
    <w:rPr>
      <w:rFonts w:ascii="Arial Narrow" w:hAnsi="Arial Narrow"/>
      <w:sz w:val="24"/>
      <w:lang w:val="en-GB" w:eastAsia="en-US" w:bidi="ar-SA"/>
    </w:rPr>
  </w:style>
  <w:style w:type="character" w:styleId="CommentReference">
    <w:name w:val="annotation reference"/>
    <w:basedOn w:val="DefaultParagraphFont"/>
    <w:uiPriority w:val="99"/>
    <w:semiHidden/>
    <w:rsid w:val="009E4053"/>
    <w:rPr>
      <w:sz w:val="16"/>
      <w:szCs w:val="16"/>
    </w:rPr>
  </w:style>
  <w:style w:type="paragraph" w:styleId="CommentText">
    <w:name w:val="annotation text"/>
    <w:basedOn w:val="Normal"/>
    <w:link w:val="CommentTextChar"/>
    <w:uiPriority w:val="99"/>
    <w:semiHidden/>
    <w:rsid w:val="009E4053"/>
  </w:style>
  <w:style w:type="paragraph" w:styleId="CommentSubject">
    <w:name w:val="annotation subject"/>
    <w:basedOn w:val="CommentText"/>
    <w:next w:val="CommentText"/>
    <w:semiHidden/>
    <w:rsid w:val="009E4053"/>
    <w:rPr>
      <w:b/>
      <w:bCs/>
    </w:rPr>
  </w:style>
  <w:style w:type="paragraph" w:styleId="Caption">
    <w:name w:val="caption"/>
    <w:aliases w:val="Table Heading"/>
    <w:basedOn w:val="Normal"/>
    <w:next w:val="Normal"/>
    <w:qFormat/>
    <w:rsid w:val="006B3A1A"/>
    <w:pPr>
      <w:widowControl/>
      <w:adjustRightInd/>
      <w:spacing w:after="240" w:line="240" w:lineRule="auto"/>
      <w:ind w:left="1440" w:hanging="1440"/>
      <w:jc w:val="left"/>
      <w:textAlignment w:val="auto"/>
    </w:pPr>
    <w:rPr>
      <w:rFonts w:ascii="Arial" w:hAnsi="Arial" w:cs="Arial"/>
      <w:b/>
      <w:bCs/>
      <w:noProof/>
      <w:sz w:val="22"/>
      <w:szCs w:val="22"/>
      <w:lang w:val="en-US" w:eastAsia="en-US"/>
    </w:rPr>
  </w:style>
  <w:style w:type="character" w:customStyle="1" w:styleId="LBLLevel3">
    <w:name w:val="LBLLevel 3"/>
    <w:basedOn w:val="DefaultParagraphFont"/>
    <w:rsid w:val="006B3A1A"/>
    <w:rPr>
      <w:rFonts w:ascii="Arial" w:hAnsi="Arial"/>
      <w:u w:val="single"/>
    </w:rPr>
  </w:style>
  <w:style w:type="character" w:customStyle="1" w:styleId="LBLTableFootnotesChar">
    <w:name w:val="LBL Table Footnotes Char"/>
    <w:basedOn w:val="DefaultParagraphFont"/>
    <w:link w:val="LBLTableFootnotes"/>
    <w:rsid w:val="006B3A1A"/>
    <w:rPr>
      <w:noProof/>
      <w:sz w:val="24"/>
      <w:szCs w:val="24"/>
      <w:lang w:val="en-US" w:eastAsia="en-US" w:bidi="ar-SA"/>
    </w:rPr>
  </w:style>
  <w:style w:type="paragraph" w:customStyle="1" w:styleId="LBLTableFootnotes">
    <w:name w:val="LBL Table Footnotes"/>
    <w:basedOn w:val="Normal"/>
    <w:link w:val="LBLTableFootnotesChar"/>
    <w:rsid w:val="006B3A1A"/>
    <w:pPr>
      <w:widowControl/>
      <w:tabs>
        <w:tab w:val="left" w:pos="720"/>
        <w:tab w:val="left" w:pos="994"/>
      </w:tabs>
      <w:adjustRightInd/>
      <w:spacing w:line="320" w:lineRule="atLeast"/>
      <w:ind w:left="274" w:hanging="274"/>
      <w:jc w:val="left"/>
      <w:textAlignment w:val="auto"/>
    </w:pPr>
    <w:rPr>
      <w:noProof/>
      <w:sz w:val="24"/>
      <w:szCs w:val="24"/>
      <w:lang w:val="en-US" w:eastAsia="en-US"/>
    </w:rPr>
  </w:style>
  <w:style w:type="paragraph" w:customStyle="1" w:styleId="CharChar">
    <w:name w:val="Char Char"/>
    <w:basedOn w:val="Normal"/>
    <w:rsid w:val="009A661D"/>
    <w:pPr>
      <w:spacing w:after="160" w:line="240" w:lineRule="exact"/>
      <w:jc w:val="left"/>
    </w:pPr>
    <w:rPr>
      <w:rFonts w:ascii="Verdana" w:hAnsi="Verdana"/>
      <w:lang w:val="en-US" w:eastAsia="en-US"/>
    </w:rPr>
  </w:style>
  <w:style w:type="character" w:styleId="PageNumber">
    <w:name w:val="page number"/>
    <w:basedOn w:val="DefaultParagraphFont"/>
    <w:rsid w:val="00B33489"/>
  </w:style>
  <w:style w:type="paragraph" w:customStyle="1" w:styleId="Default">
    <w:name w:val="Default"/>
    <w:rsid w:val="00B33489"/>
    <w:pPr>
      <w:autoSpaceDE w:val="0"/>
      <w:autoSpaceDN w:val="0"/>
      <w:adjustRightInd w:val="0"/>
    </w:pPr>
    <w:rPr>
      <w:rFonts w:ascii="MQWEF I+ Times" w:hAnsi="MQWEF I+ Times" w:cs="MQWEF I+ Times"/>
      <w:color w:val="000000"/>
      <w:sz w:val="24"/>
      <w:szCs w:val="24"/>
    </w:rPr>
  </w:style>
  <w:style w:type="paragraph" w:customStyle="1" w:styleId="NoNumHead3">
    <w:name w:val="NoNum:Head3"/>
    <w:basedOn w:val="NoNumHead2"/>
    <w:next w:val="Normal"/>
    <w:autoRedefine/>
    <w:rsid w:val="00671D56"/>
    <w:pPr>
      <w:keepNext w:val="0"/>
      <w:pageBreakBefore/>
      <w:widowControl/>
      <w:adjustRightInd/>
      <w:spacing w:line="240" w:lineRule="auto"/>
      <w:jc w:val="left"/>
      <w:textAlignment w:val="auto"/>
    </w:pPr>
    <w:rPr>
      <w:rFonts w:eastAsia="MS Mincho" w:cs="Arial"/>
      <w:snapToGrid w:val="0"/>
      <w:sz w:val="22"/>
      <w:szCs w:val="22"/>
      <w:u w:val="single"/>
      <w:lang w:val="en-US"/>
    </w:rPr>
  </w:style>
  <w:style w:type="paragraph" w:styleId="Revision">
    <w:name w:val="Revision"/>
    <w:hidden/>
    <w:uiPriority w:val="99"/>
    <w:semiHidden/>
    <w:rsid w:val="009D0A82"/>
  </w:style>
  <w:style w:type="paragraph" w:styleId="ListParagraph">
    <w:name w:val="List Paragraph"/>
    <w:basedOn w:val="Normal"/>
    <w:uiPriority w:val="34"/>
    <w:qFormat/>
    <w:rsid w:val="0095646D"/>
    <w:pPr>
      <w:widowControl/>
      <w:adjustRightInd/>
      <w:spacing w:line="240" w:lineRule="auto"/>
      <w:ind w:left="720"/>
      <w:jc w:val="left"/>
      <w:textAlignment w:val="auto"/>
    </w:pPr>
    <w:rPr>
      <w:rFonts w:ascii="Calibri" w:eastAsiaTheme="minorHAnsi" w:hAnsi="Calibri"/>
      <w:sz w:val="22"/>
      <w:szCs w:val="22"/>
    </w:rPr>
  </w:style>
  <w:style w:type="character" w:customStyle="1" w:styleId="CommentTextChar">
    <w:name w:val="Comment Text Char"/>
    <w:basedOn w:val="DefaultParagraphFont"/>
    <w:link w:val="CommentText"/>
    <w:uiPriority w:val="99"/>
    <w:semiHidden/>
    <w:rsid w:val="00F46F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53"/>
    <w:pPr>
      <w:widowControl w:val="0"/>
      <w:adjustRightInd w:val="0"/>
      <w:spacing w:line="360" w:lineRule="atLeast"/>
      <w:jc w:val="both"/>
      <w:textAlignment w:val="baseline"/>
    </w:pPr>
  </w:style>
  <w:style w:type="paragraph" w:styleId="Heading1">
    <w:name w:val="heading 1"/>
    <w:basedOn w:val="Normal"/>
    <w:next w:val="Normal"/>
    <w:qFormat/>
    <w:rsid w:val="009E4053"/>
    <w:pPr>
      <w:keepNext/>
      <w:outlineLvl w:val="0"/>
    </w:pPr>
    <w:rPr>
      <w:b/>
      <w:vanish/>
      <w:sz w:val="24"/>
    </w:rPr>
  </w:style>
  <w:style w:type="paragraph" w:styleId="Heading2">
    <w:name w:val="heading 2"/>
    <w:basedOn w:val="Normal"/>
    <w:next w:val="Normal"/>
    <w:qFormat/>
    <w:rsid w:val="009E4053"/>
    <w:pPr>
      <w:keepNext/>
      <w:tabs>
        <w:tab w:val="left" w:pos="720"/>
        <w:tab w:val="left" w:pos="1560"/>
        <w:tab w:val="left" w:pos="2280"/>
      </w:tabs>
      <w:spacing w:line="360" w:lineRule="exac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053"/>
    <w:pPr>
      <w:tabs>
        <w:tab w:val="center" w:pos="4819"/>
        <w:tab w:val="right" w:pos="9071"/>
      </w:tabs>
    </w:pPr>
    <w:rPr>
      <w:rFonts w:ascii="Times" w:hAnsi="Times"/>
    </w:rPr>
  </w:style>
  <w:style w:type="paragraph" w:styleId="Footer">
    <w:name w:val="footer"/>
    <w:basedOn w:val="Normal"/>
    <w:rsid w:val="009E4053"/>
    <w:pPr>
      <w:tabs>
        <w:tab w:val="center" w:pos="4153"/>
        <w:tab w:val="right" w:pos="8306"/>
      </w:tabs>
    </w:pPr>
  </w:style>
  <w:style w:type="paragraph" w:styleId="BodyText2">
    <w:name w:val="Body Text 2"/>
    <w:basedOn w:val="Normal"/>
    <w:rsid w:val="009E4053"/>
    <w:pPr>
      <w:tabs>
        <w:tab w:val="left" w:pos="720"/>
        <w:tab w:val="left" w:pos="1560"/>
        <w:tab w:val="left" w:pos="2280"/>
      </w:tabs>
      <w:spacing w:line="360" w:lineRule="exact"/>
    </w:pPr>
    <w:rPr>
      <w:b/>
      <w:sz w:val="24"/>
      <w:u w:val="single"/>
    </w:rPr>
  </w:style>
  <w:style w:type="character" w:styleId="Hyperlink">
    <w:name w:val="Hyperlink"/>
    <w:basedOn w:val="DefaultParagraphFont"/>
    <w:rsid w:val="009E4053"/>
    <w:rPr>
      <w:color w:val="0000FF"/>
      <w:u w:val="single"/>
    </w:rPr>
  </w:style>
  <w:style w:type="paragraph" w:customStyle="1" w:styleId="NoNumHead4">
    <w:name w:val="NoNum:Head4"/>
    <w:basedOn w:val="Normal"/>
    <w:next w:val="Normal"/>
    <w:autoRedefine/>
    <w:rsid w:val="009E4053"/>
    <w:pPr>
      <w:keepNext/>
      <w:spacing w:before="120" w:after="240"/>
      <w:outlineLvl w:val="0"/>
    </w:pPr>
    <w:rPr>
      <w:rFonts w:ascii="Arial" w:hAnsi="Arial"/>
      <w:b/>
      <w:i/>
      <w:sz w:val="22"/>
      <w:lang w:val="en-GB" w:eastAsia="en-US"/>
    </w:rPr>
  </w:style>
  <w:style w:type="paragraph" w:customStyle="1" w:styleId="NoNumHead2">
    <w:name w:val="NoNum:Head2"/>
    <w:basedOn w:val="Normal"/>
    <w:next w:val="Normal"/>
    <w:autoRedefine/>
    <w:rsid w:val="009E4053"/>
    <w:pPr>
      <w:keepNext/>
      <w:spacing w:before="120" w:after="240"/>
      <w:outlineLvl w:val="0"/>
    </w:pPr>
    <w:rPr>
      <w:rFonts w:ascii="Arial" w:hAnsi="Arial"/>
      <w:b/>
      <w:sz w:val="26"/>
      <w:lang w:val="en-GB" w:eastAsia="en-US"/>
    </w:rPr>
  </w:style>
  <w:style w:type="paragraph" w:customStyle="1" w:styleId="captiontable">
    <w:name w:val="caption:table"/>
    <w:basedOn w:val="Normal"/>
    <w:next w:val="Normal"/>
    <w:rsid w:val="009E4053"/>
    <w:pPr>
      <w:keepNext/>
      <w:spacing w:after="240"/>
      <w:ind w:left="1440" w:hanging="1440"/>
    </w:pPr>
    <w:rPr>
      <w:rFonts w:ascii="Arial" w:hAnsi="Arial" w:cs="Arial"/>
      <w:b/>
      <w:bCs/>
      <w:sz w:val="22"/>
      <w:szCs w:val="22"/>
      <w:lang w:val="en-GB" w:eastAsia="en-US"/>
    </w:rPr>
  </w:style>
  <w:style w:type="paragraph" w:customStyle="1" w:styleId="listbull">
    <w:name w:val="list:bull"/>
    <w:basedOn w:val="Normal"/>
    <w:link w:val="listbullChar"/>
    <w:rsid w:val="009E4053"/>
    <w:pPr>
      <w:numPr>
        <w:numId w:val="6"/>
      </w:numPr>
      <w:spacing w:after="120"/>
    </w:pPr>
    <w:rPr>
      <w:sz w:val="24"/>
      <w:szCs w:val="24"/>
      <w:lang w:val="en-GB" w:eastAsia="en-US"/>
    </w:rPr>
  </w:style>
  <w:style w:type="paragraph" w:customStyle="1" w:styleId="tableref">
    <w:name w:val="table:ref"/>
    <w:basedOn w:val="Normal"/>
    <w:link w:val="tablerefChar"/>
    <w:rsid w:val="009E4053"/>
    <w:pPr>
      <w:tabs>
        <w:tab w:val="left" w:pos="360"/>
      </w:tabs>
      <w:ind w:left="360" w:hanging="360"/>
    </w:pPr>
    <w:rPr>
      <w:rFonts w:ascii="Arial Narrow" w:hAnsi="Arial Narrow" w:cs="Arial Narrow"/>
      <w:lang w:val="en-GB" w:eastAsia="en-US"/>
    </w:rPr>
  </w:style>
  <w:style w:type="table" w:styleId="TableGrid">
    <w:name w:val="Table Grid"/>
    <w:basedOn w:val="TableNormal"/>
    <w:rsid w:val="009E4053"/>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Char">
    <w:name w:val="list:bull Char"/>
    <w:basedOn w:val="DefaultParagraphFont"/>
    <w:link w:val="listbull"/>
    <w:rsid w:val="009E4053"/>
    <w:rPr>
      <w:sz w:val="24"/>
      <w:szCs w:val="24"/>
      <w:lang w:val="en-GB" w:eastAsia="en-US" w:bidi="ar-SA"/>
    </w:rPr>
  </w:style>
  <w:style w:type="character" w:customStyle="1" w:styleId="tablerefChar">
    <w:name w:val="table:ref Char"/>
    <w:basedOn w:val="DefaultParagraphFont"/>
    <w:link w:val="tableref"/>
    <w:rsid w:val="009E4053"/>
    <w:rPr>
      <w:rFonts w:ascii="Arial Narrow" w:hAnsi="Arial Narrow" w:cs="Arial Narrow"/>
      <w:lang w:val="en-GB" w:eastAsia="en-US" w:bidi="ar-SA"/>
    </w:rPr>
  </w:style>
  <w:style w:type="paragraph" w:customStyle="1" w:styleId="Text">
    <w:name w:val="Text"/>
    <w:aliases w:val="Graphic"/>
    <w:basedOn w:val="Normal"/>
    <w:link w:val="TextGraphicChar"/>
    <w:rsid w:val="009E4053"/>
    <w:pPr>
      <w:spacing w:after="240" w:line="312" w:lineRule="atLeast"/>
    </w:pPr>
    <w:rPr>
      <w:sz w:val="24"/>
      <w:szCs w:val="24"/>
      <w:lang w:val="en-US" w:eastAsia="en-US"/>
    </w:rPr>
  </w:style>
  <w:style w:type="character" w:customStyle="1" w:styleId="TextGraphicChar">
    <w:name w:val="Text.Graphic Char"/>
    <w:basedOn w:val="DefaultParagraphFont"/>
    <w:link w:val="Text"/>
    <w:rsid w:val="009E4053"/>
    <w:rPr>
      <w:sz w:val="24"/>
      <w:szCs w:val="24"/>
      <w:lang w:val="en-US" w:eastAsia="en-US" w:bidi="ar-SA"/>
    </w:rPr>
  </w:style>
  <w:style w:type="paragraph" w:customStyle="1" w:styleId="captionfigure">
    <w:name w:val="caption:figure"/>
    <w:basedOn w:val="Normal"/>
    <w:next w:val="Normal"/>
    <w:rsid w:val="009E4053"/>
    <w:pPr>
      <w:keepNext/>
      <w:spacing w:after="240"/>
      <w:ind w:left="1440" w:hanging="1440"/>
    </w:pPr>
    <w:rPr>
      <w:rFonts w:ascii="Arial" w:hAnsi="Arial" w:cs="Arial"/>
      <w:b/>
      <w:bCs/>
      <w:sz w:val="22"/>
      <w:szCs w:val="22"/>
      <w:lang w:val="en-GB" w:eastAsia="en-US"/>
    </w:rPr>
  </w:style>
  <w:style w:type="paragraph" w:styleId="BalloonText">
    <w:name w:val="Balloon Text"/>
    <w:basedOn w:val="Normal"/>
    <w:semiHidden/>
    <w:rsid w:val="009E4053"/>
    <w:rPr>
      <w:rFonts w:ascii="Tahoma" w:hAnsi="Tahoma" w:cs="Tahoma"/>
      <w:sz w:val="16"/>
      <w:szCs w:val="16"/>
    </w:rPr>
  </w:style>
  <w:style w:type="paragraph" w:customStyle="1" w:styleId="tabletextNS">
    <w:name w:val="table:textNS"/>
    <w:basedOn w:val="Normal"/>
    <w:link w:val="tabletextNSChar"/>
    <w:rsid w:val="009E4053"/>
    <w:rPr>
      <w:rFonts w:ascii="Arial Narrow" w:hAnsi="Arial Narrow"/>
      <w:sz w:val="24"/>
      <w:lang w:val="en-GB" w:eastAsia="en-US"/>
    </w:rPr>
  </w:style>
  <w:style w:type="character" w:customStyle="1" w:styleId="tabletextNSChar">
    <w:name w:val="table:textNS Char"/>
    <w:basedOn w:val="DefaultParagraphFont"/>
    <w:link w:val="tabletextNS"/>
    <w:rsid w:val="009E4053"/>
    <w:rPr>
      <w:rFonts w:ascii="Arial Narrow" w:hAnsi="Arial Narrow"/>
      <w:sz w:val="24"/>
      <w:lang w:val="en-GB" w:eastAsia="en-US" w:bidi="ar-SA"/>
    </w:rPr>
  </w:style>
  <w:style w:type="character" w:styleId="CommentReference">
    <w:name w:val="annotation reference"/>
    <w:basedOn w:val="DefaultParagraphFont"/>
    <w:semiHidden/>
    <w:rsid w:val="009E4053"/>
    <w:rPr>
      <w:sz w:val="16"/>
      <w:szCs w:val="16"/>
    </w:rPr>
  </w:style>
  <w:style w:type="paragraph" w:styleId="CommentText">
    <w:name w:val="annotation text"/>
    <w:basedOn w:val="Normal"/>
    <w:semiHidden/>
    <w:rsid w:val="009E4053"/>
  </w:style>
  <w:style w:type="paragraph" w:styleId="CommentSubject">
    <w:name w:val="annotation subject"/>
    <w:basedOn w:val="CommentText"/>
    <w:next w:val="CommentText"/>
    <w:semiHidden/>
    <w:rsid w:val="009E4053"/>
    <w:rPr>
      <w:b/>
      <w:bCs/>
    </w:rPr>
  </w:style>
  <w:style w:type="paragraph" w:styleId="Caption">
    <w:name w:val="caption"/>
    <w:aliases w:val="Table Heading"/>
    <w:basedOn w:val="Normal"/>
    <w:next w:val="Normal"/>
    <w:qFormat/>
    <w:rsid w:val="006B3A1A"/>
    <w:pPr>
      <w:widowControl/>
      <w:adjustRightInd/>
      <w:spacing w:after="240" w:line="240" w:lineRule="auto"/>
      <w:ind w:left="1440" w:hanging="1440"/>
      <w:jc w:val="left"/>
      <w:textAlignment w:val="auto"/>
    </w:pPr>
    <w:rPr>
      <w:rFonts w:ascii="Arial" w:hAnsi="Arial" w:cs="Arial"/>
      <w:b/>
      <w:bCs/>
      <w:noProof/>
      <w:sz w:val="22"/>
      <w:szCs w:val="22"/>
      <w:lang w:val="en-US" w:eastAsia="en-US"/>
    </w:rPr>
  </w:style>
  <w:style w:type="character" w:customStyle="1" w:styleId="LBLLevel3">
    <w:name w:val="LBLLevel 3"/>
    <w:basedOn w:val="DefaultParagraphFont"/>
    <w:rsid w:val="006B3A1A"/>
    <w:rPr>
      <w:rFonts w:ascii="Arial" w:hAnsi="Arial"/>
      <w:u w:val="single"/>
    </w:rPr>
  </w:style>
  <w:style w:type="character" w:customStyle="1" w:styleId="LBLTableFootnotesChar">
    <w:name w:val="LBL Table Footnotes Char"/>
    <w:basedOn w:val="DefaultParagraphFont"/>
    <w:link w:val="LBLTableFootnotes"/>
    <w:rsid w:val="006B3A1A"/>
    <w:rPr>
      <w:noProof/>
      <w:sz w:val="24"/>
      <w:szCs w:val="24"/>
      <w:lang w:val="en-US" w:eastAsia="en-US" w:bidi="ar-SA"/>
    </w:rPr>
  </w:style>
  <w:style w:type="paragraph" w:customStyle="1" w:styleId="LBLTableFootnotes">
    <w:name w:val="LBL Table Footnotes"/>
    <w:basedOn w:val="Normal"/>
    <w:link w:val="LBLTableFootnotesChar"/>
    <w:rsid w:val="006B3A1A"/>
    <w:pPr>
      <w:widowControl/>
      <w:tabs>
        <w:tab w:val="left" w:pos="720"/>
        <w:tab w:val="left" w:pos="994"/>
      </w:tabs>
      <w:adjustRightInd/>
      <w:spacing w:line="320" w:lineRule="atLeast"/>
      <w:ind w:left="274" w:hanging="274"/>
      <w:jc w:val="left"/>
      <w:textAlignment w:val="auto"/>
    </w:pPr>
    <w:rPr>
      <w:noProof/>
      <w:sz w:val="24"/>
      <w:szCs w:val="24"/>
      <w:lang w:val="en-US" w:eastAsia="en-US"/>
    </w:rPr>
  </w:style>
  <w:style w:type="paragraph" w:customStyle="1" w:styleId="CharChar">
    <w:name w:val="Char Char"/>
    <w:basedOn w:val="Normal"/>
    <w:rsid w:val="009A661D"/>
    <w:pPr>
      <w:spacing w:after="160" w:line="240" w:lineRule="exact"/>
      <w:jc w:val="left"/>
    </w:pPr>
    <w:rPr>
      <w:rFonts w:ascii="Verdana" w:hAnsi="Verdana"/>
      <w:lang w:val="en-US" w:eastAsia="en-US"/>
    </w:rPr>
  </w:style>
  <w:style w:type="character" w:styleId="PageNumber">
    <w:name w:val="page number"/>
    <w:basedOn w:val="DefaultParagraphFont"/>
    <w:rsid w:val="00B33489"/>
  </w:style>
  <w:style w:type="paragraph" w:customStyle="1" w:styleId="Default">
    <w:name w:val="Default"/>
    <w:rsid w:val="00B33489"/>
    <w:pPr>
      <w:autoSpaceDE w:val="0"/>
      <w:autoSpaceDN w:val="0"/>
      <w:adjustRightInd w:val="0"/>
    </w:pPr>
    <w:rPr>
      <w:rFonts w:ascii="MQWEF I+ Times" w:hAnsi="MQWEF I+ Times" w:cs="MQWEF I+ Times"/>
      <w:color w:val="000000"/>
      <w:sz w:val="24"/>
      <w:szCs w:val="24"/>
    </w:rPr>
  </w:style>
  <w:style w:type="paragraph" w:customStyle="1" w:styleId="NoNumHead3">
    <w:name w:val="NoNum:Head3"/>
    <w:basedOn w:val="NoNumHead2"/>
    <w:next w:val="Normal"/>
    <w:autoRedefine/>
    <w:rsid w:val="00D13E2C"/>
    <w:pPr>
      <w:keepNext w:val="0"/>
      <w:widowControl/>
      <w:adjustRightInd/>
      <w:spacing w:line="240" w:lineRule="auto"/>
      <w:jc w:val="left"/>
      <w:textAlignment w:val="auto"/>
    </w:pPr>
    <w:rPr>
      <w:rFonts w:eastAsia="MS Mincho" w:cs="Arial"/>
      <w:snapToGrid w:val="0"/>
      <w:color w:val="FF0000"/>
      <w:sz w:val="22"/>
      <w:szCs w:val="22"/>
      <w:u w:val="single"/>
      <w:lang w:val="en-US"/>
    </w:rPr>
  </w:style>
  <w:style w:type="paragraph" w:styleId="Revision">
    <w:name w:val="Revision"/>
    <w:hidden/>
    <w:uiPriority w:val="99"/>
    <w:semiHidden/>
    <w:rsid w:val="009D0A82"/>
  </w:style>
  <w:style w:type="paragraph" w:styleId="ListParagraph">
    <w:name w:val="List Paragraph"/>
    <w:basedOn w:val="Normal"/>
    <w:uiPriority w:val="34"/>
    <w:qFormat/>
    <w:rsid w:val="0095646D"/>
    <w:pPr>
      <w:widowControl/>
      <w:adjustRightInd/>
      <w:spacing w:line="240" w:lineRule="auto"/>
      <w:ind w:left="720"/>
      <w:jc w:val="left"/>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2684">
      <w:bodyDiv w:val="1"/>
      <w:marLeft w:val="0"/>
      <w:marRight w:val="0"/>
      <w:marTop w:val="0"/>
      <w:marBottom w:val="0"/>
      <w:divBdr>
        <w:top w:val="none" w:sz="0" w:space="0" w:color="auto"/>
        <w:left w:val="none" w:sz="0" w:space="0" w:color="auto"/>
        <w:bottom w:val="none" w:sz="0" w:space="0" w:color="auto"/>
        <w:right w:val="none" w:sz="0" w:space="0" w:color="auto"/>
      </w:divBdr>
    </w:div>
    <w:div w:id="205459932">
      <w:bodyDiv w:val="1"/>
      <w:marLeft w:val="0"/>
      <w:marRight w:val="0"/>
      <w:marTop w:val="0"/>
      <w:marBottom w:val="0"/>
      <w:divBdr>
        <w:top w:val="none" w:sz="0" w:space="0" w:color="auto"/>
        <w:left w:val="none" w:sz="0" w:space="0" w:color="auto"/>
        <w:bottom w:val="none" w:sz="0" w:space="0" w:color="auto"/>
        <w:right w:val="none" w:sz="0" w:space="0" w:color="auto"/>
      </w:divBdr>
    </w:div>
    <w:div w:id="272906397">
      <w:bodyDiv w:val="1"/>
      <w:marLeft w:val="0"/>
      <w:marRight w:val="0"/>
      <w:marTop w:val="0"/>
      <w:marBottom w:val="0"/>
      <w:divBdr>
        <w:top w:val="none" w:sz="0" w:space="0" w:color="auto"/>
        <w:left w:val="none" w:sz="0" w:space="0" w:color="auto"/>
        <w:bottom w:val="none" w:sz="0" w:space="0" w:color="auto"/>
        <w:right w:val="none" w:sz="0" w:space="0" w:color="auto"/>
      </w:divBdr>
    </w:div>
    <w:div w:id="575936188">
      <w:bodyDiv w:val="1"/>
      <w:marLeft w:val="0"/>
      <w:marRight w:val="0"/>
      <w:marTop w:val="0"/>
      <w:marBottom w:val="0"/>
      <w:divBdr>
        <w:top w:val="none" w:sz="0" w:space="0" w:color="auto"/>
        <w:left w:val="none" w:sz="0" w:space="0" w:color="auto"/>
        <w:bottom w:val="none" w:sz="0" w:space="0" w:color="auto"/>
        <w:right w:val="none" w:sz="0" w:space="0" w:color="auto"/>
      </w:divBdr>
    </w:div>
    <w:div w:id="763770612">
      <w:bodyDiv w:val="1"/>
      <w:marLeft w:val="0"/>
      <w:marRight w:val="0"/>
      <w:marTop w:val="0"/>
      <w:marBottom w:val="0"/>
      <w:divBdr>
        <w:top w:val="none" w:sz="0" w:space="0" w:color="auto"/>
        <w:left w:val="none" w:sz="0" w:space="0" w:color="auto"/>
        <w:bottom w:val="none" w:sz="0" w:space="0" w:color="auto"/>
        <w:right w:val="none" w:sz="0" w:space="0" w:color="auto"/>
      </w:divBdr>
    </w:div>
    <w:div w:id="781730324">
      <w:bodyDiv w:val="1"/>
      <w:marLeft w:val="0"/>
      <w:marRight w:val="0"/>
      <w:marTop w:val="0"/>
      <w:marBottom w:val="0"/>
      <w:divBdr>
        <w:top w:val="none" w:sz="0" w:space="0" w:color="auto"/>
        <w:left w:val="none" w:sz="0" w:space="0" w:color="auto"/>
        <w:bottom w:val="none" w:sz="0" w:space="0" w:color="auto"/>
        <w:right w:val="none" w:sz="0" w:space="0" w:color="auto"/>
      </w:divBdr>
    </w:div>
    <w:div w:id="1261137625">
      <w:bodyDiv w:val="1"/>
      <w:marLeft w:val="0"/>
      <w:marRight w:val="0"/>
      <w:marTop w:val="0"/>
      <w:marBottom w:val="0"/>
      <w:divBdr>
        <w:top w:val="none" w:sz="0" w:space="0" w:color="auto"/>
        <w:left w:val="none" w:sz="0" w:space="0" w:color="auto"/>
        <w:bottom w:val="none" w:sz="0" w:space="0" w:color="auto"/>
        <w:right w:val="none" w:sz="0" w:space="0" w:color="auto"/>
      </w:divBdr>
    </w:div>
    <w:div w:id="1492985196">
      <w:bodyDiv w:val="1"/>
      <w:marLeft w:val="0"/>
      <w:marRight w:val="0"/>
      <w:marTop w:val="0"/>
      <w:marBottom w:val="0"/>
      <w:divBdr>
        <w:top w:val="none" w:sz="0" w:space="0" w:color="auto"/>
        <w:left w:val="none" w:sz="0" w:space="0" w:color="auto"/>
        <w:bottom w:val="none" w:sz="0" w:space="0" w:color="auto"/>
        <w:right w:val="none" w:sz="0" w:space="0" w:color="auto"/>
      </w:divBdr>
    </w:div>
    <w:div w:id="150085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5E6E2-372A-4043-9B6D-51C1831C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7340</Words>
  <Characters>39415</Characters>
  <Application>Microsoft Office Word</Application>
  <DocSecurity>0</DocSecurity>
  <Lines>821</Lines>
  <Paragraphs>537</Paragraphs>
  <ScaleCrop>false</ScaleCrop>
  <HeadingPairs>
    <vt:vector size="2" baseType="variant">
      <vt:variant>
        <vt:lpstr>Title</vt:lpstr>
      </vt:variant>
      <vt:variant>
        <vt:i4>1</vt:i4>
      </vt:variant>
    </vt:vector>
  </HeadingPairs>
  <TitlesOfParts>
    <vt:vector size="1" baseType="lpstr">
      <vt:lpstr>AusPAR Attachment 1: Product Information for </vt:lpstr>
    </vt:vector>
  </TitlesOfParts>
  <Company>GSK Australia</Company>
  <LinksUpToDate>false</LinksUpToDate>
  <CharactersWithSpaces>46218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Human Papillomavirus Vaccine Types 16 and 18 (Recombinant, AS04 adjuvanted)</dc:title>
  <dc:subject>prescription medicine regulation</dc:subject>
  <dc:creator>GlaxoSmithKline Australia Pty Ltd</dc:creator>
  <cp:keywords>auspar, pi, product information, cervarix, human papilomavirus, vaccine</cp:keywords>
  <cp:lastModifiedBy>Sheppard, Fran</cp:lastModifiedBy>
  <cp:revision>8</cp:revision>
  <cp:lastPrinted>2015-09-15T23:08:00Z</cp:lastPrinted>
  <dcterms:created xsi:type="dcterms:W3CDTF">2015-09-15T23:07:00Z</dcterms:created>
  <dcterms:modified xsi:type="dcterms:W3CDTF">2016-01-05T00:45:00Z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1455747930</vt:i4>
  </property>
  <property fmtid="{D5CDD505-2E9C-101B-9397-08002B2CF9AE}" pid="3" name="_EmailEntryID">
    <vt:lpwstr>000000007EA11FA34002E242914986558F9D0D690700ED43DA0D1E472E489048755F28334E690182BEE8DDD80000A4C67C2254B0B04888850A85DA1F5C3B000000007A6F0000</vt:lpwstr>
  </property>
  <property fmtid="{D5CDD505-2E9C-101B-9397-08002B2CF9AE}" pid="4" name="_EmailStoreID0">
    <vt:lpwstr>0000000038A1BB1005E5101AA1BB08002B2A56C20000454D534D44422E444C4C00000000000000001B55FA20AA6611CD9BC800AA002FC45A0C000000303139642D4E414D53472D3037002F6F3D4D4D532F6F753D45786368616E67652041646D696E6973747261746976652047726F7570202846594449424F4846323353504</vt:lpwstr>
  </property>
  <property fmtid="{D5CDD505-2E9C-101B-9397-08002B2CF9AE}" pid="5" name="_EmailStoreID1">
    <vt:lpwstr>44C54292F636E3D526563697069656E74732F636E3D64716D363537303800</vt:lpwstr>
  </property>
  <property fmtid="{D5CDD505-2E9C-101B-9397-08002B2CF9AE}" pid="6" name="_ReviewingToolsShownOnce">
    <vt:lpwstr/>
  </property>
</Properties>
</file>