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7D1AB" w14:textId="77777777" w:rsidR="00836EF7" w:rsidRPr="00CF44CA" w:rsidRDefault="00836EF7" w:rsidP="00836EF7">
      <w:pPr>
        <w:tabs>
          <w:tab w:val="left" w:pos="284"/>
        </w:tabs>
        <w:spacing w:after="480" w:line="240" w:lineRule="auto"/>
        <w:rPr>
          <w:rFonts w:asciiTheme="majorHAnsi" w:hAnsiTheme="majorHAnsi"/>
        </w:rPr>
      </w:pPr>
      <w:r w:rsidRPr="00CF44CA">
        <w:rPr>
          <w:noProof/>
          <w:lang w:eastAsia="en-AU"/>
        </w:rPr>
        <mc:AlternateContent>
          <mc:Choice Requires="wps">
            <w:drawing>
              <wp:inline distT="0" distB="0" distL="0" distR="0" wp14:anchorId="5CAF0895" wp14:editId="41E92E2C">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85474" w14:textId="77777777" w:rsidR="003E431B" w:rsidRPr="00BE2A26" w:rsidRDefault="003E431B" w:rsidP="00836EF7">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CAF0895"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3i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rn&#10;GCnSAUX3fPDoRg8oD9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CSp3eJ0AgAA/gQAAA4AAAAAAAAAAAAA&#10;AAAALgIAAGRycy9lMm9Eb2MueG1sUEsBAi0AFAAGAAgAAAAhAGP1TgzZAAAAAwEAAA8AAAAAAAAA&#10;AAAAAAAAzgQAAGRycy9kb3ducmV2LnhtbFBLBQYAAAAABAAEAPMAAADUBQAAAAA=&#10;" stroked="f">
                <v:textbox inset="0,0,0,0">
                  <w:txbxContent>
                    <w:p w14:paraId="25985474" w14:textId="77777777" w:rsidR="003E431B" w:rsidRPr="00BE2A26" w:rsidRDefault="003E431B" w:rsidP="00836EF7">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CF44CA">
        <w:rPr>
          <w:rFonts w:asciiTheme="majorHAnsi" w:hAnsiTheme="majorHAnsi"/>
        </w:rPr>
        <w:t xml:space="preserve">This medicinal product is subject to additional monitoring in Australia. This will allow quick identification </w:t>
      </w:r>
      <w:bookmarkStart w:id="0" w:name="_GoBack"/>
      <w:bookmarkEnd w:id="0"/>
      <w:r w:rsidRPr="00CF44CA">
        <w:rPr>
          <w:rFonts w:asciiTheme="majorHAnsi" w:hAnsiTheme="majorHAnsi"/>
        </w:rPr>
        <w:t xml:space="preserve">of new safety information. Healthcare professionals are asked to report any suspected adverse events at </w:t>
      </w:r>
      <w:hyperlink r:id="rId8" w:history="1">
        <w:r w:rsidRPr="00CF44CA">
          <w:rPr>
            <w:rStyle w:val="Hyperlink"/>
            <w:rFonts w:asciiTheme="majorHAnsi" w:hAnsiTheme="majorHAnsi"/>
            <w:color w:val="auto"/>
          </w:rPr>
          <w:t>www.tga.gov.au/reporting-problems</w:t>
        </w:r>
      </w:hyperlink>
      <w:r w:rsidRPr="00CF44CA">
        <w:rPr>
          <w:rFonts w:asciiTheme="majorHAnsi" w:hAnsiTheme="majorHAnsi"/>
        </w:rPr>
        <w:t>.</w:t>
      </w:r>
    </w:p>
    <w:p w14:paraId="5FECA84D" w14:textId="77777777" w:rsidR="00EF0E0C" w:rsidRPr="00CF44CA" w:rsidRDefault="00EF0E0C" w:rsidP="003B1F3B">
      <w:pPr>
        <w:pStyle w:val="Heading1"/>
        <w:numPr>
          <w:ilvl w:val="0"/>
          <w:numId w:val="0"/>
        </w:numPr>
        <w:spacing w:before="0" w:after="120" w:line="240" w:lineRule="auto"/>
        <w:rPr>
          <w:rFonts w:ascii="Times New Roman" w:hAnsi="Times New Roman" w:cs="Times New Roman"/>
          <w:bCs w:val="0"/>
          <w:caps w:val="0"/>
          <w:sz w:val="24"/>
          <w:szCs w:val="24"/>
          <w:lang w:val="en-NZ"/>
        </w:rPr>
      </w:pPr>
      <w:r w:rsidRPr="00CF44CA">
        <w:rPr>
          <w:rFonts w:ascii="Times New Roman" w:hAnsi="Times New Roman" w:cs="Times New Roman"/>
          <w:bCs w:val="0"/>
          <w:caps w:val="0"/>
          <w:sz w:val="24"/>
          <w:szCs w:val="24"/>
          <w:lang w:val="en-NZ"/>
        </w:rPr>
        <w:t>AUSTRALIAN PRODUCT INFORMATION</w:t>
      </w:r>
      <w:r w:rsidR="006229DD" w:rsidRPr="00CF44CA">
        <w:rPr>
          <w:rFonts w:ascii="Times New Roman" w:hAnsi="Times New Roman" w:cs="Times New Roman"/>
          <w:bCs w:val="0"/>
          <w:caps w:val="0"/>
          <w:sz w:val="24"/>
          <w:szCs w:val="24"/>
          <w:lang w:val="en-NZ"/>
        </w:rPr>
        <w:t xml:space="preserve"> </w:t>
      </w:r>
      <w:r w:rsidR="003B1F3B" w:rsidRPr="00CF44CA">
        <w:rPr>
          <w:rFonts w:ascii="Times New Roman" w:hAnsi="Times New Roman" w:cs="Times New Roman"/>
          <w:bCs w:val="0"/>
          <w:caps w:val="0"/>
          <w:sz w:val="24"/>
          <w:szCs w:val="24"/>
          <w:lang w:val="en-NZ"/>
        </w:rPr>
        <w:t xml:space="preserve">- </w:t>
      </w:r>
      <w:r w:rsidR="008D42AD" w:rsidRPr="00CF44CA">
        <w:rPr>
          <w:rFonts w:ascii="Times New Roman" w:hAnsi="Times New Roman" w:cs="Times New Roman"/>
          <w:bCs w:val="0"/>
          <w:caps w:val="0"/>
          <w:sz w:val="24"/>
          <w:szCs w:val="24"/>
          <w:lang w:val="en-NZ"/>
        </w:rPr>
        <w:t>FIRAZYR</w:t>
      </w:r>
      <w:r w:rsidR="00BA0CE6" w:rsidRPr="00CF44CA">
        <w:rPr>
          <w:rFonts w:ascii="Times New Roman" w:hAnsi="Times New Roman" w:cs="Times New Roman"/>
          <w:bCs w:val="0"/>
          <w:caps w:val="0"/>
          <w:sz w:val="24"/>
          <w:szCs w:val="24"/>
          <w:vertAlign w:val="superscript"/>
          <w:lang w:val="en-NZ"/>
        </w:rPr>
        <w:t>®</w:t>
      </w:r>
      <w:r w:rsidR="008D42AD" w:rsidRPr="00CF44CA">
        <w:rPr>
          <w:rFonts w:ascii="Times New Roman" w:hAnsi="Times New Roman" w:cs="Times New Roman"/>
          <w:bCs w:val="0"/>
          <w:caps w:val="0"/>
          <w:sz w:val="24"/>
          <w:szCs w:val="24"/>
          <w:lang w:val="en-NZ"/>
        </w:rPr>
        <w:t xml:space="preserve"> (icatibant acetate)</w:t>
      </w:r>
    </w:p>
    <w:p w14:paraId="74CDE27F" w14:textId="77777777" w:rsidR="00914208" w:rsidRPr="00CF44CA" w:rsidRDefault="003B0C19" w:rsidP="003E431B">
      <w:pPr>
        <w:pStyle w:val="Heading2"/>
        <w:numPr>
          <w:ilvl w:val="0"/>
          <w:numId w:val="0"/>
        </w:numPr>
        <w:spacing w:before="180" w:after="180" w:line="240" w:lineRule="auto"/>
        <w:ind w:left="567" w:hanging="567"/>
        <w:rPr>
          <w:rFonts w:ascii="Times New Roman" w:hAnsi="Times New Roman" w:cs="Times New Roman"/>
          <w:szCs w:val="24"/>
        </w:rPr>
      </w:pPr>
      <w:r w:rsidRPr="00CF44CA">
        <w:rPr>
          <w:rFonts w:ascii="Times New Roman" w:hAnsi="Times New Roman" w:cs="Times New Roman"/>
          <w:smallCaps w:val="0"/>
          <w:szCs w:val="24"/>
        </w:rPr>
        <w:t>1</w:t>
      </w:r>
      <w:r w:rsidRPr="00CF44CA">
        <w:rPr>
          <w:rFonts w:ascii="Times New Roman" w:hAnsi="Times New Roman" w:cs="Times New Roman"/>
          <w:szCs w:val="24"/>
        </w:rPr>
        <w:tab/>
        <w:t xml:space="preserve">NAME OF THE MEDICINE </w:t>
      </w:r>
    </w:p>
    <w:p w14:paraId="08312F04" w14:textId="4BEF7746" w:rsidR="006B5ACB" w:rsidRPr="00CF44CA" w:rsidRDefault="00466BB5" w:rsidP="00684042">
      <w:pPr>
        <w:spacing w:before="180" w:after="180" w:line="240" w:lineRule="auto"/>
        <w:rPr>
          <w:rFonts w:ascii="Times New Roman" w:hAnsi="Times New Roman" w:cs="Times New Roman"/>
          <w:sz w:val="24"/>
          <w:szCs w:val="24"/>
        </w:rPr>
      </w:pPr>
      <w:proofErr w:type="spellStart"/>
      <w:r w:rsidRPr="00CF44CA">
        <w:rPr>
          <w:rFonts w:ascii="Times New Roman" w:hAnsi="Times New Roman" w:cs="Times New Roman"/>
          <w:sz w:val="24"/>
          <w:szCs w:val="24"/>
        </w:rPr>
        <w:t>I</w:t>
      </w:r>
      <w:r w:rsidR="00684042">
        <w:rPr>
          <w:rFonts w:ascii="Times New Roman" w:hAnsi="Times New Roman" w:cs="Times New Roman"/>
          <w:sz w:val="24"/>
          <w:szCs w:val="24"/>
        </w:rPr>
        <w:t>catibant</w:t>
      </w:r>
      <w:proofErr w:type="spellEnd"/>
      <w:r w:rsidR="00684042">
        <w:rPr>
          <w:rFonts w:ascii="Times New Roman" w:hAnsi="Times New Roman" w:cs="Times New Roman"/>
          <w:sz w:val="24"/>
          <w:szCs w:val="24"/>
        </w:rPr>
        <w:t xml:space="preserve"> acetate</w:t>
      </w:r>
    </w:p>
    <w:p w14:paraId="39B786F3" w14:textId="77777777" w:rsidR="00914208" w:rsidRPr="00CF44CA" w:rsidRDefault="003B0C19" w:rsidP="003E431B">
      <w:pPr>
        <w:pStyle w:val="Heading2"/>
        <w:numPr>
          <w:ilvl w:val="0"/>
          <w:numId w:val="0"/>
        </w:numPr>
        <w:spacing w:before="180" w:after="180" w:line="240" w:lineRule="auto"/>
        <w:ind w:left="567" w:hanging="567"/>
        <w:rPr>
          <w:rFonts w:ascii="Times New Roman" w:hAnsi="Times New Roman" w:cs="Times New Roman"/>
          <w:b w:val="0"/>
          <w:szCs w:val="24"/>
        </w:rPr>
      </w:pPr>
      <w:r w:rsidRPr="00CF44CA">
        <w:rPr>
          <w:rFonts w:ascii="Times New Roman" w:hAnsi="Times New Roman" w:cs="Times New Roman"/>
          <w:szCs w:val="24"/>
        </w:rPr>
        <w:t>2</w:t>
      </w:r>
      <w:r w:rsidRPr="00CF44CA">
        <w:rPr>
          <w:rFonts w:ascii="Times New Roman" w:hAnsi="Times New Roman" w:cs="Times New Roman"/>
          <w:szCs w:val="24"/>
        </w:rPr>
        <w:tab/>
      </w:r>
      <w:r w:rsidRPr="00CF44CA">
        <w:rPr>
          <w:rFonts w:ascii="Times New Roman" w:hAnsi="Times New Roman" w:cs="Times New Roman"/>
          <w:smallCaps w:val="0"/>
          <w:szCs w:val="24"/>
        </w:rPr>
        <w:t>QUALITATIVE AND QUANTITATIVE COMPOSITION</w:t>
      </w:r>
    </w:p>
    <w:p w14:paraId="1482A12B" w14:textId="6B341301" w:rsidR="00DC3E15" w:rsidRPr="00CF44CA" w:rsidRDefault="00DC3E15" w:rsidP="00684042">
      <w:pPr>
        <w:spacing w:before="180" w:after="180" w:line="240" w:lineRule="auto"/>
        <w:rPr>
          <w:rFonts w:ascii="Times New Roman" w:hAnsi="Times New Roman" w:cs="Times New Roman"/>
          <w:sz w:val="24"/>
          <w:szCs w:val="24"/>
        </w:rPr>
      </w:pPr>
      <w:r w:rsidRPr="00CF44CA">
        <w:rPr>
          <w:rFonts w:ascii="Times New Roman" w:hAnsi="Times New Roman" w:cs="Times New Roman"/>
          <w:bCs/>
          <w:sz w:val="24"/>
          <w:szCs w:val="24"/>
        </w:rPr>
        <w:t>Each pre-filled syringe delivers 3 mL containing icatibant acetate equivalent to 30 mg icatibant. Each mL of the soluti</w:t>
      </w:r>
      <w:r w:rsidR="00684042">
        <w:rPr>
          <w:rFonts w:ascii="Times New Roman" w:hAnsi="Times New Roman" w:cs="Times New Roman"/>
          <w:bCs/>
          <w:sz w:val="24"/>
          <w:szCs w:val="24"/>
        </w:rPr>
        <w:t xml:space="preserve">on contains 10 mg of </w:t>
      </w:r>
      <w:proofErr w:type="spellStart"/>
      <w:r w:rsidR="00684042">
        <w:rPr>
          <w:rFonts w:ascii="Times New Roman" w:hAnsi="Times New Roman" w:cs="Times New Roman"/>
          <w:bCs/>
          <w:sz w:val="24"/>
          <w:szCs w:val="24"/>
        </w:rPr>
        <w:t>icatibant</w:t>
      </w:r>
      <w:proofErr w:type="spellEnd"/>
      <w:r w:rsidR="00684042">
        <w:rPr>
          <w:rFonts w:ascii="Times New Roman" w:hAnsi="Times New Roman" w:cs="Times New Roman"/>
          <w:bCs/>
          <w:sz w:val="24"/>
          <w:szCs w:val="24"/>
        </w:rPr>
        <w:t>.</w:t>
      </w:r>
    </w:p>
    <w:p w14:paraId="759F6BD8" w14:textId="129BDF07" w:rsidR="00825DE0" w:rsidRPr="00CF44CA" w:rsidRDefault="00825DE0" w:rsidP="00684042">
      <w:pPr>
        <w:spacing w:before="180" w:after="180" w:line="240" w:lineRule="auto"/>
        <w:rPr>
          <w:rFonts w:ascii="Times New Roman" w:hAnsi="Times New Roman" w:cs="Times New Roman"/>
          <w:sz w:val="24"/>
          <w:szCs w:val="24"/>
        </w:rPr>
      </w:pPr>
      <w:r w:rsidRPr="00CF44CA">
        <w:rPr>
          <w:rFonts w:ascii="Times New Roman" w:hAnsi="Times New Roman" w:cs="Times New Roman"/>
          <w:sz w:val="24"/>
          <w:szCs w:val="24"/>
        </w:rPr>
        <w:t xml:space="preserve">For the full list of excipients, see Section 6.1 </w:t>
      </w:r>
      <w:r w:rsidR="00684042">
        <w:rPr>
          <w:rFonts w:ascii="Times New Roman" w:hAnsi="Times New Roman" w:cs="Times New Roman"/>
          <w:sz w:val="24"/>
          <w:szCs w:val="24"/>
        </w:rPr>
        <w:t>List of Excipients.</w:t>
      </w:r>
    </w:p>
    <w:p w14:paraId="13D1AE80" w14:textId="77777777" w:rsidR="001A3992" w:rsidRPr="00CF44CA" w:rsidRDefault="00743574" w:rsidP="003E431B">
      <w:pPr>
        <w:pStyle w:val="Heading1"/>
        <w:numPr>
          <w:ilvl w:val="0"/>
          <w:numId w:val="0"/>
        </w:numPr>
        <w:spacing w:before="180" w:after="180" w:line="240" w:lineRule="auto"/>
        <w:ind w:left="567" w:hanging="567"/>
        <w:rPr>
          <w:rFonts w:ascii="Times New Roman" w:hAnsi="Times New Roman" w:cs="Times New Roman"/>
          <w:sz w:val="24"/>
          <w:szCs w:val="24"/>
        </w:rPr>
      </w:pPr>
      <w:r w:rsidRPr="00CF44CA">
        <w:rPr>
          <w:rFonts w:ascii="Times New Roman" w:hAnsi="Times New Roman" w:cs="Times New Roman"/>
          <w:sz w:val="24"/>
          <w:szCs w:val="24"/>
        </w:rPr>
        <w:t>3</w:t>
      </w:r>
      <w:r w:rsidRPr="00CF44CA">
        <w:rPr>
          <w:rFonts w:ascii="Times New Roman" w:hAnsi="Times New Roman" w:cs="Times New Roman"/>
          <w:sz w:val="24"/>
          <w:szCs w:val="24"/>
        </w:rPr>
        <w:tab/>
      </w:r>
      <w:r w:rsidR="003B0C19" w:rsidRPr="00CF44CA">
        <w:rPr>
          <w:rFonts w:ascii="Times New Roman" w:hAnsi="Times New Roman" w:cs="Times New Roman"/>
          <w:caps w:val="0"/>
          <w:sz w:val="24"/>
          <w:szCs w:val="24"/>
        </w:rPr>
        <w:t>PHARMACEUTICAL FORM</w:t>
      </w:r>
    </w:p>
    <w:p w14:paraId="5EF172C0" w14:textId="21D39050" w:rsidR="00A6070B" w:rsidRPr="00CF44CA" w:rsidRDefault="00A6070B" w:rsidP="00684042">
      <w:pPr>
        <w:spacing w:before="18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Solution for injection</w:t>
      </w:r>
      <w:r w:rsidR="00900551" w:rsidRPr="00CF44CA">
        <w:rPr>
          <w:rFonts w:ascii="Times New Roman" w:hAnsi="Times New Roman" w:cs="Times New Roman"/>
          <w:bCs/>
          <w:sz w:val="24"/>
          <w:szCs w:val="24"/>
        </w:rPr>
        <w:t>.</w:t>
      </w:r>
    </w:p>
    <w:p w14:paraId="056A0B8F" w14:textId="5DEDA6B1" w:rsidR="00C41D04" w:rsidRPr="00CF44CA" w:rsidRDefault="00171F5E" w:rsidP="00684042">
      <w:pPr>
        <w:spacing w:before="180" w:after="180" w:line="240" w:lineRule="auto"/>
        <w:rPr>
          <w:rFonts w:ascii="Times New Roman" w:hAnsi="Times New Roman" w:cs="Times New Roman"/>
          <w:sz w:val="24"/>
          <w:szCs w:val="24"/>
        </w:rPr>
      </w:pPr>
      <w:r w:rsidRPr="00CF44CA">
        <w:rPr>
          <w:rFonts w:ascii="Times New Roman" w:hAnsi="Times New Roman" w:cs="Times New Roman"/>
          <w:bCs/>
          <w:sz w:val="24"/>
          <w:szCs w:val="24"/>
        </w:rPr>
        <w:t xml:space="preserve">FIRAZYR is supplied as </w:t>
      </w:r>
      <w:r w:rsidR="00DC3E15" w:rsidRPr="00CF44CA">
        <w:rPr>
          <w:rFonts w:ascii="Times New Roman" w:hAnsi="Times New Roman" w:cs="Times New Roman"/>
          <w:bCs/>
          <w:sz w:val="24"/>
          <w:szCs w:val="24"/>
        </w:rPr>
        <w:t xml:space="preserve">a </w:t>
      </w:r>
      <w:r w:rsidRPr="00CF44CA">
        <w:rPr>
          <w:rFonts w:ascii="Times New Roman" w:hAnsi="Times New Roman" w:cs="Times New Roman"/>
          <w:bCs/>
          <w:sz w:val="24"/>
          <w:szCs w:val="24"/>
        </w:rPr>
        <w:t>sterile solution for injection in single use pre-filled syringes. </w:t>
      </w:r>
      <w:r w:rsidR="003E531D" w:rsidRPr="00CF44CA">
        <w:rPr>
          <w:rFonts w:ascii="Times New Roman" w:hAnsi="Times New Roman" w:cs="Times New Roman"/>
          <w:bCs/>
          <w:sz w:val="24"/>
          <w:szCs w:val="24"/>
        </w:rPr>
        <w:t>The solution should be clear and colourless and free from visible particles.</w:t>
      </w:r>
      <w:r w:rsidR="006E08A7" w:rsidRPr="00CF44CA">
        <w:rPr>
          <w:rFonts w:ascii="Times New Roman" w:hAnsi="Times New Roman" w:cs="Times New Roman"/>
          <w:bCs/>
          <w:sz w:val="24"/>
          <w:szCs w:val="24"/>
        </w:rPr>
        <w:t xml:space="preserve"> The pH of the injection is approximately 5.5.</w:t>
      </w:r>
    </w:p>
    <w:p w14:paraId="497CA83B" w14:textId="77777777" w:rsidR="001A3992" w:rsidRPr="00CF44CA" w:rsidRDefault="0050050E" w:rsidP="003E431B">
      <w:pPr>
        <w:pStyle w:val="Heading1"/>
        <w:numPr>
          <w:ilvl w:val="0"/>
          <w:numId w:val="0"/>
        </w:numPr>
        <w:spacing w:before="180" w:after="180" w:line="240" w:lineRule="auto"/>
        <w:ind w:left="567" w:hanging="567"/>
        <w:rPr>
          <w:rFonts w:ascii="Times New Roman" w:hAnsi="Times New Roman" w:cs="Times New Roman"/>
          <w:caps w:val="0"/>
          <w:sz w:val="24"/>
          <w:szCs w:val="24"/>
        </w:rPr>
      </w:pPr>
      <w:r w:rsidRPr="00CF44CA">
        <w:rPr>
          <w:rFonts w:ascii="Times New Roman" w:hAnsi="Times New Roman" w:cs="Times New Roman"/>
          <w:sz w:val="24"/>
          <w:szCs w:val="24"/>
        </w:rPr>
        <w:t>4</w:t>
      </w:r>
      <w:r w:rsidRPr="00CF44CA">
        <w:rPr>
          <w:rFonts w:ascii="Times New Roman" w:hAnsi="Times New Roman" w:cs="Times New Roman"/>
          <w:sz w:val="24"/>
          <w:szCs w:val="24"/>
        </w:rPr>
        <w:tab/>
      </w:r>
      <w:r w:rsidR="007B2BFE" w:rsidRPr="00CF44CA">
        <w:rPr>
          <w:rFonts w:ascii="Times New Roman" w:hAnsi="Times New Roman" w:cs="Times New Roman"/>
          <w:caps w:val="0"/>
          <w:sz w:val="24"/>
          <w:szCs w:val="24"/>
        </w:rPr>
        <w:t>CLINICAL PARTICULARS</w:t>
      </w:r>
    </w:p>
    <w:p w14:paraId="3E573665" w14:textId="77777777" w:rsidR="001A3992" w:rsidRPr="00CF44CA" w:rsidRDefault="0050050E" w:rsidP="003E431B">
      <w:pPr>
        <w:pStyle w:val="Heading1"/>
        <w:numPr>
          <w:ilvl w:val="0"/>
          <w:numId w:val="0"/>
        </w:numPr>
        <w:spacing w:before="180" w:after="180" w:line="240" w:lineRule="auto"/>
        <w:ind w:left="567" w:hanging="567"/>
        <w:rPr>
          <w:rFonts w:ascii="Times New Roman" w:hAnsi="Times New Roman" w:cs="Times New Roman"/>
          <w:caps w:val="0"/>
          <w:sz w:val="24"/>
          <w:szCs w:val="24"/>
        </w:rPr>
      </w:pPr>
      <w:r w:rsidRPr="00CF44CA">
        <w:rPr>
          <w:rFonts w:ascii="Times New Roman" w:hAnsi="Times New Roman" w:cs="Times New Roman"/>
          <w:sz w:val="24"/>
          <w:szCs w:val="24"/>
        </w:rPr>
        <w:t>4.1</w:t>
      </w:r>
      <w:r w:rsidRPr="00CF44CA">
        <w:rPr>
          <w:rFonts w:ascii="Times New Roman" w:hAnsi="Times New Roman" w:cs="Times New Roman"/>
          <w:sz w:val="24"/>
          <w:szCs w:val="24"/>
        </w:rPr>
        <w:tab/>
      </w:r>
      <w:r w:rsidR="007B2BFE" w:rsidRPr="00CF44CA">
        <w:rPr>
          <w:rFonts w:ascii="Times New Roman" w:hAnsi="Times New Roman" w:cs="Times New Roman"/>
          <w:caps w:val="0"/>
          <w:sz w:val="24"/>
          <w:szCs w:val="24"/>
        </w:rPr>
        <w:t>THERAPEUTIC INDICATIONS</w:t>
      </w:r>
    </w:p>
    <w:p w14:paraId="38C0BF76" w14:textId="042D3EB8" w:rsidR="00EE5A2C" w:rsidRPr="00CF44CA" w:rsidRDefault="00EE5A2C" w:rsidP="00684042">
      <w:pPr>
        <w:spacing w:before="180" w:after="180" w:line="240" w:lineRule="auto"/>
        <w:rPr>
          <w:rFonts w:ascii="Times New Roman" w:hAnsi="Times New Roman" w:cs="Times New Roman"/>
          <w:b/>
          <w:i/>
          <w:sz w:val="24"/>
          <w:szCs w:val="24"/>
          <w:lang w:val="en-US"/>
        </w:rPr>
      </w:pPr>
      <w:r w:rsidRPr="00CF44CA">
        <w:rPr>
          <w:rFonts w:ascii="Times New Roman" w:hAnsi="Times New Roman" w:cs="Times New Roman"/>
          <w:bCs/>
          <w:sz w:val="24"/>
          <w:szCs w:val="24"/>
        </w:rPr>
        <w:t>FIRAZYR is indicated for symptomatic treatment of acute attacks of hereditary angioedema (HAE) in adults</w:t>
      </w:r>
      <w:r w:rsidR="000F7FBA" w:rsidRPr="00CF44CA">
        <w:rPr>
          <w:rFonts w:ascii="Times New Roman" w:hAnsi="Times New Roman" w:cs="Times New Roman"/>
          <w:bCs/>
          <w:sz w:val="24"/>
          <w:szCs w:val="24"/>
        </w:rPr>
        <w:t>, adolescents and children aged 2 years and older</w:t>
      </w:r>
      <w:r w:rsidRPr="00CF44CA">
        <w:rPr>
          <w:rFonts w:ascii="Times New Roman" w:hAnsi="Times New Roman" w:cs="Times New Roman"/>
          <w:bCs/>
          <w:sz w:val="24"/>
          <w:szCs w:val="24"/>
        </w:rPr>
        <w:t xml:space="preserve"> with C1</w:t>
      </w:r>
      <w:r w:rsidR="00684042">
        <w:rPr>
          <w:rFonts w:ascii="Times New Roman" w:hAnsi="Times New Roman" w:cs="Times New Roman"/>
          <w:bCs/>
          <w:sz w:val="24"/>
          <w:szCs w:val="24"/>
        </w:rPr>
        <w:t>-esterase-inhibitor deficiency.</w:t>
      </w:r>
    </w:p>
    <w:p w14:paraId="5A3896E4" w14:textId="77777777" w:rsidR="001A3992" w:rsidRPr="00CF44CA" w:rsidRDefault="007B5F3C" w:rsidP="003E431B">
      <w:pPr>
        <w:pStyle w:val="Heading2"/>
        <w:numPr>
          <w:ilvl w:val="0"/>
          <w:numId w:val="0"/>
        </w:numPr>
        <w:spacing w:before="180" w:after="180" w:line="240" w:lineRule="auto"/>
        <w:ind w:left="567" w:hanging="567"/>
        <w:rPr>
          <w:rFonts w:ascii="Times New Roman" w:hAnsi="Times New Roman" w:cs="Times New Roman"/>
          <w:szCs w:val="24"/>
        </w:rPr>
      </w:pPr>
      <w:r w:rsidRPr="00CF44CA">
        <w:rPr>
          <w:rFonts w:ascii="Times New Roman" w:hAnsi="Times New Roman" w:cs="Times New Roman"/>
          <w:szCs w:val="24"/>
        </w:rPr>
        <w:t xml:space="preserve">4.2 </w:t>
      </w:r>
      <w:r w:rsidR="007B2BFE" w:rsidRPr="00CF44CA">
        <w:rPr>
          <w:rFonts w:ascii="Times New Roman" w:hAnsi="Times New Roman" w:cs="Times New Roman"/>
          <w:szCs w:val="24"/>
        </w:rPr>
        <w:tab/>
      </w:r>
      <w:r w:rsidR="007B2BFE" w:rsidRPr="00CF44CA">
        <w:rPr>
          <w:rFonts w:ascii="Times New Roman" w:hAnsi="Times New Roman" w:cs="Times New Roman"/>
          <w:smallCaps w:val="0"/>
          <w:szCs w:val="24"/>
        </w:rPr>
        <w:t>DOSE AND METHOD OF ADMINISTRATION</w:t>
      </w:r>
      <w:r w:rsidR="007B2BFE" w:rsidRPr="00CF44CA">
        <w:rPr>
          <w:rFonts w:ascii="Times New Roman" w:hAnsi="Times New Roman" w:cs="Times New Roman"/>
          <w:szCs w:val="24"/>
        </w:rPr>
        <w:t xml:space="preserve"> </w:t>
      </w:r>
    </w:p>
    <w:p w14:paraId="7F0F93FE" w14:textId="77777777" w:rsidR="00DC3E15" w:rsidRPr="00CF44CA" w:rsidRDefault="00DC3E15" w:rsidP="00684042">
      <w:pPr>
        <w:autoSpaceDE w:val="0"/>
        <w:autoSpaceDN w:val="0"/>
        <w:adjustRightInd w:val="0"/>
        <w:spacing w:before="180" w:after="180" w:line="240" w:lineRule="auto"/>
        <w:rPr>
          <w:rFonts w:ascii="Times New Roman" w:hAnsi="Times New Roman" w:cs="Times New Roman"/>
          <w:b/>
          <w:bCs/>
          <w:sz w:val="24"/>
          <w:szCs w:val="24"/>
        </w:rPr>
      </w:pPr>
      <w:r w:rsidRPr="00CF44CA">
        <w:rPr>
          <w:rFonts w:ascii="Times New Roman" w:hAnsi="Times New Roman" w:cs="Times New Roman"/>
          <w:b/>
          <w:bCs/>
          <w:sz w:val="24"/>
          <w:szCs w:val="24"/>
        </w:rPr>
        <w:t>Dosage</w:t>
      </w:r>
    </w:p>
    <w:p w14:paraId="02150654" w14:textId="1CA756A1" w:rsidR="000F7FBA" w:rsidRPr="00CF44CA" w:rsidRDefault="00684042" w:rsidP="00684042">
      <w:pPr>
        <w:autoSpaceDE w:val="0"/>
        <w:autoSpaceDN w:val="0"/>
        <w:adjustRightInd w:val="0"/>
        <w:spacing w:before="180" w:after="18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Adults</w:t>
      </w:r>
    </w:p>
    <w:p w14:paraId="55B801FE" w14:textId="2EB32FD7" w:rsidR="00DC3E15" w:rsidRPr="00CF44CA" w:rsidRDefault="00DC3E15" w:rsidP="00684042">
      <w:pPr>
        <w:tabs>
          <w:tab w:val="left" w:pos="3510"/>
        </w:tabs>
        <w:autoSpaceDE w:val="0"/>
        <w:autoSpaceDN w:val="0"/>
        <w:adjustRightInd w:val="0"/>
        <w:spacing w:before="18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The recommended dose of FIRAZYR </w:t>
      </w:r>
      <w:r w:rsidR="000F7FBA" w:rsidRPr="00CF44CA">
        <w:rPr>
          <w:rFonts w:ascii="Times New Roman" w:hAnsi="Times New Roman" w:cs="Times New Roman"/>
          <w:bCs/>
          <w:sz w:val="24"/>
          <w:szCs w:val="24"/>
        </w:rPr>
        <w:t>for adult</w:t>
      </w:r>
      <w:r w:rsidR="003B1F3B" w:rsidRPr="00CF44CA">
        <w:rPr>
          <w:rFonts w:ascii="Times New Roman" w:hAnsi="Times New Roman" w:cs="Times New Roman"/>
          <w:bCs/>
          <w:sz w:val="24"/>
          <w:szCs w:val="24"/>
        </w:rPr>
        <w:t xml:space="preserve">s </w:t>
      </w:r>
      <w:r w:rsidRPr="00CF44CA">
        <w:rPr>
          <w:rFonts w:ascii="Times New Roman" w:hAnsi="Times New Roman" w:cs="Times New Roman"/>
          <w:bCs/>
          <w:sz w:val="24"/>
          <w:szCs w:val="24"/>
        </w:rPr>
        <w:t>is one subcutaneous injection of 30 mg</w:t>
      </w:r>
      <w:r w:rsidR="003B1F3B" w:rsidRPr="00CF44CA">
        <w:rPr>
          <w:rFonts w:ascii="Times New Roman" w:hAnsi="Times New Roman" w:cs="Times New Roman"/>
          <w:bCs/>
          <w:sz w:val="24"/>
          <w:szCs w:val="24"/>
        </w:rPr>
        <w:t>.</w:t>
      </w:r>
    </w:p>
    <w:p w14:paraId="6F3A43F3" w14:textId="77777777" w:rsidR="00BF0672" w:rsidRPr="00CF44CA" w:rsidRDefault="00BF0672" w:rsidP="00684042">
      <w:pPr>
        <w:autoSpaceDE w:val="0"/>
        <w:autoSpaceDN w:val="0"/>
        <w:adjustRightInd w:val="0"/>
        <w:spacing w:before="18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In the majority of cases a single injection of FIRAZYR is sufficient to treat an attack. In case of insufficient relief or recurrence of symptoms, a second injection of FIRAZYR can be administered after 6 hours. If the second injection produces insufficient relief or a recurrence of symptoms is observed, a third injection of FIRAZYR can be administered after a further 6 hours. No more than 3 injections of FIRAZYR should be administered in a 24-hour period.</w:t>
      </w:r>
    </w:p>
    <w:p w14:paraId="229D9021" w14:textId="77777777" w:rsidR="00BF0672" w:rsidRPr="00CF44CA" w:rsidRDefault="00BF0672" w:rsidP="00684042">
      <w:pPr>
        <w:autoSpaceDE w:val="0"/>
        <w:autoSpaceDN w:val="0"/>
        <w:adjustRightInd w:val="0"/>
        <w:spacing w:before="18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In clinical trials, not more than 8 injections of FIRAZYR per month have been administered.</w:t>
      </w:r>
    </w:p>
    <w:p w14:paraId="01A6B56A" w14:textId="77777777" w:rsidR="000F7FBA" w:rsidRPr="00CF44CA" w:rsidRDefault="000F7FBA" w:rsidP="00684042">
      <w:pPr>
        <w:autoSpaceDE w:val="0"/>
        <w:autoSpaceDN w:val="0"/>
        <w:adjustRightInd w:val="0"/>
        <w:spacing w:before="180" w:after="180" w:line="240" w:lineRule="auto"/>
        <w:rPr>
          <w:rFonts w:ascii="Times New Roman" w:hAnsi="Times New Roman" w:cs="Times New Roman"/>
          <w:bCs/>
          <w:sz w:val="24"/>
          <w:szCs w:val="24"/>
          <w:u w:val="single"/>
        </w:rPr>
      </w:pPr>
      <w:r w:rsidRPr="00CF44CA">
        <w:rPr>
          <w:rFonts w:ascii="Times New Roman" w:hAnsi="Times New Roman" w:cs="Times New Roman"/>
          <w:bCs/>
          <w:sz w:val="24"/>
          <w:szCs w:val="24"/>
          <w:u w:val="single"/>
        </w:rPr>
        <w:t>Adolescents and children (aged 2 to 17 years)</w:t>
      </w:r>
    </w:p>
    <w:p w14:paraId="1B12CBEC" w14:textId="77777777" w:rsidR="000F7FBA" w:rsidRPr="00CF44CA" w:rsidRDefault="000F7FBA" w:rsidP="00684042">
      <w:pPr>
        <w:autoSpaceDE w:val="0"/>
        <w:autoSpaceDN w:val="0"/>
        <w:adjustRightInd w:val="0"/>
        <w:spacing w:before="18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The recommended dose of FIRAZYR based on body weight in children and adolescents (aged 2 to 17 years) is provided in Table 1 below. </w:t>
      </w:r>
      <w:r w:rsidR="006229DD" w:rsidRPr="00CF44CA">
        <w:rPr>
          <w:rFonts w:ascii="Times New Roman" w:hAnsi="Times New Roman" w:cs="Times New Roman"/>
          <w:bCs/>
          <w:sz w:val="24"/>
          <w:szCs w:val="24"/>
        </w:rPr>
        <w:t>Studies in children aged less than 3.4 years or weighing less than 12 kg have not been performed.</w:t>
      </w:r>
    </w:p>
    <w:p w14:paraId="395783C0" w14:textId="7D0E7703" w:rsidR="000F7FBA" w:rsidRPr="00CF44CA" w:rsidRDefault="000F7FBA" w:rsidP="00684042">
      <w:pPr>
        <w:pageBreakBefore/>
        <w:autoSpaceDE w:val="0"/>
        <w:autoSpaceDN w:val="0"/>
        <w:adjustRightInd w:val="0"/>
        <w:spacing w:after="120" w:line="240" w:lineRule="auto"/>
        <w:rPr>
          <w:rFonts w:ascii="Times New Roman" w:hAnsi="Times New Roman" w:cs="Times New Roman"/>
          <w:bCs/>
          <w:sz w:val="23"/>
          <w:szCs w:val="23"/>
        </w:rPr>
      </w:pPr>
      <w:r w:rsidRPr="00CF44CA">
        <w:rPr>
          <w:rFonts w:ascii="Times New Roman" w:hAnsi="Times New Roman" w:cs="Times New Roman"/>
          <w:b/>
          <w:bCs/>
          <w:sz w:val="23"/>
          <w:szCs w:val="23"/>
        </w:rPr>
        <w:lastRenderedPageBreak/>
        <w:t>Table 1: Dosage Regimen for Paediatric Patients</w:t>
      </w:r>
    </w:p>
    <w:tbl>
      <w:tblPr>
        <w:tblStyle w:val="TableGrid"/>
        <w:tblW w:w="0" w:type="auto"/>
        <w:tblLook w:val="04A0" w:firstRow="1" w:lastRow="0" w:firstColumn="1" w:lastColumn="0" w:noHBand="0" w:noVBand="1"/>
      </w:tblPr>
      <w:tblGrid>
        <w:gridCol w:w="4576"/>
        <w:gridCol w:w="4584"/>
      </w:tblGrid>
      <w:tr w:rsidR="000F7FBA" w:rsidRPr="00CF44CA" w14:paraId="0AD54FB4" w14:textId="77777777" w:rsidTr="000F7FBA">
        <w:tc>
          <w:tcPr>
            <w:tcW w:w="4693" w:type="dxa"/>
            <w:tcBorders>
              <w:top w:val="single" w:sz="4" w:space="0" w:color="auto"/>
              <w:left w:val="single" w:sz="4" w:space="0" w:color="auto"/>
              <w:bottom w:val="single" w:sz="4" w:space="0" w:color="auto"/>
              <w:right w:val="single" w:sz="4" w:space="0" w:color="auto"/>
            </w:tcBorders>
            <w:hideMark/>
          </w:tcPr>
          <w:p w14:paraId="6D662401" w14:textId="77777777" w:rsidR="000F7FBA" w:rsidRPr="00CF44CA" w:rsidRDefault="000F7FBA">
            <w:pPr>
              <w:spacing w:before="40" w:after="40"/>
              <w:jc w:val="center"/>
              <w:rPr>
                <w:rFonts w:ascii="Times New Roman" w:hAnsi="Times New Roman" w:cs="Times New Roman"/>
                <w:b/>
                <w:sz w:val="23"/>
                <w:szCs w:val="23"/>
              </w:rPr>
            </w:pPr>
            <w:r w:rsidRPr="00CF44CA">
              <w:rPr>
                <w:rFonts w:ascii="Times New Roman" w:hAnsi="Times New Roman" w:cs="Times New Roman"/>
                <w:b/>
                <w:sz w:val="23"/>
                <w:szCs w:val="23"/>
              </w:rPr>
              <w:t>Body weight</w:t>
            </w:r>
          </w:p>
        </w:tc>
        <w:tc>
          <w:tcPr>
            <w:tcW w:w="4693" w:type="dxa"/>
            <w:tcBorders>
              <w:top w:val="single" w:sz="4" w:space="0" w:color="auto"/>
              <w:left w:val="single" w:sz="4" w:space="0" w:color="auto"/>
              <w:bottom w:val="single" w:sz="4" w:space="0" w:color="auto"/>
              <w:right w:val="single" w:sz="4" w:space="0" w:color="auto"/>
            </w:tcBorders>
            <w:hideMark/>
          </w:tcPr>
          <w:p w14:paraId="0280309B" w14:textId="77777777" w:rsidR="000F7FBA" w:rsidRPr="00CF44CA" w:rsidRDefault="000F7FBA">
            <w:pPr>
              <w:spacing w:before="40" w:after="40"/>
              <w:jc w:val="center"/>
              <w:rPr>
                <w:rFonts w:ascii="Times New Roman" w:hAnsi="Times New Roman" w:cs="Times New Roman"/>
                <w:b/>
                <w:sz w:val="23"/>
                <w:szCs w:val="23"/>
              </w:rPr>
            </w:pPr>
            <w:r w:rsidRPr="00CF44CA">
              <w:rPr>
                <w:rFonts w:ascii="Times New Roman" w:hAnsi="Times New Roman" w:cs="Times New Roman"/>
                <w:b/>
                <w:sz w:val="23"/>
                <w:szCs w:val="23"/>
              </w:rPr>
              <w:t>Dose (injection volume)</w:t>
            </w:r>
          </w:p>
        </w:tc>
      </w:tr>
      <w:tr w:rsidR="000F7FBA" w:rsidRPr="00CF44CA" w14:paraId="0DAF4EBB" w14:textId="77777777" w:rsidTr="000F7FBA">
        <w:tc>
          <w:tcPr>
            <w:tcW w:w="4693" w:type="dxa"/>
            <w:tcBorders>
              <w:top w:val="single" w:sz="4" w:space="0" w:color="auto"/>
              <w:left w:val="single" w:sz="4" w:space="0" w:color="auto"/>
              <w:bottom w:val="single" w:sz="4" w:space="0" w:color="auto"/>
              <w:right w:val="single" w:sz="4" w:space="0" w:color="auto"/>
            </w:tcBorders>
            <w:hideMark/>
          </w:tcPr>
          <w:p w14:paraId="345F5202"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12 kg to 25 kg</w:t>
            </w:r>
          </w:p>
        </w:tc>
        <w:tc>
          <w:tcPr>
            <w:tcW w:w="4693" w:type="dxa"/>
            <w:tcBorders>
              <w:top w:val="single" w:sz="4" w:space="0" w:color="auto"/>
              <w:left w:val="single" w:sz="4" w:space="0" w:color="auto"/>
              <w:bottom w:val="single" w:sz="4" w:space="0" w:color="auto"/>
              <w:right w:val="single" w:sz="4" w:space="0" w:color="auto"/>
            </w:tcBorders>
            <w:hideMark/>
          </w:tcPr>
          <w:p w14:paraId="47D9E83D"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10 mg (1.0 mL)</w:t>
            </w:r>
          </w:p>
        </w:tc>
      </w:tr>
      <w:tr w:rsidR="000F7FBA" w:rsidRPr="00CF44CA" w14:paraId="4460E447" w14:textId="77777777" w:rsidTr="000F7FBA">
        <w:tc>
          <w:tcPr>
            <w:tcW w:w="4693" w:type="dxa"/>
            <w:tcBorders>
              <w:top w:val="single" w:sz="4" w:space="0" w:color="auto"/>
              <w:left w:val="single" w:sz="4" w:space="0" w:color="auto"/>
              <w:bottom w:val="single" w:sz="4" w:space="0" w:color="auto"/>
              <w:right w:val="single" w:sz="4" w:space="0" w:color="auto"/>
            </w:tcBorders>
            <w:hideMark/>
          </w:tcPr>
          <w:p w14:paraId="196C2092"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26 kg to 40 kg</w:t>
            </w:r>
          </w:p>
        </w:tc>
        <w:tc>
          <w:tcPr>
            <w:tcW w:w="4693" w:type="dxa"/>
            <w:tcBorders>
              <w:top w:val="single" w:sz="4" w:space="0" w:color="auto"/>
              <w:left w:val="single" w:sz="4" w:space="0" w:color="auto"/>
              <w:bottom w:val="single" w:sz="4" w:space="0" w:color="auto"/>
              <w:right w:val="single" w:sz="4" w:space="0" w:color="auto"/>
            </w:tcBorders>
            <w:hideMark/>
          </w:tcPr>
          <w:p w14:paraId="642A4333"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15 mg (1.5 mL)</w:t>
            </w:r>
          </w:p>
        </w:tc>
      </w:tr>
      <w:tr w:rsidR="000F7FBA" w:rsidRPr="00CF44CA" w14:paraId="278F2ECA" w14:textId="77777777" w:rsidTr="000F7FBA">
        <w:tc>
          <w:tcPr>
            <w:tcW w:w="4693" w:type="dxa"/>
            <w:tcBorders>
              <w:top w:val="single" w:sz="4" w:space="0" w:color="auto"/>
              <w:left w:val="single" w:sz="4" w:space="0" w:color="auto"/>
              <w:bottom w:val="single" w:sz="4" w:space="0" w:color="auto"/>
              <w:right w:val="single" w:sz="4" w:space="0" w:color="auto"/>
            </w:tcBorders>
            <w:hideMark/>
          </w:tcPr>
          <w:p w14:paraId="54224F15"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41 kg to 50 kg</w:t>
            </w:r>
          </w:p>
        </w:tc>
        <w:tc>
          <w:tcPr>
            <w:tcW w:w="4693" w:type="dxa"/>
            <w:tcBorders>
              <w:top w:val="single" w:sz="4" w:space="0" w:color="auto"/>
              <w:left w:val="single" w:sz="4" w:space="0" w:color="auto"/>
              <w:bottom w:val="single" w:sz="4" w:space="0" w:color="auto"/>
              <w:right w:val="single" w:sz="4" w:space="0" w:color="auto"/>
            </w:tcBorders>
            <w:hideMark/>
          </w:tcPr>
          <w:p w14:paraId="4340C9EC"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20 mg (2.0 mL)</w:t>
            </w:r>
          </w:p>
        </w:tc>
      </w:tr>
      <w:tr w:rsidR="000F7FBA" w:rsidRPr="00CF44CA" w14:paraId="759B9D29" w14:textId="77777777" w:rsidTr="000F7FBA">
        <w:tc>
          <w:tcPr>
            <w:tcW w:w="4693" w:type="dxa"/>
            <w:tcBorders>
              <w:top w:val="single" w:sz="4" w:space="0" w:color="auto"/>
              <w:left w:val="single" w:sz="4" w:space="0" w:color="auto"/>
              <w:bottom w:val="single" w:sz="4" w:space="0" w:color="auto"/>
              <w:right w:val="single" w:sz="4" w:space="0" w:color="auto"/>
            </w:tcBorders>
            <w:hideMark/>
          </w:tcPr>
          <w:p w14:paraId="3B02BCDF"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51 kg to 65 kg</w:t>
            </w:r>
          </w:p>
        </w:tc>
        <w:tc>
          <w:tcPr>
            <w:tcW w:w="4693" w:type="dxa"/>
            <w:tcBorders>
              <w:top w:val="single" w:sz="4" w:space="0" w:color="auto"/>
              <w:left w:val="single" w:sz="4" w:space="0" w:color="auto"/>
              <w:bottom w:val="single" w:sz="4" w:space="0" w:color="auto"/>
              <w:right w:val="single" w:sz="4" w:space="0" w:color="auto"/>
            </w:tcBorders>
            <w:hideMark/>
          </w:tcPr>
          <w:p w14:paraId="73148768"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25 mg (2.5 mL)</w:t>
            </w:r>
          </w:p>
        </w:tc>
      </w:tr>
      <w:tr w:rsidR="000F7FBA" w:rsidRPr="00CF44CA" w14:paraId="0F7F2621" w14:textId="77777777" w:rsidTr="000F7FBA">
        <w:tc>
          <w:tcPr>
            <w:tcW w:w="4693" w:type="dxa"/>
            <w:tcBorders>
              <w:top w:val="single" w:sz="4" w:space="0" w:color="auto"/>
              <w:left w:val="single" w:sz="4" w:space="0" w:color="auto"/>
              <w:bottom w:val="single" w:sz="4" w:space="0" w:color="auto"/>
              <w:right w:val="single" w:sz="4" w:space="0" w:color="auto"/>
            </w:tcBorders>
            <w:hideMark/>
          </w:tcPr>
          <w:p w14:paraId="6DE91BD0"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&gt;65 kg</w:t>
            </w:r>
          </w:p>
        </w:tc>
        <w:tc>
          <w:tcPr>
            <w:tcW w:w="4693" w:type="dxa"/>
            <w:tcBorders>
              <w:top w:val="single" w:sz="4" w:space="0" w:color="auto"/>
              <w:left w:val="single" w:sz="4" w:space="0" w:color="auto"/>
              <w:bottom w:val="single" w:sz="4" w:space="0" w:color="auto"/>
              <w:right w:val="single" w:sz="4" w:space="0" w:color="auto"/>
            </w:tcBorders>
            <w:hideMark/>
          </w:tcPr>
          <w:p w14:paraId="22DCE663" w14:textId="77777777" w:rsidR="000F7FBA" w:rsidRPr="00CF44CA" w:rsidRDefault="000F7FBA">
            <w:pPr>
              <w:spacing w:before="40" w:after="40"/>
              <w:jc w:val="center"/>
              <w:rPr>
                <w:rFonts w:ascii="Times New Roman" w:hAnsi="Times New Roman" w:cs="Times New Roman"/>
                <w:sz w:val="23"/>
                <w:szCs w:val="23"/>
              </w:rPr>
            </w:pPr>
            <w:r w:rsidRPr="00CF44CA">
              <w:rPr>
                <w:rFonts w:ascii="Times New Roman" w:hAnsi="Times New Roman" w:cs="Times New Roman"/>
                <w:sz w:val="23"/>
                <w:szCs w:val="23"/>
              </w:rPr>
              <w:t>30 mg (3.0 mL)</w:t>
            </w:r>
          </w:p>
        </w:tc>
      </w:tr>
    </w:tbl>
    <w:p w14:paraId="1BE68261" w14:textId="202232A3" w:rsidR="003243F4" w:rsidRPr="00CF44CA" w:rsidRDefault="00684042" w:rsidP="00684042">
      <w:pPr>
        <w:spacing w:before="120" w:after="180" w:line="240" w:lineRule="auto"/>
        <w:rPr>
          <w:rFonts w:ascii="Times New Roman" w:hAnsi="Times New Roman" w:cs="Times New Roman"/>
          <w:sz w:val="23"/>
          <w:szCs w:val="23"/>
        </w:rPr>
      </w:pPr>
      <w:r>
        <w:rPr>
          <w:rFonts w:ascii="Times New Roman" w:hAnsi="Times New Roman" w:cs="Times New Roman"/>
          <w:sz w:val="23"/>
          <w:szCs w:val="23"/>
        </w:rPr>
        <w:t>Note:</w:t>
      </w:r>
    </w:p>
    <w:p w14:paraId="7524742A" w14:textId="77777777" w:rsidR="003243F4" w:rsidRPr="00CF44CA" w:rsidRDefault="003243F4" w:rsidP="00684042">
      <w:pPr>
        <w:spacing w:before="120" w:after="180" w:line="240" w:lineRule="auto"/>
        <w:rPr>
          <w:rFonts w:ascii="Times New Roman" w:hAnsi="Times New Roman" w:cs="Times New Roman"/>
          <w:sz w:val="23"/>
          <w:szCs w:val="23"/>
        </w:rPr>
      </w:pPr>
      <w:r w:rsidRPr="00CF44CA">
        <w:rPr>
          <w:rFonts w:ascii="Times New Roman" w:hAnsi="Times New Roman" w:cs="Times New Roman"/>
          <w:sz w:val="23"/>
          <w:szCs w:val="23"/>
        </w:rPr>
        <w:t xml:space="preserve">FIRAZYR is not indicated for use in children less than 2 years </w:t>
      </w:r>
      <w:r w:rsidR="006E1881" w:rsidRPr="00CF44CA">
        <w:rPr>
          <w:rFonts w:ascii="Times New Roman" w:hAnsi="Times New Roman" w:cs="Times New Roman"/>
          <w:sz w:val="23"/>
          <w:szCs w:val="23"/>
        </w:rPr>
        <w:t>or</w:t>
      </w:r>
      <w:r w:rsidRPr="00CF44CA">
        <w:rPr>
          <w:rFonts w:ascii="Times New Roman" w:hAnsi="Times New Roman" w:cs="Times New Roman"/>
          <w:sz w:val="23"/>
          <w:szCs w:val="23"/>
        </w:rPr>
        <w:t xml:space="preserve"> &lt;12 kg.</w:t>
      </w:r>
    </w:p>
    <w:p w14:paraId="1289608D" w14:textId="77777777" w:rsidR="003243F4" w:rsidRPr="00CF44CA" w:rsidRDefault="003243F4" w:rsidP="00684042">
      <w:pPr>
        <w:spacing w:before="120" w:after="180" w:line="240" w:lineRule="auto"/>
        <w:rPr>
          <w:rFonts w:ascii="Times New Roman" w:hAnsi="Times New Roman" w:cs="Times New Roman"/>
          <w:sz w:val="23"/>
          <w:szCs w:val="23"/>
        </w:rPr>
      </w:pPr>
      <w:r w:rsidRPr="00CF44CA">
        <w:rPr>
          <w:rFonts w:ascii="Times New Roman" w:hAnsi="Times New Roman" w:cs="Times New Roman"/>
          <w:sz w:val="23"/>
          <w:szCs w:val="23"/>
        </w:rPr>
        <w:t>Administration of more than one dose per HAE attack has not been studied (s</w:t>
      </w:r>
      <w:r w:rsidR="00EA6370" w:rsidRPr="00CF44CA">
        <w:rPr>
          <w:rFonts w:ascii="Times New Roman" w:hAnsi="Times New Roman" w:cs="Times New Roman"/>
          <w:sz w:val="23"/>
          <w:szCs w:val="23"/>
        </w:rPr>
        <w:t>ee Section 5.1 Pharmacodynamic P</w:t>
      </w:r>
      <w:r w:rsidRPr="00CF44CA">
        <w:rPr>
          <w:rFonts w:ascii="Times New Roman" w:hAnsi="Times New Roman" w:cs="Times New Roman"/>
          <w:sz w:val="23"/>
          <w:szCs w:val="23"/>
        </w:rPr>
        <w:t>roperties: Clinical trials).</w:t>
      </w:r>
    </w:p>
    <w:p w14:paraId="3B49CD47" w14:textId="347597A4" w:rsidR="003243F4" w:rsidRPr="00CF44CA" w:rsidRDefault="003243F4" w:rsidP="00684042">
      <w:pPr>
        <w:spacing w:before="120" w:after="180" w:line="240" w:lineRule="auto"/>
        <w:rPr>
          <w:rFonts w:ascii="Times New Roman" w:hAnsi="Times New Roman" w:cs="Times New Roman"/>
          <w:sz w:val="23"/>
          <w:szCs w:val="23"/>
        </w:rPr>
      </w:pPr>
      <w:r w:rsidRPr="00CF44CA">
        <w:rPr>
          <w:rFonts w:ascii="Times New Roman" w:hAnsi="Times New Roman" w:cs="Times New Roman"/>
          <w:sz w:val="23"/>
          <w:szCs w:val="23"/>
        </w:rPr>
        <w:t xml:space="preserve">No patient </w:t>
      </w:r>
      <w:r w:rsidR="00EA6370" w:rsidRPr="00CF44CA">
        <w:rPr>
          <w:rFonts w:ascii="Times New Roman" w:hAnsi="Times New Roman" w:cs="Times New Roman"/>
          <w:sz w:val="23"/>
          <w:szCs w:val="23"/>
        </w:rPr>
        <w:t xml:space="preserve">younger than 3.4 years </w:t>
      </w:r>
      <w:r w:rsidRPr="00CF44CA">
        <w:rPr>
          <w:rFonts w:ascii="Times New Roman" w:hAnsi="Times New Roman" w:cs="Times New Roman"/>
          <w:sz w:val="23"/>
          <w:szCs w:val="23"/>
        </w:rPr>
        <w:t>was treated in Study HGT-FIR-086. Dosages are based on population pharmacokinetic modelling</w:t>
      </w:r>
      <w:r w:rsidR="00EA6370" w:rsidRPr="00CF44CA">
        <w:rPr>
          <w:rFonts w:ascii="Times New Roman" w:hAnsi="Times New Roman" w:cs="Times New Roman"/>
          <w:sz w:val="23"/>
          <w:szCs w:val="23"/>
        </w:rPr>
        <w:t xml:space="preserve"> (see Section 5.2 Pharmacokinetic Properties: Special populations)</w:t>
      </w:r>
      <w:r w:rsidR="00684042">
        <w:rPr>
          <w:rFonts w:ascii="Times New Roman" w:hAnsi="Times New Roman" w:cs="Times New Roman"/>
          <w:sz w:val="23"/>
          <w:szCs w:val="23"/>
        </w:rPr>
        <w:t>.</w:t>
      </w:r>
    </w:p>
    <w:p w14:paraId="67E0408D" w14:textId="23FE440A" w:rsidR="00BF0672" w:rsidRPr="00CF44CA" w:rsidRDefault="00684042" w:rsidP="00684042">
      <w:pPr>
        <w:autoSpaceDE w:val="0"/>
        <w:autoSpaceDN w:val="0"/>
        <w:adjustRightInd w:val="0"/>
        <w:spacing w:before="120" w:after="180" w:line="240" w:lineRule="auto"/>
        <w:rPr>
          <w:rFonts w:ascii="Times New Roman" w:hAnsi="Times New Roman" w:cs="Times New Roman"/>
          <w:b/>
          <w:bCs/>
          <w:sz w:val="24"/>
          <w:szCs w:val="24"/>
        </w:rPr>
      </w:pPr>
      <w:r>
        <w:rPr>
          <w:rFonts w:ascii="Times New Roman" w:hAnsi="Times New Roman" w:cs="Times New Roman"/>
          <w:b/>
          <w:bCs/>
          <w:sz w:val="24"/>
          <w:szCs w:val="24"/>
        </w:rPr>
        <w:t>Method of administration</w:t>
      </w:r>
    </w:p>
    <w:p w14:paraId="6528CADD" w14:textId="5C9B5C20" w:rsidR="00CF507D" w:rsidRPr="00CF44CA" w:rsidRDefault="00CF507D"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FIRAZYR is intended for subcutaneous injection</w:t>
      </w:r>
      <w:r w:rsidR="002618E1" w:rsidRPr="00CF44CA">
        <w:rPr>
          <w:rFonts w:ascii="Times New Roman" w:hAnsi="Times New Roman" w:cs="Times New Roman"/>
          <w:bCs/>
          <w:sz w:val="24"/>
          <w:szCs w:val="24"/>
        </w:rPr>
        <w:t xml:space="preserve"> preferably in the abdominal area</w:t>
      </w:r>
      <w:r w:rsidR="001D0AAC" w:rsidRPr="00CF44CA">
        <w:rPr>
          <w:rFonts w:ascii="Times New Roman" w:hAnsi="Times New Roman" w:cs="Times New Roman"/>
          <w:bCs/>
          <w:sz w:val="24"/>
          <w:szCs w:val="24"/>
        </w:rPr>
        <w:t>.</w:t>
      </w:r>
      <w:r w:rsidR="002618E1" w:rsidRPr="00CF44CA">
        <w:rPr>
          <w:rFonts w:ascii="Times New Roman" w:hAnsi="Times New Roman" w:cs="Times New Roman"/>
          <w:bCs/>
          <w:sz w:val="24"/>
          <w:szCs w:val="24"/>
        </w:rPr>
        <w:t xml:space="preserve"> Injection should be given slowly due to the volume to be administered (3 mL).</w:t>
      </w:r>
    </w:p>
    <w:p w14:paraId="106C5064" w14:textId="2C493FEF" w:rsidR="00CF507D" w:rsidRPr="00CF44CA" w:rsidRDefault="002618E1" w:rsidP="00684042">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 xml:space="preserve">Adult patients may self-administer FIRAZYR upon recognition of symptoms of an HAE attack after training under the guidance of a healthcare professional. </w:t>
      </w:r>
      <w:r w:rsidR="00CF507D" w:rsidRPr="00CF44CA">
        <w:rPr>
          <w:rFonts w:ascii="Times New Roman" w:hAnsi="Times New Roman" w:cs="Times New Roman"/>
          <w:sz w:val="24"/>
          <w:szCs w:val="24"/>
        </w:rPr>
        <w:t xml:space="preserve">Patients who </w:t>
      </w:r>
      <w:proofErr w:type="spellStart"/>
      <w:r w:rsidR="00CF507D" w:rsidRPr="00CF44CA">
        <w:rPr>
          <w:rFonts w:ascii="Times New Roman" w:hAnsi="Times New Roman" w:cs="Times New Roman"/>
          <w:sz w:val="24"/>
          <w:szCs w:val="24"/>
        </w:rPr>
        <w:t>self inject</w:t>
      </w:r>
      <w:proofErr w:type="spellEnd"/>
      <w:r w:rsidR="00CF507D" w:rsidRPr="00CF44CA">
        <w:rPr>
          <w:rFonts w:ascii="Times New Roman" w:hAnsi="Times New Roman" w:cs="Times New Roman"/>
          <w:sz w:val="24"/>
          <w:szCs w:val="24"/>
        </w:rPr>
        <w:t xml:space="preserve"> should be advised to seek urgent medical attention if there is no evidence of resolution of the HAE attack within 2 hours of self-injection, or immediately should the HAE attack progress to involve the face, lips or </w:t>
      </w:r>
      <w:proofErr w:type="spellStart"/>
      <w:r w:rsidR="00CF507D" w:rsidRPr="00CF44CA">
        <w:rPr>
          <w:rFonts w:ascii="Times New Roman" w:hAnsi="Times New Roman" w:cs="Times New Roman"/>
          <w:sz w:val="24"/>
          <w:szCs w:val="24"/>
        </w:rPr>
        <w:t>pharyngolaryngeal</w:t>
      </w:r>
      <w:proofErr w:type="spellEnd"/>
      <w:r w:rsidR="00CF507D" w:rsidRPr="00CF44CA">
        <w:rPr>
          <w:rFonts w:ascii="Times New Roman" w:hAnsi="Times New Roman" w:cs="Times New Roman"/>
          <w:sz w:val="24"/>
          <w:szCs w:val="24"/>
        </w:rPr>
        <w:t xml:space="preserve"> area. Patients whose initial HAE attack involves the face, lips or </w:t>
      </w:r>
      <w:proofErr w:type="spellStart"/>
      <w:r w:rsidR="00CF507D" w:rsidRPr="00CF44CA">
        <w:rPr>
          <w:rFonts w:ascii="Times New Roman" w:hAnsi="Times New Roman" w:cs="Times New Roman"/>
          <w:sz w:val="24"/>
          <w:szCs w:val="24"/>
        </w:rPr>
        <w:t>pharyngolaryngeal</w:t>
      </w:r>
      <w:proofErr w:type="spellEnd"/>
      <w:r w:rsidR="00CF507D" w:rsidRPr="00CF44CA">
        <w:rPr>
          <w:rFonts w:ascii="Times New Roman" w:hAnsi="Times New Roman" w:cs="Times New Roman"/>
          <w:sz w:val="24"/>
          <w:szCs w:val="24"/>
        </w:rPr>
        <w:t xml:space="preserve"> area should seek urgent medical attention, regardless of their response to FI</w:t>
      </w:r>
      <w:r w:rsidR="00684042">
        <w:rPr>
          <w:rFonts w:ascii="Times New Roman" w:hAnsi="Times New Roman" w:cs="Times New Roman"/>
          <w:sz w:val="24"/>
          <w:szCs w:val="24"/>
        </w:rPr>
        <w:t>RAZYR following self-injection.</w:t>
      </w:r>
    </w:p>
    <w:p w14:paraId="1E1DDEB0" w14:textId="6351DE20" w:rsidR="003243F4" w:rsidRPr="00CF44CA" w:rsidRDefault="003243F4"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For patients who have not previously received icatibant, initial treatment should be given in a medical institution or under the guidance of a physician. The decision to initiate caregiver or self-administration of icatibant should be made by a physician experienced in the </w:t>
      </w:r>
      <w:r w:rsidR="00684042">
        <w:rPr>
          <w:rFonts w:ascii="Times New Roman" w:hAnsi="Times New Roman" w:cs="Times New Roman"/>
          <w:bCs/>
          <w:sz w:val="24"/>
          <w:szCs w:val="24"/>
        </w:rPr>
        <w:t>diagnosis and treatment of HAE.</w:t>
      </w:r>
    </w:p>
    <w:p w14:paraId="1D765B45" w14:textId="77777777" w:rsidR="002618E1" w:rsidRPr="00CF44CA" w:rsidRDefault="002618E1"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FIRAZYR may be administered to children and adolescents (2-17 years) by a healthcare professional or caregiver only after training in subcutaneous injection technique by a healthcare professional.</w:t>
      </w:r>
    </w:p>
    <w:p w14:paraId="4B03C286" w14:textId="77777777" w:rsidR="00B94995" w:rsidRPr="00CF44CA" w:rsidRDefault="00B94995"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For instructions for use of the delivery system, refer to the consumer medicine information</w:t>
      </w:r>
      <w:r w:rsidR="008F4595" w:rsidRPr="00CF44CA">
        <w:rPr>
          <w:rFonts w:ascii="Times New Roman" w:hAnsi="Times New Roman" w:cs="Times New Roman"/>
          <w:bCs/>
          <w:sz w:val="24"/>
          <w:szCs w:val="24"/>
        </w:rPr>
        <w:t xml:space="preserve"> leaflet</w:t>
      </w:r>
      <w:r w:rsidRPr="00CF44CA">
        <w:rPr>
          <w:rFonts w:ascii="Times New Roman" w:hAnsi="Times New Roman" w:cs="Times New Roman"/>
          <w:bCs/>
          <w:sz w:val="24"/>
          <w:szCs w:val="24"/>
        </w:rPr>
        <w:t xml:space="preserve"> which can be found at </w:t>
      </w:r>
      <w:hyperlink r:id="rId9" w:history="1">
        <w:r w:rsidRPr="00CF44CA">
          <w:rPr>
            <w:rStyle w:val="Hyperlink"/>
            <w:rFonts w:ascii="Times New Roman" w:hAnsi="Times New Roman" w:cs="Times New Roman"/>
            <w:bCs/>
            <w:color w:val="auto"/>
            <w:sz w:val="24"/>
            <w:szCs w:val="24"/>
          </w:rPr>
          <w:t>https://www.ebs.tga.gov.au/</w:t>
        </w:r>
      </w:hyperlink>
      <w:r w:rsidRPr="00CF44CA">
        <w:rPr>
          <w:rFonts w:ascii="Times New Roman" w:hAnsi="Times New Roman" w:cs="Times New Roman"/>
          <w:bCs/>
          <w:sz w:val="24"/>
          <w:szCs w:val="24"/>
        </w:rPr>
        <w:t>.</w:t>
      </w:r>
    </w:p>
    <w:p w14:paraId="433C8C20" w14:textId="2E7FB3DF" w:rsidR="00EA6370" w:rsidRPr="00CF44CA" w:rsidRDefault="00EA637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No dosage regimen can be recommended in children aged less than 2 years or weighing less than 12 kg, as the safety and efficacy in this paediatric </w:t>
      </w:r>
      <w:r w:rsidR="00684042">
        <w:rPr>
          <w:rFonts w:ascii="Times New Roman" w:hAnsi="Times New Roman" w:cs="Times New Roman"/>
          <w:bCs/>
          <w:sz w:val="24"/>
          <w:szCs w:val="24"/>
        </w:rPr>
        <w:t>group has not been established.</w:t>
      </w:r>
    </w:p>
    <w:p w14:paraId="035E27B7" w14:textId="77777777" w:rsidR="00CF507D" w:rsidRPr="00CF44CA" w:rsidRDefault="00CF507D"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Patients with laryngeal symptoms should seek medical attention immediately after administration of FIRAZYR and need to be managed in an appropriate medical institution after injection until the physician considers discharge to be safe.</w:t>
      </w:r>
    </w:p>
    <w:p w14:paraId="2B9E0721" w14:textId="77777777" w:rsidR="00385264" w:rsidRPr="00CF44CA" w:rsidRDefault="00385264"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FIRAZYR contains no antimicrobial agent and should be used immediately. </w:t>
      </w:r>
      <w:r w:rsidR="00EA6370" w:rsidRPr="00CF44CA">
        <w:rPr>
          <w:rFonts w:ascii="Times New Roman" w:hAnsi="Times New Roman" w:cs="Times New Roman"/>
          <w:bCs/>
          <w:sz w:val="24"/>
          <w:szCs w:val="24"/>
        </w:rPr>
        <w:t xml:space="preserve">Each syringe </w:t>
      </w:r>
      <w:r w:rsidRPr="00CF44CA">
        <w:rPr>
          <w:rFonts w:ascii="Times New Roman" w:hAnsi="Times New Roman" w:cs="Times New Roman"/>
          <w:bCs/>
          <w:sz w:val="24"/>
          <w:szCs w:val="24"/>
        </w:rPr>
        <w:t>is</w:t>
      </w:r>
      <w:r w:rsidR="00EA6370" w:rsidRPr="00CF44CA">
        <w:rPr>
          <w:rFonts w:ascii="Times New Roman" w:hAnsi="Times New Roman" w:cs="Times New Roman"/>
          <w:bCs/>
          <w:sz w:val="24"/>
          <w:szCs w:val="24"/>
        </w:rPr>
        <w:t xml:space="preserve"> intended </w:t>
      </w:r>
      <w:r w:rsidRPr="00CF44CA">
        <w:rPr>
          <w:rFonts w:ascii="Times New Roman" w:hAnsi="Times New Roman" w:cs="Times New Roman"/>
          <w:bCs/>
          <w:sz w:val="24"/>
          <w:szCs w:val="24"/>
        </w:rPr>
        <w:t>for single use in one patient only. Any residue should be discarded.</w:t>
      </w:r>
    </w:p>
    <w:p w14:paraId="35D62DC7" w14:textId="77777777" w:rsidR="00946DFB" w:rsidRPr="00CF44CA" w:rsidRDefault="00946DFB" w:rsidP="00684042">
      <w:pPr>
        <w:spacing w:before="120" w:after="180" w:line="240" w:lineRule="auto"/>
        <w:rPr>
          <w:rFonts w:ascii="Times New Roman" w:hAnsi="Times New Roman" w:cs="Times New Roman"/>
          <w:b/>
          <w:sz w:val="24"/>
          <w:szCs w:val="24"/>
        </w:rPr>
      </w:pPr>
      <w:r w:rsidRPr="00CF44CA">
        <w:rPr>
          <w:rFonts w:ascii="Times New Roman" w:hAnsi="Times New Roman" w:cs="Times New Roman"/>
          <w:b/>
          <w:sz w:val="24"/>
          <w:szCs w:val="24"/>
        </w:rPr>
        <w:lastRenderedPageBreak/>
        <w:t>Hepatic</w:t>
      </w:r>
      <w:r w:rsidR="0098015B" w:rsidRPr="00CF44CA">
        <w:rPr>
          <w:rFonts w:ascii="Times New Roman" w:hAnsi="Times New Roman" w:cs="Times New Roman"/>
          <w:b/>
          <w:sz w:val="24"/>
          <w:szCs w:val="24"/>
        </w:rPr>
        <w:t xml:space="preserve"> </w:t>
      </w:r>
      <w:r w:rsidRPr="00CF44CA">
        <w:rPr>
          <w:rFonts w:ascii="Times New Roman" w:hAnsi="Times New Roman" w:cs="Times New Roman"/>
          <w:b/>
          <w:sz w:val="24"/>
          <w:szCs w:val="24"/>
        </w:rPr>
        <w:t>impairment</w:t>
      </w:r>
    </w:p>
    <w:p w14:paraId="457FC667" w14:textId="51924B9B" w:rsidR="00946DFB" w:rsidRPr="00CF44CA" w:rsidRDefault="00946DFB" w:rsidP="00684042">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 xml:space="preserve">No </w:t>
      </w:r>
      <w:r w:rsidR="00CF507D" w:rsidRPr="00CF44CA">
        <w:rPr>
          <w:rFonts w:ascii="Times New Roman" w:hAnsi="Times New Roman" w:cs="Times New Roman"/>
          <w:sz w:val="24"/>
          <w:szCs w:val="24"/>
        </w:rPr>
        <w:t xml:space="preserve">dosage adjustment is required in </w:t>
      </w:r>
      <w:r w:rsidRPr="00CF44CA">
        <w:rPr>
          <w:rFonts w:ascii="Times New Roman" w:hAnsi="Times New Roman" w:cs="Times New Roman"/>
          <w:sz w:val="24"/>
          <w:szCs w:val="24"/>
        </w:rPr>
        <w:t>patients with hepatic</w:t>
      </w:r>
      <w:r w:rsidR="00652F78" w:rsidRPr="00CF44CA">
        <w:rPr>
          <w:rFonts w:ascii="Times New Roman" w:hAnsi="Times New Roman" w:cs="Times New Roman"/>
          <w:sz w:val="24"/>
          <w:szCs w:val="24"/>
        </w:rPr>
        <w:t xml:space="preserve"> </w:t>
      </w:r>
      <w:r w:rsidR="00684042">
        <w:rPr>
          <w:rFonts w:ascii="Times New Roman" w:hAnsi="Times New Roman" w:cs="Times New Roman"/>
          <w:sz w:val="24"/>
          <w:szCs w:val="24"/>
        </w:rPr>
        <w:t>impairment.</w:t>
      </w:r>
    </w:p>
    <w:p w14:paraId="4A431329" w14:textId="77777777" w:rsidR="00652F78" w:rsidRPr="00CF44CA" w:rsidRDefault="00652F78" w:rsidP="00684042">
      <w:pPr>
        <w:spacing w:before="120" w:after="180" w:line="240" w:lineRule="auto"/>
        <w:rPr>
          <w:rFonts w:ascii="Times New Roman" w:hAnsi="Times New Roman" w:cs="Times New Roman"/>
          <w:b/>
          <w:sz w:val="24"/>
          <w:szCs w:val="24"/>
        </w:rPr>
      </w:pPr>
      <w:r w:rsidRPr="00CF44CA">
        <w:rPr>
          <w:rFonts w:ascii="Times New Roman" w:hAnsi="Times New Roman" w:cs="Times New Roman"/>
          <w:b/>
          <w:sz w:val="24"/>
          <w:szCs w:val="24"/>
        </w:rPr>
        <w:t>Renal impairment</w:t>
      </w:r>
    </w:p>
    <w:p w14:paraId="464E4E1F" w14:textId="15541219" w:rsidR="00652F78" w:rsidRPr="00CF44CA" w:rsidRDefault="00CF507D" w:rsidP="00684042">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No dosage adjustment is required in patients with</w:t>
      </w:r>
      <w:r w:rsidR="00684042">
        <w:rPr>
          <w:rFonts w:ascii="Times New Roman" w:hAnsi="Times New Roman" w:cs="Times New Roman"/>
          <w:sz w:val="24"/>
          <w:szCs w:val="24"/>
        </w:rPr>
        <w:t xml:space="preserve"> renal impairment.</w:t>
      </w:r>
    </w:p>
    <w:p w14:paraId="3CA22BC6" w14:textId="77777777" w:rsidR="001A3992" w:rsidRPr="00CF44CA" w:rsidRDefault="003B0C19" w:rsidP="003E431B">
      <w:pPr>
        <w:pStyle w:val="Heading2"/>
        <w:numPr>
          <w:ilvl w:val="0"/>
          <w:numId w:val="0"/>
        </w:numPr>
        <w:spacing w:before="120" w:after="180" w:line="240" w:lineRule="auto"/>
        <w:ind w:left="567" w:hanging="567"/>
        <w:rPr>
          <w:rFonts w:ascii="Times New Roman" w:hAnsi="Times New Roman" w:cs="Times New Roman"/>
          <w:szCs w:val="24"/>
        </w:rPr>
      </w:pPr>
      <w:r w:rsidRPr="00CF44CA">
        <w:rPr>
          <w:rFonts w:ascii="Times New Roman" w:hAnsi="Times New Roman" w:cs="Times New Roman"/>
          <w:szCs w:val="24"/>
        </w:rPr>
        <w:t xml:space="preserve">4.3 </w:t>
      </w:r>
      <w:r w:rsidR="007B2BFE" w:rsidRPr="00CF44CA">
        <w:rPr>
          <w:rFonts w:ascii="Times New Roman" w:hAnsi="Times New Roman" w:cs="Times New Roman"/>
          <w:szCs w:val="24"/>
        </w:rPr>
        <w:tab/>
      </w:r>
      <w:r w:rsidR="007B2BFE" w:rsidRPr="00CF44CA">
        <w:rPr>
          <w:rFonts w:ascii="Times New Roman" w:hAnsi="Times New Roman" w:cs="Times New Roman"/>
          <w:smallCaps w:val="0"/>
        </w:rPr>
        <w:t>CONTRAINDICATIONS</w:t>
      </w:r>
    </w:p>
    <w:p w14:paraId="353F164A" w14:textId="33E5653E" w:rsidR="0037513E" w:rsidRPr="00CF44CA" w:rsidRDefault="0037513E" w:rsidP="00684042">
      <w:pPr>
        <w:pStyle w:val="ListParagraph"/>
        <w:tabs>
          <w:tab w:val="left" w:pos="851"/>
        </w:tabs>
        <w:spacing w:before="120" w:after="180" w:line="240" w:lineRule="auto"/>
        <w:ind w:left="0"/>
        <w:rPr>
          <w:rFonts w:ascii="Times New Roman" w:hAnsi="Times New Roman" w:cs="Times New Roman"/>
          <w:sz w:val="24"/>
          <w:szCs w:val="24"/>
        </w:rPr>
      </w:pPr>
      <w:r w:rsidRPr="00CF44CA">
        <w:rPr>
          <w:rFonts w:ascii="Times New Roman" w:hAnsi="Times New Roman" w:cs="Times New Roman"/>
          <w:sz w:val="24"/>
          <w:szCs w:val="24"/>
        </w:rPr>
        <w:t xml:space="preserve">Hypersensitivity to the active substance or to any of the </w:t>
      </w:r>
      <w:r w:rsidR="00652F78" w:rsidRPr="00CF44CA">
        <w:rPr>
          <w:rFonts w:ascii="Times New Roman" w:hAnsi="Times New Roman" w:cs="Times New Roman"/>
          <w:sz w:val="24"/>
          <w:szCs w:val="24"/>
        </w:rPr>
        <w:t>excipients</w:t>
      </w:r>
      <w:r w:rsidR="00684042">
        <w:rPr>
          <w:rFonts w:ascii="Times New Roman" w:hAnsi="Times New Roman" w:cs="Times New Roman"/>
          <w:sz w:val="24"/>
          <w:szCs w:val="24"/>
        </w:rPr>
        <w:t>.</w:t>
      </w:r>
    </w:p>
    <w:p w14:paraId="49DF9C4C" w14:textId="773F5519" w:rsidR="001A3992" w:rsidRPr="00CF44CA" w:rsidRDefault="003E431B" w:rsidP="003E431B">
      <w:pPr>
        <w:spacing w:before="120" w:after="180" w:line="240" w:lineRule="auto"/>
        <w:ind w:left="567" w:hanging="567"/>
        <w:rPr>
          <w:rFonts w:ascii="Times New Roman" w:hAnsi="Times New Roman" w:cs="Times New Roman"/>
          <w:b/>
          <w:sz w:val="24"/>
          <w:szCs w:val="24"/>
        </w:rPr>
      </w:pPr>
      <w:r>
        <w:rPr>
          <w:rFonts w:ascii="Times New Roman" w:hAnsi="Times New Roman" w:cs="Times New Roman"/>
          <w:b/>
          <w:sz w:val="24"/>
          <w:szCs w:val="24"/>
        </w:rPr>
        <w:t>4.4</w:t>
      </w:r>
      <w:r w:rsidR="007B2BFE" w:rsidRPr="00CF44CA">
        <w:rPr>
          <w:rFonts w:ascii="Times New Roman" w:hAnsi="Times New Roman" w:cs="Times New Roman"/>
          <w:b/>
          <w:sz w:val="24"/>
          <w:szCs w:val="24"/>
        </w:rPr>
        <w:tab/>
        <w:t>SPECIAL WARNINGS AND PRECAUTIONS FOR USE</w:t>
      </w:r>
    </w:p>
    <w:p w14:paraId="0559023B" w14:textId="1873A5C6" w:rsidR="00564342" w:rsidRPr="00CF44CA" w:rsidRDefault="00684042" w:rsidP="00684042">
      <w:pPr>
        <w:pStyle w:val="Heading3"/>
        <w:spacing w:before="120" w:after="180" w:line="240" w:lineRule="auto"/>
        <w:ind w:left="0"/>
        <w:rPr>
          <w:rFonts w:ascii="Times New Roman" w:hAnsi="Times New Roman" w:cs="Times New Roman"/>
          <w:sz w:val="24"/>
          <w:szCs w:val="24"/>
        </w:rPr>
      </w:pPr>
      <w:bookmarkStart w:id="1" w:name="_Toc261438347"/>
      <w:bookmarkStart w:id="2" w:name="_Toc261438348"/>
      <w:r>
        <w:rPr>
          <w:rFonts w:ascii="Times New Roman" w:hAnsi="Times New Roman" w:cs="Times New Roman"/>
          <w:sz w:val="24"/>
          <w:szCs w:val="24"/>
        </w:rPr>
        <w:t>Ischaemic heart disease</w:t>
      </w:r>
    </w:p>
    <w:p w14:paraId="0C656A1D" w14:textId="3F322EF5" w:rsidR="00EE5A2C" w:rsidRPr="00CF44CA" w:rsidRDefault="00EE5A2C" w:rsidP="00684042">
      <w:pPr>
        <w:autoSpaceDE w:val="0"/>
        <w:autoSpaceDN w:val="0"/>
        <w:adjustRightInd w:val="0"/>
        <w:spacing w:before="120" w:after="180" w:line="240" w:lineRule="auto"/>
        <w:rPr>
          <w:rFonts w:ascii="Times New Roman" w:hAnsi="Times New Roman" w:cs="Times New Roman"/>
          <w:bCs/>
          <w:sz w:val="24"/>
          <w:szCs w:val="24"/>
        </w:rPr>
      </w:pPr>
      <w:proofErr w:type="spellStart"/>
      <w:r w:rsidRPr="00CF44CA">
        <w:rPr>
          <w:rFonts w:ascii="Times New Roman" w:hAnsi="Times New Roman" w:cs="Times New Roman"/>
          <w:bCs/>
          <w:sz w:val="24"/>
          <w:szCs w:val="24"/>
        </w:rPr>
        <w:t>Icatibant</w:t>
      </w:r>
      <w:proofErr w:type="spellEnd"/>
      <w:r w:rsidRPr="00CF44CA">
        <w:rPr>
          <w:rFonts w:ascii="Times New Roman" w:hAnsi="Times New Roman" w:cs="Times New Roman"/>
          <w:bCs/>
          <w:sz w:val="24"/>
          <w:szCs w:val="24"/>
        </w:rPr>
        <w:t xml:space="preserve"> did not elicit any cardiac conduction change </w:t>
      </w:r>
      <w:r w:rsidRPr="00CF44CA">
        <w:rPr>
          <w:rFonts w:ascii="Times New Roman" w:hAnsi="Times New Roman" w:cs="Times New Roman"/>
          <w:bCs/>
          <w:i/>
          <w:sz w:val="24"/>
          <w:szCs w:val="24"/>
        </w:rPr>
        <w:t>in vitro</w:t>
      </w:r>
      <w:r w:rsidRPr="00CF44CA">
        <w:rPr>
          <w:rFonts w:ascii="Times New Roman" w:hAnsi="Times New Roman" w:cs="Times New Roman"/>
          <w:bCs/>
          <w:sz w:val="24"/>
          <w:szCs w:val="24"/>
        </w:rPr>
        <w:t xml:space="preserve"> (</w:t>
      </w:r>
      <w:proofErr w:type="spellStart"/>
      <w:r w:rsidRPr="00CF44CA">
        <w:rPr>
          <w:rFonts w:ascii="Times New Roman" w:hAnsi="Times New Roman" w:cs="Times New Roman"/>
          <w:bCs/>
          <w:sz w:val="24"/>
          <w:szCs w:val="24"/>
        </w:rPr>
        <w:t>hERG</w:t>
      </w:r>
      <w:proofErr w:type="spellEnd"/>
      <w:r w:rsidRPr="00CF44CA">
        <w:rPr>
          <w:rFonts w:ascii="Times New Roman" w:hAnsi="Times New Roman" w:cs="Times New Roman"/>
          <w:bCs/>
          <w:sz w:val="24"/>
          <w:szCs w:val="24"/>
        </w:rPr>
        <w:t xml:space="preserve"> channel) or </w:t>
      </w:r>
      <w:r w:rsidRPr="00CF44CA">
        <w:rPr>
          <w:rFonts w:ascii="Times New Roman" w:hAnsi="Times New Roman" w:cs="Times New Roman"/>
          <w:bCs/>
          <w:i/>
          <w:sz w:val="24"/>
          <w:szCs w:val="24"/>
        </w:rPr>
        <w:t>in vivo</w:t>
      </w:r>
      <w:r w:rsidRPr="00CF44CA">
        <w:rPr>
          <w:rFonts w:ascii="Times New Roman" w:hAnsi="Times New Roman" w:cs="Times New Roman"/>
          <w:bCs/>
          <w:sz w:val="24"/>
          <w:szCs w:val="24"/>
        </w:rPr>
        <w:t xml:space="preserve"> in normal dogs or in </w:t>
      </w:r>
      <w:r w:rsidRPr="00CF44CA">
        <w:rPr>
          <w:rFonts w:ascii="Times New Roman" w:hAnsi="Times New Roman" w:cs="Times New Roman"/>
          <w:sz w:val="24"/>
          <w:szCs w:val="24"/>
        </w:rPr>
        <w:t xml:space="preserve">dogs undergoing physical exertion. </w:t>
      </w:r>
      <w:proofErr w:type="spellStart"/>
      <w:r w:rsidRPr="00CF44CA">
        <w:rPr>
          <w:rFonts w:ascii="Times New Roman" w:hAnsi="Times New Roman" w:cs="Times New Roman"/>
          <w:bCs/>
          <w:sz w:val="24"/>
          <w:szCs w:val="24"/>
        </w:rPr>
        <w:t>Icatibant</w:t>
      </w:r>
      <w:proofErr w:type="spellEnd"/>
      <w:r w:rsidRPr="00CF44CA">
        <w:rPr>
          <w:rFonts w:ascii="Times New Roman" w:hAnsi="Times New Roman" w:cs="Times New Roman"/>
          <w:bCs/>
          <w:sz w:val="24"/>
          <w:szCs w:val="24"/>
        </w:rPr>
        <w:t xml:space="preserve"> has been shown to aggravate induced cardiac </w:t>
      </w:r>
      <w:proofErr w:type="spellStart"/>
      <w:r w:rsidRPr="00CF44CA">
        <w:rPr>
          <w:rFonts w:ascii="Times New Roman" w:hAnsi="Times New Roman" w:cs="Times New Roman"/>
          <w:bCs/>
          <w:sz w:val="24"/>
          <w:szCs w:val="24"/>
        </w:rPr>
        <w:t>ischaemia</w:t>
      </w:r>
      <w:proofErr w:type="spellEnd"/>
      <w:r w:rsidRPr="00CF44CA">
        <w:rPr>
          <w:rFonts w:ascii="Times New Roman" w:hAnsi="Times New Roman" w:cs="Times New Roman"/>
          <w:bCs/>
          <w:sz w:val="24"/>
          <w:szCs w:val="24"/>
        </w:rPr>
        <w:t xml:space="preserve"> in several non-clinical models, including a study</w:t>
      </w:r>
      <w:r w:rsidRPr="00CF44CA">
        <w:rPr>
          <w:rFonts w:ascii="Times New Roman" w:hAnsi="Times New Roman" w:cs="Times New Roman"/>
          <w:sz w:val="24"/>
          <w:szCs w:val="24"/>
        </w:rPr>
        <w:t xml:space="preserve"> in dogs involving coronary ligation, probably as a result of left ventricular failure.</w:t>
      </w:r>
      <w:r w:rsidRPr="00CF44CA">
        <w:rPr>
          <w:rFonts w:ascii="Times New Roman" w:hAnsi="Times New Roman" w:cs="Times New Roman"/>
          <w:bCs/>
          <w:sz w:val="24"/>
          <w:szCs w:val="24"/>
        </w:rPr>
        <w:t xml:space="preserve"> Bradykinin and the B2 receptors have been shown to have cardioprotective properties in animals, which were attenuated by icatibant.</w:t>
      </w:r>
    </w:p>
    <w:p w14:paraId="27F1A5E3" w14:textId="48A18694" w:rsidR="00EE5A2C" w:rsidRPr="00CF44CA" w:rsidRDefault="00EE5A2C"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Under ischaemic conditions, a deterioration of cardiac function and a decrease in coronary blood flow could theoretically arise from</w:t>
      </w:r>
      <w:r w:rsidR="00684042">
        <w:rPr>
          <w:rFonts w:ascii="Times New Roman" w:hAnsi="Times New Roman" w:cs="Times New Roman"/>
          <w:bCs/>
          <w:sz w:val="24"/>
          <w:szCs w:val="24"/>
        </w:rPr>
        <w:t xml:space="preserve"> antagonism of the B2 receptor.</w:t>
      </w:r>
    </w:p>
    <w:p w14:paraId="4A2C6838" w14:textId="77777777" w:rsidR="002314D0" w:rsidRPr="00CF44CA" w:rsidRDefault="00EE5A2C"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Caution should therefore be observed in the administration of FIRAZYR to patients with acute ischaemic heart disease or unstable angina pectoris.</w:t>
      </w:r>
    </w:p>
    <w:p w14:paraId="39B2E792" w14:textId="043E89D7" w:rsidR="002314D0" w:rsidRPr="00CF44CA" w:rsidRDefault="00684042" w:rsidP="00684042">
      <w:pPr>
        <w:autoSpaceDE w:val="0"/>
        <w:autoSpaceDN w:val="0"/>
        <w:adjustRightInd w:val="0"/>
        <w:spacing w:before="120" w:after="180" w:line="240" w:lineRule="auto"/>
        <w:rPr>
          <w:rFonts w:ascii="Times New Roman" w:hAnsi="Times New Roman" w:cs="Times New Roman"/>
          <w:b/>
          <w:bCs/>
          <w:sz w:val="24"/>
          <w:szCs w:val="24"/>
        </w:rPr>
      </w:pPr>
      <w:r>
        <w:rPr>
          <w:rFonts w:ascii="Times New Roman" w:hAnsi="Times New Roman" w:cs="Times New Roman"/>
          <w:b/>
          <w:bCs/>
          <w:sz w:val="24"/>
          <w:szCs w:val="24"/>
        </w:rPr>
        <w:t>Stroke</w:t>
      </w:r>
    </w:p>
    <w:p w14:paraId="581749AB" w14:textId="21CEED6E" w:rsidR="00C04E2C"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There is a theoretical possibility that icatibant may attenuate the positive late phase neuroprotective effects of bradykinin. Accordingly, caution should be observed in the administration of icatibant to patients in the weeks following a stroke.</w:t>
      </w:r>
      <w:bookmarkEnd w:id="1"/>
      <w:bookmarkEnd w:id="2"/>
    </w:p>
    <w:p w14:paraId="04204912" w14:textId="77777777" w:rsidR="00C04E2C" w:rsidRPr="00CF44CA" w:rsidRDefault="00BA0CE6" w:rsidP="00684042">
      <w:pPr>
        <w:autoSpaceDE w:val="0"/>
        <w:autoSpaceDN w:val="0"/>
        <w:adjustRightInd w:val="0"/>
        <w:spacing w:before="120" w:after="180" w:line="240" w:lineRule="auto"/>
        <w:rPr>
          <w:rFonts w:ascii="Times New Roman" w:hAnsi="Times New Roman" w:cs="Times New Roman"/>
          <w:b/>
          <w:sz w:val="24"/>
          <w:szCs w:val="24"/>
        </w:rPr>
      </w:pPr>
      <w:r w:rsidRPr="00CF44CA">
        <w:rPr>
          <w:rFonts w:ascii="Times New Roman" w:hAnsi="Times New Roman" w:cs="Times New Roman"/>
          <w:b/>
          <w:sz w:val="24"/>
          <w:szCs w:val="24"/>
        </w:rPr>
        <w:t>Use in hepatic impairment</w:t>
      </w:r>
    </w:p>
    <w:p w14:paraId="45B3EB58" w14:textId="77777777" w:rsidR="00630F8A" w:rsidRPr="00CF44CA" w:rsidRDefault="00630F8A" w:rsidP="00684042">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Data from subjects with a wide range of hepatic insufficiency suggest that icatibant exposure is not influenced by hepatic impairment. No dosage adjustment is required in patients with hepatic impairment.</w:t>
      </w:r>
    </w:p>
    <w:p w14:paraId="372682F0" w14:textId="77777777" w:rsidR="00630F8A" w:rsidRPr="00CF44CA" w:rsidRDefault="00630F8A" w:rsidP="00684042">
      <w:pPr>
        <w:pStyle w:val="Heading3"/>
        <w:spacing w:before="120" w:after="180" w:line="240" w:lineRule="auto"/>
        <w:ind w:left="0"/>
        <w:rPr>
          <w:rFonts w:ascii="Times New Roman" w:hAnsi="Times New Roman" w:cs="Times New Roman"/>
          <w:sz w:val="24"/>
          <w:szCs w:val="24"/>
        </w:rPr>
      </w:pPr>
      <w:r w:rsidRPr="00CF44CA">
        <w:rPr>
          <w:rFonts w:ascii="Times New Roman" w:hAnsi="Times New Roman" w:cs="Times New Roman"/>
          <w:sz w:val="24"/>
          <w:szCs w:val="24"/>
        </w:rPr>
        <w:t>Use in renal impairment</w:t>
      </w:r>
    </w:p>
    <w:p w14:paraId="72C9AB70" w14:textId="160103BB" w:rsidR="00BA0CE6" w:rsidRPr="00CF44CA" w:rsidRDefault="00630F8A" w:rsidP="00684042">
      <w:pPr>
        <w:pStyle w:val="Heading3"/>
        <w:spacing w:before="120" w:after="180" w:line="240" w:lineRule="auto"/>
        <w:ind w:left="0"/>
        <w:rPr>
          <w:rFonts w:ascii="Times New Roman" w:hAnsi="Times New Roman" w:cs="Times New Roman"/>
          <w:b w:val="0"/>
          <w:sz w:val="24"/>
          <w:szCs w:val="24"/>
        </w:rPr>
      </w:pPr>
      <w:r w:rsidRPr="00CF44CA">
        <w:rPr>
          <w:rFonts w:ascii="Times New Roman" w:hAnsi="Times New Roman" w:cs="Times New Roman"/>
          <w:b w:val="0"/>
          <w:sz w:val="24"/>
          <w:szCs w:val="24"/>
        </w:rPr>
        <w:t xml:space="preserve">Limited data from subjects with renal insufficiency suggest that icatibant exposure is not influenced by renal impairment. No dosage adjustment is required in </w:t>
      </w:r>
      <w:r w:rsidR="00684042">
        <w:rPr>
          <w:rFonts w:ascii="Times New Roman" w:hAnsi="Times New Roman" w:cs="Times New Roman"/>
          <w:b w:val="0"/>
          <w:sz w:val="24"/>
          <w:szCs w:val="24"/>
        </w:rPr>
        <w:t>patients with renal impairment.</w:t>
      </w:r>
    </w:p>
    <w:p w14:paraId="1CAD75B2" w14:textId="372DA527" w:rsidR="0037513E" w:rsidRPr="00CF44CA" w:rsidRDefault="00684042" w:rsidP="00684042">
      <w:pPr>
        <w:pStyle w:val="Heading3"/>
        <w:spacing w:before="120" w:after="180" w:line="240" w:lineRule="auto"/>
        <w:ind w:left="0"/>
        <w:rPr>
          <w:rFonts w:ascii="Times New Roman" w:hAnsi="Times New Roman" w:cs="Times New Roman"/>
          <w:sz w:val="24"/>
          <w:szCs w:val="24"/>
        </w:rPr>
      </w:pPr>
      <w:r>
        <w:rPr>
          <w:rFonts w:ascii="Times New Roman" w:hAnsi="Times New Roman" w:cs="Times New Roman"/>
          <w:sz w:val="24"/>
          <w:szCs w:val="24"/>
        </w:rPr>
        <w:t>Use in the elderly</w:t>
      </w:r>
    </w:p>
    <w:p w14:paraId="32BE4AE2" w14:textId="40B3837B" w:rsidR="00A05595"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Limited information is available </w:t>
      </w:r>
      <w:r w:rsidR="00A05595" w:rsidRPr="00CF44CA">
        <w:rPr>
          <w:rFonts w:ascii="Times New Roman" w:hAnsi="Times New Roman" w:cs="Times New Roman"/>
          <w:bCs/>
          <w:sz w:val="24"/>
          <w:szCs w:val="24"/>
        </w:rPr>
        <w:t xml:space="preserve">for FIRAZYR in </w:t>
      </w:r>
      <w:r w:rsidRPr="00CF44CA">
        <w:rPr>
          <w:rFonts w:ascii="Times New Roman" w:hAnsi="Times New Roman" w:cs="Times New Roman"/>
          <w:bCs/>
          <w:sz w:val="24"/>
          <w:szCs w:val="24"/>
        </w:rPr>
        <w:t>patie</w:t>
      </w:r>
      <w:r w:rsidR="003E431B">
        <w:rPr>
          <w:rFonts w:ascii="Times New Roman" w:hAnsi="Times New Roman" w:cs="Times New Roman"/>
          <w:bCs/>
          <w:sz w:val="24"/>
          <w:szCs w:val="24"/>
        </w:rPr>
        <w:t>nts older than 65 years of age.</w:t>
      </w:r>
    </w:p>
    <w:p w14:paraId="749CC160" w14:textId="77777777" w:rsidR="002314D0"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Elderly patients have been shown to have increased systemic exposure to icatibant. The</w:t>
      </w:r>
      <w:r w:rsidR="00EA6370" w:rsidRPr="00CF44CA">
        <w:rPr>
          <w:rFonts w:ascii="Times New Roman" w:hAnsi="Times New Roman" w:cs="Times New Roman"/>
          <w:bCs/>
          <w:sz w:val="24"/>
          <w:szCs w:val="24"/>
        </w:rPr>
        <w:t xml:space="preserve"> </w:t>
      </w:r>
      <w:r w:rsidRPr="00CF44CA">
        <w:rPr>
          <w:rFonts w:ascii="Times New Roman" w:hAnsi="Times New Roman" w:cs="Times New Roman"/>
          <w:bCs/>
          <w:sz w:val="24"/>
          <w:szCs w:val="24"/>
        </w:rPr>
        <w:t xml:space="preserve">relevance of this to the safety of FIRAZYR is unknown </w:t>
      </w:r>
      <w:r w:rsidR="00B964EF" w:rsidRPr="00CF44CA">
        <w:rPr>
          <w:rFonts w:ascii="Times New Roman" w:hAnsi="Times New Roman" w:cs="Times New Roman"/>
          <w:bCs/>
          <w:sz w:val="24"/>
          <w:szCs w:val="24"/>
        </w:rPr>
        <w:t xml:space="preserve">(see </w:t>
      </w:r>
      <w:r w:rsidR="00776C5D" w:rsidRPr="00CF44CA">
        <w:rPr>
          <w:rFonts w:ascii="Times New Roman" w:hAnsi="Times New Roman" w:cs="Times New Roman"/>
          <w:bCs/>
          <w:sz w:val="24"/>
          <w:szCs w:val="24"/>
        </w:rPr>
        <w:t>S</w:t>
      </w:r>
      <w:r w:rsidRPr="00CF44CA">
        <w:rPr>
          <w:rFonts w:ascii="Times New Roman" w:hAnsi="Times New Roman" w:cs="Times New Roman"/>
          <w:bCs/>
          <w:sz w:val="24"/>
          <w:szCs w:val="24"/>
        </w:rPr>
        <w:t xml:space="preserve">ection </w:t>
      </w:r>
      <w:r w:rsidR="00776C5D" w:rsidRPr="00CF44CA">
        <w:rPr>
          <w:rFonts w:ascii="Times New Roman" w:hAnsi="Times New Roman" w:cs="Times New Roman"/>
          <w:bCs/>
          <w:sz w:val="24"/>
          <w:szCs w:val="24"/>
        </w:rPr>
        <w:t xml:space="preserve">5.2 </w:t>
      </w:r>
      <w:r w:rsidRPr="00CF44CA">
        <w:rPr>
          <w:rFonts w:ascii="Times New Roman" w:hAnsi="Times New Roman" w:cs="Times New Roman"/>
          <w:bCs/>
          <w:sz w:val="24"/>
          <w:szCs w:val="24"/>
        </w:rPr>
        <w:t xml:space="preserve">Pharmacokinetic </w:t>
      </w:r>
      <w:r w:rsidR="00776C5D" w:rsidRPr="00CF44CA">
        <w:rPr>
          <w:rFonts w:ascii="Times New Roman" w:hAnsi="Times New Roman" w:cs="Times New Roman"/>
          <w:bCs/>
          <w:sz w:val="24"/>
          <w:szCs w:val="24"/>
        </w:rPr>
        <w:t>P</w:t>
      </w:r>
      <w:r w:rsidRPr="00CF44CA">
        <w:rPr>
          <w:rFonts w:ascii="Times New Roman" w:hAnsi="Times New Roman" w:cs="Times New Roman"/>
          <w:bCs/>
          <w:sz w:val="24"/>
          <w:szCs w:val="24"/>
        </w:rPr>
        <w:t>roperties).</w:t>
      </w:r>
    </w:p>
    <w:p w14:paraId="4B1D69D8" w14:textId="29A3CC39" w:rsidR="0037513E" w:rsidRPr="00CF44CA" w:rsidRDefault="00684042" w:rsidP="00684042">
      <w:pPr>
        <w:pStyle w:val="Heading3"/>
        <w:spacing w:before="120" w:after="180" w:line="240" w:lineRule="auto"/>
        <w:ind w:left="0"/>
        <w:rPr>
          <w:rFonts w:ascii="Times New Roman" w:hAnsi="Times New Roman" w:cs="Times New Roman"/>
          <w:sz w:val="24"/>
          <w:szCs w:val="24"/>
        </w:rPr>
      </w:pPr>
      <w:r>
        <w:rPr>
          <w:rFonts w:ascii="Times New Roman" w:hAnsi="Times New Roman" w:cs="Times New Roman"/>
          <w:sz w:val="24"/>
          <w:szCs w:val="24"/>
        </w:rPr>
        <w:t>Paediatric use</w:t>
      </w:r>
    </w:p>
    <w:p w14:paraId="37449EF3" w14:textId="77777777" w:rsidR="003243F4" w:rsidRPr="00CF44CA" w:rsidRDefault="003243F4"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FIRAZYR is not indicated for use in children less than 2 years or </w:t>
      </w:r>
      <w:r w:rsidR="00EA6370" w:rsidRPr="00CF44CA">
        <w:rPr>
          <w:rFonts w:ascii="Times New Roman" w:hAnsi="Times New Roman" w:cs="Times New Roman"/>
          <w:bCs/>
          <w:sz w:val="24"/>
          <w:szCs w:val="24"/>
        </w:rPr>
        <w:t xml:space="preserve">weighing less than </w:t>
      </w:r>
      <w:r w:rsidRPr="00CF44CA">
        <w:rPr>
          <w:rFonts w:ascii="Times New Roman" w:hAnsi="Times New Roman" w:cs="Times New Roman"/>
          <w:bCs/>
          <w:sz w:val="24"/>
          <w:szCs w:val="24"/>
        </w:rPr>
        <w:t>12 kg.</w:t>
      </w:r>
    </w:p>
    <w:p w14:paraId="3D1EE0DA" w14:textId="757443F6" w:rsidR="00EA6370" w:rsidRPr="00CF44CA" w:rsidRDefault="00EA637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lastRenderedPageBreak/>
        <w:t>Studies in children aged less than 3.4 years or weighing less than 12 kg have not been performed. In children and adolescents, administration of more than one dose per HAE attack has not been studied (see Section 5.1 Pharmacodynamic Properties: Clinical trials). There is limited experience with treatment of more than one HAE attack with FIRAZY</w:t>
      </w:r>
      <w:r w:rsidR="00684042">
        <w:rPr>
          <w:rFonts w:ascii="Times New Roman" w:hAnsi="Times New Roman" w:cs="Times New Roman"/>
          <w:bCs/>
          <w:sz w:val="24"/>
          <w:szCs w:val="24"/>
        </w:rPr>
        <w:t>R in the paediatric population.</w:t>
      </w:r>
    </w:p>
    <w:p w14:paraId="2682E9F8" w14:textId="77777777" w:rsidR="00EA6370" w:rsidRPr="00CF44CA" w:rsidRDefault="00EA637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sz w:val="24"/>
          <w:szCs w:val="24"/>
        </w:rPr>
        <w:t>In immature animals repeated dosing of icatibant reversibly delayed sexual maturation in males and females (see Section 4.6 Fertility, Pregnancy and Lactation: Effects of fertility).</w:t>
      </w:r>
    </w:p>
    <w:p w14:paraId="1D2F48F7" w14:textId="77777777" w:rsidR="001A3992" w:rsidRPr="00CF44CA" w:rsidRDefault="001A3992" w:rsidP="00684042">
      <w:pPr>
        <w:pStyle w:val="Heading3"/>
        <w:spacing w:before="120" w:after="180" w:line="240" w:lineRule="auto"/>
        <w:ind w:left="0"/>
        <w:rPr>
          <w:rFonts w:ascii="Times New Roman" w:hAnsi="Times New Roman" w:cs="Times New Roman"/>
          <w:sz w:val="24"/>
          <w:szCs w:val="24"/>
        </w:rPr>
      </w:pPr>
      <w:r w:rsidRPr="00CF44CA">
        <w:rPr>
          <w:rFonts w:ascii="Times New Roman" w:hAnsi="Times New Roman" w:cs="Times New Roman"/>
          <w:sz w:val="24"/>
          <w:szCs w:val="24"/>
        </w:rPr>
        <w:t>Effects on laboratory tests</w:t>
      </w:r>
    </w:p>
    <w:p w14:paraId="66DAEE54" w14:textId="4374A579" w:rsidR="000B01ED" w:rsidRPr="00CF44CA" w:rsidRDefault="00684042" w:rsidP="00684042">
      <w:pPr>
        <w:spacing w:before="120" w:after="180" w:line="240" w:lineRule="auto"/>
        <w:rPr>
          <w:rFonts w:ascii="Times New Roman" w:hAnsi="Times New Roman" w:cs="Times New Roman"/>
          <w:sz w:val="24"/>
          <w:szCs w:val="24"/>
        </w:rPr>
      </w:pPr>
      <w:r>
        <w:rPr>
          <w:rFonts w:ascii="Times New Roman" w:hAnsi="Times New Roman" w:cs="Times New Roman"/>
          <w:sz w:val="24"/>
          <w:szCs w:val="24"/>
        </w:rPr>
        <w:t>No data available.</w:t>
      </w:r>
    </w:p>
    <w:p w14:paraId="4C902D0F" w14:textId="7331A232" w:rsidR="00A95CC8" w:rsidRPr="00CF44CA" w:rsidRDefault="00684042" w:rsidP="00684042">
      <w:pPr>
        <w:pStyle w:val="Heading3"/>
        <w:spacing w:before="120" w:after="180" w:line="240" w:lineRule="auto"/>
        <w:ind w:left="562" w:hanging="562"/>
        <w:rPr>
          <w:rFonts w:ascii="Times New Roman" w:hAnsi="Times New Roman" w:cs="Times New Roman"/>
          <w:b w:val="0"/>
          <w:sz w:val="24"/>
        </w:rPr>
      </w:pPr>
      <w:r>
        <w:rPr>
          <w:rFonts w:ascii="Times New Roman" w:hAnsi="Times New Roman" w:cs="Times New Roman"/>
          <w:sz w:val="24"/>
        </w:rPr>
        <w:t>4.5</w:t>
      </w:r>
      <w:r>
        <w:rPr>
          <w:rFonts w:ascii="Times New Roman" w:hAnsi="Times New Roman" w:cs="Times New Roman"/>
          <w:sz w:val="24"/>
        </w:rPr>
        <w:tab/>
      </w:r>
      <w:r w:rsidR="00A95CC8" w:rsidRPr="00CF44CA">
        <w:rPr>
          <w:rFonts w:ascii="Times New Roman" w:hAnsi="Times New Roman" w:cs="Times New Roman"/>
          <w:sz w:val="24"/>
        </w:rPr>
        <w:t xml:space="preserve">INTERACTIONS WITH OTHER MEDICINES AND OTHER FORMS OF </w:t>
      </w:r>
      <w:r>
        <w:rPr>
          <w:rFonts w:ascii="Times New Roman" w:hAnsi="Times New Roman" w:cs="Times New Roman"/>
          <w:sz w:val="24"/>
        </w:rPr>
        <w:t>INTERACTIONS</w:t>
      </w:r>
    </w:p>
    <w:p w14:paraId="4D2C8446" w14:textId="77777777" w:rsidR="00151AB5" w:rsidRPr="00CF44CA" w:rsidRDefault="00151AB5"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Pharmacokinetic drug interactions involving CYP450 are not expected (see </w:t>
      </w:r>
      <w:r w:rsidR="00BF0672" w:rsidRPr="00CF44CA">
        <w:rPr>
          <w:rFonts w:ascii="Times New Roman" w:hAnsi="Times New Roman" w:cs="Times New Roman"/>
          <w:bCs/>
          <w:sz w:val="24"/>
          <w:szCs w:val="24"/>
        </w:rPr>
        <w:t>S</w:t>
      </w:r>
      <w:r w:rsidRPr="00CF44CA">
        <w:rPr>
          <w:rFonts w:ascii="Times New Roman" w:hAnsi="Times New Roman" w:cs="Times New Roman"/>
          <w:bCs/>
          <w:sz w:val="24"/>
          <w:szCs w:val="24"/>
        </w:rPr>
        <w:t xml:space="preserve">ection </w:t>
      </w:r>
      <w:r w:rsidR="00BF0672" w:rsidRPr="00CF44CA">
        <w:rPr>
          <w:rFonts w:ascii="Times New Roman" w:hAnsi="Times New Roman" w:cs="Times New Roman"/>
          <w:bCs/>
          <w:sz w:val="24"/>
          <w:szCs w:val="24"/>
        </w:rPr>
        <w:t xml:space="preserve">5.2 </w:t>
      </w:r>
      <w:r w:rsidRPr="00CF44CA">
        <w:rPr>
          <w:rFonts w:ascii="Times New Roman" w:hAnsi="Times New Roman" w:cs="Times New Roman"/>
          <w:bCs/>
          <w:sz w:val="24"/>
          <w:szCs w:val="24"/>
        </w:rPr>
        <w:t xml:space="preserve">Pharmacokinetic </w:t>
      </w:r>
      <w:r w:rsidR="00BF0672" w:rsidRPr="00CF44CA">
        <w:rPr>
          <w:rFonts w:ascii="Times New Roman" w:hAnsi="Times New Roman" w:cs="Times New Roman"/>
          <w:bCs/>
          <w:sz w:val="24"/>
          <w:szCs w:val="24"/>
        </w:rPr>
        <w:t>P</w:t>
      </w:r>
      <w:r w:rsidRPr="00CF44CA">
        <w:rPr>
          <w:rFonts w:ascii="Times New Roman" w:hAnsi="Times New Roman" w:cs="Times New Roman"/>
          <w:bCs/>
          <w:sz w:val="24"/>
          <w:szCs w:val="24"/>
        </w:rPr>
        <w:t>roperties).</w:t>
      </w:r>
    </w:p>
    <w:p w14:paraId="59315B44" w14:textId="77777777" w:rsidR="00151AB5" w:rsidRPr="00CF44CA" w:rsidRDefault="00151AB5"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Co-administration of FIRAZYR with angiotensin-converting enzyme (ACE) inhibitors has not been studied. </w:t>
      </w:r>
      <w:r w:rsidRPr="00CF44CA">
        <w:rPr>
          <w:rFonts w:ascii="Times New Roman" w:hAnsi="Times New Roman" w:cs="Times New Roman"/>
          <w:bCs/>
          <w:sz w:val="24"/>
          <w:szCs w:val="24"/>
          <w:lang w:val="en-GB"/>
        </w:rPr>
        <w:t>There is a theoretical risk that icatibant may antagonise the effects of ACE inhibitors. Patients with HAE should not be taking these drugs as they can induce and exacerbate HAE attacks.</w:t>
      </w:r>
    </w:p>
    <w:p w14:paraId="3C1F4D55" w14:textId="5E6F60CA" w:rsidR="00FE5F04" w:rsidRPr="00CF44CA" w:rsidRDefault="003E431B" w:rsidP="003E431B">
      <w:pPr>
        <w:pStyle w:val="Heading3"/>
        <w:spacing w:before="120" w:after="180" w:line="240" w:lineRule="auto"/>
        <w:ind w:left="562" w:hanging="562"/>
        <w:rPr>
          <w:rFonts w:ascii="Times New Roman" w:hAnsi="Times New Roman" w:cs="Times New Roman"/>
          <w:b w:val="0"/>
          <w:sz w:val="24"/>
        </w:rPr>
      </w:pPr>
      <w:r>
        <w:rPr>
          <w:rFonts w:ascii="Times New Roman" w:hAnsi="Times New Roman" w:cs="Times New Roman"/>
          <w:sz w:val="24"/>
        </w:rPr>
        <w:t>4.6</w:t>
      </w:r>
      <w:r>
        <w:rPr>
          <w:rFonts w:ascii="Times New Roman" w:hAnsi="Times New Roman" w:cs="Times New Roman"/>
          <w:sz w:val="24"/>
        </w:rPr>
        <w:tab/>
      </w:r>
      <w:r w:rsidR="00FE5F04" w:rsidRPr="00CF44CA">
        <w:rPr>
          <w:rFonts w:ascii="Times New Roman" w:hAnsi="Times New Roman" w:cs="Times New Roman"/>
          <w:sz w:val="24"/>
        </w:rPr>
        <w:t xml:space="preserve">FERTILITY, PREGNANCY AND LACTATION </w:t>
      </w:r>
    </w:p>
    <w:p w14:paraId="003BD904" w14:textId="77777777" w:rsidR="001A3992" w:rsidRPr="00CF44CA" w:rsidRDefault="001A3992" w:rsidP="00684042">
      <w:pPr>
        <w:pStyle w:val="Heading3"/>
        <w:spacing w:before="120" w:after="180" w:line="240" w:lineRule="auto"/>
        <w:ind w:left="0"/>
        <w:rPr>
          <w:rFonts w:ascii="Times New Roman" w:hAnsi="Times New Roman" w:cs="Times New Roman"/>
          <w:sz w:val="24"/>
          <w:szCs w:val="24"/>
        </w:rPr>
      </w:pPr>
      <w:r w:rsidRPr="00CF44CA">
        <w:rPr>
          <w:rFonts w:ascii="Times New Roman" w:hAnsi="Times New Roman" w:cs="Times New Roman"/>
          <w:sz w:val="24"/>
          <w:szCs w:val="24"/>
        </w:rPr>
        <w:t>Effects on fertility</w:t>
      </w:r>
    </w:p>
    <w:p w14:paraId="2C68A5AE" w14:textId="77777777" w:rsidR="002314D0" w:rsidRPr="00CF44CA" w:rsidRDefault="002314D0" w:rsidP="00684042">
      <w:pPr>
        <w:autoSpaceDE w:val="0"/>
        <w:autoSpaceDN w:val="0"/>
        <w:spacing w:before="120" w:after="180" w:line="240" w:lineRule="auto"/>
        <w:rPr>
          <w:rFonts w:ascii="Times New Roman" w:hAnsi="Times New Roman" w:cs="Times New Roman"/>
          <w:color w:val="000000"/>
          <w:sz w:val="24"/>
          <w:szCs w:val="24"/>
        </w:rPr>
      </w:pPr>
      <w:r w:rsidRPr="00CF44CA">
        <w:rPr>
          <w:rFonts w:ascii="Times New Roman" w:hAnsi="Times New Roman" w:cs="Times New Roman"/>
          <w:color w:val="000000"/>
          <w:sz w:val="24"/>
          <w:szCs w:val="24"/>
        </w:rPr>
        <w:t xml:space="preserve">In a study of 39 healthy adult men and women (confined to the follicular phase of the menstrual cycle) treated with either placebo or 30 mg every 6 hours for 3 doses every 3 days for a total of 9 doses with GnRH-stimulation, no clinically significant changes were found between placebo and treatment groups for female and male reproductive hormones, the concentration of luteal phase progesterone and luteal function, menstrual cycle length in females, and sperm count, motility and morphology in males. The dosing regimen used for this study is very unlikely to be sustained in the clinical setting. </w:t>
      </w:r>
      <w:r w:rsidRPr="00CF44CA">
        <w:rPr>
          <w:rFonts w:ascii="Times New Roman" w:hAnsi="Times New Roman" w:cs="Times New Roman"/>
          <w:bCs/>
          <w:color w:val="000000"/>
          <w:sz w:val="24"/>
          <w:szCs w:val="24"/>
        </w:rPr>
        <w:t>However, due to the fairly small study size and confinement of women to the follicular phase of their menstrual cycles, it is unclear how fully these results can be generalized to the broader population</w:t>
      </w:r>
      <w:r w:rsidRPr="00CF44CA">
        <w:rPr>
          <w:rFonts w:ascii="Times New Roman" w:hAnsi="Times New Roman" w:cs="Times New Roman"/>
          <w:color w:val="000000"/>
          <w:sz w:val="24"/>
          <w:szCs w:val="24"/>
        </w:rPr>
        <w:t>.</w:t>
      </w:r>
    </w:p>
    <w:p w14:paraId="791BA0CC" w14:textId="2DD6479D" w:rsidR="002314D0" w:rsidRPr="00CF44CA" w:rsidRDefault="002314D0" w:rsidP="00684042">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Intermittent icatibant treatment (twice weekly) SC for 39 weeks in dogs did not elicit toxicity in the testes, prostate, ovary, uterus or mammary gland (30-fold the anticipated clinical</w:t>
      </w:r>
      <w:r w:rsidR="003243F4" w:rsidRPr="00CF44CA">
        <w:rPr>
          <w:rFonts w:ascii="Times New Roman" w:hAnsi="Times New Roman" w:cs="Times New Roman"/>
          <w:sz w:val="24"/>
          <w:szCs w:val="24"/>
        </w:rPr>
        <w:t xml:space="preserve"> </w:t>
      </w:r>
      <w:r w:rsidRPr="00CF44CA">
        <w:rPr>
          <w:rFonts w:ascii="Times New Roman" w:hAnsi="Times New Roman" w:cs="Times New Roman"/>
          <w:sz w:val="24"/>
          <w:szCs w:val="24"/>
        </w:rPr>
        <w:t>exposure in patients administered 240 mg icatibant pe</w:t>
      </w:r>
      <w:r w:rsidR="00684042">
        <w:rPr>
          <w:rFonts w:ascii="Times New Roman" w:hAnsi="Times New Roman" w:cs="Times New Roman"/>
          <w:sz w:val="24"/>
          <w:szCs w:val="24"/>
        </w:rPr>
        <w:t>r month, based on monthly AUC).</w:t>
      </w:r>
    </w:p>
    <w:p w14:paraId="4D5279D8" w14:textId="16CFD03A" w:rsidR="002314D0"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Daily SC administration of icatibant in mature rats and dogs for 26 and 39 weeks, respectively, caused atrophy of the testes, prostate, and uterus, and masculinization of the mammary glands. In rats, atrophy of the testes and prostate, testes germinal epithelial degeneration, </w:t>
      </w:r>
      <w:proofErr w:type="spellStart"/>
      <w:r w:rsidRPr="00CF44CA">
        <w:rPr>
          <w:rFonts w:ascii="Times New Roman" w:hAnsi="Times New Roman" w:cs="Times New Roman"/>
          <w:bCs/>
          <w:sz w:val="24"/>
          <w:szCs w:val="24"/>
        </w:rPr>
        <w:t>hypospermia</w:t>
      </w:r>
      <w:proofErr w:type="spellEnd"/>
      <w:r w:rsidRPr="00CF44CA">
        <w:rPr>
          <w:rFonts w:ascii="Times New Roman" w:hAnsi="Times New Roman" w:cs="Times New Roman"/>
          <w:bCs/>
          <w:sz w:val="24"/>
          <w:szCs w:val="24"/>
        </w:rPr>
        <w:t>, and decreased testosterone levels occurred at ≥19-fold the anticipated clinical exposure, based on monthly AUC, and atrophy of the uterus, mammary gland masculinization, and decreased luteinizing hormone levels occurred at ≥69-fold the anticipated clinical exposure, based on monthly AUC. In dogs, reduced sperm counts and atrophy of the uterus and ovaries occurred at 9-fold the anticipated clinical exposure, based on monthly AUC, and atrophy of the testes, prostate, uterus, ovaries and mammary glands, and decreased testosterone and follicle stimulating hormone levels occurred at 134-fold the anticipated clinical ex</w:t>
      </w:r>
      <w:r w:rsidR="003E431B">
        <w:rPr>
          <w:rFonts w:ascii="Times New Roman" w:hAnsi="Times New Roman" w:cs="Times New Roman"/>
          <w:bCs/>
          <w:sz w:val="24"/>
          <w:szCs w:val="24"/>
        </w:rPr>
        <w:t>posure, based on monthly AUC.</w:t>
      </w:r>
    </w:p>
    <w:p w14:paraId="3F1DA756" w14:textId="43FD80E3" w:rsidR="002314D0"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lastRenderedPageBreak/>
        <w:t xml:space="preserve">Daily SC administration of icatibant to juvenile rats caused atrophy of the testes and prostate at ≥10-fold the anticipated clinical exposure, based on monthly AUC, delayed male sexual maturation, decreased sperm counts and slight atrophy of the uterus at ≥9 mg/kg/day, and impaired male fertility at 109-fold the anticipated clinical exposure, based on monthly AUC. These effects were partly/fully reversible. Sexual maturation was also reversibly delayed in immature dogs, and appeared to be secondary to changes in gonadotropin levels. Most of these effects were fully reversible over 4 </w:t>
      </w:r>
      <w:proofErr w:type="gramStart"/>
      <w:r w:rsidRPr="00CF44CA">
        <w:rPr>
          <w:rFonts w:ascii="Times New Roman" w:hAnsi="Times New Roman" w:cs="Times New Roman"/>
          <w:bCs/>
          <w:sz w:val="24"/>
          <w:szCs w:val="24"/>
        </w:rPr>
        <w:t>w</w:t>
      </w:r>
      <w:r w:rsidR="003E431B">
        <w:rPr>
          <w:rFonts w:ascii="Times New Roman" w:hAnsi="Times New Roman" w:cs="Times New Roman"/>
          <w:bCs/>
          <w:sz w:val="24"/>
          <w:szCs w:val="24"/>
        </w:rPr>
        <w:t>eeks</w:t>
      </w:r>
      <w:proofErr w:type="gramEnd"/>
      <w:r w:rsidR="003E431B">
        <w:rPr>
          <w:rFonts w:ascii="Times New Roman" w:hAnsi="Times New Roman" w:cs="Times New Roman"/>
          <w:bCs/>
          <w:sz w:val="24"/>
          <w:szCs w:val="24"/>
        </w:rPr>
        <w:t xml:space="preserve"> recovery.</w:t>
      </w:r>
    </w:p>
    <w:p w14:paraId="51301D9E" w14:textId="57F617E5" w:rsidR="00FE5F04" w:rsidRPr="00CF44CA" w:rsidRDefault="002314D0" w:rsidP="003E431B">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bCs/>
          <w:sz w:val="24"/>
          <w:szCs w:val="24"/>
        </w:rPr>
        <w:t xml:space="preserve">Reproductive toxicity studies in adult male mice and rats with daily icatibant SC administration showed no effects on fertility at doses up to 53-fold the anticipated clinical </w:t>
      </w:r>
      <w:r w:rsidR="003E431B">
        <w:rPr>
          <w:rFonts w:ascii="Times New Roman" w:hAnsi="Times New Roman" w:cs="Times New Roman"/>
          <w:bCs/>
          <w:sz w:val="24"/>
          <w:szCs w:val="24"/>
        </w:rPr>
        <w:t>exposure, based on monthly AUC.</w:t>
      </w:r>
    </w:p>
    <w:p w14:paraId="3DED2704" w14:textId="44749B6C" w:rsidR="001A3992" w:rsidRPr="00CF44CA" w:rsidRDefault="003E431B" w:rsidP="00684042">
      <w:pPr>
        <w:pStyle w:val="Heading3"/>
        <w:spacing w:before="120" w:after="180" w:line="240" w:lineRule="auto"/>
        <w:ind w:left="0"/>
        <w:rPr>
          <w:rFonts w:ascii="Times New Roman" w:hAnsi="Times New Roman" w:cs="Times New Roman"/>
          <w:sz w:val="24"/>
          <w:szCs w:val="24"/>
        </w:rPr>
      </w:pPr>
      <w:r>
        <w:rPr>
          <w:rFonts w:ascii="Times New Roman" w:hAnsi="Times New Roman" w:cs="Times New Roman"/>
          <w:sz w:val="24"/>
          <w:szCs w:val="24"/>
        </w:rPr>
        <w:t>Use in pregnancy</w:t>
      </w:r>
    </w:p>
    <w:p w14:paraId="3C141488" w14:textId="77777777" w:rsidR="0025317C" w:rsidRPr="00CF44CA" w:rsidRDefault="00A05595" w:rsidP="00684042">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 xml:space="preserve">Australian Pregnancy Categorisation: </w:t>
      </w:r>
      <w:r w:rsidR="0025317C" w:rsidRPr="00CF44CA">
        <w:rPr>
          <w:rFonts w:ascii="Times New Roman" w:hAnsi="Times New Roman" w:cs="Times New Roman"/>
          <w:sz w:val="24"/>
          <w:szCs w:val="24"/>
        </w:rPr>
        <w:t xml:space="preserve">Category </w:t>
      </w:r>
      <w:r w:rsidR="002314D0" w:rsidRPr="00CF44CA">
        <w:rPr>
          <w:rFonts w:ascii="Times New Roman" w:hAnsi="Times New Roman" w:cs="Times New Roman"/>
          <w:sz w:val="24"/>
          <w:szCs w:val="24"/>
        </w:rPr>
        <w:t>C</w:t>
      </w:r>
      <w:r w:rsidRPr="00CF44CA">
        <w:rPr>
          <w:rFonts w:ascii="Times New Roman" w:hAnsi="Times New Roman" w:cs="Times New Roman"/>
          <w:sz w:val="24"/>
          <w:szCs w:val="24"/>
        </w:rPr>
        <w:t>.</w:t>
      </w:r>
    </w:p>
    <w:p w14:paraId="4D86DBAC" w14:textId="3AF09835" w:rsidR="002314D0"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For icatibant, no clinical data on exp</w:t>
      </w:r>
      <w:r w:rsidR="003E431B">
        <w:rPr>
          <w:rFonts w:ascii="Times New Roman" w:hAnsi="Times New Roman" w:cs="Times New Roman"/>
          <w:bCs/>
          <w:sz w:val="24"/>
          <w:szCs w:val="24"/>
        </w:rPr>
        <w:t>osed pregnancies are available.</w:t>
      </w:r>
    </w:p>
    <w:p w14:paraId="09805D29" w14:textId="77777777" w:rsidR="002314D0" w:rsidRPr="00CF44CA" w:rsidRDefault="002314D0" w:rsidP="00684042">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Bradykinin B2 receptors have been shown to be present in tissues of the female reproductive system in animals and humans, and are likely to be involved in implantation and parturition.</w:t>
      </w:r>
    </w:p>
    <w:p w14:paraId="5C5B5553" w14:textId="18D76356" w:rsidR="002314D0" w:rsidRPr="00CF44CA" w:rsidRDefault="002314D0" w:rsidP="00684042">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There was an increase in pre-implantation loss in female rats treated with 10 mg/kg/day and post-implantation loss in rabbits treated with 10 mg/kg/day icatibant SC (respectively 30- and 50-fold the anticipated clinical exposure in patients administered 240 mg icatibant pe</w:t>
      </w:r>
      <w:r w:rsidR="003E431B">
        <w:rPr>
          <w:rFonts w:ascii="Times New Roman" w:hAnsi="Times New Roman" w:cs="Times New Roman"/>
          <w:sz w:val="24"/>
          <w:szCs w:val="24"/>
        </w:rPr>
        <w:t>r month, based on monthly AUC).</w:t>
      </w:r>
    </w:p>
    <w:p w14:paraId="157A8CBA" w14:textId="77777777" w:rsidR="002314D0"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proofErr w:type="spellStart"/>
      <w:r w:rsidRPr="00CF44CA">
        <w:rPr>
          <w:rFonts w:ascii="Times New Roman" w:hAnsi="Times New Roman" w:cs="Times New Roman"/>
          <w:sz w:val="24"/>
          <w:szCs w:val="24"/>
        </w:rPr>
        <w:t>Icatibant</w:t>
      </w:r>
      <w:proofErr w:type="spellEnd"/>
      <w:r w:rsidRPr="00CF44CA">
        <w:rPr>
          <w:rFonts w:ascii="Times New Roman" w:hAnsi="Times New Roman" w:cs="Times New Roman"/>
          <w:sz w:val="24"/>
          <w:szCs w:val="24"/>
        </w:rPr>
        <w:t xml:space="preserve"> and/or its metabolites crossed the placenta in rats. </w:t>
      </w:r>
      <w:r w:rsidRPr="00CF44CA">
        <w:rPr>
          <w:rFonts w:ascii="Times New Roman" w:hAnsi="Times New Roman" w:cs="Times New Roman"/>
          <w:bCs/>
          <w:sz w:val="24"/>
          <w:szCs w:val="24"/>
        </w:rPr>
        <w:t xml:space="preserve">Icatibant was not teratogenic when administered by subcutaneous injection during embryonic and </w:t>
      </w:r>
      <w:proofErr w:type="spellStart"/>
      <w:r w:rsidRPr="00CF44CA">
        <w:rPr>
          <w:rFonts w:ascii="Times New Roman" w:hAnsi="Times New Roman" w:cs="Times New Roman"/>
          <w:bCs/>
          <w:sz w:val="24"/>
          <w:szCs w:val="24"/>
        </w:rPr>
        <w:t>fetal</w:t>
      </w:r>
      <w:proofErr w:type="spellEnd"/>
      <w:r w:rsidRPr="00CF44CA">
        <w:rPr>
          <w:rFonts w:ascii="Times New Roman" w:hAnsi="Times New Roman" w:cs="Times New Roman"/>
          <w:bCs/>
          <w:sz w:val="24"/>
          <w:szCs w:val="24"/>
        </w:rPr>
        <w:t xml:space="preserve"> development in rats or rabbits (</w:t>
      </w:r>
      <w:r w:rsidRPr="00CF44CA">
        <w:rPr>
          <w:rFonts w:ascii="Times New Roman" w:hAnsi="Times New Roman" w:cs="Times New Roman"/>
          <w:sz w:val="24"/>
          <w:szCs w:val="24"/>
        </w:rPr>
        <w:t>up to 5-fold the anticipated clinical exposure, based on monthly AUC</w:t>
      </w:r>
      <w:r w:rsidRPr="00CF44CA">
        <w:rPr>
          <w:rFonts w:ascii="Times New Roman" w:hAnsi="Times New Roman" w:cs="Times New Roman"/>
          <w:bCs/>
          <w:sz w:val="24"/>
          <w:szCs w:val="24"/>
        </w:rPr>
        <w:t xml:space="preserve">). In rats, icatibant was associated with delayed parturition, increased </w:t>
      </w:r>
      <w:proofErr w:type="spellStart"/>
      <w:r w:rsidRPr="00CF44CA">
        <w:rPr>
          <w:rFonts w:ascii="Times New Roman" w:hAnsi="Times New Roman" w:cs="Times New Roman"/>
          <w:bCs/>
          <w:sz w:val="24"/>
          <w:szCs w:val="24"/>
        </w:rPr>
        <w:t>fetal</w:t>
      </w:r>
      <w:proofErr w:type="spellEnd"/>
      <w:r w:rsidRPr="00CF44CA">
        <w:rPr>
          <w:rFonts w:ascii="Times New Roman" w:hAnsi="Times New Roman" w:cs="Times New Roman"/>
          <w:bCs/>
          <w:sz w:val="24"/>
          <w:szCs w:val="24"/>
        </w:rPr>
        <w:t xml:space="preserve"> distress and perinatal death at 10 mg/kg/day (</w:t>
      </w:r>
      <w:r w:rsidRPr="00CF44CA">
        <w:rPr>
          <w:rFonts w:ascii="Times New Roman" w:hAnsi="Times New Roman" w:cs="Times New Roman"/>
          <w:sz w:val="24"/>
          <w:szCs w:val="24"/>
        </w:rPr>
        <w:t>30-fold the anticipated clinical exposure, based on monthly AUC</w:t>
      </w:r>
      <w:r w:rsidRPr="00CF44CA">
        <w:rPr>
          <w:rFonts w:ascii="Times New Roman" w:hAnsi="Times New Roman" w:cs="Times New Roman"/>
          <w:bCs/>
          <w:sz w:val="24"/>
          <w:szCs w:val="24"/>
        </w:rPr>
        <w:t>) and a prolonged gestation period</w:t>
      </w:r>
      <w:r w:rsidRPr="00CF44CA">
        <w:rPr>
          <w:rFonts w:ascii="Times New Roman" w:hAnsi="Times New Roman" w:cs="Times New Roman"/>
          <w:sz w:val="24"/>
          <w:szCs w:val="24"/>
        </w:rPr>
        <w:t xml:space="preserve"> at doses 3-fold the anticipated clinical exposure, based on monthly AUC. There were no observed adverse effects of icatibant administration during pregnancy and lactation on pup development in rats.</w:t>
      </w:r>
    </w:p>
    <w:p w14:paraId="49E14924" w14:textId="77777777" w:rsidR="002314D0"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Therefore, FIRAZYR should be used during pregnancy only if the potential benefit justifies the potential risk for the </w:t>
      </w:r>
      <w:proofErr w:type="spellStart"/>
      <w:r w:rsidRPr="00CF44CA">
        <w:rPr>
          <w:rFonts w:ascii="Times New Roman" w:hAnsi="Times New Roman" w:cs="Times New Roman"/>
          <w:bCs/>
          <w:sz w:val="24"/>
          <w:szCs w:val="24"/>
        </w:rPr>
        <w:t>fetus</w:t>
      </w:r>
      <w:proofErr w:type="spellEnd"/>
      <w:r w:rsidRPr="00CF44CA">
        <w:rPr>
          <w:rFonts w:ascii="Times New Roman" w:hAnsi="Times New Roman" w:cs="Times New Roman"/>
          <w:bCs/>
          <w:sz w:val="24"/>
          <w:szCs w:val="24"/>
        </w:rPr>
        <w:t xml:space="preserve"> (e.g. for treatment of potentially life threatening laryngeal attacks).</w:t>
      </w:r>
    </w:p>
    <w:p w14:paraId="744CE333" w14:textId="77777777" w:rsidR="001A3992" w:rsidRPr="00CF44CA" w:rsidRDefault="001A3992" w:rsidP="00684042">
      <w:pPr>
        <w:pStyle w:val="Heading3"/>
        <w:spacing w:before="120" w:after="180" w:line="240" w:lineRule="auto"/>
        <w:ind w:left="0"/>
        <w:rPr>
          <w:rFonts w:ascii="Times New Roman" w:hAnsi="Times New Roman" w:cs="Times New Roman"/>
          <w:sz w:val="24"/>
          <w:szCs w:val="24"/>
        </w:rPr>
      </w:pPr>
      <w:r w:rsidRPr="00CF44CA">
        <w:rPr>
          <w:rFonts w:ascii="Times New Roman" w:hAnsi="Times New Roman" w:cs="Times New Roman"/>
          <w:sz w:val="24"/>
          <w:szCs w:val="24"/>
        </w:rPr>
        <w:t>Use in</w:t>
      </w:r>
      <w:r w:rsidR="0025317C" w:rsidRPr="00CF44CA">
        <w:rPr>
          <w:rFonts w:ascii="Times New Roman" w:hAnsi="Times New Roman" w:cs="Times New Roman"/>
          <w:sz w:val="24"/>
          <w:szCs w:val="24"/>
        </w:rPr>
        <w:t xml:space="preserve"> lactation</w:t>
      </w:r>
    </w:p>
    <w:p w14:paraId="73268467" w14:textId="77777777" w:rsidR="002314D0"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proofErr w:type="spellStart"/>
      <w:r w:rsidRPr="00CF44CA">
        <w:rPr>
          <w:rFonts w:ascii="Times New Roman" w:hAnsi="Times New Roman" w:cs="Times New Roman"/>
          <w:bCs/>
          <w:sz w:val="24"/>
          <w:szCs w:val="24"/>
        </w:rPr>
        <w:t>Icatibant</w:t>
      </w:r>
      <w:proofErr w:type="spellEnd"/>
      <w:r w:rsidRPr="00CF44CA">
        <w:rPr>
          <w:rFonts w:ascii="Times New Roman" w:hAnsi="Times New Roman" w:cs="Times New Roman"/>
          <w:bCs/>
          <w:sz w:val="24"/>
          <w:szCs w:val="24"/>
        </w:rPr>
        <w:t xml:space="preserve"> is excreted in the milk of lactating rats at concentrations similar to those in maternal blood. No adverse effects were detected in the post-natal development of rat pups.</w:t>
      </w:r>
    </w:p>
    <w:p w14:paraId="029331DA" w14:textId="77777777" w:rsidR="002314D0" w:rsidRPr="00CF44CA" w:rsidRDefault="002314D0"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It is unknown whether icatibant is excreted in human breast milk but it is recommended that breastfeeding women who take FIRAZYR should not breastfeed for 12 hours after treatment.</w:t>
      </w:r>
      <w:r w:rsidRPr="00CF44CA">
        <w:rPr>
          <w:rFonts w:ascii="Times New Roman" w:hAnsi="Times New Roman" w:cs="Times New Roman"/>
          <w:sz w:val="24"/>
          <w:szCs w:val="24"/>
        </w:rPr>
        <w:t xml:space="preserve"> If breastfeeding is to be resumed, then milk should be expressed and discarded for the first 12 hours after treatment.</w:t>
      </w:r>
    </w:p>
    <w:p w14:paraId="78D53A51" w14:textId="1C3957A1" w:rsidR="004F7EFF" w:rsidRPr="00CF44CA" w:rsidRDefault="003E431B" w:rsidP="003E431B">
      <w:pPr>
        <w:pStyle w:val="Heading3"/>
        <w:pageBreakBefore/>
        <w:spacing w:before="120" w:after="180" w:line="240" w:lineRule="auto"/>
        <w:ind w:left="561" w:hanging="561"/>
        <w:rPr>
          <w:rFonts w:ascii="Times New Roman" w:hAnsi="Times New Roman" w:cs="Times New Roman"/>
          <w:b w:val="0"/>
          <w:sz w:val="24"/>
        </w:rPr>
      </w:pPr>
      <w:r>
        <w:rPr>
          <w:rFonts w:ascii="Times New Roman" w:hAnsi="Times New Roman" w:cs="Times New Roman"/>
          <w:sz w:val="24"/>
        </w:rPr>
        <w:lastRenderedPageBreak/>
        <w:t>4.7</w:t>
      </w:r>
      <w:r>
        <w:rPr>
          <w:rFonts w:ascii="Times New Roman" w:hAnsi="Times New Roman" w:cs="Times New Roman"/>
          <w:sz w:val="24"/>
        </w:rPr>
        <w:tab/>
      </w:r>
      <w:r w:rsidR="004F7EFF" w:rsidRPr="00CF44CA">
        <w:rPr>
          <w:rFonts w:ascii="Times New Roman" w:hAnsi="Times New Roman" w:cs="Times New Roman"/>
          <w:sz w:val="24"/>
        </w:rPr>
        <w:t xml:space="preserve">EFFECTS ON ABILITY TO DRIVE AND USE MACHINES </w:t>
      </w:r>
    </w:p>
    <w:p w14:paraId="3D98CB8C" w14:textId="77777777" w:rsidR="002314D0" w:rsidRPr="00CF44CA" w:rsidRDefault="00630F8A"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No studies of </w:t>
      </w:r>
      <w:proofErr w:type="spellStart"/>
      <w:r w:rsidRPr="00CF44CA">
        <w:rPr>
          <w:rFonts w:ascii="Times New Roman" w:hAnsi="Times New Roman" w:cs="Times New Roman"/>
          <w:bCs/>
          <w:sz w:val="24"/>
          <w:szCs w:val="24"/>
        </w:rPr>
        <w:t>icatibant</w:t>
      </w:r>
      <w:proofErr w:type="spellEnd"/>
      <w:r w:rsidRPr="00CF44CA">
        <w:rPr>
          <w:rFonts w:ascii="Times New Roman" w:hAnsi="Times New Roman" w:cs="Times New Roman"/>
          <w:bCs/>
          <w:sz w:val="24"/>
          <w:szCs w:val="24"/>
        </w:rPr>
        <w:t xml:space="preserve"> on the effects on the ability to drive and use machines have been performed. Dizziness has been reported in patients using FIRAZYR, therefore patients should be advised not to drive or use machines if they </w:t>
      </w:r>
      <w:r w:rsidR="006E08A7" w:rsidRPr="00CF44CA">
        <w:rPr>
          <w:rFonts w:ascii="Times New Roman" w:hAnsi="Times New Roman" w:cs="Times New Roman"/>
          <w:bCs/>
          <w:sz w:val="24"/>
          <w:szCs w:val="24"/>
        </w:rPr>
        <w:t xml:space="preserve">feel </w:t>
      </w:r>
      <w:r w:rsidRPr="00CF44CA">
        <w:rPr>
          <w:rFonts w:ascii="Times New Roman" w:hAnsi="Times New Roman" w:cs="Times New Roman"/>
          <w:bCs/>
          <w:sz w:val="24"/>
          <w:szCs w:val="24"/>
        </w:rPr>
        <w:t>dizzy. Symptoms of an HAE attack (for example, somnolence, fatigue, lethargy and tiredness) may also influence the ability to drive or use machines. Patients who experience any of the above should be advised not to drive or use machines.</w:t>
      </w:r>
    </w:p>
    <w:p w14:paraId="3EFD04F9" w14:textId="1F17EAE6" w:rsidR="004F7EFF" w:rsidRPr="00CF44CA" w:rsidRDefault="003E431B" w:rsidP="003E431B">
      <w:pPr>
        <w:pStyle w:val="Heading3"/>
        <w:spacing w:before="120" w:after="180" w:line="240" w:lineRule="auto"/>
        <w:ind w:left="562" w:hanging="562"/>
        <w:rPr>
          <w:rFonts w:ascii="Times New Roman" w:hAnsi="Times New Roman" w:cs="Times New Roman"/>
          <w:sz w:val="24"/>
          <w:szCs w:val="24"/>
        </w:rPr>
      </w:pPr>
      <w:r>
        <w:rPr>
          <w:rFonts w:ascii="Times New Roman" w:hAnsi="Times New Roman" w:cs="Times New Roman"/>
          <w:sz w:val="24"/>
        </w:rPr>
        <w:t>4.8</w:t>
      </w:r>
      <w:r>
        <w:rPr>
          <w:rFonts w:ascii="Times New Roman" w:hAnsi="Times New Roman" w:cs="Times New Roman"/>
          <w:sz w:val="24"/>
        </w:rPr>
        <w:tab/>
      </w:r>
      <w:r w:rsidR="004F7EFF" w:rsidRPr="00CF44CA">
        <w:rPr>
          <w:rFonts w:ascii="Times New Roman" w:hAnsi="Times New Roman" w:cs="Times New Roman"/>
          <w:sz w:val="24"/>
        </w:rPr>
        <w:t>ADVERSE EFFECTS (UNDESIRABLE EFFECTS</w:t>
      </w:r>
      <w:r>
        <w:rPr>
          <w:rFonts w:ascii="Times New Roman" w:hAnsi="Times New Roman" w:cs="Times New Roman"/>
          <w:sz w:val="24"/>
        </w:rPr>
        <w:t>)</w:t>
      </w:r>
    </w:p>
    <w:p w14:paraId="0BB48C04" w14:textId="2A30A8A2" w:rsidR="00EA6370" w:rsidRPr="00CF44CA" w:rsidRDefault="00EA6370" w:rsidP="00684042">
      <w:pPr>
        <w:pStyle w:val="Heading3"/>
        <w:spacing w:before="120" w:after="180" w:line="240" w:lineRule="auto"/>
        <w:ind w:left="0"/>
        <w:rPr>
          <w:rFonts w:ascii="Times New Roman" w:hAnsi="Times New Roman" w:cs="Times New Roman"/>
          <w:sz w:val="24"/>
          <w:szCs w:val="24"/>
        </w:rPr>
      </w:pPr>
      <w:r w:rsidRPr="00CF44CA">
        <w:rPr>
          <w:rFonts w:ascii="Times New Roman" w:hAnsi="Times New Roman" w:cs="Times New Roman"/>
          <w:sz w:val="24"/>
          <w:szCs w:val="24"/>
        </w:rPr>
        <w:t>C</w:t>
      </w:r>
      <w:r w:rsidR="003E431B">
        <w:rPr>
          <w:rFonts w:ascii="Times New Roman" w:hAnsi="Times New Roman" w:cs="Times New Roman"/>
          <w:sz w:val="24"/>
          <w:szCs w:val="24"/>
        </w:rPr>
        <w:t>linical study experience</w:t>
      </w:r>
    </w:p>
    <w:p w14:paraId="5B1A0539" w14:textId="77777777" w:rsidR="00151AB5" w:rsidRPr="00CF44CA" w:rsidRDefault="00151AB5"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The safety of </w:t>
      </w:r>
      <w:proofErr w:type="spellStart"/>
      <w:r w:rsidRPr="00CF44CA">
        <w:rPr>
          <w:rFonts w:ascii="Times New Roman" w:hAnsi="Times New Roman" w:cs="Times New Roman"/>
          <w:bCs/>
          <w:sz w:val="24"/>
          <w:szCs w:val="24"/>
        </w:rPr>
        <w:t>icatibant</w:t>
      </w:r>
      <w:proofErr w:type="spellEnd"/>
      <w:r w:rsidRPr="00CF44CA">
        <w:rPr>
          <w:rFonts w:ascii="Times New Roman" w:hAnsi="Times New Roman" w:cs="Times New Roman"/>
          <w:bCs/>
          <w:sz w:val="24"/>
          <w:szCs w:val="24"/>
        </w:rPr>
        <w:t xml:space="preserve"> has been established in 1,273 subjects treated with various doses, regimens and routes of administration during Phase I-III studies in various indications.</w:t>
      </w:r>
    </w:p>
    <w:p w14:paraId="18ACD8B6" w14:textId="77777777" w:rsidR="00151AB5" w:rsidRPr="00CF44CA" w:rsidRDefault="00151AB5" w:rsidP="00684042">
      <w:pPr>
        <w:autoSpaceDE w:val="0"/>
        <w:autoSpaceDN w:val="0"/>
        <w:adjustRightInd w:val="0"/>
        <w:spacing w:before="120" w:after="180" w:line="240" w:lineRule="auto"/>
        <w:rPr>
          <w:rFonts w:ascii="Times New Roman" w:hAnsi="Times New Roman" w:cs="Times New Roman"/>
          <w:bCs/>
          <w:sz w:val="24"/>
          <w:szCs w:val="24"/>
        </w:rPr>
      </w:pPr>
      <w:proofErr w:type="gramStart"/>
      <w:r w:rsidRPr="00CF44CA">
        <w:rPr>
          <w:rFonts w:ascii="Times New Roman" w:hAnsi="Times New Roman" w:cs="Times New Roman"/>
          <w:bCs/>
          <w:sz w:val="24"/>
          <w:szCs w:val="24"/>
        </w:rPr>
        <w:t>Sixty three</w:t>
      </w:r>
      <w:proofErr w:type="gramEnd"/>
      <w:r w:rsidRPr="00CF44CA">
        <w:rPr>
          <w:rFonts w:ascii="Times New Roman" w:hAnsi="Times New Roman" w:cs="Times New Roman"/>
          <w:bCs/>
          <w:sz w:val="24"/>
          <w:szCs w:val="24"/>
        </w:rPr>
        <w:t xml:space="preserve"> HAE patients received icatibant in two Phase III trials for treatment of an attack in the controlled phase and 126 patients were treated in the open-label phase.</w:t>
      </w:r>
    </w:p>
    <w:p w14:paraId="0EC917FC" w14:textId="77777777" w:rsidR="00151AB5" w:rsidRPr="00CF44CA" w:rsidRDefault="00151AB5" w:rsidP="00684042">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Almost all subjects who were treated with subcutaneous icatibant in clinical trials developed reactions at the site of injection including erythema, swelling, warm sensation, burning, itching and/or cutaneous pain. These reactions were generally mild in severity, transient, and resolved without further intervention.</w:t>
      </w:r>
    </w:p>
    <w:p w14:paraId="34136B8D" w14:textId="77777777" w:rsidR="00151AB5" w:rsidRPr="00CF44CA" w:rsidRDefault="00151AB5" w:rsidP="00684042">
      <w:pPr>
        <w:spacing w:before="120" w:after="180" w:line="240" w:lineRule="auto"/>
        <w:rPr>
          <w:rFonts w:ascii="Times New Roman" w:hAnsi="Times New Roman" w:cs="Times New Roman"/>
          <w:sz w:val="24"/>
          <w:szCs w:val="24"/>
          <w:lang w:val="en-GB"/>
        </w:rPr>
      </w:pPr>
      <w:r w:rsidRPr="00CF44CA">
        <w:rPr>
          <w:rFonts w:ascii="Times New Roman" w:hAnsi="Times New Roman" w:cs="Times New Roman"/>
          <w:sz w:val="24"/>
          <w:szCs w:val="24"/>
        </w:rPr>
        <w:t xml:space="preserve">Table </w:t>
      </w:r>
      <w:r w:rsidR="002618E1" w:rsidRPr="00CF44CA">
        <w:rPr>
          <w:rFonts w:ascii="Times New Roman" w:hAnsi="Times New Roman" w:cs="Times New Roman"/>
          <w:sz w:val="24"/>
          <w:szCs w:val="24"/>
        </w:rPr>
        <w:t>2</w:t>
      </w:r>
      <w:r w:rsidRPr="00CF44CA">
        <w:rPr>
          <w:rFonts w:ascii="Times New Roman" w:hAnsi="Times New Roman" w:cs="Times New Roman"/>
          <w:sz w:val="24"/>
          <w:szCs w:val="24"/>
        </w:rPr>
        <w:t xml:space="preserve"> lists treatment related adverse reactions reported with FIRAZYR during the Phase III trials. Frequency is defined as: very common </w:t>
      </w:r>
      <w:r w:rsidRPr="00CF44CA">
        <w:rPr>
          <w:rFonts w:ascii="Times New Roman" w:hAnsi="Times New Roman" w:cs="Times New Roman"/>
          <w:sz w:val="24"/>
          <w:szCs w:val="24"/>
          <w:lang w:val="en-GB"/>
        </w:rPr>
        <w:t>(≥1/10), common (≥1/100, &lt;1/10) and uncommon (≥1/1,000 to &lt;1/100).</w:t>
      </w:r>
    </w:p>
    <w:p w14:paraId="241A16EC" w14:textId="77777777" w:rsidR="00151AB5" w:rsidRPr="00CF44CA" w:rsidRDefault="00151AB5" w:rsidP="006A2800">
      <w:pPr>
        <w:spacing w:after="120" w:line="240" w:lineRule="auto"/>
        <w:rPr>
          <w:rFonts w:ascii="Times New Roman" w:hAnsi="Times New Roman" w:cs="Times New Roman"/>
          <w:b/>
        </w:rPr>
      </w:pPr>
      <w:r w:rsidRPr="00CF44CA">
        <w:rPr>
          <w:rFonts w:ascii="Times New Roman" w:hAnsi="Times New Roman" w:cs="Times New Roman"/>
          <w:b/>
        </w:rPr>
        <w:t>Table</w:t>
      </w:r>
      <w:r w:rsidR="003B1F3B" w:rsidRPr="00CF44CA">
        <w:rPr>
          <w:rFonts w:ascii="Times New Roman" w:hAnsi="Times New Roman" w:cs="Times New Roman"/>
          <w:b/>
        </w:rPr>
        <w:t xml:space="preserve"> </w:t>
      </w:r>
      <w:r w:rsidR="002618E1" w:rsidRPr="00CF44CA">
        <w:rPr>
          <w:rFonts w:ascii="Times New Roman" w:hAnsi="Times New Roman" w:cs="Times New Roman"/>
          <w:b/>
        </w:rPr>
        <w:t>2</w:t>
      </w:r>
      <w:r w:rsidRPr="00CF44CA">
        <w:rPr>
          <w:rFonts w:ascii="Times New Roman" w:hAnsi="Times New Roman" w:cs="Times New Roman"/>
          <w:b/>
        </w:rPr>
        <w:t xml:space="preserve">: Adverse </w:t>
      </w:r>
      <w:r w:rsidR="00343170" w:rsidRPr="00CF44CA">
        <w:rPr>
          <w:rFonts w:ascii="Times New Roman" w:hAnsi="Times New Roman" w:cs="Times New Roman"/>
          <w:b/>
        </w:rPr>
        <w:t>R</w:t>
      </w:r>
      <w:r w:rsidRPr="00CF44CA">
        <w:rPr>
          <w:rFonts w:ascii="Times New Roman" w:hAnsi="Times New Roman" w:cs="Times New Roman"/>
          <w:b/>
        </w:rPr>
        <w:t xml:space="preserve">eactions </w:t>
      </w:r>
      <w:r w:rsidR="00343170" w:rsidRPr="00CF44CA">
        <w:rPr>
          <w:rFonts w:ascii="Times New Roman" w:hAnsi="Times New Roman" w:cs="Times New Roman"/>
          <w:b/>
        </w:rPr>
        <w:t>A</w:t>
      </w:r>
      <w:r w:rsidRPr="00CF44CA">
        <w:rPr>
          <w:rFonts w:ascii="Times New Roman" w:hAnsi="Times New Roman" w:cs="Times New Roman"/>
          <w:b/>
        </w:rPr>
        <w:t xml:space="preserve">ssociated with FIRAZYR </w:t>
      </w:r>
    </w:p>
    <w:tbl>
      <w:tblPr>
        <w:tblW w:w="9558" w:type="dxa"/>
        <w:tblLayout w:type="fixed"/>
        <w:tblLook w:val="01E0" w:firstRow="1" w:lastRow="1" w:firstColumn="1" w:lastColumn="1" w:noHBand="0" w:noVBand="0"/>
      </w:tblPr>
      <w:tblGrid>
        <w:gridCol w:w="3168"/>
        <w:gridCol w:w="2160"/>
        <w:gridCol w:w="2160"/>
        <w:gridCol w:w="2070"/>
      </w:tblGrid>
      <w:tr w:rsidR="00434EC8" w:rsidRPr="00CF44CA" w14:paraId="1A1698AB" w14:textId="77777777" w:rsidTr="00152B3F">
        <w:tc>
          <w:tcPr>
            <w:tcW w:w="3168" w:type="dxa"/>
            <w:tcBorders>
              <w:top w:val="single" w:sz="4" w:space="0" w:color="auto"/>
              <w:left w:val="single" w:sz="4" w:space="0" w:color="auto"/>
              <w:bottom w:val="single" w:sz="4" w:space="0" w:color="auto"/>
              <w:right w:val="single" w:sz="4" w:space="0" w:color="auto"/>
            </w:tcBorders>
          </w:tcPr>
          <w:p w14:paraId="17EE3294" w14:textId="045CC9D3" w:rsidR="00151AB5" w:rsidRPr="00CF44CA" w:rsidRDefault="00151AB5" w:rsidP="00151AB5">
            <w:pPr>
              <w:tabs>
                <w:tab w:val="left" w:pos="0"/>
                <w:tab w:val="left" w:pos="72"/>
              </w:tabs>
              <w:spacing w:after="0" w:line="240" w:lineRule="auto"/>
              <w:rPr>
                <w:rFonts w:ascii="Times New Roman" w:hAnsi="Times New Roman" w:cs="Times New Roman"/>
                <w:b/>
                <w:u w:val="single"/>
              </w:rPr>
            </w:pPr>
          </w:p>
        </w:tc>
        <w:tc>
          <w:tcPr>
            <w:tcW w:w="6390" w:type="dxa"/>
            <w:gridSpan w:val="3"/>
            <w:tcBorders>
              <w:top w:val="single" w:sz="4" w:space="0" w:color="auto"/>
              <w:left w:val="single" w:sz="4" w:space="0" w:color="auto"/>
              <w:bottom w:val="single" w:sz="4" w:space="0" w:color="auto"/>
              <w:right w:val="single" w:sz="4" w:space="0" w:color="auto"/>
            </w:tcBorders>
          </w:tcPr>
          <w:p w14:paraId="28171F40" w14:textId="77777777" w:rsidR="00151AB5" w:rsidRPr="00CF44CA" w:rsidRDefault="00151AB5" w:rsidP="00151AB5">
            <w:pPr>
              <w:tabs>
                <w:tab w:val="left" w:pos="0"/>
              </w:tabs>
              <w:spacing w:after="0" w:line="240" w:lineRule="auto"/>
              <w:jc w:val="center"/>
              <w:rPr>
                <w:rFonts w:ascii="Times New Roman" w:hAnsi="Times New Roman" w:cs="Times New Roman"/>
              </w:rPr>
            </w:pPr>
            <w:r w:rsidRPr="00CF44CA">
              <w:rPr>
                <w:rFonts w:ascii="Times New Roman" w:hAnsi="Times New Roman" w:cs="Times New Roman"/>
                <w:b/>
              </w:rPr>
              <w:t>Adverse reactions</w:t>
            </w:r>
          </w:p>
        </w:tc>
      </w:tr>
      <w:tr w:rsidR="00152B3F" w:rsidRPr="00CF44CA" w14:paraId="5B56546E"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tcBorders>
              <w:top w:val="single" w:sz="4" w:space="0" w:color="auto"/>
            </w:tcBorders>
            <w:vAlign w:val="center"/>
          </w:tcPr>
          <w:p w14:paraId="6FEB975C" w14:textId="77777777" w:rsidR="00151AB5" w:rsidRPr="00CF44CA" w:rsidRDefault="00151AB5" w:rsidP="00151AB5">
            <w:pPr>
              <w:tabs>
                <w:tab w:val="left" w:pos="0"/>
                <w:tab w:val="left" w:pos="72"/>
              </w:tabs>
              <w:spacing w:after="0" w:line="240" w:lineRule="auto"/>
              <w:rPr>
                <w:rFonts w:ascii="Times New Roman" w:hAnsi="Times New Roman" w:cs="Times New Roman"/>
                <w:b/>
                <w:u w:val="single"/>
              </w:rPr>
            </w:pPr>
          </w:p>
        </w:tc>
        <w:tc>
          <w:tcPr>
            <w:tcW w:w="2160" w:type="dxa"/>
            <w:tcBorders>
              <w:top w:val="single" w:sz="4" w:space="0" w:color="auto"/>
            </w:tcBorders>
            <w:vAlign w:val="center"/>
          </w:tcPr>
          <w:p w14:paraId="3C1A89F3" w14:textId="77777777" w:rsidR="00151AB5" w:rsidRPr="00CF44CA" w:rsidRDefault="00151AB5" w:rsidP="00151AB5">
            <w:pPr>
              <w:tabs>
                <w:tab w:val="left" w:pos="0"/>
                <w:tab w:val="left" w:pos="72"/>
              </w:tabs>
              <w:spacing w:after="0" w:line="240" w:lineRule="auto"/>
              <w:jc w:val="center"/>
              <w:rPr>
                <w:rFonts w:ascii="Times New Roman" w:hAnsi="Times New Roman" w:cs="Times New Roman"/>
                <w:b/>
              </w:rPr>
            </w:pPr>
            <w:r w:rsidRPr="00CF44CA">
              <w:rPr>
                <w:rFonts w:ascii="Times New Roman" w:hAnsi="Times New Roman" w:cs="Times New Roman"/>
                <w:b/>
              </w:rPr>
              <w:t xml:space="preserve">Very common </w:t>
            </w:r>
          </w:p>
        </w:tc>
        <w:tc>
          <w:tcPr>
            <w:tcW w:w="2160" w:type="dxa"/>
            <w:tcBorders>
              <w:top w:val="single" w:sz="4" w:space="0" w:color="auto"/>
            </w:tcBorders>
            <w:vAlign w:val="center"/>
          </w:tcPr>
          <w:p w14:paraId="612B0DE9" w14:textId="77777777" w:rsidR="00151AB5" w:rsidRPr="00CF44CA" w:rsidRDefault="00151AB5" w:rsidP="00151AB5">
            <w:pPr>
              <w:tabs>
                <w:tab w:val="left" w:pos="0"/>
                <w:tab w:val="left" w:pos="72"/>
              </w:tabs>
              <w:spacing w:after="0" w:line="240" w:lineRule="auto"/>
              <w:jc w:val="center"/>
              <w:rPr>
                <w:rFonts w:ascii="Times New Roman" w:hAnsi="Times New Roman" w:cs="Times New Roman"/>
                <w:b/>
              </w:rPr>
            </w:pPr>
            <w:r w:rsidRPr="00CF44CA">
              <w:rPr>
                <w:rFonts w:ascii="Times New Roman" w:hAnsi="Times New Roman" w:cs="Times New Roman"/>
                <w:b/>
              </w:rPr>
              <w:t xml:space="preserve">Common </w:t>
            </w:r>
          </w:p>
        </w:tc>
        <w:tc>
          <w:tcPr>
            <w:tcW w:w="2070" w:type="dxa"/>
            <w:tcBorders>
              <w:top w:val="single" w:sz="4" w:space="0" w:color="auto"/>
            </w:tcBorders>
            <w:vAlign w:val="center"/>
          </w:tcPr>
          <w:p w14:paraId="4BC18D4B" w14:textId="77777777" w:rsidR="00151AB5" w:rsidRPr="00CF44CA" w:rsidRDefault="00151AB5" w:rsidP="00151AB5">
            <w:pPr>
              <w:tabs>
                <w:tab w:val="left" w:pos="0"/>
                <w:tab w:val="left" w:pos="72"/>
              </w:tabs>
              <w:spacing w:after="0" w:line="240" w:lineRule="auto"/>
              <w:jc w:val="center"/>
              <w:rPr>
                <w:rFonts w:ascii="Times New Roman" w:hAnsi="Times New Roman" w:cs="Times New Roman"/>
                <w:b/>
              </w:rPr>
            </w:pPr>
            <w:r w:rsidRPr="00CF44CA">
              <w:rPr>
                <w:rFonts w:ascii="Times New Roman" w:hAnsi="Times New Roman" w:cs="Times New Roman"/>
                <w:b/>
              </w:rPr>
              <w:t>Uncommon</w:t>
            </w:r>
          </w:p>
        </w:tc>
      </w:tr>
      <w:tr w:rsidR="00152B3F" w:rsidRPr="00CF44CA" w14:paraId="3B3929B0"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vAlign w:val="center"/>
          </w:tcPr>
          <w:p w14:paraId="19F1E62A" w14:textId="77777777" w:rsidR="00151AB5" w:rsidRPr="00CF44CA" w:rsidRDefault="00151AB5"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Gastrointestinal disorders</w:t>
            </w:r>
          </w:p>
        </w:tc>
        <w:tc>
          <w:tcPr>
            <w:tcW w:w="2160" w:type="dxa"/>
            <w:vAlign w:val="center"/>
          </w:tcPr>
          <w:p w14:paraId="7017A9CE"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160" w:type="dxa"/>
          </w:tcPr>
          <w:p w14:paraId="56DA27CA" w14:textId="77777777" w:rsidR="00151AB5" w:rsidRPr="00CF44CA" w:rsidRDefault="00EA6370" w:rsidP="00151AB5">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Nausea</w:t>
            </w:r>
          </w:p>
        </w:tc>
        <w:tc>
          <w:tcPr>
            <w:tcW w:w="2070" w:type="dxa"/>
          </w:tcPr>
          <w:p w14:paraId="0A355637" w14:textId="77777777" w:rsidR="00151AB5" w:rsidRPr="00CF44CA" w:rsidRDefault="00EA6370" w:rsidP="00BF0672">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V</w:t>
            </w:r>
            <w:r w:rsidR="00151AB5" w:rsidRPr="00CF44CA">
              <w:rPr>
                <w:rFonts w:ascii="Times New Roman" w:hAnsi="Times New Roman" w:cs="Times New Roman"/>
              </w:rPr>
              <w:t>omiting</w:t>
            </w:r>
          </w:p>
        </w:tc>
      </w:tr>
      <w:tr w:rsidR="00152B3F" w:rsidRPr="00CF44CA" w14:paraId="5FEAB086"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vAlign w:val="center"/>
          </w:tcPr>
          <w:p w14:paraId="1B011723" w14:textId="77777777" w:rsidR="00434EC8" w:rsidRPr="00CF44CA" w:rsidRDefault="00434EC8"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General disorders and administration site conditions</w:t>
            </w:r>
          </w:p>
        </w:tc>
        <w:tc>
          <w:tcPr>
            <w:tcW w:w="2160" w:type="dxa"/>
          </w:tcPr>
          <w:p w14:paraId="13E15729" w14:textId="77777777" w:rsidR="00434EC8" w:rsidRPr="00CF44CA" w:rsidRDefault="00434EC8" w:rsidP="000F7FBA">
            <w:pPr>
              <w:tabs>
                <w:tab w:val="left" w:pos="0"/>
                <w:tab w:val="left" w:pos="72"/>
              </w:tabs>
              <w:spacing w:after="0" w:line="240" w:lineRule="auto"/>
              <w:rPr>
                <w:rFonts w:ascii="Times New Roman" w:hAnsi="Times New Roman" w:cs="Times New Roman"/>
                <w:strike/>
              </w:rPr>
            </w:pPr>
            <w:r w:rsidRPr="00CF44CA">
              <w:rPr>
                <w:rFonts w:ascii="Times New Roman" w:hAnsi="Times New Roman" w:cs="Times New Roman"/>
              </w:rPr>
              <w:t>Injections site reactions*</w:t>
            </w:r>
          </w:p>
        </w:tc>
        <w:tc>
          <w:tcPr>
            <w:tcW w:w="2160" w:type="dxa"/>
          </w:tcPr>
          <w:p w14:paraId="46D97146" w14:textId="77777777" w:rsidR="00434EC8" w:rsidRPr="00CF44CA" w:rsidRDefault="00EA6370" w:rsidP="00151AB5">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Pyrexia</w:t>
            </w:r>
          </w:p>
        </w:tc>
        <w:tc>
          <w:tcPr>
            <w:tcW w:w="2070" w:type="dxa"/>
          </w:tcPr>
          <w:p w14:paraId="1EDB58CF" w14:textId="77777777" w:rsidR="00434EC8" w:rsidRPr="00CF44CA" w:rsidRDefault="00EA6370" w:rsidP="00BF0672">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Asthenia, fatigue</w:t>
            </w:r>
          </w:p>
        </w:tc>
      </w:tr>
      <w:tr w:rsidR="00152B3F" w:rsidRPr="00CF44CA" w14:paraId="752A0B59"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vAlign w:val="center"/>
          </w:tcPr>
          <w:p w14:paraId="4982EEC7" w14:textId="77777777" w:rsidR="00434EC8" w:rsidRPr="00CF44CA" w:rsidRDefault="00434EC8" w:rsidP="000F7FBA">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Infections and infestations</w:t>
            </w:r>
          </w:p>
        </w:tc>
        <w:tc>
          <w:tcPr>
            <w:tcW w:w="2160" w:type="dxa"/>
            <w:vAlign w:val="center"/>
          </w:tcPr>
          <w:p w14:paraId="3F0F29ED" w14:textId="77777777" w:rsidR="00434EC8" w:rsidRPr="00CF44CA" w:rsidRDefault="00434EC8" w:rsidP="00434EC8">
            <w:pPr>
              <w:tabs>
                <w:tab w:val="left" w:pos="0"/>
                <w:tab w:val="left" w:pos="72"/>
              </w:tabs>
              <w:spacing w:after="0" w:line="240" w:lineRule="auto"/>
              <w:jc w:val="center"/>
              <w:rPr>
                <w:rFonts w:ascii="Times New Roman" w:hAnsi="Times New Roman" w:cs="Times New Roman"/>
              </w:rPr>
            </w:pPr>
          </w:p>
        </w:tc>
        <w:tc>
          <w:tcPr>
            <w:tcW w:w="2160" w:type="dxa"/>
            <w:vAlign w:val="center"/>
          </w:tcPr>
          <w:p w14:paraId="43C83693" w14:textId="77777777" w:rsidR="00434EC8" w:rsidRPr="00CF44CA" w:rsidRDefault="00434EC8" w:rsidP="00434EC8">
            <w:pPr>
              <w:tabs>
                <w:tab w:val="left" w:pos="0"/>
                <w:tab w:val="left" w:pos="72"/>
              </w:tabs>
              <w:spacing w:after="0" w:line="240" w:lineRule="auto"/>
              <w:rPr>
                <w:rFonts w:ascii="Times New Roman" w:hAnsi="Times New Roman" w:cs="Times New Roman"/>
                <w:b/>
              </w:rPr>
            </w:pPr>
          </w:p>
        </w:tc>
        <w:tc>
          <w:tcPr>
            <w:tcW w:w="2070" w:type="dxa"/>
          </w:tcPr>
          <w:p w14:paraId="72E27832" w14:textId="77777777" w:rsidR="00434EC8" w:rsidRPr="00CF44CA" w:rsidRDefault="00434EC8" w:rsidP="000F7FBA">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Herpes zoster, pharyngitis</w:t>
            </w:r>
          </w:p>
        </w:tc>
      </w:tr>
      <w:tr w:rsidR="00152B3F" w:rsidRPr="00CF44CA" w14:paraId="4037970F"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vAlign w:val="center"/>
          </w:tcPr>
          <w:p w14:paraId="690258D4" w14:textId="77777777" w:rsidR="00151AB5" w:rsidRPr="00CF44CA" w:rsidRDefault="00151AB5"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Injury, poisoning and procedural complications</w:t>
            </w:r>
          </w:p>
        </w:tc>
        <w:tc>
          <w:tcPr>
            <w:tcW w:w="2160" w:type="dxa"/>
            <w:vAlign w:val="center"/>
          </w:tcPr>
          <w:p w14:paraId="1A16B4D4"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160" w:type="dxa"/>
          </w:tcPr>
          <w:p w14:paraId="7423ED7F"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070" w:type="dxa"/>
          </w:tcPr>
          <w:p w14:paraId="215B2217" w14:textId="77777777" w:rsidR="00151AB5" w:rsidRPr="00CF44CA" w:rsidRDefault="00151AB5" w:rsidP="00151AB5">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Contusion</w:t>
            </w:r>
          </w:p>
        </w:tc>
      </w:tr>
      <w:tr w:rsidR="00152B3F" w:rsidRPr="00CF44CA" w14:paraId="3638BE32" w14:textId="77777777" w:rsidTr="00EA63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3168" w:type="dxa"/>
          </w:tcPr>
          <w:p w14:paraId="2FAAF7F6" w14:textId="77777777" w:rsidR="00151AB5" w:rsidRPr="00CF44CA" w:rsidRDefault="00151AB5"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Investigations</w:t>
            </w:r>
          </w:p>
        </w:tc>
        <w:tc>
          <w:tcPr>
            <w:tcW w:w="2160" w:type="dxa"/>
            <w:vAlign w:val="center"/>
          </w:tcPr>
          <w:p w14:paraId="4CF76638"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160" w:type="dxa"/>
          </w:tcPr>
          <w:p w14:paraId="4A19419E" w14:textId="77777777" w:rsidR="00151AB5" w:rsidRPr="00CF44CA" w:rsidRDefault="00151AB5" w:rsidP="00BF0672">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Blood creatinine phosphokinase increased, prothrombin time prolonged</w:t>
            </w:r>
            <w:r w:rsidR="00EA6370" w:rsidRPr="00CF44CA">
              <w:rPr>
                <w:rFonts w:ascii="Times New Roman" w:hAnsi="Times New Roman" w:cs="Times New Roman"/>
              </w:rPr>
              <w:t>, transaminases increased</w:t>
            </w:r>
          </w:p>
        </w:tc>
        <w:tc>
          <w:tcPr>
            <w:tcW w:w="2070" w:type="dxa"/>
          </w:tcPr>
          <w:p w14:paraId="45F72AFB" w14:textId="77777777" w:rsidR="00151AB5" w:rsidRPr="00CF44CA" w:rsidRDefault="00151AB5" w:rsidP="00BF0672">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Weight increased, blood glucose increased, liver function test abnormal</w:t>
            </w:r>
          </w:p>
        </w:tc>
      </w:tr>
      <w:tr w:rsidR="00152B3F" w:rsidRPr="00CF44CA" w14:paraId="0363B01C"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3168" w:type="dxa"/>
            <w:vAlign w:val="center"/>
          </w:tcPr>
          <w:p w14:paraId="39E543EE" w14:textId="77777777" w:rsidR="00151AB5" w:rsidRPr="00CF44CA" w:rsidRDefault="00151AB5"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Metabolism and nutrition disorders</w:t>
            </w:r>
          </w:p>
        </w:tc>
        <w:tc>
          <w:tcPr>
            <w:tcW w:w="2160" w:type="dxa"/>
            <w:vAlign w:val="center"/>
          </w:tcPr>
          <w:p w14:paraId="2B6BCB0B"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160" w:type="dxa"/>
          </w:tcPr>
          <w:p w14:paraId="615926B5"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070" w:type="dxa"/>
          </w:tcPr>
          <w:p w14:paraId="342ED30F" w14:textId="77777777" w:rsidR="00151AB5" w:rsidRPr="00CF44CA" w:rsidRDefault="00151AB5" w:rsidP="00BF0672">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Hyperuricaemia, hyperglycaemia</w:t>
            </w:r>
          </w:p>
        </w:tc>
      </w:tr>
      <w:tr w:rsidR="00152B3F" w:rsidRPr="00CF44CA" w14:paraId="27EEF4B9"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rPr>
        <w:tc>
          <w:tcPr>
            <w:tcW w:w="3168" w:type="dxa"/>
            <w:vAlign w:val="center"/>
          </w:tcPr>
          <w:p w14:paraId="2267C47E" w14:textId="77777777" w:rsidR="00151AB5" w:rsidRPr="00CF44CA" w:rsidRDefault="00151AB5"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Musculoskeletal and connective tissue disorders</w:t>
            </w:r>
          </w:p>
        </w:tc>
        <w:tc>
          <w:tcPr>
            <w:tcW w:w="2160" w:type="dxa"/>
            <w:vAlign w:val="center"/>
          </w:tcPr>
          <w:p w14:paraId="01E9D099"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160" w:type="dxa"/>
          </w:tcPr>
          <w:p w14:paraId="01F42141"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070" w:type="dxa"/>
          </w:tcPr>
          <w:p w14:paraId="0DAC596A" w14:textId="77777777" w:rsidR="00151AB5" w:rsidRPr="00CF44CA" w:rsidRDefault="00151AB5" w:rsidP="00151AB5">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Muscle spasm</w:t>
            </w:r>
          </w:p>
        </w:tc>
      </w:tr>
      <w:tr w:rsidR="00152B3F" w:rsidRPr="00CF44CA" w14:paraId="7C631F5D"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vAlign w:val="center"/>
          </w:tcPr>
          <w:p w14:paraId="152F186C" w14:textId="77777777" w:rsidR="00151AB5" w:rsidRPr="00CF44CA" w:rsidRDefault="00151AB5"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Nervous system disorders</w:t>
            </w:r>
          </w:p>
        </w:tc>
        <w:tc>
          <w:tcPr>
            <w:tcW w:w="2160" w:type="dxa"/>
            <w:vAlign w:val="center"/>
          </w:tcPr>
          <w:p w14:paraId="4AC8A5E0"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160" w:type="dxa"/>
          </w:tcPr>
          <w:p w14:paraId="0E905686" w14:textId="77777777" w:rsidR="00151AB5" w:rsidRPr="00CF44CA" w:rsidRDefault="00151AB5" w:rsidP="00BF0672">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Dizziness, headache</w:t>
            </w:r>
          </w:p>
        </w:tc>
        <w:tc>
          <w:tcPr>
            <w:tcW w:w="2070" w:type="dxa"/>
          </w:tcPr>
          <w:p w14:paraId="5254057B"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r>
      <w:tr w:rsidR="00152B3F" w:rsidRPr="00CF44CA" w14:paraId="3D8AB8EF"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vAlign w:val="center"/>
          </w:tcPr>
          <w:p w14:paraId="01B73145" w14:textId="77777777" w:rsidR="00151AB5" w:rsidRPr="00CF44CA" w:rsidRDefault="00151AB5"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Renal and urinary disorders</w:t>
            </w:r>
          </w:p>
        </w:tc>
        <w:tc>
          <w:tcPr>
            <w:tcW w:w="2160" w:type="dxa"/>
            <w:vAlign w:val="center"/>
          </w:tcPr>
          <w:p w14:paraId="6BE9C88E"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160" w:type="dxa"/>
          </w:tcPr>
          <w:p w14:paraId="02BFDB0A"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070" w:type="dxa"/>
          </w:tcPr>
          <w:p w14:paraId="1542C4F5" w14:textId="77777777" w:rsidR="00151AB5" w:rsidRPr="00CF44CA" w:rsidRDefault="00151AB5" w:rsidP="00151AB5">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Proteinuria</w:t>
            </w:r>
          </w:p>
        </w:tc>
      </w:tr>
      <w:tr w:rsidR="00152B3F" w:rsidRPr="00CF44CA" w14:paraId="5D918921"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3168" w:type="dxa"/>
            <w:vAlign w:val="center"/>
          </w:tcPr>
          <w:p w14:paraId="0DE56FB6" w14:textId="77777777" w:rsidR="00151AB5" w:rsidRPr="00CF44CA" w:rsidRDefault="00151AB5"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Respiratory, thoracic and mediastinal disorders</w:t>
            </w:r>
          </w:p>
        </w:tc>
        <w:tc>
          <w:tcPr>
            <w:tcW w:w="2160" w:type="dxa"/>
            <w:vAlign w:val="center"/>
          </w:tcPr>
          <w:p w14:paraId="35FB4626"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160" w:type="dxa"/>
          </w:tcPr>
          <w:p w14:paraId="03BF0004" w14:textId="77777777" w:rsidR="00151AB5" w:rsidRPr="00CF44CA" w:rsidRDefault="00151AB5" w:rsidP="00151AB5">
            <w:pPr>
              <w:tabs>
                <w:tab w:val="left" w:pos="0"/>
                <w:tab w:val="left" w:pos="72"/>
              </w:tabs>
              <w:spacing w:after="0" w:line="240" w:lineRule="auto"/>
              <w:rPr>
                <w:rFonts w:ascii="Times New Roman" w:hAnsi="Times New Roman" w:cs="Times New Roman"/>
                <w:strike/>
              </w:rPr>
            </w:pPr>
          </w:p>
        </w:tc>
        <w:tc>
          <w:tcPr>
            <w:tcW w:w="2070" w:type="dxa"/>
          </w:tcPr>
          <w:p w14:paraId="5170559F" w14:textId="77777777" w:rsidR="00151AB5" w:rsidRPr="00CF44CA" w:rsidRDefault="00151AB5" w:rsidP="00BF0672">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 xml:space="preserve">Asthma, cough, nasal congestion </w:t>
            </w:r>
          </w:p>
        </w:tc>
      </w:tr>
      <w:tr w:rsidR="00152B3F" w:rsidRPr="00CF44CA" w14:paraId="4358FD68"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3168" w:type="dxa"/>
            <w:vAlign w:val="center"/>
          </w:tcPr>
          <w:p w14:paraId="3346A50F" w14:textId="77777777" w:rsidR="00151AB5" w:rsidRPr="00CF44CA" w:rsidRDefault="00151AB5" w:rsidP="00CF507D">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t>Skin and subcutaneous tissue disorders</w:t>
            </w:r>
          </w:p>
        </w:tc>
        <w:tc>
          <w:tcPr>
            <w:tcW w:w="2160" w:type="dxa"/>
            <w:vAlign w:val="center"/>
          </w:tcPr>
          <w:p w14:paraId="383703C5" w14:textId="77777777" w:rsidR="00151AB5" w:rsidRPr="00CF44CA" w:rsidRDefault="00151AB5" w:rsidP="00151AB5">
            <w:pPr>
              <w:tabs>
                <w:tab w:val="left" w:pos="0"/>
                <w:tab w:val="left" w:pos="72"/>
              </w:tabs>
              <w:spacing w:after="0" w:line="240" w:lineRule="auto"/>
              <w:rPr>
                <w:rFonts w:ascii="Times New Roman" w:hAnsi="Times New Roman" w:cs="Times New Roman"/>
              </w:rPr>
            </w:pPr>
          </w:p>
        </w:tc>
        <w:tc>
          <w:tcPr>
            <w:tcW w:w="2160" w:type="dxa"/>
          </w:tcPr>
          <w:p w14:paraId="319875CF" w14:textId="77777777" w:rsidR="00151AB5" w:rsidRPr="00CF44CA" w:rsidRDefault="00151AB5" w:rsidP="00BF0672">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Rash, pruritus, erythema</w:t>
            </w:r>
          </w:p>
        </w:tc>
        <w:tc>
          <w:tcPr>
            <w:tcW w:w="2070" w:type="dxa"/>
          </w:tcPr>
          <w:p w14:paraId="40EC467D" w14:textId="77777777" w:rsidR="00151AB5" w:rsidRPr="00CF44CA" w:rsidRDefault="00151AB5" w:rsidP="00151AB5">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Generalised urticaria</w:t>
            </w:r>
          </w:p>
        </w:tc>
      </w:tr>
      <w:tr w:rsidR="00152B3F" w:rsidRPr="00CF44CA" w14:paraId="7B7EA003"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68" w:type="dxa"/>
            <w:vAlign w:val="center"/>
          </w:tcPr>
          <w:p w14:paraId="47FE4A02" w14:textId="77777777" w:rsidR="00151AB5" w:rsidRPr="00CF44CA" w:rsidRDefault="00151AB5" w:rsidP="00151AB5">
            <w:pPr>
              <w:tabs>
                <w:tab w:val="left" w:pos="0"/>
                <w:tab w:val="left" w:pos="72"/>
              </w:tabs>
              <w:spacing w:after="0" w:line="240" w:lineRule="auto"/>
              <w:rPr>
                <w:rFonts w:ascii="Times New Roman" w:hAnsi="Times New Roman" w:cs="Times New Roman"/>
                <w:b/>
              </w:rPr>
            </w:pPr>
            <w:r w:rsidRPr="00CF44CA">
              <w:rPr>
                <w:rFonts w:ascii="Times New Roman" w:hAnsi="Times New Roman" w:cs="Times New Roman"/>
                <w:b/>
              </w:rPr>
              <w:lastRenderedPageBreak/>
              <w:t>Vascular disorders</w:t>
            </w:r>
          </w:p>
        </w:tc>
        <w:tc>
          <w:tcPr>
            <w:tcW w:w="2160" w:type="dxa"/>
            <w:vAlign w:val="center"/>
          </w:tcPr>
          <w:p w14:paraId="016A16A8" w14:textId="77777777" w:rsidR="00151AB5" w:rsidRPr="00CF44CA" w:rsidRDefault="00151AB5" w:rsidP="00151AB5">
            <w:pPr>
              <w:tabs>
                <w:tab w:val="left" w:pos="0"/>
                <w:tab w:val="left" w:pos="72"/>
              </w:tabs>
              <w:spacing w:after="0" w:line="240" w:lineRule="auto"/>
              <w:rPr>
                <w:rFonts w:ascii="Times New Roman" w:hAnsi="Times New Roman" w:cs="Times New Roman"/>
                <w:u w:val="single"/>
              </w:rPr>
            </w:pPr>
          </w:p>
        </w:tc>
        <w:tc>
          <w:tcPr>
            <w:tcW w:w="2160" w:type="dxa"/>
          </w:tcPr>
          <w:p w14:paraId="5DF3DC08" w14:textId="77777777" w:rsidR="00151AB5" w:rsidRPr="00CF44CA" w:rsidRDefault="00151AB5" w:rsidP="00151AB5">
            <w:pPr>
              <w:tabs>
                <w:tab w:val="left" w:pos="0"/>
                <w:tab w:val="left" w:pos="72"/>
              </w:tabs>
              <w:spacing w:after="0" w:line="240" w:lineRule="auto"/>
              <w:rPr>
                <w:rFonts w:ascii="Times New Roman" w:hAnsi="Times New Roman" w:cs="Times New Roman"/>
                <w:u w:val="single"/>
              </w:rPr>
            </w:pPr>
          </w:p>
        </w:tc>
        <w:tc>
          <w:tcPr>
            <w:tcW w:w="2070" w:type="dxa"/>
          </w:tcPr>
          <w:p w14:paraId="6F4D172A" w14:textId="77777777" w:rsidR="00151AB5" w:rsidRPr="00CF44CA" w:rsidRDefault="00151AB5" w:rsidP="00151AB5">
            <w:pPr>
              <w:tabs>
                <w:tab w:val="left" w:pos="0"/>
                <w:tab w:val="left" w:pos="72"/>
              </w:tabs>
              <w:spacing w:after="0" w:line="240" w:lineRule="auto"/>
              <w:rPr>
                <w:rFonts w:ascii="Times New Roman" w:hAnsi="Times New Roman" w:cs="Times New Roman"/>
              </w:rPr>
            </w:pPr>
            <w:r w:rsidRPr="00CF44CA">
              <w:rPr>
                <w:rFonts w:ascii="Times New Roman" w:hAnsi="Times New Roman" w:cs="Times New Roman"/>
              </w:rPr>
              <w:t>Hot flush</w:t>
            </w:r>
          </w:p>
        </w:tc>
      </w:tr>
      <w:tr w:rsidR="00BF0672" w:rsidRPr="00CF44CA" w14:paraId="418FAADF" w14:textId="77777777" w:rsidTr="00152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58" w:type="dxa"/>
            <w:gridSpan w:val="4"/>
            <w:tcBorders>
              <w:top w:val="single" w:sz="4" w:space="0" w:color="auto"/>
              <w:left w:val="single" w:sz="4" w:space="0" w:color="auto"/>
              <w:bottom w:val="single" w:sz="4" w:space="0" w:color="auto"/>
              <w:right w:val="single" w:sz="4" w:space="0" w:color="auto"/>
            </w:tcBorders>
            <w:vAlign w:val="center"/>
          </w:tcPr>
          <w:p w14:paraId="43CD99BC" w14:textId="77777777" w:rsidR="00BF0672" w:rsidRPr="00CF44CA" w:rsidRDefault="00BF0672" w:rsidP="00434EC8">
            <w:pPr>
              <w:tabs>
                <w:tab w:val="left" w:pos="0"/>
                <w:tab w:val="left" w:pos="72"/>
              </w:tabs>
              <w:spacing w:before="40" w:after="40" w:line="240" w:lineRule="auto"/>
              <w:rPr>
                <w:rFonts w:ascii="Times New Roman" w:hAnsi="Times New Roman" w:cs="Times New Roman"/>
                <w:sz w:val="21"/>
                <w:szCs w:val="21"/>
              </w:rPr>
            </w:pPr>
            <w:r w:rsidRPr="00CF44CA">
              <w:rPr>
                <w:rFonts w:ascii="Times New Roman" w:hAnsi="Times New Roman" w:cs="Times New Roman"/>
                <w:sz w:val="21"/>
                <w:szCs w:val="21"/>
              </w:rPr>
              <w:t>*</w:t>
            </w:r>
            <w:r w:rsidR="00C04E2C" w:rsidRPr="00CF44CA">
              <w:rPr>
                <w:rFonts w:ascii="Times New Roman" w:hAnsi="Times New Roman" w:cs="Times New Roman"/>
                <w:sz w:val="21"/>
                <w:szCs w:val="21"/>
              </w:rPr>
              <w:t xml:space="preserve"> </w:t>
            </w:r>
            <w:r w:rsidRPr="00CF44CA">
              <w:rPr>
                <w:rFonts w:ascii="Times New Roman" w:hAnsi="Times New Roman" w:cs="Times New Roman"/>
                <w:sz w:val="21"/>
                <w:szCs w:val="21"/>
              </w:rPr>
              <w:t>Injection site bruising, Injection site haematoma, Injection site burning, Injection site erythema, Injection site hypoesthesia, Injection site irritation, Injection site numbness, Injection site oedema, Injection site pain, Injection site pressure sensation, Injection  site pruritus, Injection site swelling, Injection site urticaria, and Injection site warmth.</w:t>
            </w:r>
          </w:p>
        </w:tc>
      </w:tr>
    </w:tbl>
    <w:p w14:paraId="38FE0F65" w14:textId="77777777" w:rsidR="00CF507D" w:rsidRPr="00CF44CA" w:rsidRDefault="00CF507D" w:rsidP="006A2800">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 xml:space="preserve">Table </w:t>
      </w:r>
      <w:r w:rsidR="002618E1" w:rsidRPr="00CF44CA">
        <w:rPr>
          <w:rFonts w:ascii="Times New Roman" w:hAnsi="Times New Roman" w:cs="Times New Roman"/>
          <w:sz w:val="24"/>
          <w:szCs w:val="24"/>
        </w:rPr>
        <w:t>3</w:t>
      </w:r>
      <w:r w:rsidRPr="00CF44CA">
        <w:rPr>
          <w:rFonts w:ascii="Times New Roman" w:hAnsi="Times New Roman" w:cs="Times New Roman"/>
          <w:sz w:val="24"/>
          <w:szCs w:val="24"/>
        </w:rPr>
        <w:t xml:space="preserve"> provides the incidence of all adverse events (regardless of relationship to treatment) reported in two or more patients in the controlled phase of the Phase III studies in patients treated with FIRAZYR, placebo or tranexamic acid.</w:t>
      </w:r>
    </w:p>
    <w:p w14:paraId="05A165DE" w14:textId="01538E3F" w:rsidR="005700B1" w:rsidRPr="00CF44CA" w:rsidRDefault="005700B1" w:rsidP="005700B1">
      <w:pPr>
        <w:spacing w:after="120" w:line="240" w:lineRule="auto"/>
        <w:rPr>
          <w:rFonts w:ascii="Times New Roman" w:hAnsi="Times New Roman" w:cs="Times New Roman"/>
          <w:i/>
        </w:rPr>
      </w:pPr>
      <w:r w:rsidRPr="00CF44CA">
        <w:rPr>
          <w:rFonts w:ascii="Times New Roman" w:hAnsi="Times New Roman" w:cs="Times New Roman"/>
          <w:b/>
        </w:rPr>
        <w:t xml:space="preserve">Table </w:t>
      </w:r>
      <w:r w:rsidR="002618E1" w:rsidRPr="00CF44CA">
        <w:rPr>
          <w:rFonts w:ascii="Times New Roman" w:hAnsi="Times New Roman" w:cs="Times New Roman"/>
          <w:b/>
        </w:rPr>
        <w:t>3</w:t>
      </w:r>
      <w:r w:rsidRPr="00CF44CA">
        <w:rPr>
          <w:rFonts w:ascii="Times New Roman" w:hAnsi="Times New Roman" w:cs="Times New Roman"/>
          <w:b/>
        </w:rPr>
        <w:t>: Incidence of Adverse Events Reported in Two or More Patients in the Controlled</w:t>
      </w:r>
      <w:r w:rsidR="006A2800">
        <w:rPr>
          <w:rFonts w:ascii="Times New Roman" w:hAnsi="Times New Roman" w:cs="Times New Roman"/>
          <w:b/>
        </w:rPr>
        <w:t xml:space="preserve"> Phase of the Phase III Studies</w:t>
      </w:r>
    </w:p>
    <w:tbl>
      <w:tblPr>
        <w:tblStyle w:val="TableGrid"/>
        <w:tblW w:w="0" w:type="auto"/>
        <w:tblLook w:val="04A0" w:firstRow="1" w:lastRow="0" w:firstColumn="1" w:lastColumn="0" w:noHBand="0" w:noVBand="1"/>
      </w:tblPr>
      <w:tblGrid>
        <w:gridCol w:w="4271"/>
        <w:gridCol w:w="6"/>
        <w:gridCol w:w="1683"/>
        <w:gridCol w:w="1415"/>
        <w:gridCol w:w="1785"/>
      </w:tblGrid>
      <w:tr w:rsidR="007A0E2F" w:rsidRPr="00CF44CA" w14:paraId="2F68989A" w14:textId="77777777" w:rsidTr="006A2800">
        <w:tc>
          <w:tcPr>
            <w:tcW w:w="4281" w:type="dxa"/>
            <w:gridSpan w:val="2"/>
          </w:tcPr>
          <w:p w14:paraId="1BCDB6C3" w14:textId="77777777" w:rsidR="005700B1" w:rsidRPr="00CF44CA" w:rsidRDefault="005700B1" w:rsidP="000F7FBA">
            <w:pPr>
              <w:autoSpaceDE w:val="0"/>
              <w:autoSpaceDN w:val="0"/>
              <w:adjustRightInd w:val="0"/>
              <w:rPr>
                <w:rFonts w:ascii="Times New Roman" w:hAnsi="Times New Roman" w:cs="Times New Roman"/>
                <w:lang w:val="en-US"/>
              </w:rPr>
            </w:pPr>
          </w:p>
          <w:p w14:paraId="3DE92AC3" w14:textId="77777777" w:rsidR="005700B1" w:rsidRPr="00CF44CA" w:rsidRDefault="005700B1" w:rsidP="000F7FBA">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Adverse event</w:t>
            </w:r>
          </w:p>
        </w:tc>
        <w:tc>
          <w:tcPr>
            <w:tcW w:w="1683" w:type="dxa"/>
          </w:tcPr>
          <w:p w14:paraId="351A3F1A" w14:textId="77777777" w:rsidR="005700B1" w:rsidRPr="00CF44CA" w:rsidRDefault="005700B1" w:rsidP="007A0E2F">
            <w:pPr>
              <w:autoSpaceDE w:val="0"/>
              <w:autoSpaceDN w:val="0"/>
              <w:adjustRightInd w:val="0"/>
              <w:jc w:val="center"/>
              <w:rPr>
                <w:rFonts w:ascii="Times New Roman" w:hAnsi="Times New Roman" w:cs="Times New Roman"/>
                <w:lang w:val="en-US"/>
              </w:rPr>
            </w:pPr>
            <w:r w:rsidRPr="00CF44CA">
              <w:rPr>
                <w:rFonts w:ascii="Times New Roman" w:hAnsi="Times New Roman" w:cs="Times New Roman"/>
                <w:b/>
                <w:lang w:val="en-US"/>
              </w:rPr>
              <w:t>FIRAZYR</w:t>
            </w:r>
            <w:r w:rsidR="007A0E2F" w:rsidRPr="00CF44CA">
              <w:rPr>
                <w:rFonts w:ascii="Times New Roman" w:hAnsi="Times New Roman" w:cs="Times New Roman"/>
                <w:b/>
                <w:lang w:val="en-US"/>
              </w:rPr>
              <w:t xml:space="preserve"> </w:t>
            </w:r>
            <w:r w:rsidRPr="00CF44CA">
              <w:rPr>
                <w:rFonts w:ascii="Times New Roman" w:hAnsi="Times New Roman" w:cs="Times New Roman"/>
                <w:b/>
                <w:lang w:val="en-US"/>
              </w:rPr>
              <w:t>(%)</w:t>
            </w:r>
            <w:r w:rsidR="007A0E2F" w:rsidRPr="00CF44CA">
              <w:rPr>
                <w:rFonts w:ascii="Times New Roman" w:hAnsi="Times New Roman" w:cs="Times New Roman"/>
                <w:b/>
                <w:lang w:val="en-US"/>
              </w:rPr>
              <w:t xml:space="preserve"> </w:t>
            </w:r>
            <w:r w:rsidRPr="00CF44CA">
              <w:rPr>
                <w:rFonts w:ascii="Times New Roman" w:hAnsi="Times New Roman" w:cs="Times New Roman"/>
                <w:lang w:val="en-US"/>
              </w:rPr>
              <w:t>N=63</w:t>
            </w:r>
          </w:p>
        </w:tc>
        <w:tc>
          <w:tcPr>
            <w:tcW w:w="1413" w:type="dxa"/>
          </w:tcPr>
          <w:p w14:paraId="4AF38E21" w14:textId="77777777" w:rsidR="005700B1" w:rsidRPr="00CF44CA" w:rsidRDefault="005700B1" w:rsidP="007A0E2F">
            <w:pPr>
              <w:jc w:val="center"/>
              <w:rPr>
                <w:rFonts w:ascii="Times New Roman" w:hAnsi="Times New Roman" w:cs="Times New Roman"/>
              </w:rPr>
            </w:pPr>
            <w:r w:rsidRPr="00CF44CA">
              <w:rPr>
                <w:rFonts w:ascii="Times New Roman" w:hAnsi="Times New Roman" w:cs="Times New Roman"/>
                <w:b/>
                <w:lang w:val="en-US"/>
              </w:rPr>
              <w:t>Placebo</w:t>
            </w:r>
            <w:r w:rsidR="007A0E2F" w:rsidRPr="00CF44CA">
              <w:rPr>
                <w:rFonts w:ascii="Times New Roman" w:hAnsi="Times New Roman" w:cs="Times New Roman"/>
                <w:lang w:val="en-US"/>
              </w:rPr>
              <w:t xml:space="preserve"> </w:t>
            </w:r>
            <w:r w:rsidRPr="00CF44CA">
              <w:rPr>
                <w:rFonts w:ascii="Times New Roman" w:hAnsi="Times New Roman" w:cs="Times New Roman"/>
                <w:b/>
                <w:lang w:val="en-US"/>
              </w:rPr>
              <w:t xml:space="preserve">(%) </w:t>
            </w:r>
            <w:r w:rsidRPr="00CF44CA">
              <w:rPr>
                <w:rFonts w:ascii="Times New Roman" w:hAnsi="Times New Roman" w:cs="Times New Roman"/>
              </w:rPr>
              <w:t>N=29</w:t>
            </w:r>
          </w:p>
        </w:tc>
        <w:tc>
          <w:tcPr>
            <w:tcW w:w="1783" w:type="dxa"/>
          </w:tcPr>
          <w:p w14:paraId="7CA05EFA" w14:textId="77777777" w:rsidR="005700B1" w:rsidRPr="00CF44CA" w:rsidRDefault="005700B1" w:rsidP="00434EC8">
            <w:pPr>
              <w:jc w:val="center"/>
              <w:rPr>
                <w:rFonts w:ascii="Times New Roman" w:hAnsi="Times New Roman" w:cs="Times New Roman"/>
              </w:rPr>
            </w:pPr>
            <w:r w:rsidRPr="00CF44CA">
              <w:rPr>
                <w:rFonts w:ascii="Times New Roman" w:hAnsi="Times New Roman" w:cs="Times New Roman"/>
                <w:b/>
                <w:lang w:val="en-US"/>
              </w:rPr>
              <w:t>Tranexamic acid (%)</w:t>
            </w:r>
            <w:r w:rsidR="00434EC8" w:rsidRPr="00CF44CA">
              <w:rPr>
                <w:rFonts w:ascii="Times New Roman" w:hAnsi="Times New Roman" w:cs="Times New Roman"/>
                <w:b/>
                <w:lang w:val="en-US"/>
              </w:rPr>
              <w:t xml:space="preserve"> </w:t>
            </w:r>
            <w:r w:rsidRPr="00CF44CA">
              <w:rPr>
                <w:rFonts w:ascii="Times New Roman" w:hAnsi="Times New Roman" w:cs="Times New Roman"/>
              </w:rPr>
              <w:t>N=38</w:t>
            </w:r>
          </w:p>
        </w:tc>
      </w:tr>
      <w:tr w:rsidR="007A0E2F" w:rsidRPr="00CF44CA" w14:paraId="25085015" w14:textId="77777777" w:rsidTr="006A2800">
        <w:tc>
          <w:tcPr>
            <w:tcW w:w="4281" w:type="dxa"/>
            <w:gridSpan w:val="2"/>
          </w:tcPr>
          <w:p w14:paraId="5AB3287B" w14:textId="77777777" w:rsidR="005700B1" w:rsidRPr="00CF44CA" w:rsidRDefault="005700B1" w:rsidP="000F7FBA">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Total  patients reporting adverse events</w:t>
            </w:r>
          </w:p>
        </w:tc>
        <w:tc>
          <w:tcPr>
            <w:tcW w:w="1683" w:type="dxa"/>
          </w:tcPr>
          <w:p w14:paraId="2624DD0A" w14:textId="77777777" w:rsidR="005700B1" w:rsidRPr="00CF44CA" w:rsidRDefault="005700B1" w:rsidP="000F7FBA">
            <w:pPr>
              <w:tabs>
                <w:tab w:val="left" w:pos="447"/>
              </w:tabs>
              <w:ind w:left="72"/>
              <w:jc w:val="center"/>
              <w:rPr>
                <w:rFonts w:ascii="Times New Roman" w:hAnsi="Times New Roman" w:cs="Times New Roman"/>
                <w:lang w:val="en-US"/>
              </w:rPr>
            </w:pPr>
            <w:r w:rsidRPr="00CF44CA">
              <w:rPr>
                <w:rFonts w:ascii="Times New Roman" w:hAnsi="Times New Roman" w:cs="Times New Roman"/>
                <w:lang w:val="en-US"/>
              </w:rPr>
              <w:t>31 (49.2)</w:t>
            </w:r>
          </w:p>
        </w:tc>
        <w:tc>
          <w:tcPr>
            <w:tcW w:w="1413" w:type="dxa"/>
          </w:tcPr>
          <w:p w14:paraId="6F4080C0" w14:textId="77777777" w:rsidR="005700B1" w:rsidRPr="00CF44CA" w:rsidRDefault="005700B1" w:rsidP="000F7FBA">
            <w:pPr>
              <w:tabs>
                <w:tab w:val="left" w:pos="552"/>
              </w:tabs>
              <w:ind w:left="12"/>
              <w:jc w:val="center"/>
              <w:rPr>
                <w:rFonts w:ascii="Times New Roman" w:hAnsi="Times New Roman" w:cs="Times New Roman"/>
              </w:rPr>
            </w:pPr>
            <w:r w:rsidRPr="00CF44CA">
              <w:rPr>
                <w:rFonts w:ascii="Times New Roman" w:hAnsi="Times New Roman" w:cs="Times New Roman"/>
              </w:rPr>
              <w:t>19 (65.5)</w:t>
            </w:r>
          </w:p>
        </w:tc>
        <w:tc>
          <w:tcPr>
            <w:tcW w:w="1783" w:type="dxa"/>
          </w:tcPr>
          <w:p w14:paraId="189847D4"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16 (42.1)</w:t>
            </w:r>
          </w:p>
        </w:tc>
      </w:tr>
      <w:tr w:rsidR="007A0E2F" w:rsidRPr="00CF44CA" w14:paraId="46624911" w14:textId="77777777" w:rsidTr="006A2800">
        <w:tc>
          <w:tcPr>
            <w:tcW w:w="4281" w:type="dxa"/>
            <w:gridSpan w:val="2"/>
          </w:tcPr>
          <w:p w14:paraId="4AF4F4B8" w14:textId="77777777" w:rsidR="005700B1" w:rsidRPr="00CF44CA" w:rsidRDefault="005700B1" w:rsidP="000F7FBA">
            <w:pPr>
              <w:autoSpaceDE w:val="0"/>
              <w:autoSpaceDN w:val="0"/>
              <w:adjustRightInd w:val="0"/>
              <w:rPr>
                <w:rFonts w:ascii="Times New Roman" w:hAnsi="Times New Roman" w:cs="Times New Roman"/>
                <w:b/>
              </w:rPr>
            </w:pPr>
            <w:r w:rsidRPr="00CF44CA">
              <w:rPr>
                <w:rFonts w:ascii="Times New Roman" w:hAnsi="Times New Roman" w:cs="Times New Roman"/>
                <w:b/>
              </w:rPr>
              <w:t>Congenital, familial and genetic disorders</w:t>
            </w:r>
          </w:p>
          <w:p w14:paraId="325D0E70" w14:textId="77777777" w:rsidR="005700B1" w:rsidRPr="00CF44CA" w:rsidRDefault="005700B1" w:rsidP="000F7FBA">
            <w:pPr>
              <w:autoSpaceDE w:val="0"/>
              <w:autoSpaceDN w:val="0"/>
              <w:adjustRightInd w:val="0"/>
              <w:rPr>
                <w:rFonts w:ascii="Times New Roman" w:hAnsi="Times New Roman" w:cs="Times New Roman"/>
                <w:lang w:val="en-US"/>
              </w:rPr>
            </w:pPr>
            <w:r w:rsidRPr="00CF44CA">
              <w:rPr>
                <w:rFonts w:ascii="Times New Roman" w:hAnsi="Times New Roman" w:cs="Times New Roman"/>
                <w:lang w:val="en-US"/>
              </w:rPr>
              <w:t>Hereditary angioedema</w:t>
            </w:r>
            <w:r w:rsidRPr="00CF44CA">
              <w:rPr>
                <w:rFonts w:ascii="Times New Roman" w:hAnsi="Times New Roman" w:cs="Times New Roman"/>
                <w:vertAlign w:val="superscript"/>
                <w:lang w:val="en-US"/>
              </w:rPr>
              <w:t>*</w:t>
            </w:r>
          </w:p>
        </w:tc>
        <w:tc>
          <w:tcPr>
            <w:tcW w:w="1683" w:type="dxa"/>
          </w:tcPr>
          <w:p w14:paraId="36FF9F20" w14:textId="77777777" w:rsidR="005700B1" w:rsidRPr="00CF44CA" w:rsidRDefault="005700B1" w:rsidP="000F7FBA">
            <w:pPr>
              <w:tabs>
                <w:tab w:val="left" w:pos="447"/>
              </w:tabs>
              <w:ind w:left="72"/>
              <w:jc w:val="center"/>
              <w:rPr>
                <w:rFonts w:ascii="Times New Roman" w:hAnsi="Times New Roman" w:cs="Times New Roman"/>
              </w:rPr>
            </w:pPr>
          </w:p>
          <w:p w14:paraId="0788708F"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14 (22.2)</w:t>
            </w:r>
          </w:p>
        </w:tc>
        <w:tc>
          <w:tcPr>
            <w:tcW w:w="1413" w:type="dxa"/>
          </w:tcPr>
          <w:p w14:paraId="1852E0F0" w14:textId="77777777" w:rsidR="005700B1" w:rsidRPr="00CF44CA" w:rsidRDefault="005700B1" w:rsidP="000F7FBA">
            <w:pPr>
              <w:tabs>
                <w:tab w:val="left" w:pos="552"/>
                <w:tab w:val="left" w:pos="994"/>
              </w:tabs>
              <w:ind w:left="192"/>
              <w:jc w:val="center"/>
              <w:rPr>
                <w:rFonts w:ascii="Times New Roman" w:hAnsi="Times New Roman" w:cs="Times New Roman"/>
              </w:rPr>
            </w:pPr>
          </w:p>
          <w:p w14:paraId="3E8C1980"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5 (17.2)</w:t>
            </w:r>
          </w:p>
        </w:tc>
        <w:tc>
          <w:tcPr>
            <w:tcW w:w="1783" w:type="dxa"/>
          </w:tcPr>
          <w:p w14:paraId="1FBB13D3" w14:textId="77777777" w:rsidR="005700B1" w:rsidRPr="00CF44CA" w:rsidRDefault="005700B1" w:rsidP="000F7FBA">
            <w:pPr>
              <w:tabs>
                <w:tab w:val="left" w:pos="492"/>
              </w:tabs>
              <w:ind w:left="72"/>
              <w:jc w:val="center"/>
              <w:rPr>
                <w:rFonts w:ascii="Times New Roman" w:hAnsi="Times New Roman" w:cs="Times New Roman"/>
              </w:rPr>
            </w:pPr>
          </w:p>
          <w:p w14:paraId="66F454B3"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6 (15.8)</w:t>
            </w:r>
          </w:p>
        </w:tc>
      </w:tr>
      <w:tr w:rsidR="007A0E2F" w:rsidRPr="00CF44CA" w14:paraId="4570FEA2" w14:textId="77777777" w:rsidTr="006A2800">
        <w:tc>
          <w:tcPr>
            <w:tcW w:w="4281" w:type="dxa"/>
            <w:gridSpan w:val="2"/>
          </w:tcPr>
          <w:p w14:paraId="4399FC8C" w14:textId="77777777" w:rsidR="005700B1" w:rsidRPr="00CF44CA" w:rsidRDefault="005700B1" w:rsidP="000F7FBA">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Gastrointestinal disorders</w:t>
            </w:r>
          </w:p>
          <w:p w14:paraId="057A6BDE" w14:textId="77777777" w:rsidR="005700B1" w:rsidRPr="00CF44CA" w:rsidRDefault="005700B1" w:rsidP="000F7FBA">
            <w:pPr>
              <w:autoSpaceDE w:val="0"/>
              <w:autoSpaceDN w:val="0"/>
              <w:adjustRightInd w:val="0"/>
              <w:rPr>
                <w:rFonts w:ascii="Times New Roman" w:hAnsi="Times New Roman" w:cs="Times New Roman"/>
                <w:lang w:val="en-US"/>
              </w:rPr>
            </w:pPr>
            <w:r w:rsidRPr="00CF44CA">
              <w:rPr>
                <w:rFonts w:ascii="Times New Roman" w:hAnsi="Times New Roman" w:cs="Times New Roman"/>
                <w:lang w:val="en-US"/>
              </w:rPr>
              <w:t>Nausea</w:t>
            </w:r>
          </w:p>
        </w:tc>
        <w:tc>
          <w:tcPr>
            <w:tcW w:w="1683" w:type="dxa"/>
          </w:tcPr>
          <w:p w14:paraId="4488D16E" w14:textId="77777777" w:rsidR="005700B1" w:rsidRPr="00CF44CA" w:rsidRDefault="005700B1" w:rsidP="000F7FBA">
            <w:pPr>
              <w:tabs>
                <w:tab w:val="left" w:pos="447"/>
              </w:tabs>
              <w:ind w:left="72"/>
              <w:jc w:val="center"/>
              <w:rPr>
                <w:rFonts w:ascii="Times New Roman" w:hAnsi="Times New Roman" w:cs="Times New Roman"/>
              </w:rPr>
            </w:pPr>
          </w:p>
          <w:p w14:paraId="4FD74220"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0</w:t>
            </w:r>
          </w:p>
        </w:tc>
        <w:tc>
          <w:tcPr>
            <w:tcW w:w="1413" w:type="dxa"/>
          </w:tcPr>
          <w:p w14:paraId="1010A550" w14:textId="77777777" w:rsidR="005700B1" w:rsidRPr="00CF44CA" w:rsidRDefault="005700B1" w:rsidP="000F7FBA">
            <w:pPr>
              <w:tabs>
                <w:tab w:val="left" w:pos="552"/>
              </w:tabs>
              <w:ind w:left="192"/>
              <w:jc w:val="center"/>
              <w:rPr>
                <w:rFonts w:ascii="Times New Roman" w:hAnsi="Times New Roman" w:cs="Times New Roman"/>
              </w:rPr>
            </w:pPr>
          </w:p>
          <w:p w14:paraId="69A29FD0"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3 (10.3)</w:t>
            </w:r>
          </w:p>
        </w:tc>
        <w:tc>
          <w:tcPr>
            <w:tcW w:w="1783" w:type="dxa"/>
          </w:tcPr>
          <w:p w14:paraId="1ED9DFC8" w14:textId="77777777" w:rsidR="005700B1" w:rsidRPr="00CF44CA" w:rsidRDefault="005700B1" w:rsidP="000F7FBA">
            <w:pPr>
              <w:tabs>
                <w:tab w:val="left" w:pos="492"/>
              </w:tabs>
              <w:ind w:left="72"/>
              <w:jc w:val="center"/>
              <w:rPr>
                <w:rFonts w:ascii="Times New Roman" w:hAnsi="Times New Roman" w:cs="Times New Roman"/>
              </w:rPr>
            </w:pPr>
          </w:p>
          <w:p w14:paraId="276AC0BE"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0</w:t>
            </w:r>
          </w:p>
        </w:tc>
      </w:tr>
      <w:tr w:rsidR="007A0E2F" w:rsidRPr="00CF44CA" w14:paraId="6AFC4C73" w14:textId="77777777" w:rsidTr="006A2800">
        <w:tc>
          <w:tcPr>
            <w:tcW w:w="4281" w:type="dxa"/>
            <w:gridSpan w:val="2"/>
          </w:tcPr>
          <w:p w14:paraId="1AE55CE1" w14:textId="77777777" w:rsidR="005700B1" w:rsidRPr="00CF44CA" w:rsidRDefault="005700B1" w:rsidP="000F7FBA">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General disorders and administration site conditions</w:t>
            </w:r>
          </w:p>
          <w:p w14:paraId="6C28D6E9" w14:textId="77777777" w:rsidR="005700B1" w:rsidRPr="00CF44CA" w:rsidRDefault="005700B1" w:rsidP="000F7FBA">
            <w:pPr>
              <w:autoSpaceDE w:val="0"/>
              <w:autoSpaceDN w:val="0"/>
              <w:adjustRightInd w:val="0"/>
              <w:rPr>
                <w:rFonts w:ascii="Times New Roman" w:hAnsi="Times New Roman" w:cs="Times New Roman"/>
                <w:lang w:val="en-US"/>
              </w:rPr>
            </w:pPr>
            <w:r w:rsidRPr="00CF44CA">
              <w:rPr>
                <w:rFonts w:ascii="Times New Roman" w:hAnsi="Times New Roman" w:cs="Times New Roman"/>
                <w:lang w:val="en-US"/>
              </w:rPr>
              <w:t>Injection site pain</w:t>
            </w:r>
          </w:p>
          <w:p w14:paraId="75C9AB2B" w14:textId="77777777" w:rsidR="005700B1" w:rsidRPr="00CF44CA" w:rsidRDefault="005700B1" w:rsidP="000F7FBA">
            <w:pPr>
              <w:autoSpaceDE w:val="0"/>
              <w:autoSpaceDN w:val="0"/>
              <w:adjustRightInd w:val="0"/>
              <w:rPr>
                <w:rFonts w:ascii="Times New Roman" w:hAnsi="Times New Roman" w:cs="Times New Roman"/>
                <w:vertAlign w:val="superscript"/>
                <w:lang w:val="en-US"/>
              </w:rPr>
            </w:pPr>
            <w:r w:rsidRPr="00CF44CA">
              <w:rPr>
                <w:rFonts w:ascii="Times New Roman" w:hAnsi="Times New Roman" w:cs="Times New Roman"/>
                <w:lang w:val="en-US"/>
              </w:rPr>
              <w:t>Injection site reaction</w:t>
            </w:r>
          </w:p>
          <w:p w14:paraId="54B87AA5" w14:textId="77777777" w:rsidR="005700B1" w:rsidRPr="00CF44CA" w:rsidRDefault="005700B1" w:rsidP="000F7FBA">
            <w:pPr>
              <w:rPr>
                <w:rFonts w:ascii="Times New Roman" w:hAnsi="Times New Roman" w:cs="Times New Roman"/>
                <w:lang w:val="en-US"/>
              </w:rPr>
            </w:pPr>
            <w:r w:rsidRPr="00CF44CA">
              <w:rPr>
                <w:rFonts w:ascii="Times New Roman" w:hAnsi="Times New Roman" w:cs="Times New Roman"/>
                <w:lang w:val="en-US"/>
              </w:rPr>
              <w:t>Pyrexia</w:t>
            </w:r>
          </w:p>
        </w:tc>
        <w:tc>
          <w:tcPr>
            <w:tcW w:w="1683" w:type="dxa"/>
          </w:tcPr>
          <w:p w14:paraId="4445E6AE"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br/>
            </w:r>
          </w:p>
          <w:p w14:paraId="48AF79C7"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2 (3.2)</w:t>
            </w:r>
          </w:p>
          <w:p w14:paraId="0EDF9599"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2 (3.2)</w:t>
            </w:r>
          </w:p>
          <w:p w14:paraId="327ABAF1"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2 (3.2)</w:t>
            </w:r>
          </w:p>
        </w:tc>
        <w:tc>
          <w:tcPr>
            <w:tcW w:w="1413" w:type="dxa"/>
          </w:tcPr>
          <w:p w14:paraId="29627769" w14:textId="77777777" w:rsidR="005700B1" w:rsidRPr="00CF44CA" w:rsidRDefault="005700B1" w:rsidP="000F7FBA">
            <w:pPr>
              <w:tabs>
                <w:tab w:val="left" w:pos="552"/>
              </w:tabs>
              <w:ind w:left="192"/>
              <w:jc w:val="center"/>
              <w:rPr>
                <w:rFonts w:ascii="Times New Roman" w:hAnsi="Times New Roman" w:cs="Times New Roman"/>
              </w:rPr>
            </w:pPr>
          </w:p>
          <w:p w14:paraId="418BB20A" w14:textId="77777777" w:rsidR="005700B1" w:rsidRPr="00CF44CA" w:rsidRDefault="005700B1" w:rsidP="000F7FBA">
            <w:pPr>
              <w:tabs>
                <w:tab w:val="left" w:pos="552"/>
              </w:tabs>
              <w:ind w:left="192"/>
              <w:jc w:val="center"/>
              <w:rPr>
                <w:rFonts w:ascii="Times New Roman" w:hAnsi="Times New Roman" w:cs="Times New Roman"/>
              </w:rPr>
            </w:pPr>
          </w:p>
          <w:p w14:paraId="2739FAA2"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0</w:t>
            </w:r>
          </w:p>
          <w:p w14:paraId="7650D9E3"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0</w:t>
            </w:r>
          </w:p>
          <w:p w14:paraId="16C3CCC8"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0</w:t>
            </w:r>
          </w:p>
        </w:tc>
        <w:tc>
          <w:tcPr>
            <w:tcW w:w="1783" w:type="dxa"/>
          </w:tcPr>
          <w:p w14:paraId="7093DD1C" w14:textId="77777777" w:rsidR="005700B1" w:rsidRPr="00CF44CA" w:rsidRDefault="005700B1" w:rsidP="000F7FBA">
            <w:pPr>
              <w:tabs>
                <w:tab w:val="left" w:pos="492"/>
              </w:tabs>
              <w:ind w:left="72"/>
              <w:jc w:val="center"/>
              <w:rPr>
                <w:rFonts w:ascii="Times New Roman" w:hAnsi="Times New Roman" w:cs="Times New Roman"/>
              </w:rPr>
            </w:pPr>
          </w:p>
          <w:p w14:paraId="73966DCF" w14:textId="77777777" w:rsidR="005700B1" w:rsidRPr="00CF44CA" w:rsidRDefault="005700B1" w:rsidP="000F7FBA">
            <w:pPr>
              <w:tabs>
                <w:tab w:val="left" w:pos="492"/>
              </w:tabs>
              <w:ind w:left="72"/>
              <w:jc w:val="center"/>
              <w:rPr>
                <w:rFonts w:ascii="Times New Roman" w:hAnsi="Times New Roman" w:cs="Times New Roman"/>
              </w:rPr>
            </w:pPr>
          </w:p>
          <w:p w14:paraId="6CFF9B1A"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0</w:t>
            </w:r>
          </w:p>
          <w:p w14:paraId="24EE2CDB"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0</w:t>
            </w:r>
          </w:p>
          <w:p w14:paraId="603BA380"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0</w:t>
            </w:r>
          </w:p>
        </w:tc>
      </w:tr>
      <w:tr w:rsidR="007A0E2F" w:rsidRPr="00CF44CA" w14:paraId="22229B44" w14:textId="77777777" w:rsidTr="006A2800">
        <w:tc>
          <w:tcPr>
            <w:tcW w:w="4281" w:type="dxa"/>
            <w:gridSpan w:val="2"/>
          </w:tcPr>
          <w:p w14:paraId="6C0DC7A5" w14:textId="77777777" w:rsidR="005700B1" w:rsidRPr="00CF44CA" w:rsidRDefault="005700B1" w:rsidP="000F7FBA">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Infections and infestations</w:t>
            </w:r>
          </w:p>
          <w:p w14:paraId="67B0E61F" w14:textId="77777777" w:rsidR="005700B1" w:rsidRPr="00CF44CA" w:rsidRDefault="005700B1" w:rsidP="000F7FBA">
            <w:pPr>
              <w:autoSpaceDE w:val="0"/>
              <w:autoSpaceDN w:val="0"/>
              <w:adjustRightInd w:val="0"/>
              <w:rPr>
                <w:rFonts w:ascii="Times New Roman" w:hAnsi="Times New Roman" w:cs="Times New Roman"/>
                <w:lang w:val="en-US"/>
              </w:rPr>
            </w:pPr>
            <w:r w:rsidRPr="00CF44CA">
              <w:rPr>
                <w:rFonts w:ascii="Times New Roman" w:hAnsi="Times New Roman" w:cs="Times New Roman"/>
                <w:lang w:val="en-US"/>
              </w:rPr>
              <w:t>Gastroenteritis</w:t>
            </w:r>
          </w:p>
          <w:p w14:paraId="087923BC" w14:textId="77777777" w:rsidR="005700B1" w:rsidRPr="00CF44CA" w:rsidRDefault="005700B1" w:rsidP="000F7FBA">
            <w:pPr>
              <w:rPr>
                <w:rFonts w:ascii="Times New Roman" w:hAnsi="Times New Roman" w:cs="Times New Roman"/>
              </w:rPr>
            </w:pPr>
            <w:r w:rsidRPr="00CF44CA">
              <w:rPr>
                <w:rFonts w:ascii="Times New Roman" w:hAnsi="Times New Roman" w:cs="Times New Roman"/>
                <w:lang w:val="en-US"/>
              </w:rPr>
              <w:t>Nasopharyngitis</w:t>
            </w:r>
          </w:p>
        </w:tc>
        <w:tc>
          <w:tcPr>
            <w:tcW w:w="1683" w:type="dxa"/>
          </w:tcPr>
          <w:p w14:paraId="2A5C8910" w14:textId="77777777" w:rsidR="005700B1" w:rsidRPr="00CF44CA" w:rsidRDefault="005700B1" w:rsidP="000F7FBA">
            <w:pPr>
              <w:tabs>
                <w:tab w:val="left" w:pos="447"/>
              </w:tabs>
              <w:ind w:left="72"/>
              <w:jc w:val="center"/>
              <w:rPr>
                <w:rFonts w:ascii="Times New Roman" w:hAnsi="Times New Roman" w:cs="Times New Roman"/>
              </w:rPr>
            </w:pPr>
          </w:p>
          <w:p w14:paraId="3B02F345"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2 (3.2)</w:t>
            </w:r>
          </w:p>
          <w:p w14:paraId="7B3B6A57"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3 (4.8)</w:t>
            </w:r>
          </w:p>
        </w:tc>
        <w:tc>
          <w:tcPr>
            <w:tcW w:w="1413" w:type="dxa"/>
          </w:tcPr>
          <w:p w14:paraId="316B885D" w14:textId="77777777" w:rsidR="005700B1" w:rsidRPr="00CF44CA" w:rsidRDefault="005700B1" w:rsidP="000F7FBA">
            <w:pPr>
              <w:tabs>
                <w:tab w:val="left" w:pos="552"/>
              </w:tabs>
              <w:ind w:left="192"/>
              <w:jc w:val="center"/>
              <w:rPr>
                <w:rFonts w:ascii="Times New Roman" w:hAnsi="Times New Roman" w:cs="Times New Roman"/>
              </w:rPr>
            </w:pPr>
          </w:p>
          <w:p w14:paraId="055B1BE6"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0</w:t>
            </w:r>
          </w:p>
          <w:p w14:paraId="1349FE4E"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0</w:t>
            </w:r>
          </w:p>
        </w:tc>
        <w:tc>
          <w:tcPr>
            <w:tcW w:w="1783" w:type="dxa"/>
          </w:tcPr>
          <w:p w14:paraId="18ADAF36" w14:textId="77777777" w:rsidR="005700B1" w:rsidRPr="00CF44CA" w:rsidRDefault="005700B1" w:rsidP="000F7FBA">
            <w:pPr>
              <w:tabs>
                <w:tab w:val="left" w:pos="492"/>
              </w:tabs>
              <w:ind w:left="72"/>
              <w:jc w:val="center"/>
              <w:rPr>
                <w:rFonts w:ascii="Times New Roman" w:hAnsi="Times New Roman" w:cs="Times New Roman"/>
              </w:rPr>
            </w:pPr>
          </w:p>
          <w:p w14:paraId="5A2758EC"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0</w:t>
            </w:r>
          </w:p>
          <w:p w14:paraId="328B3951"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3 (7.9)</w:t>
            </w:r>
          </w:p>
        </w:tc>
      </w:tr>
      <w:tr w:rsidR="00EA6370" w:rsidRPr="00CF44CA" w14:paraId="5DFF6997" w14:textId="77777777" w:rsidTr="006A2800">
        <w:tc>
          <w:tcPr>
            <w:tcW w:w="4275" w:type="dxa"/>
          </w:tcPr>
          <w:p w14:paraId="56F9BBD4" w14:textId="77777777" w:rsidR="00EA6370" w:rsidRPr="00CF44CA" w:rsidRDefault="00EA6370" w:rsidP="00436430">
            <w:pPr>
              <w:autoSpaceDE w:val="0"/>
              <w:autoSpaceDN w:val="0"/>
              <w:adjustRightInd w:val="0"/>
              <w:rPr>
                <w:rFonts w:ascii="Times New Roman" w:hAnsi="Times New Roman" w:cs="Times New Roman"/>
                <w:lang w:val="en-US"/>
              </w:rPr>
            </w:pPr>
          </w:p>
          <w:p w14:paraId="45A7A8AE" w14:textId="77777777" w:rsidR="00EA6370" w:rsidRPr="00CF44CA" w:rsidRDefault="00EA6370" w:rsidP="00436430">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Adverse event</w:t>
            </w:r>
          </w:p>
        </w:tc>
        <w:tc>
          <w:tcPr>
            <w:tcW w:w="1685" w:type="dxa"/>
            <w:gridSpan w:val="2"/>
          </w:tcPr>
          <w:p w14:paraId="4BFEEDEE" w14:textId="77777777" w:rsidR="00EA6370" w:rsidRPr="00CF44CA" w:rsidRDefault="00EA6370" w:rsidP="00436430">
            <w:pPr>
              <w:autoSpaceDE w:val="0"/>
              <w:autoSpaceDN w:val="0"/>
              <w:adjustRightInd w:val="0"/>
              <w:jc w:val="center"/>
              <w:rPr>
                <w:rFonts w:ascii="Times New Roman" w:hAnsi="Times New Roman" w:cs="Times New Roman"/>
                <w:lang w:val="en-US"/>
              </w:rPr>
            </w:pPr>
            <w:r w:rsidRPr="00CF44CA">
              <w:rPr>
                <w:rFonts w:ascii="Times New Roman" w:hAnsi="Times New Roman" w:cs="Times New Roman"/>
                <w:b/>
                <w:lang w:val="en-US"/>
              </w:rPr>
              <w:t xml:space="preserve">FIRAZYR (%) </w:t>
            </w:r>
            <w:r w:rsidRPr="00CF44CA">
              <w:rPr>
                <w:rFonts w:ascii="Times New Roman" w:hAnsi="Times New Roman" w:cs="Times New Roman"/>
                <w:lang w:val="en-US"/>
              </w:rPr>
              <w:t>N=63</w:t>
            </w:r>
          </w:p>
        </w:tc>
        <w:tc>
          <w:tcPr>
            <w:tcW w:w="1415" w:type="dxa"/>
          </w:tcPr>
          <w:p w14:paraId="0DFAB1AF" w14:textId="77777777" w:rsidR="00EA6370" w:rsidRPr="00CF44CA" w:rsidRDefault="00EA6370" w:rsidP="00436430">
            <w:pPr>
              <w:jc w:val="center"/>
              <w:rPr>
                <w:rFonts w:ascii="Times New Roman" w:hAnsi="Times New Roman" w:cs="Times New Roman"/>
              </w:rPr>
            </w:pPr>
            <w:r w:rsidRPr="00CF44CA">
              <w:rPr>
                <w:rFonts w:ascii="Times New Roman" w:hAnsi="Times New Roman" w:cs="Times New Roman"/>
                <w:b/>
                <w:lang w:val="en-US"/>
              </w:rPr>
              <w:t>Placebo</w:t>
            </w:r>
            <w:r w:rsidRPr="00CF44CA">
              <w:rPr>
                <w:rFonts w:ascii="Times New Roman" w:hAnsi="Times New Roman" w:cs="Times New Roman"/>
                <w:lang w:val="en-US"/>
              </w:rPr>
              <w:t xml:space="preserve"> </w:t>
            </w:r>
            <w:r w:rsidRPr="00CF44CA">
              <w:rPr>
                <w:rFonts w:ascii="Times New Roman" w:hAnsi="Times New Roman" w:cs="Times New Roman"/>
                <w:b/>
                <w:lang w:val="en-US"/>
              </w:rPr>
              <w:t xml:space="preserve">(%) </w:t>
            </w:r>
            <w:r w:rsidRPr="00CF44CA">
              <w:rPr>
                <w:rFonts w:ascii="Times New Roman" w:hAnsi="Times New Roman" w:cs="Times New Roman"/>
              </w:rPr>
              <w:t>N=29</w:t>
            </w:r>
          </w:p>
        </w:tc>
        <w:tc>
          <w:tcPr>
            <w:tcW w:w="1785" w:type="dxa"/>
          </w:tcPr>
          <w:p w14:paraId="657F4177" w14:textId="77777777" w:rsidR="00EA6370" w:rsidRPr="00CF44CA" w:rsidRDefault="00EA6370" w:rsidP="00436430">
            <w:pPr>
              <w:jc w:val="center"/>
              <w:rPr>
                <w:rFonts w:ascii="Times New Roman" w:hAnsi="Times New Roman" w:cs="Times New Roman"/>
              </w:rPr>
            </w:pPr>
            <w:r w:rsidRPr="00CF44CA">
              <w:rPr>
                <w:rFonts w:ascii="Times New Roman" w:hAnsi="Times New Roman" w:cs="Times New Roman"/>
                <w:b/>
                <w:lang w:val="en-US"/>
              </w:rPr>
              <w:t xml:space="preserve">Tranexamic acid (%) </w:t>
            </w:r>
            <w:r w:rsidRPr="00CF44CA">
              <w:rPr>
                <w:rFonts w:ascii="Times New Roman" w:hAnsi="Times New Roman" w:cs="Times New Roman"/>
              </w:rPr>
              <w:t>N=38</w:t>
            </w:r>
          </w:p>
        </w:tc>
      </w:tr>
      <w:tr w:rsidR="007A0E2F" w:rsidRPr="00CF44CA" w14:paraId="415208F0" w14:textId="77777777" w:rsidTr="006A2800">
        <w:tc>
          <w:tcPr>
            <w:tcW w:w="4275" w:type="dxa"/>
          </w:tcPr>
          <w:p w14:paraId="2A82AD42" w14:textId="77777777" w:rsidR="005700B1" w:rsidRPr="00CF44CA" w:rsidRDefault="005700B1" w:rsidP="000F7FBA">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Nervous system disorders</w:t>
            </w:r>
          </w:p>
          <w:p w14:paraId="723D89ED" w14:textId="77777777" w:rsidR="005700B1" w:rsidRPr="00CF44CA" w:rsidRDefault="005700B1" w:rsidP="000F7FBA">
            <w:pPr>
              <w:autoSpaceDE w:val="0"/>
              <w:autoSpaceDN w:val="0"/>
              <w:adjustRightInd w:val="0"/>
              <w:rPr>
                <w:rFonts w:ascii="Times New Roman" w:hAnsi="Times New Roman" w:cs="Times New Roman"/>
                <w:lang w:val="en-US"/>
              </w:rPr>
            </w:pPr>
            <w:r w:rsidRPr="00CF44CA">
              <w:rPr>
                <w:rFonts w:ascii="Times New Roman" w:hAnsi="Times New Roman" w:cs="Times New Roman"/>
                <w:lang w:val="en-US"/>
              </w:rPr>
              <w:t>Dizziness</w:t>
            </w:r>
          </w:p>
          <w:p w14:paraId="3DE137D8" w14:textId="77777777" w:rsidR="005700B1" w:rsidRPr="00CF44CA" w:rsidRDefault="005700B1" w:rsidP="000F7FBA">
            <w:pPr>
              <w:autoSpaceDE w:val="0"/>
              <w:autoSpaceDN w:val="0"/>
              <w:adjustRightInd w:val="0"/>
              <w:rPr>
                <w:rFonts w:ascii="Times New Roman" w:hAnsi="Times New Roman" w:cs="Times New Roman"/>
                <w:lang w:val="en-US"/>
              </w:rPr>
            </w:pPr>
            <w:r w:rsidRPr="00CF44CA">
              <w:rPr>
                <w:rFonts w:ascii="Times New Roman" w:hAnsi="Times New Roman" w:cs="Times New Roman"/>
                <w:lang w:val="en-US"/>
              </w:rPr>
              <w:t>Headache</w:t>
            </w:r>
          </w:p>
        </w:tc>
        <w:tc>
          <w:tcPr>
            <w:tcW w:w="1685" w:type="dxa"/>
            <w:gridSpan w:val="2"/>
          </w:tcPr>
          <w:p w14:paraId="04281EEE" w14:textId="77777777" w:rsidR="005700B1" w:rsidRPr="00CF44CA" w:rsidRDefault="005700B1" w:rsidP="000F7FBA">
            <w:pPr>
              <w:tabs>
                <w:tab w:val="left" w:pos="447"/>
              </w:tabs>
              <w:ind w:left="72"/>
              <w:jc w:val="center"/>
              <w:rPr>
                <w:rFonts w:ascii="Times New Roman" w:hAnsi="Times New Roman" w:cs="Times New Roman"/>
              </w:rPr>
            </w:pPr>
          </w:p>
          <w:p w14:paraId="1237528D"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2 (3.2)</w:t>
            </w:r>
          </w:p>
          <w:p w14:paraId="6F66A6A3"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2 (3.2)</w:t>
            </w:r>
          </w:p>
        </w:tc>
        <w:tc>
          <w:tcPr>
            <w:tcW w:w="1415" w:type="dxa"/>
          </w:tcPr>
          <w:p w14:paraId="5013BCFD" w14:textId="77777777" w:rsidR="005700B1" w:rsidRPr="00CF44CA" w:rsidRDefault="005700B1" w:rsidP="000F7FBA">
            <w:pPr>
              <w:tabs>
                <w:tab w:val="left" w:pos="552"/>
              </w:tabs>
              <w:ind w:left="192"/>
              <w:jc w:val="center"/>
              <w:rPr>
                <w:rFonts w:ascii="Times New Roman" w:hAnsi="Times New Roman" w:cs="Times New Roman"/>
              </w:rPr>
            </w:pPr>
          </w:p>
          <w:p w14:paraId="204626D4"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1 (3.4)</w:t>
            </w:r>
          </w:p>
          <w:p w14:paraId="3E4C6297"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2 (6.9)</w:t>
            </w:r>
          </w:p>
        </w:tc>
        <w:tc>
          <w:tcPr>
            <w:tcW w:w="1785" w:type="dxa"/>
          </w:tcPr>
          <w:p w14:paraId="136F10F3" w14:textId="77777777" w:rsidR="005700B1" w:rsidRPr="00CF44CA" w:rsidRDefault="005700B1" w:rsidP="000F7FBA">
            <w:pPr>
              <w:tabs>
                <w:tab w:val="left" w:pos="492"/>
              </w:tabs>
              <w:ind w:left="72"/>
              <w:jc w:val="center"/>
              <w:rPr>
                <w:rFonts w:ascii="Times New Roman" w:hAnsi="Times New Roman" w:cs="Times New Roman"/>
              </w:rPr>
            </w:pPr>
          </w:p>
          <w:p w14:paraId="26EA08CE"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0</w:t>
            </w:r>
          </w:p>
          <w:p w14:paraId="7B608818"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2 (5.3)</w:t>
            </w:r>
          </w:p>
        </w:tc>
      </w:tr>
      <w:tr w:rsidR="007A0E2F" w:rsidRPr="00CF44CA" w14:paraId="7BE35EB1" w14:textId="77777777" w:rsidTr="006A2800">
        <w:tc>
          <w:tcPr>
            <w:tcW w:w="4275" w:type="dxa"/>
          </w:tcPr>
          <w:p w14:paraId="032DC1B9" w14:textId="77777777" w:rsidR="005700B1" w:rsidRPr="00CF44CA" w:rsidRDefault="005700B1" w:rsidP="000F7FBA">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Respiratory, thoracic and mediastinal</w:t>
            </w:r>
          </w:p>
          <w:p w14:paraId="0D6D8437" w14:textId="77777777" w:rsidR="005700B1" w:rsidRPr="00CF44CA" w:rsidRDefault="005700B1" w:rsidP="000F7FBA">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Disorders</w:t>
            </w:r>
          </w:p>
          <w:p w14:paraId="3D75F9B1" w14:textId="77777777" w:rsidR="005700B1" w:rsidRPr="00CF44CA" w:rsidRDefault="005700B1" w:rsidP="000F7FBA">
            <w:pPr>
              <w:rPr>
                <w:rFonts w:ascii="Times New Roman" w:hAnsi="Times New Roman" w:cs="Times New Roman"/>
              </w:rPr>
            </w:pPr>
            <w:r w:rsidRPr="00CF44CA">
              <w:rPr>
                <w:rFonts w:ascii="Times New Roman" w:hAnsi="Times New Roman" w:cs="Times New Roman"/>
                <w:lang w:val="en-US"/>
              </w:rPr>
              <w:t>Nasal congestion</w:t>
            </w:r>
          </w:p>
        </w:tc>
        <w:tc>
          <w:tcPr>
            <w:tcW w:w="1685" w:type="dxa"/>
            <w:gridSpan w:val="2"/>
          </w:tcPr>
          <w:p w14:paraId="71F8BF42" w14:textId="77777777" w:rsidR="005700B1" w:rsidRPr="00CF44CA" w:rsidRDefault="005700B1" w:rsidP="000F7FBA">
            <w:pPr>
              <w:tabs>
                <w:tab w:val="left" w:pos="447"/>
              </w:tabs>
              <w:ind w:left="72"/>
              <w:jc w:val="center"/>
              <w:rPr>
                <w:rFonts w:ascii="Times New Roman" w:hAnsi="Times New Roman" w:cs="Times New Roman"/>
              </w:rPr>
            </w:pPr>
          </w:p>
          <w:p w14:paraId="6ECE3D83" w14:textId="77777777" w:rsidR="005700B1" w:rsidRPr="00CF44CA" w:rsidRDefault="005700B1" w:rsidP="000F7FBA">
            <w:pPr>
              <w:tabs>
                <w:tab w:val="left" w:pos="447"/>
              </w:tabs>
              <w:ind w:left="72"/>
              <w:jc w:val="center"/>
              <w:rPr>
                <w:rFonts w:ascii="Times New Roman" w:hAnsi="Times New Roman" w:cs="Times New Roman"/>
              </w:rPr>
            </w:pPr>
          </w:p>
          <w:p w14:paraId="791AB236"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2 (3.2)</w:t>
            </w:r>
          </w:p>
        </w:tc>
        <w:tc>
          <w:tcPr>
            <w:tcW w:w="1415" w:type="dxa"/>
          </w:tcPr>
          <w:p w14:paraId="1033C9EA" w14:textId="77777777" w:rsidR="005700B1" w:rsidRPr="00CF44CA" w:rsidRDefault="005700B1" w:rsidP="000F7FBA">
            <w:pPr>
              <w:tabs>
                <w:tab w:val="left" w:pos="552"/>
              </w:tabs>
              <w:ind w:left="192"/>
              <w:jc w:val="center"/>
              <w:rPr>
                <w:rFonts w:ascii="Times New Roman" w:hAnsi="Times New Roman" w:cs="Times New Roman"/>
              </w:rPr>
            </w:pPr>
          </w:p>
          <w:p w14:paraId="2DD5D912" w14:textId="77777777" w:rsidR="005700B1" w:rsidRPr="00CF44CA" w:rsidRDefault="005700B1" w:rsidP="000F7FBA">
            <w:pPr>
              <w:tabs>
                <w:tab w:val="left" w:pos="552"/>
              </w:tabs>
              <w:ind w:left="192"/>
              <w:jc w:val="center"/>
              <w:rPr>
                <w:rFonts w:ascii="Times New Roman" w:hAnsi="Times New Roman" w:cs="Times New Roman"/>
              </w:rPr>
            </w:pPr>
          </w:p>
          <w:p w14:paraId="7FF550D1"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0</w:t>
            </w:r>
          </w:p>
        </w:tc>
        <w:tc>
          <w:tcPr>
            <w:tcW w:w="1785" w:type="dxa"/>
          </w:tcPr>
          <w:p w14:paraId="012A547F" w14:textId="77777777" w:rsidR="005700B1" w:rsidRPr="00CF44CA" w:rsidRDefault="005700B1" w:rsidP="000F7FBA">
            <w:pPr>
              <w:tabs>
                <w:tab w:val="left" w:pos="492"/>
              </w:tabs>
              <w:ind w:left="72"/>
              <w:jc w:val="center"/>
              <w:rPr>
                <w:rFonts w:ascii="Times New Roman" w:hAnsi="Times New Roman" w:cs="Times New Roman"/>
              </w:rPr>
            </w:pPr>
          </w:p>
          <w:p w14:paraId="4FF83546" w14:textId="77777777" w:rsidR="005700B1" w:rsidRPr="00CF44CA" w:rsidRDefault="005700B1" w:rsidP="000F7FBA">
            <w:pPr>
              <w:tabs>
                <w:tab w:val="left" w:pos="492"/>
              </w:tabs>
              <w:ind w:left="72"/>
              <w:jc w:val="center"/>
              <w:rPr>
                <w:rFonts w:ascii="Times New Roman" w:hAnsi="Times New Roman" w:cs="Times New Roman"/>
              </w:rPr>
            </w:pPr>
          </w:p>
          <w:p w14:paraId="00208D8F"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0</w:t>
            </w:r>
          </w:p>
        </w:tc>
      </w:tr>
      <w:tr w:rsidR="007A0E2F" w:rsidRPr="00CF44CA" w14:paraId="12964A4B" w14:textId="77777777" w:rsidTr="006A2800">
        <w:tc>
          <w:tcPr>
            <w:tcW w:w="4275" w:type="dxa"/>
          </w:tcPr>
          <w:p w14:paraId="5CB4B1E6" w14:textId="77777777" w:rsidR="005700B1" w:rsidRPr="00CF44CA" w:rsidRDefault="005700B1" w:rsidP="000F7FBA">
            <w:pPr>
              <w:autoSpaceDE w:val="0"/>
              <w:autoSpaceDN w:val="0"/>
              <w:adjustRightInd w:val="0"/>
              <w:rPr>
                <w:rFonts w:ascii="Times New Roman" w:hAnsi="Times New Roman" w:cs="Times New Roman"/>
                <w:b/>
                <w:lang w:val="en-US"/>
              </w:rPr>
            </w:pPr>
            <w:r w:rsidRPr="00CF44CA">
              <w:rPr>
                <w:rFonts w:ascii="Times New Roman" w:hAnsi="Times New Roman" w:cs="Times New Roman"/>
                <w:b/>
                <w:lang w:val="en-US"/>
              </w:rPr>
              <w:t>Skin and subcutaneous tissue disorders</w:t>
            </w:r>
          </w:p>
          <w:p w14:paraId="1B19A7B0" w14:textId="77777777" w:rsidR="005700B1" w:rsidRPr="00CF44CA" w:rsidRDefault="005700B1" w:rsidP="000F7FBA">
            <w:pPr>
              <w:autoSpaceDE w:val="0"/>
              <w:autoSpaceDN w:val="0"/>
              <w:adjustRightInd w:val="0"/>
              <w:rPr>
                <w:rFonts w:ascii="Times New Roman" w:hAnsi="Times New Roman" w:cs="Times New Roman"/>
                <w:lang w:val="en-US"/>
              </w:rPr>
            </w:pPr>
            <w:r w:rsidRPr="00CF44CA">
              <w:rPr>
                <w:rFonts w:ascii="Times New Roman" w:hAnsi="Times New Roman" w:cs="Times New Roman"/>
                <w:lang w:val="en-US"/>
              </w:rPr>
              <w:t>Pruritus</w:t>
            </w:r>
          </w:p>
          <w:p w14:paraId="4242CA54" w14:textId="77777777" w:rsidR="005700B1" w:rsidRPr="00CF44CA" w:rsidRDefault="005700B1" w:rsidP="000F7FBA">
            <w:pPr>
              <w:rPr>
                <w:rFonts w:ascii="Times New Roman" w:hAnsi="Times New Roman" w:cs="Times New Roman"/>
              </w:rPr>
            </w:pPr>
            <w:r w:rsidRPr="00CF44CA">
              <w:rPr>
                <w:rFonts w:ascii="Times New Roman" w:hAnsi="Times New Roman" w:cs="Times New Roman"/>
                <w:lang w:val="en-US"/>
              </w:rPr>
              <w:t>Rash</w:t>
            </w:r>
          </w:p>
        </w:tc>
        <w:tc>
          <w:tcPr>
            <w:tcW w:w="1685" w:type="dxa"/>
            <w:gridSpan w:val="2"/>
          </w:tcPr>
          <w:p w14:paraId="1758C59F" w14:textId="77777777" w:rsidR="005700B1" w:rsidRPr="00CF44CA" w:rsidRDefault="005700B1" w:rsidP="000F7FBA">
            <w:pPr>
              <w:tabs>
                <w:tab w:val="left" w:pos="447"/>
              </w:tabs>
              <w:ind w:left="72"/>
              <w:jc w:val="center"/>
              <w:rPr>
                <w:rFonts w:ascii="Times New Roman" w:hAnsi="Times New Roman" w:cs="Times New Roman"/>
              </w:rPr>
            </w:pPr>
          </w:p>
          <w:p w14:paraId="43A214B7"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0</w:t>
            </w:r>
          </w:p>
          <w:p w14:paraId="3C0193E9" w14:textId="77777777" w:rsidR="005700B1" w:rsidRPr="00CF44CA" w:rsidRDefault="005700B1" w:rsidP="000F7FBA">
            <w:pPr>
              <w:tabs>
                <w:tab w:val="left" w:pos="447"/>
              </w:tabs>
              <w:ind w:left="72"/>
              <w:jc w:val="center"/>
              <w:rPr>
                <w:rFonts w:ascii="Times New Roman" w:hAnsi="Times New Roman" w:cs="Times New Roman"/>
              </w:rPr>
            </w:pPr>
            <w:r w:rsidRPr="00CF44CA">
              <w:rPr>
                <w:rFonts w:ascii="Times New Roman" w:hAnsi="Times New Roman" w:cs="Times New Roman"/>
              </w:rPr>
              <w:t>2 (3.2)</w:t>
            </w:r>
          </w:p>
        </w:tc>
        <w:tc>
          <w:tcPr>
            <w:tcW w:w="1415" w:type="dxa"/>
          </w:tcPr>
          <w:p w14:paraId="23942CE9" w14:textId="77777777" w:rsidR="005700B1" w:rsidRPr="00CF44CA" w:rsidRDefault="005700B1" w:rsidP="000F7FBA">
            <w:pPr>
              <w:tabs>
                <w:tab w:val="left" w:pos="552"/>
              </w:tabs>
              <w:ind w:left="192"/>
              <w:jc w:val="center"/>
              <w:rPr>
                <w:rFonts w:ascii="Times New Roman" w:hAnsi="Times New Roman" w:cs="Times New Roman"/>
              </w:rPr>
            </w:pPr>
          </w:p>
          <w:p w14:paraId="068BA344"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2 (6.9)</w:t>
            </w:r>
          </w:p>
          <w:p w14:paraId="36031928" w14:textId="77777777" w:rsidR="005700B1" w:rsidRPr="00CF44CA" w:rsidRDefault="005700B1" w:rsidP="000F7FBA">
            <w:pPr>
              <w:tabs>
                <w:tab w:val="left" w:pos="552"/>
              </w:tabs>
              <w:ind w:left="192"/>
              <w:jc w:val="center"/>
              <w:rPr>
                <w:rFonts w:ascii="Times New Roman" w:hAnsi="Times New Roman" w:cs="Times New Roman"/>
              </w:rPr>
            </w:pPr>
            <w:r w:rsidRPr="00CF44CA">
              <w:rPr>
                <w:rFonts w:ascii="Times New Roman" w:hAnsi="Times New Roman" w:cs="Times New Roman"/>
              </w:rPr>
              <w:t>0</w:t>
            </w:r>
          </w:p>
        </w:tc>
        <w:tc>
          <w:tcPr>
            <w:tcW w:w="1785" w:type="dxa"/>
          </w:tcPr>
          <w:p w14:paraId="2FE8E8E0" w14:textId="77777777" w:rsidR="005700B1" w:rsidRPr="00CF44CA" w:rsidRDefault="005700B1" w:rsidP="000F7FBA">
            <w:pPr>
              <w:tabs>
                <w:tab w:val="left" w:pos="492"/>
              </w:tabs>
              <w:ind w:left="72"/>
              <w:jc w:val="center"/>
              <w:rPr>
                <w:rFonts w:ascii="Times New Roman" w:hAnsi="Times New Roman" w:cs="Times New Roman"/>
              </w:rPr>
            </w:pPr>
          </w:p>
          <w:p w14:paraId="153AAEF2"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0</w:t>
            </w:r>
          </w:p>
          <w:p w14:paraId="07563E07" w14:textId="77777777" w:rsidR="005700B1" w:rsidRPr="00CF44CA" w:rsidRDefault="005700B1" w:rsidP="000F7FBA">
            <w:pPr>
              <w:tabs>
                <w:tab w:val="left" w:pos="492"/>
              </w:tabs>
              <w:ind w:left="72"/>
              <w:jc w:val="center"/>
              <w:rPr>
                <w:rFonts w:ascii="Times New Roman" w:hAnsi="Times New Roman" w:cs="Times New Roman"/>
              </w:rPr>
            </w:pPr>
            <w:r w:rsidRPr="00CF44CA">
              <w:rPr>
                <w:rFonts w:ascii="Times New Roman" w:hAnsi="Times New Roman" w:cs="Times New Roman"/>
              </w:rPr>
              <w:t>0</w:t>
            </w:r>
          </w:p>
        </w:tc>
      </w:tr>
      <w:tr w:rsidR="005700B1" w:rsidRPr="00CF44CA" w14:paraId="43EBCB91" w14:textId="77777777" w:rsidTr="006A2800">
        <w:tc>
          <w:tcPr>
            <w:tcW w:w="9160" w:type="dxa"/>
            <w:gridSpan w:val="5"/>
          </w:tcPr>
          <w:p w14:paraId="2AACD81E" w14:textId="77777777" w:rsidR="005700B1" w:rsidRPr="00CF44CA" w:rsidRDefault="005700B1" w:rsidP="007A0E2F">
            <w:pPr>
              <w:autoSpaceDE w:val="0"/>
              <w:autoSpaceDN w:val="0"/>
              <w:adjustRightInd w:val="0"/>
              <w:spacing w:before="40" w:after="40"/>
              <w:rPr>
                <w:rFonts w:ascii="Times New Roman" w:hAnsi="Times New Roman" w:cs="Times New Roman"/>
                <w:sz w:val="24"/>
                <w:szCs w:val="24"/>
              </w:rPr>
            </w:pPr>
            <w:r w:rsidRPr="00CF44CA">
              <w:rPr>
                <w:rFonts w:ascii="Times New Roman" w:hAnsi="Times New Roman" w:cs="Times New Roman"/>
                <w:sz w:val="21"/>
                <w:szCs w:val="21"/>
              </w:rPr>
              <w:t>* HAE attacks were reported as adverse reactions, however, based on time of occurrence, the majority were recurrent attacks are not related to treatment with FIRAZYR.</w:t>
            </w:r>
          </w:p>
        </w:tc>
      </w:tr>
    </w:tbl>
    <w:p w14:paraId="781F6FCF" w14:textId="025C26CA" w:rsidR="002618E1" w:rsidRPr="00CF44CA" w:rsidRDefault="006A2800" w:rsidP="006A2800">
      <w:pPr>
        <w:pStyle w:val="Heading3"/>
        <w:spacing w:before="120" w:after="180" w:line="240" w:lineRule="auto"/>
        <w:ind w:left="0"/>
        <w:rPr>
          <w:rFonts w:ascii="Times New Roman" w:hAnsi="Times New Roman" w:cs="Times New Roman"/>
          <w:sz w:val="24"/>
          <w:szCs w:val="24"/>
        </w:rPr>
      </w:pPr>
      <w:r>
        <w:rPr>
          <w:rFonts w:ascii="Times New Roman" w:hAnsi="Times New Roman" w:cs="Times New Roman"/>
          <w:sz w:val="24"/>
          <w:szCs w:val="24"/>
        </w:rPr>
        <w:t>Paediatric population</w:t>
      </w:r>
    </w:p>
    <w:p w14:paraId="599BB79D" w14:textId="74E4A5ED" w:rsidR="002618E1" w:rsidRPr="00CF44CA" w:rsidRDefault="002618E1" w:rsidP="006A2800">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A total of 32 paediatric subjects with HAE were exposed to treatment with icatibant during the clinical study, at a dose of 0.4 mg/kg based on body weight up to a maximum dose of 30 mg. Thirty-one patients received a single dose of icatibant and 1 patient (an adolescent) received a single dose of icatibant for each of the two HAE</w:t>
      </w:r>
      <w:r w:rsidR="006A2800">
        <w:rPr>
          <w:rFonts w:ascii="Times New Roman" w:hAnsi="Times New Roman" w:cs="Times New Roman"/>
          <w:sz w:val="24"/>
          <w:szCs w:val="24"/>
        </w:rPr>
        <w:t xml:space="preserve"> attacks (in total, two doses).</w:t>
      </w:r>
    </w:p>
    <w:p w14:paraId="375399F0" w14:textId="78D92389" w:rsidR="002618E1" w:rsidRPr="00CF44CA" w:rsidRDefault="002618E1" w:rsidP="006A2800">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The majority of paediatric patients who were treated with subcutaneous icatibant experienced injection site reactions such as erythema, swelling, burning sensation, skin pain and itching/pruritus; these were found to be mild to moderate in severity and consistent with reactions that have been reported in adults. Two paediatric patients experienced injection site reactions which were assessed as severe and which were completely resolved within 6 hours. These reactions were erythema, swelli</w:t>
      </w:r>
      <w:r w:rsidR="006A2800">
        <w:rPr>
          <w:rFonts w:ascii="Times New Roman" w:hAnsi="Times New Roman" w:cs="Times New Roman"/>
          <w:sz w:val="24"/>
          <w:szCs w:val="24"/>
        </w:rPr>
        <w:t>ng, burning and warm sensation.</w:t>
      </w:r>
    </w:p>
    <w:p w14:paraId="07C46A9C" w14:textId="384F8C8E" w:rsidR="00EA6370" w:rsidRPr="00CF44CA" w:rsidRDefault="00EA6370" w:rsidP="006A2800">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lastRenderedPageBreak/>
        <w:t>Changes in some of the reproductive hormones were observed in Study HGT-FIR-086. These changes are not expected to be clinically significant, based on limited clinical trial data of sing</w:t>
      </w:r>
      <w:r w:rsidR="00E90AB3">
        <w:rPr>
          <w:rFonts w:ascii="Times New Roman" w:hAnsi="Times New Roman" w:cs="Times New Roman"/>
          <w:sz w:val="24"/>
          <w:szCs w:val="24"/>
        </w:rPr>
        <w:t xml:space="preserve">le administration of </w:t>
      </w:r>
      <w:proofErr w:type="spellStart"/>
      <w:r w:rsidR="00E90AB3">
        <w:rPr>
          <w:rFonts w:ascii="Times New Roman" w:hAnsi="Times New Roman" w:cs="Times New Roman"/>
          <w:sz w:val="24"/>
          <w:szCs w:val="24"/>
        </w:rPr>
        <w:t>icatibant</w:t>
      </w:r>
      <w:proofErr w:type="spellEnd"/>
      <w:r w:rsidR="00E90AB3">
        <w:rPr>
          <w:rFonts w:ascii="Times New Roman" w:hAnsi="Times New Roman" w:cs="Times New Roman"/>
          <w:sz w:val="24"/>
          <w:szCs w:val="24"/>
        </w:rPr>
        <w:t>.</w:t>
      </w:r>
    </w:p>
    <w:p w14:paraId="04F51217" w14:textId="40170A97" w:rsidR="00EA6370" w:rsidRPr="00CF44CA" w:rsidRDefault="00E90AB3" w:rsidP="006A2800">
      <w:pPr>
        <w:pStyle w:val="Heading3"/>
        <w:spacing w:before="120" w:after="180" w:line="240" w:lineRule="auto"/>
        <w:ind w:left="0"/>
        <w:rPr>
          <w:rFonts w:ascii="Times New Roman" w:hAnsi="Times New Roman" w:cs="Times New Roman"/>
          <w:sz w:val="24"/>
          <w:szCs w:val="24"/>
        </w:rPr>
      </w:pPr>
      <w:r>
        <w:rPr>
          <w:rFonts w:ascii="Times New Roman" w:hAnsi="Times New Roman" w:cs="Times New Roman"/>
          <w:sz w:val="24"/>
          <w:szCs w:val="24"/>
        </w:rPr>
        <w:t>Post-marketing experience</w:t>
      </w:r>
    </w:p>
    <w:p w14:paraId="176B2279" w14:textId="77777777" w:rsidR="00EA6370" w:rsidRPr="00CF44CA" w:rsidRDefault="00EA6370" w:rsidP="00EA6370">
      <w:pPr>
        <w:spacing w:after="120" w:line="240" w:lineRule="auto"/>
        <w:rPr>
          <w:rFonts w:ascii="Times New Roman" w:hAnsi="Times New Roman" w:cs="Times New Roman"/>
          <w:b/>
        </w:rPr>
      </w:pPr>
      <w:r w:rsidRPr="00CF44CA">
        <w:rPr>
          <w:rFonts w:ascii="Times New Roman" w:hAnsi="Times New Roman" w:cs="Times New Roman"/>
          <w:b/>
        </w:rPr>
        <w:t>Table 4: Adverse Drug Reactions from Post-</w:t>
      </w:r>
      <w:proofErr w:type="gramStart"/>
      <w:r w:rsidRPr="00CF44CA">
        <w:rPr>
          <w:rFonts w:ascii="Times New Roman" w:hAnsi="Times New Roman" w:cs="Times New Roman"/>
          <w:b/>
        </w:rPr>
        <w:t>marketing</w:t>
      </w:r>
      <w:proofErr w:type="gramEnd"/>
      <w:r w:rsidRPr="00CF44CA">
        <w:rPr>
          <w:rFonts w:ascii="Times New Roman" w:hAnsi="Times New Roman" w:cs="Times New Roman"/>
          <w:b/>
        </w:rPr>
        <w:t xml:space="preserve"> Experience for Which the Frequency is Unknown</w:t>
      </w:r>
    </w:p>
    <w:tbl>
      <w:tblPr>
        <w:tblStyle w:val="TableGrid"/>
        <w:tblW w:w="0" w:type="auto"/>
        <w:tblLook w:val="04A0" w:firstRow="1" w:lastRow="0" w:firstColumn="1" w:lastColumn="0" w:noHBand="0" w:noVBand="1"/>
      </w:tblPr>
      <w:tblGrid>
        <w:gridCol w:w="4586"/>
        <w:gridCol w:w="4574"/>
      </w:tblGrid>
      <w:tr w:rsidR="00EA6370" w:rsidRPr="00CF44CA" w14:paraId="395D9A60" w14:textId="77777777" w:rsidTr="00EA6370">
        <w:tc>
          <w:tcPr>
            <w:tcW w:w="4693" w:type="dxa"/>
            <w:tcBorders>
              <w:top w:val="single" w:sz="4" w:space="0" w:color="auto"/>
              <w:left w:val="single" w:sz="4" w:space="0" w:color="auto"/>
              <w:bottom w:val="single" w:sz="4" w:space="0" w:color="auto"/>
              <w:right w:val="single" w:sz="4" w:space="0" w:color="auto"/>
            </w:tcBorders>
            <w:hideMark/>
          </w:tcPr>
          <w:p w14:paraId="04164AA3" w14:textId="77777777" w:rsidR="00EA6370" w:rsidRPr="00CF44CA" w:rsidRDefault="00EA6370">
            <w:pPr>
              <w:rPr>
                <w:rFonts w:ascii="Times New Roman" w:hAnsi="Times New Roman" w:cs="Times New Roman"/>
                <w:b/>
              </w:rPr>
            </w:pPr>
            <w:r w:rsidRPr="00CF44CA">
              <w:rPr>
                <w:rFonts w:ascii="Times New Roman" w:hAnsi="Times New Roman" w:cs="Times New Roman"/>
                <w:b/>
              </w:rPr>
              <w:t xml:space="preserve">System organ class </w:t>
            </w:r>
          </w:p>
          <w:p w14:paraId="6639F80C" w14:textId="77777777" w:rsidR="00EA6370" w:rsidRPr="00CF44CA" w:rsidRDefault="00EA6370">
            <w:pPr>
              <w:rPr>
                <w:rFonts w:ascii="Times New Roman" w:hAnsi="Times New Roman" w:cs="Times New Roman"/>
                <w:b/>
              </w:rPr>
            </w:pPr>
            <w:r w:rsidRPr="00CF44CA">
              <w:rPr>
                <w:rFonts w:ascii="Times New Roman" w:hAnsi="Times New Roman" w:cs="Times New Roman"/>
                <w:b/>
              </w:rPr>
              <w:t>(incidence category)</w:t>
            </w:r>
          </w:p>
        </w:tc>
        <w:tc>
          <w:tcPr>
            <w:tcW w:w="4693" w:type="dxa"/>
            <w:tcBorders>
              <w:top w:val="single" w:sz="4" w:space="0" w:color="auto"/>
              <w:left w:val="single" w:sz="4" w:space="0" w:color="auto"/>
              <w:bottom w:val="single" w:sz="4" w:space="0" w:color="auto"/>
              <w:right w:val="single" w:sz="4" w:space="0" w:color="auto"/>
            </w:tcBorders>
            <w:hideMark/>
          </w:tcPr>
          <w:p w14:paraId="58EDE456" w14:textId="77777777" w:rsidR="00EA6370" w:rsidRPr="00CF44CA" w:rsidRDefault="00EA6370">
            <w:pPr>
              <w:rPr>
                <w:rFonts w:ascii="Times New Roman" w:hAnsi="Times New Roman" w:cs="Times New Roman"/>
                <w:b/>
              </w:rPr>
            </w:pPr>
            <w:r w:rsidRPr="00CF44CA">
              <w:rPr>
                <w:rFonts w:ascii="Times New Roman" w:hAnsi="Times New Roman" w:cs="Times New Roman"/>
                <w:b/>
              </w:rPr>
              <w:t>Preferred term</w:t>
            </w:r>
          </w:p>
        </w:tc>
      </w:tr>
      <w:tr w:rsidR="00EA6370" w:rsidRPr="00CF44CA" w14:paraId="325519D9" w14:textId="77777777" w:rsidTr="00EA6370">
        <w:tc>
          <w:tcPr>
            <w:tcW w:w="4693" w:type="dxa"/>
            <w:tcBorders>
              <w:top w:val="single" w:sz="4" w:space="0" w:color="auto"/>
              <w:left w:val="single" w:sz="4" w:space="0" w:color="auto"/>
              <w:bottom w:val="single" w:sz="4" w:space="0" w:color="auto"/>
              <w:right w:val="single" w:sz="4" w:space="0" w:color="auto"/>
            </w:tcBorders>
            <w:hideMark/>
          </w:tcPr>
          <w:p w14:paraId="56F81443" w14:textId="77777777" w:rsidR="00EA6370" w:rsidRPr="00CF44CA" w:rsidRDefault="00EA6370">
            <w:pPr>
              <w:rPr>
                <w:rFonts w:ascii="Times New Roman" w:hAnsi="Times New Roman" w:cs="Times New Roman"/>
                <w:b/>
              </w:rPr>
            </w:pPr>
            <w:r w:rsidRPr="00CF44CA">
              <w:rPr>
                <w:rFonts w:ascii="Times New Roman" w:hAnsi="Times New Roman" w:cs="Times New Roman"/>
                <w:b/>
              </w:rPr>
              <w:t>Skin and subcutaneous tissue disorders</w:t>
            </w:r>
          </w:p>
          <w:p w14:paraId="062E41CF" w14:textId="77777777" w:rsidR="00EA6370" w:rsidRPr="00CF44CA" w:rsidRDefault="00EA6370">
            <w:pPr>
              <w:rPr>
                <w:rFonts w:ascii="Times New Roman" w:hAnsi="Times New Roman" w:cs="Times New Roman"/>
                <w:i/>
              </w:rPr>
            </w:pPr>
            <w:r w:rsidRPr="00CF44CA">
              <w:rPr>
                <w:rFonts w:ascii="Times New Roman" w:hAnsi="Times New Roman" w:cs="Times New Roman"/>
                <w:i/>
              </w:rPr>
              <w:t>Unknown</w:t>
            </w:r>
          </w:p>
        </w:tc>
        <w:tc>
          <w:tcPr>
            <w:tcW w:w="4693" w:type="dxa"/>
            <w:tcBorders>
              <w:top w:val="single" w:sz="4" w:space="0" w:color="auto"/>
              <w:left w:val="single" w:sz="4" w:space="0" w:color="auto"/>
              <w:bottom w:val="single" w:sz="4" w:space="0" w:color="auto"/>
              <w:right w:val="single" w:sz="4" w:space="0" w:color="auto"/>
            </w:tcBorders>
          </w:tcPr>
          <w:p w14:paraId="379F5227" w14:textId="77777777" w:rsidR="00EA6370" w:rsidRPr="00CF44CA" w:rsidRDefault="00EA6370" w:rsidP="00EA6370">
            <w:pPr>
              <w:rPr>
                <w:rFonts w:ascii="Times New Roman" w:hAnsi="Times New Roman" w:cs="Times New Roman"/>
              </w:rPr>
            </w:pPr>
          </w:p>
          <w:p w14:paraId="761F8598" w14:textId="77777777" w:rsidR="00EA6370" w:rsidRPr="00CF44CA" w:rsidRDefault="00EA6370">
            <w:pPr>
              <w:rPr>
                <w:rFonts w:ascii="Times New Roman" w:hAnsi="Times New Roman" w:cs="Times New Roman"/>
                <w:i/>
              </w:rPr>
            </w:pPr>
            <w:r w:rsidRPr="00CF44CA">
              <w:rPr>
                <w:rFonts w:ascii="Times New Roman" w:hAnsi="Times New Roman" w:cs="Times New Roman"/>
                <w:i/>
              </w:rPr>
              <w:t>Urticaria</w:t>
            </w:r>
          </w:p>
        </w:tc>
      </w:tr>
    </w:tbl>
    <w:p w14:paraId="31801156" w14:textId="7E87306E" w:rsidR="003B1F3B" w:rsidRPr="00CF44CA" w:rsidRDefault="00E90AB3" w:rsidP="00E90AB3">
      <w:pPr>
        <w:autoSpaceDE w:val="0"/>
        <w:autoSpaceDN w:val="0"/>
        <w:adjustRightInd w:val="0"/>
        <w:spacing w:before="120" w:after="180" w:line="240" w:lineRule="auto"/>
        <w:rPr>
          <w:rFonts w:ascii="Times New Roman" w:hAnsi="Times New Roman" w:cs="Times New Roman"/>
          <w:b/>
          <w:sz w:val="24"/>
          <w:szCs w:val="24"/>
        </w:rPr>
      </w:pPr>
      <w:r>
        <w:rPr>
          <w:rFonts w:ascii="Times New Roman" w:hAnsi="Times New Roman" w:cs="Times New Roman"/>
          <w:b/>
          <w:sz w:val="24"/>
          <w:szCs w:val="24"/>
        </w:rPr>
        <w:t>Immunogenicity</w:t>
      </w:r>
    </w:p>
    <w:p w14:paraId="5CA94F49" w14:textId="28E35B38" w:rsidR="005700B1" w:rsidRPr="00CF44CA" w:rsidRDefault="00434EC8" w:rsidP="00E90AB3">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Across repeated treatment in the controlled Phase III HAE trials, transient positivity to anti- icatibant antibodies was observed in rare cases. All patients maintained efficacy. One FIRAZYR-treated patient tested positive for anti-icatibant antibodies before and after</w:t>
      </w:r>
      <w:r w:rsidR="002618E1" w:rsidRPr="00CF44CA">
        <w:rPr>
          <w:rFonts w:ascii="Times New Roman" w:hAnsi="Times New Roman" w:cs="Times New Roman"/>
          <w:sz w:val="24"/>
          <w:szCs w:val="24"/>
        </w:rPr>
        <w:t xml:space="preserve"> </w:t>
      </w:r>
      <w:r w:rsidRPr="00CF44CA">
        <w:rPr>
          <w:rFonts w:ascii="Times New Roman" w:hAnsi="Times New Roman" w:cs="Times New Roman"/>
          <w:sz w:val="24"/>
          <w:szCs w:val="24"/>
        </w:rPr>
        <w:t>treatment with FIRAZYR. This patient was followed for 5 months and further samples</w:t>
      </w:r>
      <w:r w:rsidR="003B1F3B" w:rsidRPr="00CF44CA">
        <w:rPr>
          <w:rFonts w:ascii="Times New Roman" w:hAnsi="Times New Roman" w:cs="Times New Roman"/>
          <w:sz w:val="24"/>
          <w:szCs w:val="24"/>
        </w:rPr>
        <w:t xml:space="preserve"> were negative </w:t>
      </w:r>
      <w:r w:rsidRPr="00CF44CA">
        <w:rPr>
          <w:rFonts w:ascii="Times New Roman" w:hAnsi="Times New Roman" w:cs="Times New Roman"/>
          <w:sz w:val="24"/>
          <w:szCs w:val="24"/>
        </w:rPr>
        <w:t>for anti-icatibant antibodies. No hypersensitivity or anaphylactic reacti</w:t>
      </w:r>
      <w:r w:rsidR="00E90AB3">
        <w:rPr>
          <w:rFonts w:ascii="Times New Roman" w:hAnsi="Times New Roman" w:cs="Times New Roman"/>
          <w:sz w:val="24"/>
          <w:szCs w:val="24"/>
        </w:rPr>
        <w:t>ons were reported with FIRAZYR.</w:t>
      </w:r>
    </w:p>
    <w:p w14:paraId="2D6CF38B" w14:textId="779447D3" w:rsidR="002618E1" w:rsidRPr="00CF44CA" w:rsidRDefault="002618E1" w:rsidP="00E90AB3">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No anti-</w:t>
      </w:r>
      <w:proofErr w:type="spellStart"/>
      <w:r w:rsidRPr="00CF44CA">
        <w:rPr>
          <w:rFonts w:ascii="Times New Roman" w:hAnsi="Times New Roman" w:cs="Times New Roman"/>
          <w:sz w:val="24"/>
          <w:szCs w:val="24"/>
        </w:rPr>
        <w:t>icatibant</w:t>
      </w:r>
      <w:proofErr w:type="spellEnd"/>
      <w:r w:rsidRPr="00CF44CA">
        <w:rPr>
          <w:rFonts w:ascii="Times New Roman" w:hAnsi="Times New Roman" w:cs="Times New Roman"/>
          <w:sz w:val="24"/>
          <w:szCs w:val="24"/>
        </w:rPr>
        <w:t xml:space="preserve"> antibodies were detected in paediatric patients after treatment with </w:t>
      </w:r>
      <w:r w:rsidR="00947329" w:rsidRPr="00CF44CA">
        <w:rPr>
          <w:rFonts w:ascii="Times New Roman" w:hAnsi="Times New Roman" w:cs="Times New Roman"/>
          <w:sz w:val="24"/>
          <w:szCs w:val="24"/>
        </w:rPr>
        <w:t>icatibant in Study HGT-FIR-086 (s</w:t>
      </w:r>
      <w:r w:rsidR="00987C8C" w:rsidRPr="00CF44CA">
        <w:rPr>
          <w:rFonts w:ascii="Times New Roman" w:hAnsi="Times New Roman" w:cs="Times New Roman"/>
          <w:sz w:val="24"/>
          <w:szCs w:val="24"/>
        </w:rPr>
        <w:t xml:space="preserve">ee Section 5.1 </w:t>
      </w:r>
      <w:proofErr w:type="spellStart"/>
      <w:r w:rsidR="00987C8C" w:rsidRPr="00CF44CA">
        <w:rPr>
          <w:rFonts w:ascii="Times New Roman" w:hAnsi="Times New Roman" w:cs="Times New Roman"/>
          <w:sz w:val="24"/>
          <w:szCs w:val="24"/>
        </w:rPr>
        <w:t>Pharmacodynamic</w:t>
      </w:r>
      <w:proofErr w:type="spellEnd"/>
      <w:r w:rsidR="00987C8C" w:rsidRPr="00CF44CA">
        <w:rPr>
          <w:rFonts w:ascii="Times New Roman" w:hAnsi="Times New Roman" w:cs="Times New Roman"/>
          <w:sz w:val="24"/>
          <w:szCs w:val="24"/>
        </w:rPr>
        <w:t xml:space="preserve"> P</w:t>
      </w:r>
      <w:r w:rsidR="00947329" w:rsidRPr="00CF44CA">
        <w:rPr>
          <w:rFonts w:ascii="Times New Roman" w:hAnsi="Times New Roman" w:cs="Times New Roman"/>
          <w:sz w:val="24"/>
          <w:szCs w:val="24"/>
        </w:rPr>
        <w:t>roperties: Clinical trials)</w:t>
      </w:r>
      <w:r w:rsidR="00E90AB3">
        <w:rPr>
          <w:rFonts w:ascii="Times New Roman" w:hAnsi="Times New Roman" w:cs="Times New Roman"/>
          <w:sz w:val="24"/>
          <w:szCs w:val="24"/>
        </w:rPr>
        <w:t>.</w:t>
      </w:r>
    </w:p>
    <w:p w14:paraId="0BD95A0B" w14:textId="48ABFA79" w:rsidR="00BA0CE6" w:rsidRPr="00CF44CA" w:rsidRDefault="00BA0CE6" w:rsidP="00E90AB3">
      <w:pPr>
        <w:spacing w:before="120" w:after="180" w:line="240" w:lineRule="auto"/>
        <w:rPr>
          <w:rFonts w:ascii="Times New Roman" w:hAnsi="Times New Roman" w:cs="Times New Roman"/>
          <w:b/>
          <w:sz w:val="24"/>
          <w:szCs w:val="24"/>
        </w:rPr>
      </w:pPr>
      <w:r w:rsidRPr="00CF44CA">
        <w:rPr>
          <w:rFonts w:ascii="Times New Roman" w:hAnsi="Times New Roman" w:cs="Times New Roman"/>
          <w:b/>
          <w:sz w:val="24"/>
          <w:szCs w:val="24"/>
        </w:rPr>
        <w:t>Repo</w:t>
      </w:r>
      <w:r w:rsidR="00E90AB3">
        <w:rPr>
          <w:rFonts w:ascii="Times New Roman" w:hAnsi="Times New Roman" w:cs="Times New Roman"/>
          <w:b/>
          <w:sz w:val="24"/>
          <w:szCs w:val="24"/>
        </w:rPr>
        <w:t>rting suspected adverse effects</w:t>
      </w:r>
    </w:p>
    <w:p w14:paraId="7B0119FF" w14:textId="77777777" w:rsidR="00BA0CE6" w:rsidRPr="00CF44CA" w:rsidRDefault="00BA0CE6" w:rsidP="00E90AB3">
      <w:pPr>
        <w:spacing w:before="120" w:after="180" w:line="240" w:lineRule="auto"/>
        <w:rPr>
          <w:rFonts w:ascii="Times New Roman" w:hAnsi="Times New Roman" w:cs="Times New Roman"/>
          <w:sz w:val="24"/>
          <w:szCs w:val="24"/>
        </w:rPr>
      </w:pPr>
      <w:r w:rsidRPr="00CF44CA">
        <w:rPr>
          <w:rFonts w:ascii="Times New Roman" w:hAnsi="Times New Roman" w:cs="Times New Roman"/>
          <w:color w:val="000000"/>
          <w:sz w:val="24"/>
          <w:szCs w:val="24"/>
        </w:rPr>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CF44CA">
          <w:rPr>
            <w:rStyle w:val="Hyperlink"/>
            <w:rFonts w:ascii="Times New Roman" w:hAnsi="Times New Roman" w:cs="Times New Roman"/>
            <w:color w:val="auto"/>
            <w:sz w:val="24"/>
            <w:szCs w:val="24"/>
          </w:rPr>
          <w:t>www.tga.gov.au/reporting-problems</w:t>
        </w:r>
      </w:hyperlink>
      <w:r w:rsidRPr="00CF44CA">
        <w:rPr>
          <w:rFonts w:ascii="Times New Roman" w:hAnsi="Times New Roman" w:cs="Times New Roman"/>
          <w:sz w:val="24"/>
          <w:szCs w:val="24"/>
        </w:rPr>
        <w:t>.</w:t>
      </w:r>
    </w:p>
    <w:p w14:paraId="21C12168" w14:textId="3BD95DEC" w:rsidR="009E6F12" w:rsidRPr="00CF44CA" w:rsidRDefault="00E90AB3" w:rsidP="00E90AB3">
      <w:pPr>
        <w:pStyle w:val="Heading3"/>
        <w:spacing w:before="120" w:after="180" w:line="240" w:lineRule="auto"/>
        <w:ind w:left="562" w:hanging="562"/>
        <w:rPr>
          <w:rFonts w:ascii="Times New Roman" w:hAnsi="Times New Roman" w:cs="Times New Roman"/>
          <w:b w:val="0"/>
          <w:sz w:val="24"/>
        </w:rPr>
      </w:pPr>
      <w:r>
        <w:rPr>
          <w:rFonts w:ascii="Times New Roman" w:hAnsi="Times New Roman" w:cs="Times New Roman"/>
          <w:sz w:val="24"/>
        </w:rPr>
        <w:t>4.9</w:t>
      </w:r>
      <w:r>
        <w:rPr>
          <w:rFonts w:ascii="Times New Roman" w:hAnsi="Times New Roman" w:cs="Times New Roman"/>
          <w:sz w:val="24"/>
        </w:rPr>
        <w:tab/>
        <w:t>OVERDOSE</w:t>
      </w:r>
    </w:p>
    <w:p w14:paraId="612F6A3A" w14:textId="77777777" w:rsidR="00CF507D" w:rsidRPr="00CF44CA" w:rsidRDefault="00CF507D"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No clinical information on overdose is available.</w:t>
      </w:r>
    </w:p>
    <w:p w14:paraId="0BAA44EC" w14:textId="77777777" w:rsidR="00CF507D" w:rsidRPr="00CF44CA" w:rsidRDefault="00CF507D"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A dose of 3.2 mg/kg intravenously (approximately 8 times the therapeutic dose) caused transient erythema, itching</w:t>
      </w:r>
      <w:r w:rsidR="00A05595" w:rsidRPr="00CF44CA">
        <w:rPr>
          <w:rFonts w:ascii="Times New Roman" w:hAnsi="Times New Roman" w:cs="Times New Roman"/>
          <w:bCs/>
          <w:sz w:val="24"/>
          <w:szCs w:val="24"/>
        </w:rPr>
        <w:t>, flushing,</w:t>
      </w:r>
      <w:r w:rsidRPr="00CF44CA">
        <w:rPr>
          <w:rFonts w:ascii="Times New Roman" w:hAnsi="Times New Roman" w:cs="Times New Roman"/>
          <w:bCs/>
          <w:sz w:val="24"/>
          <w:szCs w:val="24"/>
        </w:rPr>
        <w:t xml:space="preserve"> or hypotension in healthy subjects. No therapeutic intervention was necessary.</w:t>
      </w:r>
    </w:p>
    <w:p w14:paraId="363C8291" w14:textId="1C8FF9A1" w:rsidR="00CF507D" w:rsidRPr="00CF44CA" w:rsidRDefault="00BA0CE6"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sz w:val="24"/>
          <w:szCs w:val="24"/>
        </w:rPr>
        <w:t>For information on the management of overdose, contact the Poisons Information Centre on 131126 in Australia, or the National Poisons Centre on 0800 POISON</w:t>
      </w:r>
      <w:r w:rsidR="00E90AB3">
        <w:rPr>
          <w:rFonts w:ascii="Times New Roman" w:hAnsi="Times New Roman" w:cs="Times New Roman"/>
          <w:sz w:val="24"/>
          <w:szCs w:val="24"/>
        </w:rPr>
        <w:t xml:space="preserve"> (0800 764766) in New Zealand.</w:t>
      </w:r>
    </w:p>
    <w:p w14:paraId="575B38AD" w14:textId="161142EB" w:rsidR="006A1BE6" w:rsidRPr="00CF44CA" w:rsidRDefault="00E90AB3" w:rsidP="00E90AB3">
      <w:pPr>
        <w:pStyle w:val="Heading2"/>
        <w:widowControl w:val="0"/>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t>5</w:t>
      </w:r>
      <w:r>
        <w:rPr>
          <w:rFonts w:ascii="Times New Roman" w:hAnsi="Times New Roman" w:cs="Times New Roman"/>
          <w:szCs w:val="24"/>
        </w:rPr>
        <w:tab/>
        <w:t>PHARMACOLOGICAL PROPERTIES</w:t>
      </w:r>
    </w:p>
    <w:p w14:paraId="738375FB" w14:textId="1C96ED62" w:rsidR="006A1BE6" w:rsidRPr="00CF44CA" w:rsidRDefault="00E90AB3" w:rsidP="00E90AB3">
      <w:pPr>
        <w:pStyle w:val="Heading2"/>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t>5.1</w:t>
      </w:r>
      <w:r>
        <w:rPr>
          <w:rFonts w:ascii="Times New Roman" w:hAnsi="Times New Roman" w:cs="Times New Roman"/>
          <w:szCs w:val="24"/>
        </w:rPr>
        <w:tab/>
        <w:t>PHARMACODYNAMIC PROPERTIES</w:t>
      </w:r>
    </w:p>
    <w:p w14:paraId="0ABAC9D6" w14:textId="77777777" w:rsidR="008D42AD" w:rsidRPr="00CF44CA" w:rsidRDefault="008D42AD" w:rsidP="00E90AB3">
      <w:pPr>
        <w:autoSpaceDE w:val="0"/>
        <w:autoSpaceDN w:val="0"/>
        <w:adjustRightInd w:val="0"/>
        <w:spacing w:before="120" w:after="180" w:line="240" w:lineRule="auto"/>
        <w:rPr>
          <w:rStyle w:val="Strong"/>
          <w:rFonts w:ascii="Times New Roman" w:hAnsi="Times New Roman" w:cs="Times New Roman"/>
          <w:b w:val="0"/>
          <w:color w:val="000000"/>
          <w:sz w:val="24"/>
          <w:szCs w:val="24"/>
        </w:rPr>
      </w:pPr>
      <w:proofErr w:type="spellStart"/>
      <w:r w:rsidRPr="00CF44CA">
        <w:rPr>
          <w:rStyle w:val="Strong"/>
          <w:rFonts w:ascii="Times New Roman" w:hAnsi="Times New Roman" w:cs="Times New Roman"/>
          <w:b w:val="0"/>
          <w:sz w:val="24"/>
          <w:szCs w:val="24"/>
        </w:rPr>
        <w:t>Pharmacotherapeutic</w:t>
      </w:r>
      <w:proofErr w:type="spellEnd"/>
      <w:r w:rsidRPr="00CF44CA">
        <w:rPr>
          <w:rStyle w:val="Strong"/>
          <w:rFonts w:ascii="Times New Roman" w:hAnsi="Times New Roman" w:cs="Times New Roman"/>
          <w:b w:val="0"/>
          <w:sz w:val="24"/>
          <w:szCs w:val="24"/>
        </w:rPr>
        <w:t xml:space="preserve"> group: Drugs used to treat hereditary angioedema ATC Code: B06AC02</w:t>
      </w:r>
    </w:p>
    <w:p w14:paraId="6955FB81" w14:textId="77777777" w:rsidR="006D46EC" w:rsidRPr="00CF44CA" w:rsidRDefault="006D46EC" w:rsidP="00E90AB3">
      <w:pPr>
        <w:pStyle w:val="Heading3"/>
        <w:keepNext w:val="0"/>
        <w:keepLines w:val="0"/>
        <w:widowControl w:val="0"/>
        <w:spacing w:before="120" w:after="180" w:line="240" w:lineRule="auto"/>
        <w:ind w:left="0"/>
        <w:rPr>
          <w:rFonts w:ascii="Times New Roman" w:hAnsi="Times New Roman" w:cs="Times New Roman"/>
          <w:sz w:val="24"/>
          <w:szCs w:val="24"/>
        </w:rPr>
      </w:pPr>
      <w:r w:rsidRPr="00CF44CA">
        <w:rPr>
          <w:rFonts w:ascii="Times New Roman" w:hAnsi="Times New Roman" w:cs="Times New Roman"/>
          <w:sz w:val="24"/>
          <w:szCs w:val="24"/>
        </w:rPr>
        <w:t>Mechanism of action</w:t>
      </w:r>
    </w:p>
    <w:p w14:paraId="35997938" w14:textId="4E42EACA" w:rsidR="00B57FF7" w:rsidRPr="00CF44CA" w:rsidRDefault="008D42AD"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Hereditary angioedema (HAE), an autosomal dominant disease, is caused by an absence or dysfunction of C1</w:t>
      </w:r>
      <w:r w:rsidR="00B57FF7" w:rsidRPr="00CF44CA">
        <w:rPr>
          <w:rFonts w:ascii="Times New Roman" w:hAnsi="Times New Roman" w:cs="Times New Roman"/>
          <w:bCs/>
          <w:sz w:val="24"/>
          <w:szCs w:val="24"/>
        </w:rPr>
        <w:t>-</w:t>
      </w:r>
      <w:r w:rsidRPr="00CF44CA">
        <w:rPr>
          <w:rFonts w:ascii="Times New Roman" w:hAnsi="Times New Roman" w:cs="Times New Roman"/>
          <w:bCs/>
          <w:sz w:val="24"/>
          <w:szCs w:val="24"/>
        </w:rPr>
        <w:t>esterase-inhibitor. HAE attacks are accompanied by an increased release of bradykinin, which is the key mediator in the development of the</w:t>
      </w:r>
      <w:r w:rsidR="00E90AB3">
        <w:rPr>
          <w:rFonts w:ascii="Times New Roman" w:hAnsi="Times New Roman" w:cs="Times New Roman"/>
          <w:bCs/>
          <w:sz w:val="24"/>
          <w:szCs w:val="24"/>
        </w:rPr>
        <w:t xml:space="preserve"> clinical symptoms.</w:t>
      </w:r>
    </w:p>
    <w:p w14:paraId="53B1038B" w14:textId="02CE5A4B" w:rsidR="008D42AD" w:rsidRPr="00CF44CA" w:rsidRDefault="008D42AD"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sz w:val="24"/>
          <w:szCs w:val="24"/>
        </w:rPr>
        <w:lastRenderedPageBreak/>
        <w:t>HAE</w:t>
      </w:r>
      <w:r w:rsidRPr="00CF44CA">
        <w:rPr>
          <w:rFonts w:ascii="Times New Roman" w:hAnsi="Times New Roman" w:cs="Times New Roman"/>
          <w:bCs/>
          <w:sz w:val="24"/>
          <w:szCs w:val="24"/>
        </w:rPr>
        <w:t xml:space="preserve"> manifests as intermittent attacks of subcutaneous and/or submucosal oedema involving the upper respiratory tract, the skin and the gastrointestinal tract. An attack usua</w:t>
      </w:r>
      <w:r w:rsidR="00E90AB3">
        <w:rPr>
          <w:rFonts w:ascii="Times New Roman" w:hAnsi="Times New Roman" w:cs="Times New Roman"/>
          <w:bCs/>
          <w:sz w:val="24"/>
          <w:szCs w:val="24"/>
        </w:rPr>
        <w:t>lly lasts between 2 to 5 days.</w:t>
      </w:r>
    </w:p>
    <w:p w14:paraId="48E1CF13" w14:textId="77777777" w:rsidR="00C41D04" w:rsidRPr="00CF44CA" w:rsidRDefault="00C41D04" w:rsidP="00E90AB3">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bCs/>
          <w:sz w:val="24"/>
          <w:szCs w:val="24"/>
        </w:rPr>
        <w:t>Icatibant is a selective competitive antagonist at the bradykinin type 2 (B2) receptor.</w:t>
      </w:r>
      <w:r w:rsidRPr="00CF44CA">
        <w:rPr>
          <w:rFonts w:ascii="Times New Roman" w:hAnsi="Times New Roman" w:cs="Times New Roman"/>
          <w:sz w:val="24"/>
          <w:szCs w:val="24"/>
        </w:rPr>
        <w:t xml:space="preserve"> </w:t>
      </w:r>
      <w:r w:rsidRPr="00CF44CA">
        <w:rPr>
          <w:rFonts w:ascii="Times New Roman" w:hAnsi="Times New Roman" w:cs="Times New Roman"/>
          <w:bCs/>
          <w:sz w:val="24"/>
          <w:szCs w:val="24"/>
        </w:rPr>
        <w:t xml:space="preserve">It is a synthetic decapeptide with a structure similar to bradykinin, but with 5 non-proteinogenic amino acids. </w:t>
      </w:r>
      <w:r w:rsidRPr="00CF44CA">
        <w:rPr>
          <w:rFonts w:ascii="Times New Roman" w:hAnsi="Times New Roman" w:cs="Times New Roman"/>
          <w:sz w:val="24"/>
          <w:szCs w:val="24"/>
        </w:rPr>
        <w:t>Bradykinin has been shown to be elevated during hereditary angioedema attacks and is responsible for oedema formation</w:t>
      </w:r>
      <w:r w:rsidR="00B45375" w:rsidRPr="00CF44CA">
        <w:rPr>
          <w:rFonts w:ascii="Times New Roman" w:hAnsi="Times New Roman" w:cs="Times New Roman"/>
          <w:sz w:val="24"/>
          <w:szCs w:val="24"/>
        </w:rPr>
        <w:t xml:space="preserve"> and related clinical symptoms of swelling and pain</w:t>
      </w:r>
      <w:r w:rsidRPr="00CF44CA">
        <w:rPr>
          <w:rFonts w:ascii="Times New Roman" w:hAnsi="Times New Roman" w:cs="Times New Roman"/>
          <w:sz w:val="24"/>
          <w:szCs w:val="24"/>
        </w:rPr>
        <w:t>.</w:t>
      </w:r>
    </w:p>
    <w:p w14:paraId="26B4C12F" w14:textId="77777777" w:rsidR="0033253C" w:rsidRPr="00CF44CA" w:rsidRDefault="0033253C" w:rsidP="00E90AB3">
      <w:pPr>
        <w:spacing w:before="120" w:after="180" w:line="240" w:lineRule="auto"/>
        <w:rPr>
          <w:rFonts w:ascii="Times New Roman" w:hAnsi="Times New Roman" w:cs="Times New Roman"/>
          <w:b/>
          <w:sz w:val="24"/>
          <w:szCs w:val="24"/>
        </w:rPr>
      </w:pPr>
      <w:proofErr w:type="spellStart"/>
      <w:r w:rsidRPr="00CF44CA">
        <w:rPr>
          <w:rFonts w:ascii="Times New Roman" w:hAnsi="Times New Roman" w:cs="Times New Roman"/>
          <w:b/>
          <w:sz w:val="24"/>
          <w:szCs w:val="24"/>
        </w:rPr>
        <w:t>Pharmacodynamic</w:t>
      </w:r>
      <w:proofErr w:type="spellEnd"/>
      <w:r w:rsidRPr="00CF44CA">
        <w:rPr>
          <w:rFonts w:ascii="Times New Roman" w:hAnsi="Times New Roman" w:cs="Times New Roman"/>
          <w:b/>
          <w:sz w:val="24"/>
          <w:szCs w:val="24"/>
        </w:rPr>
        <w:t xml:space="preserve"> effects</w:t>
      </w:r>
    </w:p>
    <w:p w14:paraId="3A7961E1" w14:textId="55120FDB" w:rsidR="008D42AD" w:rsidRPr="00CF44CA" w:rsidRDefault="008D42AD"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In healthy young subjects, icatibant administered in doses of 0.8 mg/kg over 4 hours; 1.5 mg/kg/day or 0.15 mg/kg/day for 3 days, development of bradykinin-induced hypotension, vasodilatation and reflex tachycardia was prevented. Icatibant was shown to be a competitive antagonist when the bradykinin chall</w:t>
      </w:r>
      <w:r w:rsidR="00E90AB3">
        <w:rPr>
          <w:rFonts w:ascii="Times New Roman" w:hAnsi="Times New Roman" w:cs="Times New Roman"/>
          <w:bCs/>
          <w:sz w:val="24"/>
          <w:szCs w:val="24"/>
        </w:rPr>
        <w:t>enge dose was increased 4-fold.</w:t>
      </w:r>
    </w:p>
    <w:p w14:paraId="486FA198" w14:textId="77777777" w:rsidR="001A3992" w:rsidRPr="00CF44CA" w:rsidRDefault="001A3992" w:rsidP="00E90AB3">
      <w:pPr>
        <w:pStyle w:val="Heading3"/>
        <w:spacing w:before="120" w:after="180" w:line="240" w:lineRule="auto"/>
        <w:ind w:left="0"/>
        <w:rPr>
          <w:rFonts w:ascii="Times New Roman" w:hAnsi="Times New Roman" w:cs="Times New Roman"/>
          <w:sz w:val="24"/>
          <w:szCs w:val="24"/>
          <w:lang w:val="en-US"/>
        </w:rPr>
      </w:pPr>
      <w:r w:rsidRPr="00CF44CA">
        <w:rPr>
          <w:rFonts w:ascii="Times New Roman" w:hAnsi="Times New Roman" w:cs="Times New Roman"/>
          <w:sz w:val="24"/>
          <w:szCs w:val="24"/>
        </w:rPr>
        <w:t>Clinical</w:t>
      </w:r>
      <w:r w:rsidRPr="00CF44CA">
        <w:rPr>
          <w:rFonts w:ascii="Times New Roman" w:hAnsi="Times New Roman" w:cs="Times New Roman"/>
          <w:sz w:val="24"/>
          <w:szCs w:val="24"/>
          <w:lang w:val="en-US"/>
        </w:rPr>
        <w:t xml:space="preserve"> trials</w:t>
      </w:r>
    </w:p>
    <w:p w14:paraId="29E7716F" w14:textId="56D707C5" w:rsidR="008D42AD" w:rsidRPr="00CF44CA" w:rsidRDefault="008D42AD"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Efficacy data were obtained from an initial open-label Phase II study and from two randomised, double-blind controlled multi-centre Phase III studies (one with oral tranexamic acid as the comparator and one placebo controlled). The pivotal Phase III studies were otherwise identical in design. A total of 130 patients were randomised to receive either a 30 mg dose of icatibant (63 patients) or comparator (either tranexamic acid -38 patients or placebo -29 patients). Subsequent episodes of HAE were treated in an open label extension (OLE). Patients with symptoms of laryngeal angioedema received open-</w:t>
      </w:r>
      <w:r w:rsidR="00E90AB3">
        <w:rPr>
          <w:rFonts w:ascii="Times New Roman" w:hAnsi="Times New Roman" w:cs="Times New Roman"/>
          <w:bCs/>
          <w:sz w:val="24"/>
          <w:szCs w:val="24"/>
        </w:rPr>
        <w:t xml:space="preserve">label treatment with </w:t>
      </w:r>
      <w:proofErr w:type="spellStart"/>
      <w:r w:rsidR="00E90AB3">
        <w:rPr>
          <w:rFonts w:ascii="Times New Roman" w:hAnsi="Times New Roman" w:cs="Times New Roman"/>
          <w:bCs/>
          <w:sz w:val="24"/>
          <w:szCs w:val="24"/>
        </w:rPr>
        <w:t>icatibant</w:t>
      </w:r>
      <w:proofErr w:type="spellEnd"/>
      <w:r w:rsidR="00E90AB3">
        <w:rPr>
          <w:rFonts w:ascii="Times New Roman" w:hAnsi="Times New Roman" w:cs="Times New Roman"/>
          <w:bCs/>
          <w:sz w:val="24"/>
          <w:szCs w:val="24"/>
        </w:rPr>
        <w:t>.</w:t>
      </w:r>
    </w:p>
    <w:p w14:paraId="651D128E" w14:textId="71492421" w:rsidR="008D42AD" w:rsidRPr="00CF44CA" w:rsidRDefault="008D42AD"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In the Phase III trials, the primary efficacy endpoint was median time to onset of symptom relief using a visual analogue scale (VAS) defined as absolute reduction from pre-treatment VAS of ≥20</w:t>
      </w:r>
      <w:r w:rsidR="00205612" w:rsidRPr="00CF44CA">
        <w:rPr>
          <w:rFonts w:ascii="Times New Roman" w:hAnsi="Times New Roman" w:cs="Times New Roman"/>
          <w:bCs/>
          <w:sz w:val="24"/>
          <w:szCs w:val="24"/>
        </w:rPr>
        <w:t xml:space="preserve"> </w:t>
      </w:r>
      <w:r w:rsidRPr="00CF44CA">
        <w:rPr>
          <w:rFonts w:ascii="Times New Roman" w:hAnsi="Times New Roman" w:cs="Times New Roman"/>
          <w:bCs/>
          <w:sz w:val="24"/>
          <w:szCs w:val="24"/>
        </w:rPr>
        <w:t>mm if the baseline VAS was 30-50</w:t>
      </w:r>
      <w:r w:rsidR="009D419E" w:rsidRPr="00CF44CA">
        <w:rPr>
          <w:rFonts w:ascii="Times New Roman" w:hAnsi="Times New Roman" w:cs="Times New Roman"/>
          <w:bCs/>
          <w:sz w:val="24"/>
          <w:szCs w:val="24"/>
        </w:rPr>
        <w:t xml:space="preserve"> </w:t>
      </w:r>
      <w:r w:rsidRPr="00CF44CA">
        <w:rPr>
          <w:rFonts w:ascii="Times New Roman" w:hAnsi="Times New Roman" w:cs="Times New Roman"/>
          <w:bCs/>
          <w:sz w:val="24"/>
          <w:szCs w:val="24"/>
        </w:rPr>
        <w:t>mm or ≥30</w:t>
      </w:r>
      <w:r w:rsidR="009D419E" w:rsidRPr="00CF44CA">
        <w:rPr>
          <w:rFonts w:ascii="Times New Roman" w:hAnsi="Times New Roman" w:cs="Times New Roman"/>
          <w:bCs/>
          <w:sz w:val="24"/>
          <w:szCs w:val="24"/>
        </w:rPr>
        <w:t xml:space="preserve"> </w:t>
      </w:r>
      <w:r w:rsidRPr="00CF44CA">
        <w:rPr>
          <w:rFonts w:ascii="Times New Roman" w:hAnsi="Times New Roman" w:cs="Times New Roman"/>
          <w:bCs/>
          <w:sz w:val="24"/>
          <w:szCs w:val="24"/>
        </w:rPr>
        <w:t>mm if the baseline VAS was &gt;50</w:t>
      </w:r>
      <w:r w:rsidR="009D419E" w:rsidRPr="00CF44CA">
        <w:rPr>
          <w:rFonts w:ascii="Times New Roman" w:hAnsi="Times New Roman" w:cs="Times New Roman"/>
          <w:bCs/>
          <w:sz w:val="24"/>
          <w:szCs w:val="24"/>
        </w:rPr>
        <w:t> </w:t>
      </w:r>
      <w:r w:rsidRPr="00CF44CA">
        <w:rPr>
          <w:rFonts w:ascii="Times New Roman" w:hAnsi="Times New Roman" w:cs="Times New Roman"/>
          <w:bCs/>
          <w:sz w:val="24"/>
          <w:szCs w:val="24"/>
        </w:rPr>
        <w:t>mm. The FAST-2 study (JE049 #2102) demonstrated that the median time to onset of symptom relief was significantly shorter in the icatibant group than in the tranexamic acid group (2.0 hours compared to 12.0 hours), while in the FAST-1 study (JE049 #2103) comparing icatibant with placebo, the median time to onset of symptom relief was shorter with icatibant than placebo (2.5 hours compared to 4.6 hours) but a statistically significa</w:t>
      </w:r>
      <w:r w:rsidR="00E90AB3">
        <w:rPr>
          <w:rFonts w:ascii="Times New Roman" w:hAnsi="Times New Roman" w:cs="Times New Roman"/>
          <w:bCs/>
          <w:sz w:val="24"/>
          <w:szCs w:val="24"/>
        </w:rPr>
        <w:t>nt difference was not achieved.</w:t>
      </w:r>
    </w:p>
    <w:p w14:paraId="51B3ED2E" w14:textId="77777777" w:rsidR="008D42AD" w:rsidRPr="00CF44CA" w:rsidRDefault="008D42AD"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Additional analyses were carried out with regard to changes from baseline to 4 hours and 12 hours in VAS scores. These direct evaluations of the VAS represent a more accurate clinical picture of the course of the HAE attack. The results show that for both studies, there was a substantial and consistent reduction in the score at 4 hours and 12 hours post-dose in the icatibant groups compared to the comparator groups, and the treatment differences in VAS changes from baseline to 4 hours and 12 hours were statistically significant (p=0.002 and p=0.046 for 4 hours and 12 hours in study JE049 #2103 and p&lt;0.001 for 4 hours and 12 hours in study JE049 #2102).</w:t>
      </w:r>
    </w:p>
    <w:p w14:paraId="2F9A8411" w14:textId="7B0B69FA" w:rsidR="00A32083" w:rsidRPr="00CF44CA" w:rsidRDefault="008D42AD" w:rsidP="00E90AB3">
      <w:pPr>
        <w:spacing w:before="120" w:after="180" w:line="240" w:lineRule="auto"/>
        <w:rPr>
          <w:rFonts w:ascii="Arial" w:hAnsi="Arial" w:cs="Arial"/>
          <w:bCs/>
        </w:rPr>
      </w:pPr>
      <w:r w:rsidRPr="00CF44CA">
        <w:rPr>
          <w:rFonts w:ascii="Times New Roman" w:hAnsi="Times New Roman" w:cs="Times New Roman"/>
          <w:bCs/>
          <w:sz w:val="24"/>
          <w:szCs w:val="24"/>
        </w:rPr>
        <w:t xml:space="preserve">Table </w:t>
      </w:r>
      <w:r w:rsidR="005A0276" w:rsidRPr="00CF44CA">
        <w:rPr>
          <w:rFonts w:ascii="Times New Roman" w:hAnsi="Times New Roman" w:cs="Times New Roman"/>
          <w:bCs/>
          <w:sz w:val="24"/>
          <w:szCs w:val="24"/>
        </w:rPr>
        <w:t>4</w:t>
      </w:r>
      <w:r w:rsidRPr="00CF44CA">
        <w:rPr>
          <w:rFonts w:ascii="Times New Roman" w:hAnsi="Times New Roman" w:cs="Times New Roman"/>
          <w:bCs/>
          <w:sz w:val="24"/>
          <w:szCs w:val="24"/>
        </w:rPr>
        <w:t xml:space="preserve"> shows the results for the two pivotal trials.</w:t>
      </w:r>
    </w:p>
    <w:p w14:paraId="2D28C7A3" w14:textId="77777777" w:rsidR="00D22390" w:rsidRPr="00CF44CA" w:rsidRDefault="00D22390" w:rsidP="00E90AB3">
      <w:pPr>
        <w:pStyle w:val="Default"/>
        <w:pageBreakBefore/>
        <w:spacing w:after="120"/>
        <w:rPr>
          <w:rFonts w:ascii="Times New Roman" w:hAnsi="Times New Roman" w:cs="Times New Roman"/>
          <w:b/>
          <w:sz w:val="22"/>
          <w:szCs w:val="22"/>
          <w:lang w:val="en-AU"/>
        </w:rPr>
      </w:pPr>
      <w:r w:rsidRPr="00CF44CA">
        <w:rPr>
          <w:rFonts w:ascii="Times New Roman" w:hAnsi="Times New Roman" w:cs="Times New Roman"/>
          <w:b/>
          <w:sz w:val="22"/>
          <w:szCs w:val="22"/>
          <w:lang w:val="en-AU"/>
        </w:rPr>
        <w:lastRenderedPageBreak/>
        <w:t xml:space="preserve">Table </w:t>
      </w:r>
      <w:r w:rsidR="005A0276" w:rsidRPr="00CF44CA">
        <w:rPr>
          <w:rFonts w:ascii="Times New Roman" w:hAnsi="Times New Roman" w:cs="Times New Roman"/>
          <w:b/>
          <w:sz w:val="22"/>
          <w:szCs w:val="22"/>
          <w:lang w:val="en-AU"/>
        </w:rPr>
        <w:t>4</w:t>
      </w:r>
      <w:r w:rsidRPr="00CF44CA">
        <w:rPr>
          <w:rFonts w:ascii="Times New Roman" w:hAnsi="Times New Roman" w:cs="Times New Roman"/>
          <w:b/>
          <w:sz w:val="22"/>
          <w:szCs w:val="22"/>
          <w:lang w:val="en-AU"/>
        </w:rPr>
        <w:t>: Controlled Clinical Study of FIRAZYR vs Tranexamic acid or Placebo: Efficacy Results</w:t>
      </w:r>
    </w:p>
    <w:tbl>
      <w:tblPr>
        <w:tblStyle w:val="TableGrid"/>
        <w:tblW w:w="9360" w:type="dxa"/>
        <w:tblInd w:w="108" w:type="dxa"/>
        <w:tblBorders>
          <w:bottom w:val="none" w:sz="0" w:space="0" w:color="auto"/>
        </w:tblBorders>
        <w:tblLayout w:type="fixed"/>
        <w:tblLook w:val="04A0" w:firstRow="1" w:lastRow="0" w:firstColumn="1" w:lastColumn="0" w:noHBand="0" w:noVBand="1"/>
      </w:tblPr>
      <w:tblGrid>
        <w:gridCol w:w="1980"/>
        <w:gridCol w:w="1350"/>
        <w:gridCol w:w="1350"/>
        <w:gridCol w:w="1980"/>
        <w:gridCol w:w="1260"/>
        <w:gridCol w:w="1440"/>
      </w:tblGrid>
      <w:tr w:rsidR="00EE5A2C" w:rsidRPr="00CF44CA" w14:paraId="76703AF0" w14:textId="77777777" w:rsidTr="003A1EED">
        <w:trPr>
          <w:trHeight w:val="228"/>
        </w:trPr>
        <w:tc>
          <w:tcPr>
            <w:tcW w:w="4680" w:type="dxa"/>
            <w:gridSpan w:val="3"/>
          </w:tcPr>
          <w:p w14:paraId="107F8BD7" w14:textId="77777777" w:rsidR="00D22390" w:rsidRPr="00CF44CA" w:rsidRDefault="00D22390" w:rsidP="00466BB5">
            <w:pPr>
              <w:pStyle w:val="Default"/>
              <w:jc w:val="center"/>
              <w:rPr>
                <w:rFonts w:ascii="Times New Roman" w:hAnsi="Times New Roman" w:cs="Times New Roman"/>
                <w:b/>
                <w:sz w:val="21"/>
                <w:szCs w:val="21"/>
                <w:lang w:val="en-AU"/>
              </w:rPr>
            </w:pPr>
            <w:r w:rsidRPr="00CF44CA">
              <w:rPr>
                <w:rFonts w:ascii="Times New Roman" w:hAnsi="Times New Roman" w:cs="Times New Roman"/>
                <w:b/>
                <w:sz w:val="21"/>
                <w:szCs w:val="21"/>
                <w:lang w:val="en-AU"/>
              </w:rPr>
              <w:t>Study JE049 #2102</w:t>
            </w:r>
          </w:p>
        </w:tc>
        <w:tc>
          <w:tcPr>
            <w:tcW w:w="4680" w:type="dxa"/>
            <w:gridSpan w:val="3"/>
          </w:tcPr>
          <w:p w14:paraId="08245F7F" w14:textId="77777777" w:rsidR="00D22390" w:rsidRPr="00CF44CA" w:rsidRDefault="00D22390" w:rsidP="00466BB5">
            <w:pPr>
              <w:pStyle w:val="Default"/>
              <w:jc w:val="center"/>
              <w:rPr>
                <w:rFonts w:ascii="Times New Roman" w:hAnsi="Times New Roman" w:cs="Times New Roman"/>
                <w:b/>
                <w:sz w:val="21"/>
                <w:szCs w:val="21"/>
                <w:lang w:val="en-AU"/>
              </w:rPr>
            </w:pPr>
            <w:r w:rsidRPr="00CF44CA">
              <w:rPr>
                <w:rFonts w:ascii="Times New Roman" w:hAnsi="Times New Roman" w:cs="Times New Roman"/>
                <w:b/>
                <w:sz w:val="21"/>
                <w:szCs w:val="21"/>
                <w:lang w:val="en-AU"/>
              </w:rPr>
              <w:t>Study JE049 #2103</w:t>
            </w:r>
          </w:p>
        </w:tc>
      </w:tr>
      <w:tr w:rsidR="00D22390" w:rsidRPr="00CF44CA" w14:paraId="1263ACB4" w14:textId="77777777" w:rsidTr="003A1EED">
        <w:trPr>
          <w:trHeight w:val="478"/>
        </w:trPr>
        <w:tc>
          <w:tcPr>
            <w:tcW w:w="1980" w:type="dxa"/>
          </w:tcPr>
          <w:p w14:paraId="4A92050B" w14:textId="77777777" w:rsidR="00D22390" w:rsidRPr="00CF44CA" w:rsidRDefault="00D22390" w:rsidP="00466BB5">
            <w:pPr>
              <w:pStyle w:val="Default"/>
              <w:rPr>
                <w:rFonts w:ascii="Times New Roman" w:hAnsi="Times New Roman" w:cs="Times New Roman"/>
                <w:b/>
                <w:sz w:val="21"/>
                <w:szCs w:val="21"/>
                <w:lang w:val="en-AU"/>
              </w:rPr>
            </w:pPr>
          </w:p>
        </w:tc>
        <w:tc>
          <w:tcPr>
            <w:tcW w:w="1350" w:type="dxa"/>
            <w:vAlign w:val="center"/>
          </w:tcPr>
          <w:p w14:paraId="5ED85A93"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Icatibant </w:t>
            </w:r>
          </w:p>
        </w:tc>
        <w:tc>
          <w:tcPr>
            <w:tcW w:w="1350" w:type="dxa"/>
          </w:tcPr>
          <w:p w14:paraId="2D17A29A"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Tranexamic acid</w:t>
            </w:r>
          </w:p>
        </w:tc>
        <w:tc>
          <w:tcPr>
            <w:tcW w:w="1980" w:type="dxa"/>
          </w:tcPr>
          <w:p w14:paraId="7EC5C8AE" w14:textId="77777777" w:rsidR="00D22390" w:rsidRPr="00CF44CA" w:rsidRDefault="00D22390" w:rsidP="00466BB5">
            <w:pPr>
              <w:pStyle w:val="Default"/>
              <w:rPr>
                <w:rFonts w:ascii="Times New Roman" w:hAnsi="Times New Roman" w:cs="Times New Roman"/>
                <w:b/>
                <w:sz w:val="21"/>
                <w:szCs w:val="21"/>
                <w:lang w:val="en-AU"/>
              </w:rPr>
            </w:pPr>
          </w:p>
        </w:tc>
        <w:tc>
          <w:tcPr>
            <w:tcW w:w="1260" w:type="dxa"/>
            <w:vAlign w:val="center"/>
          </w:tcPr>
          <w:p w14:paraId="04B0BA25"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Icatibant </w:t>
            </w:r>
          </w:p>
        </w:tc>
        <w:tc>
          <w:tcPr>
            <w:tcW w:w="1440" w:type="dxa"/>
            <w:vAlign w:val="center"/>
          </w:tcPr>
          <w:p w14:paraId="0AE1C588"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Placebo </w:t>
            </w:r>
          </w:p>
        </w:tc>
      </w:tr>
      <w:tr w:rsidR="00D22390" w:rsidRPr="00CF44CA" w14:paraId="6DE2DEE4" w14:textId="77777777" w:rsidTr="003A1EED">
        <w:trPr>
          <w:trHeight w:val="478"/>
        </w:trPr>
        <w:tc>
          <w:tcPr>
            <w:tcW w:w="1980" w:type="dxa"/>
          </w:tcPr>
          <w:p w14:paraId="14E53502"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Number of subjects in ITT Population </w:t>
            </w:r>
          </w:p>
        </w:tc>
        <w:tc>
          <w:tcPr>
            <w:tcW w:w="1350" w:type="dxa"/>
            <w:vAlign w:val="center"/>
          </w:tcPr>
          <w:p w14:paraId="382F495F"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36 </w:t>
            </w:r>
          </w:p>
        </w:tc>
        <w:tc>
          <w:tcPr>
            <w:tcW w:w="1350" w:type="dxa"/>
            <w:vAlign w:val="center"/>
          </w:tcPr>
          <w:p w14:paraId="091E8B78"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38</w:t>
            </w:r>
          </w:p>
        </w:tc>
        <w:tc>
          <w:tcPr>
            <w:tcW w:w="1980" w:type="dxa"/>
          </w:tcPr>
          <w:p w14:paraId="73D938C8"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Number of subjects in ITT Population </w:t>
            </w:r>
          </w:p>
        </w:tc>
        <w:tc>
          <w:tcPr>
            <w:tcW w:w="1260" w:type="dxa"/>
            <w:vAlign w:val="center"/>
          </w:tcPr>
          <w:p w14:paraId="6F6447B7"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27 </w:t>
            </w:r>
          </w:p>
        </w:tc>
        <w:tc>
          <w:tcPr>
            <w:tcW w:w="1440" w:type="dxa"/>
            <w:vAlign w:val="center"/>
          </w:tcPr>
          <w:p w14:paraId="75202972"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29 </w:t>
            </w:r>
          </w:p>
        </w:tc>
      </w:tr>
      <w:tr w:rsidR="00D22390" w:rsidRPr="00CF44CA" w14:paraId="3B01DDA4" w14:textId="77777777" w:rsidTr="003A1EED">
        <w:trPr>
          <w:trHeight w:val="228"/>
        </w:trPr>
        <w:tc>
          <w:tcPr>
            <w:tcW w:w="1980" w:type="dxa"/>
          </w:tcPr>
          <w:p w14:paraId="338DC0FF"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Baseline VAS</w:t>
            </w:r>
            <w:r w:rsidR="0073205C" w:rsidRPr="00CF44CA">
              <w:rPr>
                <w:rFonts w:ascii="Times New Roman" w:hAnsi="Times New Roman" w:cs="Times New Roman"/>
                <w:sz w:val="21"/>
                <w:szCs w:val="21"/>
                <w:lang w:val="en-AU"/>
              </w:rPr>
              <w:t xml:space="preserve"> </w:t>
            </w:r>
            <w:r w:rsidRPr="00CF44CA">
              <w:rPr>
                <w:rFonts w:ascii="Times New Roman" w:hAnsi="Times New Roman" w:cs="Times New Roman"/>
                <w:sz w:val="21"/>
                <w:szCs w:val="21"/>
                <w:lang w:val="en-AU"/>
              </w:rPr>
              <w:t xml:space="preserve">(mm) </w:t>
            </w:r>
          </w:p>
        </w:tc>
        <w:tc>
          <w:tcPr>
            <w:tcW w:w="1350" w:type="dxa"/>
            <w:vAlign w:val="center"/>
          </w:tcPr>
          <w:p w14:paraId="6031CD54"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63.7 </w:t>
            </w:r>
          </w:p>
        </w:tc>
        <w:tc>
          <w:tcPr>
            <w:tcW w:w="1350" w:type="dxa"/>
            <w:vAlign w:val="center"/>
          </w:tcPr>
          <w:p w14:paraId="719EEF6C"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61.5 </w:t>
            </w:r>
          </w:p>
        </w:tc>
        <w:tc>
          <w:tcPr>
            <w:tcW w:w="1980" w:type="dxa"/>
          </w:tcPr>
          <w:p w14:paraId="7953EF40"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Baseline VAS</w:t>
            </w:r>
            <w:r w:rsidR="0073205C" w:rsidRPr="00CF44CA">
              <w:rPr>
                <w:rFonts w:ascii="Times New Roman" w:hAnsi="Times New Roman" w:cs="Times New Roman"/>
                <w:sz w:val="21"/>
                <w:szCs w:val="21"/>
                <w:lang w:val="en-AU"/>
              </w:rPr>
              <w:t xml:space="preserve"> </w:t>
            </w:r>
            <w:r w:rsidRPr="00CF44CA">
              <w:rPr>
                <w:rFonts w:ascii="Times New Roman" w:hAnsi="Times New Roman" w:cs="Times New Roman"/>
                <w:sz w:val="21"/>
                <w:szCs w:val="21"/>
                <w:lang w:val="en-AU"/>
              </w:rPr>
              <w:t xml:space="preserve">(mm) </w:t>
            </w:r>
          </w:p>
        </w:tc>
        <w:tc>
          <w:tcPr>
            <w:tcW w:w="1260" w:type="dxa"/>
            <w:vAlign w:val="center"/>
          </w:tcPr>
          <w:p w14:paraId="240E758B"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69.3 </w:t>
            </w:r>
          </w:p>
        </w:tc>
        <w:tc>
          <w:tcPr>
            <w:tcW w:w="1440" w:type="dxa"/>
            <w:vAlign w:val="center"/>
          </w:tcPr>
          <w:p w14:paraId="59C022BF"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67.7 </w:t>
            </w:r>
          </w:p>
        </w:tc>
      </w:tr>
      <w:tr w:rsidR="00D22390" w:rsidRPr="00CF44CA" w14:paraId="69C84B79" w14:textId="77777777" w:rsidTr="003A1EED">
        <w:trPr>
          <w:trHeight w:val="478"/>
        </w:trPr>
        <w:tc>
          <w:tcPr>
            <w:tcW w:w="1980" w:type="dxa"/>
          </w:tcPr>
          <w:p w14:paraId="51A0B7C4"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Change from baseline to 4 hours</w:t>
            </w:r>
          </w:p>
        </w:tc>
        <w:tc>
          <w:tcPr>
            <w:tcW w:w="1350" w:type="dxa"/>
          </w:tcPr>
          <w:p w14:paraId="1DB6B638"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-41.6</w:t>
            </w:r>
          </w:p>
        </w:tc>
        <w:tc>
          <w:tcPr>
            <w:tcW w:w="1350" w:type="dxa"/>
          </w:tcPr>
          <w:p w14:paraId="057937EC"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-14.6</w:t>
            </w:r>
          </w:p>
        </w:tc>
        <w:tc>
          <w:tcPr>
            <w:tcW w:w="1980" w:type="dxa"/>
          </w:tcPr>
          <w:p w14:paraId="16630758"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Change from baseline to 4 hours</w:t>
            </w:r>
          </w:p>
        </w:tc>
        <w:tc>
          <w:tcPr>
            <w:tcW w:w="1260" w:type="dxa"/>
          </w:tcPr>
          <w:p w14:paraId="701D6DB1"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-44.6</w:t>
            </w:r>
          </w:p>
        </w:tc>
        <w:tc>
          <w:tcPr>
            <w:tcW w:w="1440" w:type="dxa"/>
          </w:tcPr>
          <w:p w14:paraId="34061E61"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-23.5 </w:t>
            </w:r>
          </w:p>
        </w:tc>
      </w:tr>
      <w:tr w:rsidR="00D22390" w:rsidRPr="00CF44CA" w14:paraId="642A3F58" w14:textId="77777777" w:rsidTr="003A1EED">
        <w:trPr>
          <w:trHeight w:val="706"/>
        </w:trPr>
        <w:tc>
          <w:tcPr>
            <w:tcW w:w="1980" w:type="dxa"/>
          </w:tcPr>
          <w:p w14:paraId="440451CD"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Difference between treatments (95% CI, p-value)</w:t>
            </w:r>
          </w:p>
        </w:tc>
        <w:tc>
          <w:tcPr>
            <w:tcW w:w="2700" w:type="dxa"/>
            <w:gridSpan w:val="2"/>
          </w:tcPr>
          <w:p w14:paraId="74C2EE13"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-27.8 (-39.4, -16.2)</w:t>
            </w:r>
          </w:p>
          <w:p w14:paraId="75344F7A"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p &lt; 0.001</w:t>
            </w:r>
          </w:p>
        </w:tc>
        <w:tc>
          <w:tcPr>
            <w:tcW w:w="1980" w:type="dxa"/>
          </w:tcPr>
          <w:p w14:paraId="72D9EFD5"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Difference between treatments (95% CI, p-value)</w:t>
            </w:r>
          </w:p>
        </w:tc>
        <w:tc>
          <w:tcPr>
            <w:tcW w:w="2700" w:type="dxa"/>
            <w:gridSpan w:val="2"/>
          </w:tcPr>
          <w:p w14:paraId="2DD2A99A"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-22.3 (-36.1, -9.3)</w:t>
            </w:r>
          </w:p>
          <w:p w14:paraId="05C15017"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p = 0.002</w:t>
            </w:r>
          </w:p>
        </w:tc>
      </w:tr>
      <w:tr w:rsidR="00D22390" w:rsidRPr="00CF44CA" w14:paraId="5C4A1C1C" w14:textId="77777777" w:rsidTr="003A1EED">
        <w:trPr>
          <w:trHeight w:val="478"/>
        </w:trPr>
        <w:tc>
          <w:tcPr>
            <w:tcW w:w="1980" w:type="dxa"/>
          </w:tcPr>
          <w:p w14:paraId="43CD0DA0"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Change from baseline to 12 hours</w:t>
            </w:r>
          </w:p>
        </w:tc>
        <w:tc>
          <w:tcPr>
            <w:tcW w:w="1350" w:type="dxa"/>
            <w:vAlign w:val="center"/>
          </w:tcPr>
          <w:p w14:paraId="2C909A3A" w14:textId="77777777" w:rsidR="00D22390" w:rsidRPr="00CF44CA" w:rsidRDefault="00D22390" w:rsidP="00466BB5">
            <w:pPr>
              <w:pStyle w:val="Default"/>
              <w:jc w:val="center"/>
              <w:rPr>
                <w:rFonts w:ascii="Times New Roman" w:hAnsi="Times New Roman" w:cs="Times New Roman"/>
                <w:color w:val="auto"/>
                <w:sz w:val="21"/>
                <w:szCs w:val="21"/>
                <w:lang w:val="en-AU"/>
              </w:rPr>
            </w:pPr>
            <w:r w:rsidRPr="00CF44CA">
              <w:rPr>
                <w:rFonts w:ascii="Times New Roman" w:hAnsi="Times New Roman" w:cs="Times New Roman"/>
                <w:sz w:val="21"/>
                <w:szCs w:val="21"/>
                <w:lang w:val="en-AU"/>
              </w:rPr>
              <w:t>-54.0</w:t>
            </w:r>
          </w:p>
        </w:tc>
        <w:tc>
          <w:tcPr>
            <w:tcW w:w="1350" w:type="dxa"/>
            <w:vAlign w:val="center"/>
          </w:tcPr>
          <w:p w14:paraId="42797A83" w14:textId="77777777" w:rsidR="00D22390" w:rsidRPr="00CF44CA" w:rsidRDefault="00D22390" w:rsidP="00466BB5">
            <w:pPr>
              <w:pStyle w:val="Default"/>
              <w:jc w:val="center"/>
              <w:rPr>
                <w:rFonts w:ascii="Times New Roman" w:hAnsi="Times New Roman" w:cs="Times New Roman"/>
                <w:color w:val="auto"/>
                <w:sz w:val="21"/>
                <w:szCs w:val="21"/>
                <w:lang w:val="en-AU"/>
              </w:rPr>
            </w:pPr>
            <w:r w:rsidRPr="00CF44CA">
              <w:rPr>
                <w:rFonts w:ascii="Times New Roman" w:hAnsi="Times New Roman" w:cs="Times New Roman"/>
                <w:sz w:val="21"/>
                <w:szCs w:val="21"/>
                <w:lang w:val="en-AU"/>
              </w:rPr>
              <w:t>-30.3</w:t>
            </w:r>
          </w:p>
        </w:tc>
        <w:tc>
          <w:tcPr>
            <w:tcW w:w="1980" w:type="dxa"/>
          </w:tcPr>
          <w:p w14:paraId="495DCC74"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Change from baseline to 12 hours</w:t>
            </w:r>
          </w:p>
        </w:tc>
        <w:tc>
          <w:tcPr>
            <w:tcW w:w="1260" w:type="dxa"/>
            <w:vAlign w:val="center"/>
          </w:tcPr>
          <w:p w14:paraId="2E796851" w14:textId="77777777" w:rsidR="00D22390" w:rsidRPr="00CF44CA" w:rsidRDefault="00D22390" w:rsidP="00466BB5">
            <w:pPr>
              <w:pStyle w:val="Default"/>
              <w:jc w:val="center"/>
              <w:rPr>
                <w:rFonts w:ascii="Times New Roman" w:hAnsi="Times New Roman" w:cs="Times New Roman"/>
                <w:color w:val="auto"/>
                <w:sz w:val="21"/>
                <w:szCs w:val="21"/>
                <w:lang w:val="en-AU"/>
              </w:rPr>
            </w:pPr>
            <w:r w:rsidRPr="00CF44CA">
              <w:rPr>
                <w:rFonts w:ascii="Times New Roman" w:hAnsi="Times New Roman" w:cs="Times New Roman"/>
                <w:sz w:val="21"/>
                <w:szCs w:val="21"/>
                <w:lang w:val="en-AU"/>
              </w:rPr>
              <w:t>-53.9</w:t>
            </w:r>
          </w:p>
        </w:tc>
        <w:tc>
          <w:tcPr>
            <w:tcW w:w="1440" w:type="dxa"/>
            <w:vAlign w:val="center"/>
          </w:tcPr>
          <w:p w14:paraId="02A3ADAB" w14:textId="77777777" w:rsidR="00D22390" w:rsidRPr="00CF44CA" w:rsidRDefault="00D22390" w:rsidP="00466BB5">
            <w:pPr>
              <w:pStyle w:val="Default"/>
              <w:jc w:val="center"/>
              <w:rPr>
                <w:rFonts w:ascii="Times New Roman" w:hAnsi="Times New Roman" w:cs="Times New Roman"/>
                <w:color w:val="auto"/>
                <w:sz w:val="21"/>
                <w:szCs w:val="21"/>
                <w:lang w:val="en-AU"/>
              </w:rPr>
            </w:pPr>
            <w:r w:rsidRPr="00CF44CA">
              <w:rPr>
                <w:rFonts w:ascii="Times New Roman" w:hAnsi="Times New Roman" w:cs="Times New Roman"/>
                <w:sz w:val="21"/>
                <w:szCs w:val="21"/>
                <w:lang w:val="en-AU"/>
              </w:rPr>
              <w:t>-41.0</w:t>
            </w:r>
          </w:p>
        </w:tc>
      </w:tr>
      <w:tr w:rsidR="00EE5A2C" w:rsidRPr="00CF44CA" w14:paraId="6E72AE26" w14:textId="77777777" w:rsidTr="003A1EED">
        <w:trPr>
          <w:trHeight w:val="730"/>
        </w:trPr>
        <w:tc>
          <w:tcPr>
            <w:tcW w:w="1980" w:type="dxa"/>
            <w:tcBorders>
              <w:bottom w:val="single" w:sz="4" w:space="0" w:color="auto"/>
            </w:tcBorders>
          </w:tcPr>
          <w:p w14:paraId="222557B6"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Difference between treatments (95% CI, p-value)</w:t>
            </w:r>
          </w:p>
        </w:tc>
        <w:tc>
          <w:tcPr>
            <w:tcW w:w="2700" w:type="dxa"/>
            <w:gridSpan w:val="2"/>
            <w:tcBorders>
              <w:bottom w:val="single" w:sz="4" w:space="0" w:color="auto"/>
            </w:tcBorders>
          </w:tcPr>
          <w:p w14:paraId="0DA29D10"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-24.1 (-33.6, -14.6) </w:t>
            </w:r>
          </w:p>
          <w:p w14:paraId="32702E47"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p &lt; 0.001</w:t>
            </w:r>
          </w:p>
        </w:tc>
        <w:tc>
          <w:tcPr>
            <w:tcW w:w="1980" w:type="dxa"/>
            <w:tcBorders>
              <w:bottom w:val="single" w:sz="4" w:space="0" w:color="auto"/>
            </w:tcBorders>
          </w:tcPr>
          <w:p w14:paraId="14AC2DDE"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Difference between treatments (95% CI, p-value)</w:t>
            </w:r>
          </w:p>
        </w:tc>
        <w:tc>
          <w:tcPr>
            <w:tcW w:w="2700" w:type="dxa"/>
            <w:gridSpan w:val="2"/>
            <w:tcBorders>
              <w:bottom w:val="single" w:sz="4" w:space="0" w:color="auto"/>
            </w:tcBorders>
          </w:tcPr>
          <w:p w14:paraId="2C68497C"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-14.0 (-27.7, -0.3) </w:t>
            </w:r>
          </w:p>
          <w:p w14:paraId="37D7D77D"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p = 0.046</w:t>
            </w:r>
          </w:p>
        </w:tc>
      </w:tr>
      <w:tr w:rsidR="00D22390" w:rsidRPr="00CF44CA" w14:paraId="0089A6EB" w14:textId="77777777" w:rsidTr="003A1EED">
        <w:trPr>
          <w:trHeight w:val="228"/>
        </w:trPr>
        <w:tc>
          <w:tcPr>
            <w:tcW w:w="4680" w:type="dxa"/>
            <w:gridSpan w:val="3"/>
            <w:tcBorders>
              <w:bottom w:val="nil"/>
              <w:right w:val="single" w:sz="4" w:space="0" w:color="auto"/>
            </w:tcBorders>
          </w:tcPr>
          <w:p w14:paraId="408FDC8B" w14:textId="77777777" w:rsidR="00D22390" w:rsidRPr="00CF44CA" w:rsidRDefault="00D22390" w:rsidP="0073205C">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Median time to onset of symptom relief (h)</w:t>
            </w:r>
          </w:p>
        </w:tc>
        <w:tc>
          <w:tcPr>
            <w:tcW w:w="4680" w:type="dxa"/>
            <w:gridSpan w:val="3"/>
            <w:tcBorders>
              <w:top w:val="single" w:sz="4" w:space="0" w:color="auto"/>
              <w:left w:val="single" w:sz="4" w:space="0" w:color="auto"/>
              <w:bottom w:val="nil"/>
              <w:right w:val="single" w:sz="4" w:space="0" w:color="auto"/>
            </w:tcBorders>
          </w:tcPr>
          <w:p w14:paraId="6A0C9A55" w14:textId="77777777" w:rsidR="00D22390" w:rsidRPr="00CF44CA" w:rsidRDefault="00D22390" w:rsidP="0073205C">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Median time to onset of symptom relief (h)</w:t>
            </w:r>
          </w:p>
        </w:tc>
      </w:tr>
      <w:tr w:rsidR="00EE5A2C" w:rsidRPr="00CF44CA" w14:paraId="7EC511BD" w14:textId="77777777" w:rsidTr="003A1EED">
        <w:trPr>
          <w:trHeight w:val="478"/>
        </w:trPr>
        <w:tc>
          <w:tcPr>
            <w:tcW w:w="1980" w:type="dxa"/>
            <w:tcBorders>
              <w:top w:val="nil"/>
              <w:bottom w:val="single" w:sz="4" w:space="0" w:color="auto"/>
            </w:tcBorders>
          </w:tcPr>
          <w:p w14:paraId="3BD53866"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7DE16F47"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74)</w:t>
            </w:r>
          </w:p>
        </w:tc>
        <w:tc>
          <w:tcPr>
            <w:tcW w:w="1350" w:type="dxa"/>
            <w:tcBorders>
              <w:top w:val="nil"/>
              <w:bottom w:val="single" w:sz="4" w:space="0" w:color="auto"/>
            </w:tcBorders>
            <w:vAlign w:val="center"/>
          </w:tcPr>
          <w:p w14:paraId="4C76F45F"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2.0</w:t>
            </w:r>
          </w:p>
        </w:tc>
        <w:tc>
          <w:tcPr>
            <w:tcW w:w="1350" w:type="dxa"/>
            <w:tcBorders>
              <w:top w:val="nil"/>
              <w:bottom w:val="single" w:sz="4" w:space="0" w:color="auto"/>
              <w:right w:val="single" w:sz="4" w:space="0" w:color="auto"/>
            </w:tcBorders>
            <w:vAlign w:val="center"/>
          </w:tcPr>
          <w:p w14:paraId="0A89CAD7"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12.0</w:t>
            </w:r>
          </w:p>
        </w:tc>
        <w:tc>
          <w:tcPr>
            <w:tcW w:w="1980" w:type="dxa"/>
            <w:tcBorders>
              <w:top w:val="nil"/>
              <w:left w:val="single" w:sz="4" w:space="0" w:color="auto"/>
              <w:bottom w:val="single" w:sz="4" w:space="0" w:color="auto"/>
              <w:right w:val="single" w:sz="4" w:space="0" w:color="auto"/>
            </w:tcBorders>
          </w:tcPr>
          <w:p w14:paraId="633743EA"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5A354F7C"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56)</w:t>
            </w:r>
          </w:p>
        </w:tc>
        <w:tc>
          <w:tcPr>
            <w:tcW w:w="1260" w:type="dxa"/>
            <w:tcBorders>
              <w:top w:val="nil"/>
              <w:left w:val="single" w:sz="4" w:space="0" w:color="auto"/>
              <w:bottom w:val="single" w:sz="4" w:space="0" w:color="auto"/>
              <w:right w:val="single" w:sz="4" w:space="0" w:color="auto"/>
            </w:tcBorders>
            <w:vAlign w:val="center"/>
          </w:tcPr>
          <w:p w14:paraId="4A371BF7"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2.5</w:t>
            </w:r>
          </w:p>
        </w:tc>
        <w:tc>
          <w:tcPr>
            <w:tcW w:w="1440" w:type="dxa"/>
            <w:tcBorders>
              <w:top w:val="nil"/>
              <w:left w:val="single" w:sz="4" w:space="0" w:color="auto"/>
              <w:bottom w:val="single" w:sz="4" w:space="0" w:color="auto"/>
              <w:right w:val="single" w:sz="4" w:space="0" w:color="auto"/>
            </w:tcBorders>
            <w:vAlign w:val="center"/>
          </w:tcPr>
          <w:p w14:paraId="3F38BD5B"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4.6</w:t>
            </w:r>
          </w:p>
        </w:tc>
      </w:tr>
      <w:tr w:rsidR="00D22390" w:rsidRPr="00CF44CA" w14:paraId="6307426B" w14:textId="77777777" w:rsidTr="003A1EED">
        <w:trPr>
          <w:trHeight w:val="231"/>
        </w:trPr>
        <w:tc>
          <w:tcPr>
            <w:tcW w:w="4680" w:type="dxa"/>
            <w:gridSpan w:val="3"/>
            <w:tcBorders>
              <w:bottom w:val="nil"/>
            </w:tcBorders>
          </w:tcPr>
          <w:p w14:paraId="69467D03" w14:textId="77777777" w:rsidR="00D22390" w:rsidRPr="00CF44CA" w:rsidRDefault="00D22390" w:rsidP="00EE5A2C">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Response rate (%, CI) at 4 hr after start of treatment</w:t>
            </w:r>
          </w:p>
        </w:tc>
        <w:tc>
          <w:tcPr>
            <w:tcW w:w="4680" w:type="dxa"/>
            <w:gridSpan w:val="3"/>
            <w:tcBorders>
              <w:bottom w:val="nil"/>
            </w:tcBorders>
          </w:tcPr>
          <w:p w14:paraId="5036D7F2"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Response rate (%, CI) at 4 hr after start of treatment</w:t>
            </w:r>
          </w:p>
        </w:tc>
      </w:tr>
      <w:tr w:rsidR="00D22390" w:rsidRPr="00CF44CA" w14:paraId="568D7128" w14:textId="77777777" w:rsidTr="003A1EED">
        <w:trPr>
          <w:trHeight w:val="502"/>
        </w:trPr>
        <w:tc>
          <w:tcPr>
            <w:tcW w:w="1980" w:type="dxa"/>
            <w:tcBorders>
              <w:top w:val="nil"/>
              <w:bottom w:val="single" w:sz="4" w:space="0" w:color="auto"/>
            </w:tcBorders>
          </w:tcPr>
          <w:p w14:paraId="288BE51B"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19E0F54F"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74)</w:t>
            </w:r>
          </w:p>
        </w:tc>
        <w:tc>
          <w:tcPr>
            <w:tcW w:w="1350" w:type="dxa"/>
            <w:tcBorders>
              <w:top w:val="nil"/>
              <w:bottom w:val="single" w:sz="4" w:space="0" w:color="auto"/>
            </w:tcBorders>
          </w:tcPr>
          <w:p w14:paraId="662F8986"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80.0</w:t>
            </w:r>
          </w:p>
          <w:p w14:paraId="48BBD1DD"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(63.1, 91.6)</w:t>
            </w:r>
          </w:p>
        </w:tc>
        <w:tc>
          <w:tcPr>
            <w:tcW w:w="1350" w:type="dxa"/>
            <w:tcBorders>
              <w:top w:val="nil"/>
              <w:bottom w:val="single" w:sz="4" w:space="0" w:color="auto"/>
            </w:tcBorders>
          </w:tcPr>
          <w:p w14:paraId="686EF29C"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30.6</w:t>
            </w:r>
          </w:p>
          <w:p w14:paraId="035E3706"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(16.3, 48.1)</w:t>
            </w:r>
          </w:p>
        </w:tc>
        <w:tc>
          <w:tcPr>
            <w:tcW w:w="1980" w:type="dxa"/>
            <w:tcBorders>
              <w:top w:val="nil"/>
              <w:bottom w:val="single" w:sz="4" w:space="0" w:color="auto"/>
            </w:tcBorders>
          </w:tcPr>
          <w:p w14:paraId="50718751"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2E6119B9"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56)</w:t>
            </w:r>
          </w:p>
        </w:tc>
        <w:tc>
          <w:tcPr>
            <w:tcW w:w="1260" w:type="dxa"/>
            <w:tcBorders>
              <w:top w:val="nil"/>
              <w:bottom w:val="single" w:sz="4" w:space="0" w:color="auto"/>
            </w:tcBorders>
          </w:tcPr>
          <w:p w14:paraId="5E24AC3E"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66.7</w:t>
            </w:r>
          </w:p>
          <w:p w14:paraId="3FF09ECA"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(46.0, 83.5)</w:t>
            </w:r>
          </w:p>
        </w:tc>
        <w:tc>
          <w:tcPr>
            <w:tcW w:w="1440" w:type="dxa"/>
            <w:tcBorders>
              <w:top w:val="nil"/>
              <w:bottom w:val="single" w:sz="4" w:space="0" w:color="auto"/>
            </w:tcBorders>
          </w:tcPr>
          <w:p w14:paraId="0D08842D"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46.4</w:t>
            </w:r>
          </w:p>
          <w:p w14:paraId="1AC36F31"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(27.5, 66.1)</w:t>
            </w:r>
          </w:p>
        </w:tc>
      </w:tr>
      <w:tr w:rsidR="003A1EED" w:rsidRPr="00CF44CA" w14:paraId="403B7E16" w14:textId="77777777" w:rsidTr="003A1EED">
        <w:trPr>
          <w:trHeight w:val="228"/>
        </w:trPr>
        <w:tc>
          <w:tcPr>
            <w:tcW w:w="4680" w:type="dxa"/>
            <w:gridSpan w:val="3"/>
            <w:tcBorders>
              <w:bottom w:val="nil"/>
            </w:tcBorders>
          </w:tcPr>
          <w:p w14:paraId="0B3AFAE1"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Median time to onset of symptom relief: </w:t>
            </w:r>
          </w:p>
        </w:tc>
        <w:tc>
          <w:tcPr>
            <w:tcW w:w="4680" w:type="dxa"/>
            <w:gridSpan w:val="3"/>
            <w:tcBorders>
              <w:bottom w:val="nil"/>
            </w:tcBorders>
          </w:tcPr>
          <w:p w14:paraId="70B73A10"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Median time to onset of symptom relief:</w:t>
            </w:r>
          </w:p>
        </w:tc>
      </w:tr>
      <w:tr w:rsidR="00D22390" w:rsidRPr="00CF44CA" w14:paraId="389999A5" w14:textId="77777777" w:rsidTr="003A1EED">
        <w:trPr>
          <w:trHeight w:val="980"/>
        </w:trPr>
        <w:tc>
          <w:tcPr>
            <w:tcW w:w="1980" w:type="dxa"/>
            <w:tcBorders>
              <w:top w:val="nil"/>
              <w:bottom w:val="single" w:sz="4" w:space="0" w:color="auto"/>
            </w:tcBorders>
          </w:tcPr>
          <w:p w14:paraId="4560D8A6" w14:textId="77777777" w:rsidR="00D22390" w:rsidRPr="00CF44CA" w:rsidRDefault="00A6070B"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A</w:t>
            </w:r>
            <w:r w:rsidR="00D22390" w:rsidRPr="00CF44CA">
              <w:rPr>
                <w:rFonts w:ascii="Times New Roman" w:hAnsi="Times New Roman" w:cs="Times New Roman"/>
                <w:sz w:val="21"/>
                <w:szCs w:val="21"/>
                <w:lang w:val="en-AU"/>
              </w:rPr>
              <w:t>ll symptoms (h):</w:t>
            </w:r>
          </w:p>
          <w:p w14:paraId="2F643D29"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     Abdominal pain</w:t>
            </w:r>
          </w:p>
          <w:p w14:paraId="338B141A"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     Skin swelling</w:t>
            </w:r>
          </w:p>
          <w:p w14:paraId="798F0AD9"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     Skin pain</w:t>
            </w:r>
          </w:p>
        </w:tc>
        <w:tc>
          <w:tcPr>
            <w:tcW w:w="1350" w:type="dxa"/>
            <w:tcBorders>
              <w:top w:val="nil"/>
              <w:bottom w:val="single" w:sz="4" w:space="0" w:color="auto"/>
            </w:tcBorders>
          </w:tcPr>
          <w:p w14:paraId="7FA02C20" w14:textId="77777777" w:rsidR="00D22390" w:rsidRPr="00CF44CA" w:rsidRDefault="00D22390" w:rsidP="00466BB5">
            <w:pPr>
              <w:pStyle w:val="Default"/>
              <w:jc w:val="center"/>
              <w:rPr>
                <w:rFonts w:ascii="Times New Roman" w:hAnsi="Times New Roman" w:cs="Times New Roman"/>
                <w:sz w:val="21"/>
                <w:szCs w:val="21"/>
                <w:lang w:val="en-AU"/>
              </w:rPr>
            </w:pPr>
          </w:p>
          <w:p w14:paraId="3EC9CD39"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1.6</w:t>
            </w:r>
          </w:p>
          <w:p w14:paraId="5ED2D873"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2.6</w:t>
            </w:r>
          </w:p>
          <w:p w14:paraId="59C69E53"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1.5</w:t>
            </w:r>
          </w:p>
        </w:tc>
        <w:tc>
          <w:tcPr>
            <w:tcW w:w="1350" w:type="dxa"/>
            <w:tcBorders>
              <w:top w:val="nil"/>
              <w:bottom w:val="single" w:sz="4" w:space="0" w:color="auto"/>
            </w:tcBorders>
          </w:tcPr>
          <w:p w14:paraId="33B4BB3B" w14:textId="77777777" w:rsidR="00D22390" w:rsidRPr="00CF44CA" w:rsidRDefault="00D22390" w:rsidP="00466BB5">
            <w:pPr>
              <w:pStyle w:val="Default"/>
              <w:jc w:val="center"/>
              <w:rPr>
                <w:rFonts w:ascii="Times New Roman" w:hAnsi="Times New Roman" w:cs="Times New Roman"/>
                <w:sz w:val="21"/>
                <w:szCs w:val="21"/>
                <w:lang w:val="en-AU"/>
              </w:rPr>
            </w:pPr>
          </w:p>
          <w:p w14:paraId="377FA18C"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3.5</w:t>
            </w:r>
          </w:p>
          <w:p w14:paraId="36654CE7"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18.1</w:t>
            </w:r>
          </w:p>
          <w:p w14:paraId="674419F9"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12.0</w:t>
            </w:r>
          </w:p>
        </w:tc>
        <w:tc>
          <w:tcPr>
            <w:tcW w:w="1980" w:type="dxa"/>
            <w:tcBorders>
              <w:top w:val="nil"/>
              <w:bottom w:val="single" w:sz="4" w:space="0" w:color="auto"/>
            </w:tcBorders>
          </w:tcPr>
          <w:p w14:paraId="3AA5606A" w14:textId="77777777" w:rsidR="00D22390" w:rsidRPr="00CF44CA" w:rsidRDefault="00A6070B"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A</w:t>
            </w:r>
            <w:r w:rsidR="00D22390" w:rsidRPr="00CF44CA">
              <w:rPr>
                <w:rFonts w:ascii="Times New Roman" w:hAnsi="Times New Roman" w:cs="Times New Roman"/>
                <w:sz w:val="21"/>
                <w:szCs w:val="21"/>
                <w:lang w:val="en-AU"/>
              </w:rPr>
              <w:t>ll symptoms (h):</w:t>
            </w:r>
          </w:p>
          <w:p w14:paraId="75709F1E"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     Abdominal pain</w:t>
            </w:r>
          </w:p>
          <w:p w14:paraId="7C952F37"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     Skin swelling</w:t>
            </w:r>
          </w:p>
          <w:p w14:paraId="024151C9"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     Skin pain</w:t>
            </w:r>
          </w:p>
        </w:tc>
        <w:tc>
          <w:tcPr>
            <w:tcW w:w="1260" w:type="dxa"/>
            <w:tcBorders>
              <w:top w:val="nil"/>
              <w:bottom w:val="single" w:sz="4" w:space="0" w:color="auto"/>
            </w:tcBorders>
          </w:tcPr>
          <w:p w14:paraId="1EEB48CA" w14:textId="77777777" w:rsidR="00D22390" w:rsidRPr="00CF44CA" w:rsidRDefault="00D22390" w:rsidP="00466BB5">
            <w:pPr>
              <w:pStyle w:val="Default"/>
              <w:jc w:val="center"/>
              <w:rPr>
                <w:rFonts w:ascii="Times New Roman" w:hAnsi="Times New Roman" w:cs="Times New Roman"/>
                <w:sz w:val="21"/>
                <w:szCs w:val="21"/>
                <w:lang w:val="en-AU"/>
              </w:rPr>
            </w:pPr>
          </w:p>
          <w:p w14:paraId="43542CC6"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2.0</w:t>
            </w:r>
          </w:p>
          <w:p w14:paraId="0F468C0A"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3.1</w:t>
            </w:r>
          </w:p>
          <w:p w14:paraId="20770286"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1.6</w:t>
            </w:r>
          </w:p>
        </w:tc>
        <w:tc>
          <w:tcPr>
            <w:tcW w:w="1440" w:type="dxa"/>
            <w:tcBorders>
              <w:top w:val="nil"/>
              <w:bottom w:val="single" w:sz="4" w:space="0" w:color="auto"/>
            </w:tcBorders>
          </w:tcPr>
          <w:p w14:paraId="10A88C93" w14:textId="77777777" w:rsidR="00D22390" w:rsidRPr="00CF44CA" w:rsidRDefault="00D22390" w:rsidP="00466BB5">
            <w:pPr>
              <w:pStyle w:val="Default"/>
              <w:jc w:val="center"/>
              <w:rPr>
                <w:rFonts w:ascii="Times New Roman" w:hAnsi="Times New Roman" w:cs="Times New Roman"/>
                <w:sz w:val="21"/>
                <w:szCs w:val="21"/>
                <w:lang w:val="en-AU"/>
              </w:rPr>
            </w:pPr>
          </w:p>
          <w:p w14:paraId="2D25983A"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3.3</w:t>
            </w:r>
          </w:p>
          <w:p w14:paraId="164DC516"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10.2</w:t>
            </w:r>
          </w:p>
          <w:p w14:paraId="408E9291"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9.0</w:t>
            </w:r>
          </w:p>
        </w:tc>
      </w:tr>
      <w:tr w:rsidR="00D22390" w:rsidRPr="00CF44CA" w14:paraId="757016FF" w14:textId="77777777" w:rsidTr="003A1EED">
        <w:trPr>
          <w:trHeight w:val="222"/>
        </w:trPr>
        <w:tc>
          <w:tcPr>
            <w:tcW w:w="4680" w:type="dxa"/>
            <w:gridSpan w:val="3"/>
            <w:tcBorders>
              <w:bottom w:val="nil"/>
            </w:tcBorders>
          </w:tcPr>
          <w:p w14:paraId="77A82807" w14:textId="77777777" w:rsidR="00D22390" w:rsidRPr="00CF44CA" w:rsidRDefault="00D22390" w:rsidP="0073205C">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Median time to almost complete symptom relief (h)</w:t>
            </w:r>
          </w:p>
        </w:tc>
        <w:tc>
          <w:tcPr>
            <w:tcW w:w="4680" w:type="dxa"/>
            <w:gridSpan w:val="3"/>
            <w:tcBorders>
              <w:top w:val="single" w:sz="4" w:space="0" w:color="auto"/>
              <w:bottom w:val="nil"/>
            </w:tcBorders>
          </w:tcPr>
          <w:p w14:paraId="091493A0" w14:textId="77777777" w:rsidR="00D22390" w:rsidRPr="00CF44CA" w:rsidRDefault="00D22390" w:rsidP="0073205C">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Median time to almost complete symptom relief (h)</w:t>
            </w:r>
          </w:p>
        </w:tc>
      </w:tr>
      <w:tr w:rsidR="00D22390" w:rsidRPr="00CF44CA" w14:paraId="549742BF" w14:textId="77777777" w:rsidTr="003A1EED">
        <w:trPr>
          <w:trHeight w:val="502"/>
        </w:trPr>
        <w:tc>
          <w:tcPr>
            <w:tcW w:w="1980" w:type="dxa"/>
            <w:tcBorders>
              <w:top w:val="nil"/>
              <w:bottom w:val="single" w:sz="4" w:space="0" w:color="auto"/>
            </w:tcBorders>
          </w:tcPr>
          <w:p w14:paraId="682F257A"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73BDA870"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74)</w:t>
            </w:r>
          </w:p>
        </w:tc>
        <w:tc>
          <w:tcPr>
            <w:tcW w:w="1350" w:type="dxa"/>
            <w:tcBorders>
              <w:top w:val="nil"/>
              <w:bottom w:val="single" w:sz="4" w:space="0" w:color="auto"/>
            </w:tcBorders>
            <w:vAlign w:val="center"/>
          </w:tcPr>
          <w:p w14:paraId="4DF3B8D6"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10.0</w:t>
            </w:r>
          </w:p>
        </w:tc>
        <w:tc>
          <w:tcPr>
            <w:tcW w:w="1350" w:type="dxa"/>
            <w:tcBorders>
              <w:top w:val="nil"/>
              <w:bottom w:val="single" w:sz="4" w:space="0" w:color="auto"/>
            </w:tcBorders>
            <w:vAlign w:val="center"/>
          </w:tcPr>
          <w:p w14:paraId="1A06D62B"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51.0</w:t>
            </w:r>
          </w:p>
        </w:tc>
        <w:tc>
          <w:tcPr>
            <w:tcW w:w="1980" w:type="dxa"/>
            <w:tcBorders>
              <w:top w:val="nil"/>
              <w:bottom w:val="single" w:sz="4" w:space="0" w:color="auto"/>
            </w:tcBorders>
          </w:tcPr>
          <w:p w14:paraId="1352DCBB"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6CEAB2BF"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56)</w:t>
            </w:r>
          </w:p>
        </w:tc>
        <w:tc>
          <w:tcPr>
            <w:tcW w:w="1260" w:type="dxa"/>
            <w:tcBorders>
              <w:top w:val="nil"/>
              <w:bottom w:val="single" w:sz="4" w:space="0" w:color="auto"/>
            </w:tcBorders>
            <w:vAlign w:val="center"/>
          </w:tcPr>
          <w:p w14:paraId="02D827CD"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8.5</w:t>
            </w:r>
          </w:p>
        </w:tc>
        <w:tc>
          <w:tcPr>
            <w:tcW w:w="1440" w:type="dxa"/>
            <w:tcBorders>
              <w:top w:val="nil"/>
              <w:bottom w:val="single" w:sz="4" w:space="0" w:color="auto"/>
            </w:tcBorders>
            <w:vAlign w:val="center"/>
          </w:tcPr>
          <w:p w14:paraId="397B91DB"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23.3</w:t>
            </w:r>
          </w:p>
        </w:tc>
      </w:tr>
      <w:tr w:rsidR="00D22390" w:rsidRPr="00CF44CA" w14:paraId="638E176D" w14:textId="77777777" w:rsidTr="003A1EED">
        <w:trPr>
          <w:trHeight w:val="478"/>
        </w:trPr>
        <w:tc>
          <w:tcPr>
            <w:tcW w:w="4680" w:type="dxa"/>
            <w:gridSpan w:val="3"/>
            <w:tcBorders>
              <w:bottom w:val="nil"/>
            </w:tcBorders>
          </w:tcPr>
          <w:p w14:paraId="49E86F1B" w14:textId="77777777" w:rsidR="00D22390" w:rsidRPr="00CF44CA" w:rsidRDefault="00D22390" w:rsidP="0073205C">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Median time to regression of symptoms, by patient (h)</w:t>
            </w:r>
          </w:p>
        </w:tc>
        <w:tc>
          <w:tcPr>
            <w:tcW w:w="4680" w:type="dxa"/>
            <w:gridSpan w:val="3"/>
            <w:tcBorders>
              <w:top w:val="single" w:sz="4" w:space="0" w:color="auto"/>
              <w:bottom w:val="nil"/>
            </w:tcBorders>
          </w:tcPr>
          <w:p w14:paraId="74FB30DA" w14:textId="77777777" w:rsidR="00D22390" w:rsidRPr="00CF44CA" w:rsidRDefault="00D22390" w:rsidP="0073205C">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Median time to regression of symptoms, by patient (h)</w:t>
            </w:r>
          </w:p>
        </w:tc>
      </w:tr>
      <w:tr w:rsidR="00D22390" w:rsidRPr="00CF44CA" w14:paraId="507655D8" w14:textId="77777777" w:rsidTr="003A1EED">
        <w:trPr>
          <w:trHeight w:val="478"/>
        </w:trPr>
        <w:tc>
          <w:tcPr>
            <w:tcW w:w="1980" w:type="dxa"/>
            <w:tcBorders>
              <w:top w:val="nil"/>
              <w:bottom w:val="single" w:sz="4" w:space="0" w:color="auto"/>
            </w:tcBorders>
          </w:tcPr>
          <w:p w14:paraId="5D2590BB"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052E3180"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74)</w:t>
            </w:r>
          </w:p>
        </w:tc>
        <w:tc>
          <w:tcPr>
            <w:tcW w:w="1350" w:type="dxa"/>
            <w:tcBorders>
              <w:top w:val="nil"/>
              <w:bottom w:val="single" w:sz="4" w:space="0" w:color="auto"/>
            </w:tcBorders>
            <w:vAlign w:val="center"/>
          </w:tcPr>
          <w:p w14:paraId="582DADA0"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0.8</w:t>
            </w:r>
          </w:p>
        </w:tc>
        <w:tc>
          <w:tcPr>
            <w:tcW w:w="1350" w:type="dxa"/>
            <w:tcBorders>
              <w:top w:val="nil"/>
              <w:bottom w:val="single" w:sz="4" w:space="0" w:color="auto"/>
            </w:tcBorders>
            <w:vAlign w:val="center"/>
          </w:tcPr>
          <w:p w14:paraId="6B6AC0D1"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7.9</w:t>
            </w:r>
          </w:p>
        </w:tc>
        <w:tc>
          <w:tcPr>
            <w:tcW w:w="1980" w:type="dxa"/>
            <w:tcBorders>
              <w:top w:val="nil"/>
              <w:bottom w:val="single" w:sz="4" w:space="0" w:color="auto"/>
            </w:tcBorders>
          </w:tcPr>
          <w:p w14:paraId="79740F21"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747552E8"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56)</w:t>
            </w:r>
          </w:p>
        </w:tc>
        <w:tc>
          <w:tcPr>
            <w:tcW w:w="1260" w:type="dxa"/>
            <w:tcBorders>
              <w:top w:val="nil"/>
              <w:bottom w:val="single" w:sz="4" w:space="0" w:color="auto"/>
            </w:tcBorders>
            <w:vAlign w:val="center"/>
          </w:tcPr>
          <w:p w14:paraId="53FA7A1A"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0.8</w:t>
            </w:r>
          </w:p>
        </w:tc>
        <w:tc>
          <w:tcPr>
            <w:tcW w:w="1440" w:type="dxa"/>
            <w:tcBorders>
              <w:top w:val="nil"/>
              <w:bottom w:val="single" w:sz="4" w:space="0" w:color="auto"/>
            </w:tcBorders>
            <w:vAlign w:val="center"/>
          </w:tcPr>
          <w:p w14:paraId="4B2B1FF8"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16.9</w:t>
            </w:r>
          </w:p>
        </w:tc>
      </w:tr>
      <w:tr w:rsidR="00D22390" w:rsidRPr="00CF44CA" w14:paraId="0B36AE9F" w14:textId="77777777" w:rsidTr="003A1EED">
        <w:trPr>
          <w:trHeight w:val="478"/>
        </w:trPr>
        <w:tc>
          <w:tcPr>
            <w:tcW w:w="4680" w:type="dxa"/>
            <w:gridSpan w:val="3"/>
            <w:tcBorders>
              <w:bottom w:val="nil"/>
            </w:tcBorders>
          </w:tcPr>
          <w:p w14:paraId="66C816C2" w14:textId="77777777" w:rsidR="00D22390" w:rsidRPr="00CF44CA" w:rsidRDefault="00D22390" w:rsidP="0073205C">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Median time to overall patient improvement, by physician (h)</w:t>
            </w:r>
          </w:p>
        </w:tc>
        <w:tc>
          <w:tcPr>
            <w:tcW w:w="4680" w:type="dxa"/>
            <w:gridSpan w:val="3"/>
            <w:tcBorders>
              <w:top w:val="single" w:sz="4" w:space="0" w:color="auto"/>
              <w:bottom w:val="nil"/>
            </w:tcBorders>
          </w:tcPr>
          <w:p w14:paraId="251E01C5" w14:textId="77777777" w:rsidR="00D22390" w:rsidRPr="00CF44CA" w:rsidRDefault="00D22390" w:rsidP="0073205C">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Median time to overall patient improvement, by physician (h)</w:t>
            </w:r>
          </w:p>
        </w:tc>
      </w:tr>
      <w:tr w:rsidR="00D22390" w:rsidRPr="00CF44CA" w14:paraId="70331BFB" w14:textId="77777777" w:rsidTr="003A1EED">
        <w:trPr>
          <w:trHeight w:val="478"/>
        </w:trPr>
        <w:tc>
          <w:tcPr>
            <w:tcW w:w="1980" w:type="dxa"/>
            <w:tcBorders>
              <w:top w:val="nil"/>
              <w:bottom w:val="single" w:sz="4" w:space="0" w:color="auto"/>
            </w:tcBorders>
          </w:tcPr>
          <w:p w14:paraId="4BD5CB40"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63E326A5"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74)</w:t>
            </w:r>
          </w:p>
        </w:tc>
        <w:tc>
          <w:tcPr>
            <w:tcW w:w="1350" w:type="dxa"/>
            <w:tcBorders>
              <w:top w:val="nil"/>
              <w:bottom w:val="single" w:sz="4" w:space="0" w:color="auto"/>
            </w:tcBorders>
            <w:vAlign w:val="center"/>
          </w:tcPr>
          <w:p w14:paraId="1C4E8453"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1.5</w:t>
            </w:r>
          </w:p>
        </w:tc>
        <w:tc>
          <w:tcPr>
            <w:tcW w:w="1350" w:type="dxa"/>
            <w:tcBorders>
              <w:top w:val="nil"/>
              <w:bottom w:val="single" w:sz="4" w:space="0" w:color="auto"/>
            </w:tcBorders>
            <w:vAlign w:val="center"/>
          </w:tcPr>
          <w:p w14:paraId="0B372BB6"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6.9</w:t>
            </w:r>
          </w:p>
        </w:tc>
        <w:tc>
          <w:tcPr>
            <w:tcW w:w="1980" w:type="dxa"/>
            <w:tcBorders>
              <w:top w:val="nil"/>
              <w:bottom w:val="single" w:sz="4" w:space="0" w:color="auto"/>
            </w:tcBorders>
          </w:tcPr>
          <w:p w14:paraId="5E94AA80"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 xml:space="preserve">All episodes </w:t>
            </w:r>
          </w:p>
          <w:p w14:paraId="085DD1FC" w14:textId="77777777" w:rsidR="00D22390" w:rsidRPr="00CF44CA" w:rsidRDefault="00D22390" w:rsidP="00466BB5">
            <w:pPr>
              <w:pStyle w:val="Default"/>
              <w:rPr>
                <w:rFonts w:ascii="Times New Roman" w:hAnsi="Times New Roman" w:cs="Times New Roman"/>
                <w:sz w:val="21"/>
                <w:szCs w:val="21"/>
                <w:lang w:val="en-AU"/>
              </w:rPr>
            </w:pPr>
            <w:r w:rsidRPr="00CF44CA">
              <w:rPr>
                <w:rFonts w:ascii="Times New Roman" w:hAnsi="Times New Roman" w:cs="Times New Roman"/>
                <w:sz w:val="21"/>
                <w:szCs w:val="21"/>
                <w:lang w:val="en-AU"/>
              </w:rPr>
              <w:t>(N = 56)</w:t>
            </w:r>
          </w:p>
        </w:tc>
        <w:tc>
          <w:tcPr>
            <w:tcW w:w="1260" w:type="dxa"/>
            <w:tcBorders>
              <w:top w:val="nil"/>
              <w:bottom w:val="single" w:sz="4" w:space="0" w:color="auto"/>
            </w:tcBorders>
            <w:vAlign w:val="center"/>
          </w:tcPr>
          <w:p w14:paraId="124D7017"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10</w:t>
            </w:r>
          </w:p>
        </w:tc>
        <w:tc>
          <w:tcPr>
            <w:tcW w:w="1440" w:type="dxa"/>
            <w:tcBorders>
              <w:top w:val="nil"/>
              <w:bottom w:val="single" w:sz="4" w:space="0" w:color="auto"/>
            </w:tcBorders>
            <w:vAlign w:val="center"/>
          </w:tcPr>
          <w:p w14:paraId="3FD1D708" w14:textId="77777777" w:rsidR="00D22390" w:rsidRPr="00CF44CA" w:rsidRDefault="00D22390" w:rsidP="00466BB5">
            <w:pPr>
              <w:pStyle w:val="Default"/>
              <w:jc w:val="center"/>
              <w:rPr>
                <w:rFonts w:ascii="Times New Roman" w:hAnsi="Times New Roman" w:cs="Times New Roman"/>
                <w:sz w:val="21"/>
                <w:szCs w:val="21"/>
                <w:lang w:val="en-AU"/>
              </w:rPr>
            </w:pPr>
            <w:r w:rsidRPr="00CF44CA">
              <w:rPr>
                <w:rFonts w:ascii="Times New Roman" w:hAnsi="Times New Roman" w:cs="Times New Roman"/>
                <w:sz w:val="21"/>
                <w:szCs w:val="21"/>
                <w:lang w:val="en-AU"/>
              </w:rPr>
              <w:t>5.7</w:t>
            </w:r>
          </w:p>
        </w:tc>
      </w:tr>
    </w:tbl>
    <w:p w14:paraId="73A8D414" w14:textId="77777777" w:rsidR="00A32083" w:rsidRPr="00CF44CA" w:rsidRDefault="00A32083" w:rsidP="00E90AB3">
      <w:pPr>
        <w:spacing w:before="120" w:after="180" w:line="240" w:lineRule="auto"/>
      </w:pPr>
      <w:r w:rsidRPr="00CF44CA">
        <w:rPr>
          <w:rFonts w:ascii="Times New Roman" w:hAnsi="Times New Roman" w:cs="Times New Roman"/>
          <w:bCs/>
          <w:sz w:val="24"/>
          <w:szCs w:val="24"/>
        </w:rPr>
        <w:t xml:space="preserve">One hundred and </w:t>
      </w:r>
      <w:proofErr w:type="gramStart"/>
      <w:r w:rsidRPr="00CF44CA">
        <w:rPr>
          <w:rFonts w:ascii="Times New Roman" w:hAnsi="Times New Roman" w:cs="Times New Roman"/>
          <w:bCs/>
          <w:sz w:val="24"/>
          <w:szCs w:val="24"/>
        </w:rPr>
        <w:t>twenty six</w:t>
      </w:r>
      <w:proofErr w:type="gramEnd"/>
      <w:r w:rsidRPr="00CF44CA">
        <w:rPr>
          <w:rFonts w:ascii="Times New Roman" w:hAnsi="Times New Roman" w:cs="Times New Roman"/>
          <w:bCs/>
          <w:sz w:val="24"/>
          <w:szCs w:val="24"/>
        </w:rPr>
        <w:t xml:space="preserve"> patients were treated in the OLE phase for a total of 714 separate attacks. Efficacy results, available for the first 118 patients showed similar efficacy to those seen in the controlled phase of the studies. In the OLE phase, up to three doses of icatibant were permitted. The majority of attacks (89.3% and 90.9%, respectively) in both studies required only a single dose of icatibant. Thirty patients required two doses and five patients required three doses.</w:t>
      </w:r>
    </w:p>
    <w:p w14:paraId="6C1ACF88" w14:textId="77777777" w:rsidR="00A32083" w:rsidRPr="00CF44CA" w:rsidRDefault="00A32083"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A total of 36 patients were treated for a total of 61 attacks of HAE affecting the larynx. The results were again similar to patients with non-laryngeal attacks of HAE with a median time to start of regression of symptoms of 0.6-1.0 hours (controlled phase).</w:t>
      </w:r>
    </w:p>
    <w:p w14:paraId="07D1D31D" w14:textId="77777777" w:rsidR="005A0276" w:rsidRPr="00CF44CA" w:rsidRDefault="005A0276" w:rsidP="00E90AB3">
      <w:pPr>
        <w:autoSpaceDE w:val="0"/>
        <w:autoSpaceDN w:val="0"/>
        <w:adjustRightInd w:val="0"/>
        <w:spacing w:before="120" w:after="180" w:line="240" w:lineRule="auto"/>
        <w:rPr>
          <w:rFonts w:ascii="Times New Roman" w:hAnsi="Times New Roman" w:cs="Times New Roman"/>
          <w:bCs/>
          <w:sz w:val="24"/>
          <w:szCs w:val="24"/>
          <w:u w:val="single"/>
        </w:rPr>
      </w:pPr>
      <w:r w:rsidRPr="00CF44CA">
        <w:rPr>
          <w:rFonts w:ascii="Times New Roman" w:hAnsi="Times New Roman" w:cs="Times New Roman"/>
          <w:bCs/>
          <w:sz w:val="24"/>
          <w:szCs w:val="24"/>
          <w:u w:val="single"/>
        </w:rPr>
        <w:t>Paediatric population</w:t>
      </w:r>
    </w:p>
    <w:p w14:paraId="7349D7B7" w14:textId="6BC9D9DF" w:rsidR="005A0276" w:rsidRPr="00CF44CA" w:rsidRDefault="005A0276" w:rsidP="00E90AB3">
      <w:pPr>
        <w:spacing w:before="120" w:after="180" w:line="240" w:lineRule="auto"/>
        <w:rPr>
          <w:rFonts w:ascii="Times New Roman" w:hAnsi="Times New Roman" w:cs="Times New Roman"/>
          <w:b/>
          <w:smallCaps/>
          <w:sz w:val="24"/>
          <w:szCs w:val="24"/>
        </w:rPr>
      </w:pPr>
      <w:r w:rsidRPr="00CF44CA">
        <w:rPr>
          <w:rFonts w:ascii="Times New Roman" w:hAnsi="Times New Roman" w:cs="Times New Roman"/>
          <w:bCs/>
          <w:sz w:val="24"/>
          <w:szCs w:val="24"/>
        </w:rPr>
        <w:t>An open-label, non-randomised single-arm study (HGT-FIR-086) was performed with a total of 32 patients. All patients received at least one dose of icatibant (0.4 mg/kg body weight up to a maximum dose of 30 mg) and the majority of patients were followed up for a minimum of 6</w:t>
      </w:r>
      <w:r w:rsidRPr="00CF44CA">
        <w:rPr>
          <w:rFonts w:ascii="Times New Roman" w:hAnsi="Times New Roman" w:cs="Times New Roman"/>
          <w:b/>
          <w:smallCaps/>
          <w:sz w:val="24"/>
          <w:szCs w:val="24"/>
        </w:rPr>
        <w:t xml:space="preserve"> </w:t>
      </w:r>
      <w:r w:rsidRPr="00CF44CA">
        <w:rPr>
          <w:rFonts w:ascii="Times New Roman" w:hAnsi="Times New Roman" w:cs="Times New Roman"/>
          <w:bCs/>
          <w:sz w:val="24"/>
          <w:szCs w:val="24"/>
        </w:rPr>
        <w:lastRenderedPageBreak/>
        <w:t>months. Eleven patients were of prepubertal status and 21 patients were e</w:t>
      </w:r>
      <w:r w:rsidR="00E90AB3">
        <w:rPr>
          <w:rFonts w:ascii="Times New Roman" w:hAnsi="Times New Roman" w:cs="Times New Roman"/>
          <w:bCs/>
          <w:sz w:val="24"/>
          <w:szCs w:val="24"/>
        </w:rPr>
        <w:t xml:space="preserve">ither pubertal or </w:t>
      </w:r>
      <w:proofErr w:type="spellStart"/>
      <w:r w:rsidR="00E90AB3">
        <w:rPr>
          <w:rFonts w:ascii="Times New Roman" w:hAnsi="Times New Roman" w:cs="Times New Roman"/>
          <w:bCs/>
          <w:sz w:val="24"/>
          <w:szCs w:val="24"/>
        </w:rPr>
        <w:t>postpubertal</w:t>
      </w:r>
      <w:proofErr w:type="spellEnd"/>
      <w:r w:rsidR="00E90AB3">
        <w:rPr>
          <w:rFonts w:ascii="Times New Roman" w:hAnsi="Times New Roman" w:cs="Times New Roman"/>
          <w:bCs/>
          <w:sz w:val="24"/>
          <w:szCs w:val="24"/>
        </w:rPr>
        <w:t>.</w:t>
      </w:r>
    </w:p>
    <w:p w14:paraId="66C4A216" w14:textId="279AD841" w:rsidR="005A0276" w:rsidRPr="00CF44CA" w:rsidRDefault="005A0276"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The efficacy population consisted of 22 patients who had been treated with icatibant (11 prepubertal and 11 pubertal/postpubertal) for a fir</w:t>
      </w:r>
      <w:r w:rsidR="00E90AB3">
        <w:rPr>
          <w:rFonts w:ascii="Times New Roman" w:hAnsi="Times New Roman" w:cs="Times New Roman"/>
          <w:bCs/>
          <w:sz w:val="24"/>
          <w:szCs w:val="24"/>
        </w:rPr>
        <w:t>st HAE attack.</w:t>
      </w:r>
    </w:p>
    <w:p w14:paraId="11DB4527" w14:textId="77777777" w:rsidR="005A0276" w:rsidRPr="00CF44CA" w:rsidRDefault="005A0276"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The primary efficacy endpoint was the time to onset of symptom relief measured using a composite investigator-reported symptom score. Time to symptom relief was defined as the duration of time (in hours) taken for improvement of symptoms to occur by a magnitude of 20%. Table 5 shows the efficacy results for HGT-FIR-086.</w:t>
      </w:r>
    </w:p>
    <w:p w14:paraId="1752CCF0" w14:textId="22D4EFEE" w:rsidR="005A0276" w:rsidRPr="00CF44CA" w:rsidRDefault="005A0276" w:rsidP="005A0276">
      <w:pPr>
        <w:autoSpaceDE w:val="0"/>
        <w:autoSpaceDN w:val="0"/>
        <w:adjustRightInd w:val="0"/>
        <w:spacing w:after="120" w:line="240" w:lineRule="auto"/>
        <w:rPr>
          <w:rFonts w:ascii="Times New Roman" w:hAnsi="Times New Roman" w:cs="Times New Roman"/>
          <w:b/>
          <w:bCs/>
        </w:rPr>
      </w:pPr>
      <w:r w:rsidRPr="00CF44CA">
        <w:rPr>
          <w:rFonts w:ascii="Times New Roman" w:hAnsi="Times New Roman" w:cs="Times New Roman"/>
          <w:b/>
          <w:bCs/>
        </w:rPr>
        <w:t>Table 5: E</w:t>
      </w:r>
      <w:r w:rsidR="00E90AB3">
        <w:rPr>
          <w:rFonts w:ascii="Times New Roman" w:hAnsi="Times New Roman" w:cs="Times New Roman"/>
          <w:b/>
          <w:bCs/>
        </w:rPr>
        <w:t>fficacy Results for HGT-FIR-086</w:t>
      </w:r>
    </w:p>
    <w:tbl>
      <w:tblPr>
        <w:tblStyle w:val="TableGrid"/>
        <w:tblW w:w="9468" w:type="dxa"/>
        <w:tblLayout w:type="fixed"/>
        <w:tblLook w:val="04A0" w:firstRow="1" w:lastRow="0" w:firstColumn="1" w:lastColumn="0" w:noHBand="0" w:noVBand="1"/>
      </w:tblPr>
      <w:tblGrid>
        <w:gridCol w:w="2718"/>
        <w:gridCol w:w="2340"/>
        <w:gridCol w:w="2340"/>
        <w:gridCol w:w="2070"/>
      </w:tblGrid>
      <w:tr w:rsidR="005A0276" w:rsidRPr="00CF44CA" w14:paraId="76F7C804" w14:textId="77777777" w:rsidTr="004502F1">
        <w:tc>
          <w:tcPr>
            <w:tcW w:w="2718" w:type="dxa"/>
          </w:tcPr>
          <w:p w14:paraId="5E8CDB58" w14:textId="77777777" w:rsidR="005A0276" w:rsidRPr="00CF44CA" w:rsidRDefault="005A0276" w:rsidP="004502F1">
            <w:pPr>
              <w:autoSpaceDE w:val="0"/>
              <w:autoSpaceDN w:val="0"/>
              <w:adjustRightInd w:val="0"/>
              <w:rPr>
                <w:rFonts w:ascii="Times New Roman" w:hAnsi="Times New Roman" w:cs="Times New Roman"/>
                <w:b/>
                <w:bCs/>
                <w:sz w:val="21"/>
                <w:szCs w:val="21"/>
              </w:rPr>
            </w:pPr>
            <w:r w:rsidRPr="00CF44CA">
              <w:rPr>
                <w:rFonts w:ascii="Times New Roman" w:hAnsi="Times New Roman" w:cs="Times New Roman"/>
                <w:b/>
                <w:bCs/>
                <w:sz w:val="21"/>
                <w:szCs w:val="21"/>
              </w:rPr>
              <w:t>Parameter</w:t>
            </w:r>
          </w:p>
        </w:tc>
        <w:tc>
          <w:tcPr>
            <w:tcW w:w="2340" w:type="dxa"/>
          </w:tcPr>
          <w:p w14:paraId="5CC795BC" w14:textId="77777777" w:rsidR="005A0276" w:rsidRPr="00CF44CA" w:rsidRDefault="005A0276" w:rsidP="004502F1">
            <w:pPr>
              <w:autoSpaceDE w:val="0"/>
              <w:autoSpaceDN w:val="0"/>
              <w:adjustRightInd w:val="0"/>
              <w:jc w:val="center"/>
              <w:rPr>
                <w:rFonts w:ascii="Times New Roman" w:hAnsi="Times New Roman" w:cs="Times New Roman"/>
                <w:b/>
                <w:bCs/>
                <w:sz w:val="21"/>
                <w:szCs w:val="21"/>
              </w:rPr>
            </w:pPr>
            <w:r w:rsidRPr="00CF44CA">
              <w:rPr>
                <w:rFonts w:ascii="Times New Roman" w:hAnsi="Times New Roman" w:cs="Times New Roman"/>
                <w:b/>
                <w:bCs/>
                <w:sz w:val="21"/>
                <w:szCs w:val="21"/>
              </w:rPr>
              <w:t>Prepubertal</w:t>
            </w:r>
          </w:p>
          <w:p w14:paraId="6FC8342C" w14:textId="77777777" w:rsidR="005A0276" w:rsidRPr="00CF44CA" w:rsidRDefault="005A0276" w:rsidP="004502F1">
            <w:pPr>
              <w:autoSpaceDE w:val="0"/>
              <w:autoSpaceDN w:val="0"/>
              <w:adjustRightInd w:val="0"/>
              <w:jc w:val="center"/>
              <w:rPr>
                <w:rFonts w:ascii="Times New Roman" w:hAnsi="Times New Roman" w:cs="Times New Roman"/>
                <w:b/>
                <w:bCs/>
                <w:sz w:val="21"/>
                <w:szCs w:val="21"/>
              </w:rPr>
            </w:pPr>
            <w:r w:rsidRPr="00CF44CA">
              <w:rPr>
                <w:rFonts w:ascii="Times New Roman" w:hAnsi="Times New Roman" w:cs="Times New Roman"/>
                <w:b/>
                <w:bCs/>
                <w:sz w:val="21"/>
                <w:szCs w:val="21"/>
              </w:rPr>
              <w:t>(n=11)</w:t>
            </w:r>
          </w:p>
        </w:tc>
        <w:tc>
          <w:tcPr>
            <w:tcW w:w="2340" w:type="dxa"/>
          </w:tcPr>
          <w:p w14:paraId="6E8664E2" w14:textId="77777777" w:rsidR="005A0276" w:rsidRPr="00CF44CA" w:rsidRDefault="005A0276" w:rsidP="004502F1">
            <w:pPr>
              <w:autoSpaceDE w:val="0"/>
              <w:autoSpaceDN w:val="0"/>
              <w:adjustRightInd w:val="0"/>
              <w:jc w:val="center"/>
              <w:rPr>
                <w:rFonts w:ascii="Times New Roman" w:hAnsi="Times New Roman" w:cs="Times New Roman"/>
                <w:b/>
                <w:bCs/>
                <w:sz w:val="21"/>
                <w:szCs w:val="21"/>
              </w:rPr>
            </w:pPr>
            <w:r w:rsidRPr="00CF44CA">
              <w:rPr>
                <w:rFonts w:ascii="Times New Roman" w:hAnsi="Times New Roman" w:cs="Times New Roman"/>
                <w:b/>
                <w:bCs/>
                <w:sz w:val="21"/>
                <w:szCs w:val="21"/>
              </w:rPr>
              <w:t>Pubertal/Postpubertal</w:t>
            </w:r>
          </w:p>
          <w:p w14:paraId="34D91755" w14:textId="77777777" w:rsidR="005A0276" w:rsidRPr="00CF44CA" w:rsidRDefault="005A0276" w:rsidP="004502F1">
            <w:pPr>
              <w:autoSpaceDE w:val="0"/>
              <w:autoSpaceDN w:val="0"/>
              <w:adjustRightInd w:val="0"/>
              <w:jc w:val="center"/>
              <w:rPr>
                <w:rFonts w:ascii="Times New Roman" w:hAnsi="Times New Roman" w:cs="Times New Roman"/>
                <w:b/>
                <w:bCs/>
                <w:sz w:val="21"/>
                <w:szCs w:val="21"/>
              </w:rPr>
            </w:pPr>
            <w:r w:rsidRPr="00CF44CA">
              <w:rPr>
                <w:rFonts w:ascii="Times New Roman" w:hAnsi="Times New Roman" w:cs="Times New Roman"/>
                <w:b/>
                <w:bCs/>
                <w:sz w:val="21"/>
                <w:szCs w:val="21"/>
              </w:rPr>
              <w:t>(n=11)</w:t>
            </w:r>
          </w:p>
        </w:tc>
        <w:tc>
          <w:tcPr>
            <w:tcW w:w="2070" w:type="dxa"/>
          </w:tcPr>
          <w:p w14:paraId="0760DAA5" w14:textId="77777777" w:rsidR="005A0276" w:rsidRPr="00CF44CA" w:rsidRDefault="005A0276" w:rsidP="004502F1">
            <w:pPr>
              <w:autoSpaceDE w:val="0"/>
              <w:autoSpaceDN w:val="0"/>
              <w:adjustRightInd w:val="0"/>
              <w:jc w:val="center"/>
              <w:rPr>
                <w:rFonts w:ascii="Times New Roman" w:hAnsi="Times New Roman" w:cs="Times New Roman"/>
                <w:b/>
                <w:bCs/>
                <w:sz w:val="21"/>
                <w:szCs w:val="21"/>
              </w:rPr>
            </w:pPr>
            <w:r w:rsidRPr="00CF44CA">
              <w:rPr>
                <w:rFonts w:ascii="Times New Roman" w:hAnsi="Times New Roman" w:cs="Times New Roman"/>
                <w:b/>
                <w:bCs/>
                <w:sz w:val="21"/>
                <w:szCs w:val="21"/>
              </w:rPr>
              <w:t>Overall</w:t>
            </w:r>
          </w:p>
          <w:p w14:paraId="29B0995A" w14:textId="77777777" w:rsidR="005A0276" w:rsidRPr="00CF44CA" w:rsidRDefault="005A0276" w:rsidP="004502F1">
            <w:pPr>
              <w:autoSpaceDE w:val="0"/>
              <w:autoSpaceDN w:val="0"/>
              <w:adjustRightInd w:val="0"/>
              <w:jc w:val="center"/>
              <w:rPr>
                <w:rFonts w:ascii="Times New Roman" w:hAnsi="Times New Roman" w:cs="Times New Roman"/>
                <w:b/>
                <w:bCs/>
                <w:sz w:val="21"/>
                <w:szCs w:val="21"/>
              </w:rPr>
            </w:pPr>
            <w:r w:rsidRPr="00CF44CA">
              <w:rPr>
                <w:rFonts w:ascii="Times New Roman" w:hAnsi="Times New Roman" w:cs="Times New Roman"/>
                <w:b/>
                <w:bCs/>
                <w:sz w:val="21"/>
                <w:szCs w:val="21"/>
              </w:rPr>
              <w:t>(n=22)</w:t>
            </w:r>
          </w:p>
        </w:tc>
      </w:tr>
      <w:tr w:rsidR="005A0276" w:rsidRPr="00CF44CA" w14:paraId="649FC8A5" w14:textId="77777777" w:rsidTr="004502F1">
        <w:tc>
          <w:tcPr>
            <w:tcW w:w="2718" w:type="dxa"/>
          </w:tcPr>
          <w:p w14:paraId="1AC135BF" w14:textId="77777777" w:rsidR="005A0276" w:rsidRPr="00CF44CA" w:rsidRDefault="005A0276" w:rsidP="004502F1">
            <w:pPr>
              <w:autoSpaceDE w:val="0"/>
              <w:autoSpaceDN w:val="0"/>
              <w:adjustRightInd w:val="0"/>
              <w:rPr>
                <w:rFonts w:ascii="Times New Roman" w:hAnsi="Times New Roman" w:cs="Times New Roman"/>
                <w:bCs/>
                <w:sz w:val="21"/>
                <w:szCs w:val="21"/>
              </w:rPr>
            </w:pPr>
            <w:r w:rsidRPr="00CF44CA">
              <w:rPr>
                <w:rFonts w:ascii="Times New Roman" w:hAnsi="Times New Roman" w:cs="Times New Roman"/>
                <w:bCs/>
                <w:sz w:val="21"/>
                <w:szCs w:val="21"/>
              </w:rPr>
              <w:t>Median time to onset of symptom relief (h)</w:t>
            </w:r>
          </w:p>
        </w:tc>
        <w:tc>
          <w:tcPr>
            <w:tcW w:w="2340" w:type="dxa"/>
          </w:tcPr>
          <w:p w14:paraId="01379045" w14:textId="77777777" w:rsidR="005A0276" w:rsidRPr="00CF44CA" w:rsidRDefault="005A0276" w:rsidP="004502F1">
            <w:pPr>
              <w:autoSpaceDE w:val="0"/>
              <w:autoSpaceDN w:val="0"/>
              <w:adjustRightInd w:val="0"/>
              <w:jc w:val="center"/>
              <w:rPr>
                <w:rFonts w:ascii="Times New Roman" w:hAnsi="Times New Roman" w:cs="Times New Roman"/>
                <w:bCs/>
                <w:sz w:val="21"/>
                <w:szCs w:val="21"/>
              </w:rPr>
            </w:pPr>
            <w:r w:rsidRPr="00CF44CA">
              <w:rPr>
                <w:rFonts w:ascii="Times New Roman" w:hAnsi="Times New Roman" w:cs="Times New Roman"/>
                <w:bCs/>
                <w:sz w:val="21"/>
                <w:szCs w:val="21"/>
              </w:rPr>
              <w:t>1.0</w:t>
            </w:r>
          </w:p>
        </w:tc>
        <w:tc>
          <w:tcPr>
            <w:tcW w:w="2340" w:type="dxa"/>
          </w:tcPr>
          <w:p w14:paraId="4BA65D2A" w14:textId="77777777" w:rsidR="005A0276" w:rsidRPr="00CF44CA" w:rsidRDefault="005A0276" w:rsidP="004502F1">
            <w:pPr>
              <w:autoSpaceDE w:val="0"/>
              <w:autoSpaceDN w:val="0"/>
              <w:adjustRightInd w:val="0"/>
              <w:jc w:val="center"/>
              <w:rPr>
                <w:rFonts w:ascii="Times New Roman" w:hAnsi="Times New Roman" w:cs="Times New Roman"/>
                <w:bCs/>
                <w:sz w:val="21"/>
                <w:szCs w:val="21"/>
              </w:rPr>
            </w:pPr>
            <w:r w:rsidRPr="00CF44CA">
              <w:rPr>
                <w:rFonts w:ascii="Times New Roman" w:hAnsi="Times New Roman" w:cs="Times New Roman"/>
                <w:bCs/>
                <w:sz w:val="21"/>
                <w:szCs w:val="21"/>
              </w:rPr>
              <w:t>1.0</w:t>
            </w:r>
          </w:p>
        </w:tc>
        <w:tc>
          <w:tcPr>
            <w:tcW w:w="2070" w:type="dxa"/>
          </w:tcPr>
          <w:p w14:paraId="4850F3A4" w14:textId="77777777" w:rsidR="005A0276" w:rsidRPr="00CF44CA" w:rsidRDefault="005A0276" w:rsidP="004502F1">
            <w:pPr>
              <w:autoSpaceDE w:val="0"/>
              <w:autoSpaceDN w:val="0"/>
              <w:adjustRightInd w:val="0"/>
              <w:jc w:val="center"/>
              <w:rPr>
                <w:rFonts w:ascii="Times New Roman" w:hAnsi="Times New Roman" w:cs="Times New Roman"/>
                <w:bCs/>
                <w:sz w:val="21"/>
                <w:szCs w:val="21"/>
              </w:rPr>
            </w:pPr>
            <w:r w:rsidRPr="00CF44CA">
              <w:rPr>
                <w:rFonts w:ascii="Times New Roman" w:hAnsi="Times New Roman" w:cs="Times New Roman"/>
                <w:bCs/>
                <w:sz w:val="21"/>
                <w:szCs w:val="21"/>
              </w:rPr>
              <w:t>1.0</w:t>
            </w:r>
          </w:p>
        </w:tc>
      </w:tr>
      <w:tr w:rsidR="005A0276" w:rsidRPr="00CF44CA" w14:paraId="754920CD" w14:textId="77777777" w:rsidTr="004502F1">
        <w:tc>
          <w:tcPr>
            <w:tcW w:w="2718" w:type="dxa"/>
          </w:tcPr>
          <w:p w14:paraId="60E15BA0" w14:textId="77777777" w:rsidR="005A0276" w:rsidRPr="00CF44CA" w:rsidRDefault="005A0276" w:rsidP="004502F1">
            <w:pPr>
              <w:autoSpaceDE w:val="0"/>
              <w:autoSpaceDN w:val="0"/>
              <w:adjustRightInd w:val="0"/>
              <w:rPr>
                <w:rFonts w:ascii="Times New Roman" w:hAnsi="Times New Roman" w:cs="Times New Roman"/>
                <w:bCs/>
                <w:sz w:val="21"/>
                <w:szCs w:val="21"/>
              </w:rPr>
            </w:pPr>
            <w:r w:rsidRPr="00CF44CA">
              <w:rPr>
                <w:rFonts w:ascii="Times New Roman" w:hAnsi="Times New Roman" w:cs="Times New Roman"/>
                <w:bCs/>
                <w:sz w:val="21"/>
                <w:szCs w:val="21"/>
              </w:rPr>
              <w:t>95% CI for median time (h)</w:t>
            </w:r>
          </w:p>
        </w:tc>
        <w:tc>
          <w:tcPr>
            <w:tcW w:w="2340" w:type="dxa"/>
          </w:tcPr>
          <w:p w14:paraId="4084E25D" w14:textId="77777777" w:rsidR="005A0276" w:rsidRPr="00CF44CA" w:rsidRDefault="005A0276" w:rsidP="004502F1">
            <w:pPr>
              <w:autoSpaceDE w:val="0"/>
              <w:autoSpaceDN w:val="0"/>
              <w:adjustRightInd w:val="0"/>
              <w:jc w:val="center"/>
              <w:rPr>
                <w:rFonts w:ascii="Times New Roman" w:hAnsi="Times New Roman" w:cs="Times New Roman"/>
                <w:bCs/>
                <w:sz w:val="21"/>
                <w:szCs w:val="21"/>
              </w:rPr>
            </w:pPr>
            <w:r w:rsidRPr="00CF44CA">
              <w:rPr>
                <w:rFonts w:ascii="Times New Roman" w:hAnsi="Times New Roman" w:cs="Times New Roman"/>
                <w:bCs/>
                <w:sz w:val="21"/>
                <w:szCs w:val="21"/>
              </w:rPr>
              <w:t>1.0, 2.0</w:t>
            </w:r>
          </w:p>
        </w:tc>
        <w:tc>
          <w:tcPr>
            <w:tcW w:w="2340" w:type="dxa"/>
          </w:tcPr>
          <w:p w14:paraId="44ECF070" w14:textId="77777777" w:rsidR="005A0276" w:rsidRPr="00CF44CA" w:rsidRDefault="005A0276" w:rsidP="004502F1">
            <w:pPr>
              <w:autoSpaceDE w:val="0"/>
              <w:autoSpaceDN w:val="0"/>
              <w:adjustRightInd w:val="0"/>
              <w:jc w:val="center"/>
              <w:rPr>
                <w:rFonts w:ascii="Times New Roman" w:hAnsi="Times New Roman" w:cs="Times New Roman"/>
                <w:bCs/>
                <w:sz w:val="21"/>
                <w:szCs w:val="21"/>
              </w:rPr>
            </w:pPr>
            <w:r w:rsidRPr="00CF44CA">
              <w:rPr>
                <w:rFonts w:ascii="Times New Roman" w:hAnsi="Times New Roman" w:cs="Times New Roman"/>
                <w:bCs/>
                <w:sz w:val="21"/>
                <w:szCs w:val="21"/>
              </w:rPr>
              <w:t>1.0, 2.0</w:t>
            </w:r>
          </w:p>
        </w:tc>
        <w:tc>
          <w:tcPr>
            <w:tcW w:w="2070" w:type="dxa"/>
          </w:tcPr>
          <w:p w14:paraId="50D0CCAE" w14:textId="77777777" w:rsidR="005A0276" w:rsidRPr="00CF44CA" w:rsidRDefault="005A0276" w:rsidP="004502F1">
            <w:pPr>
              <w:autoSpaceDE w:val="0"/>
              <w:autoSpaceDN w:val="0"/>
              <w:adjustRightInd w:val="0"/>
              <w:jc w:val="center"/>
              <w:rPr>
                <w:rFonts w:ascii="Times New Roman" w:hAnsi="Times New Roman" w:cs="Times New Roman"/>
                <w:bCs/>
                <w:sz w:val="21"/>
                <w:szCs w:val="21"/>
              </w:rPr>
            </w:pPr>
            <w:r w:rsidRPr="00CF44CA">
              <w:rPr>
                <w:rFonts w:ascii="Times New Roman" w:hAnsi="Times New Roman" w:cs="Times New Roman"/>
                <w:bCs/>
                <w:sz w:val="21"/>
                <w:szCs w:val="21"/>
              </w:rPr>
              <w:t xml:space="preserve">1.0, 1.1 </w:t>
            </w:r>
          </w:p>
        </w:tc>
      </w:tr>
      <w:tr w:rsidR="00640A34" w:rsidRPr="00CF44CA" w14:paraId="32620B96" w14:textId="77777777" w:rsidTr="00640A34">
        <w:tc>
          <w:tcPr>
            <w:tcW w:w="2718" w:type="dxa"/>
          </w:tcPr>
          <w:p w14:paraId="117C4067" w14:textId="77777777" w:rsidR="00640A34" w:rsidRPr="00CF44CA" w:rsidRDefault="00640A34" w:rsidP="004502F1">
            <w:pPr>
              <w:autoSpaceDE w:val="0"/>
              <w:autoSpaceDN w:val="0"/>
              <w:adjustRightInd w:val="0"/>
              <w:rPr>
                <w:rFonts w:ascii="Times New Roman" w:hAnsi="Times New Roman" w:cs="Times New Roman"/>
                <w:bCs/>
                <w:sz w:val="21"/>
                <w:szCs w:val="21"/>
              </w:rPr>
            </w:pPr>
            <w:r w:rsidRPr="00CF44CA">
              <w:rPr>
                <w:rFonts w:ascii="Times New Roman" w:hAnsi="Times New Roman" w:cs="Times New Roman"/>
                <w:bCs/>
                <w:sz w:val="21"/>
                <w:szCs w:val="21"/>
              </w:rPr>
              <w:t>Minimum, Maximum time to onset of symptom relief (h)</w:t>
            </w:r>
          </w:p>
        </w:tc>
        <w:tc>
          <w:tcPr>
            <w:tcW w:w="2340" w:type="dxa"/>
          </w:tcPr>
          <w:p w14:paraId="66BF607E" w14:textId="77777777" w:rsidR="00640A34" w:rsidRPr="00CF44CA" w:rsidRDefault="00640A34" w:rsidP="004502F1">
            <w:pPr>
              <w:autoSpaceDE w:val="0"/>
              <w:autoSpaceDN w:val="0"/>
              <w:adjustRightInd w:val="0"/>
              <w:jc w:val="center"/>
              <w:rPr>
                <w:rFonts w:ascii="Times New Roman" w:hAnsi="Times New Roman" w:cs="Times New Roman"/>
                <w:bCs/>
                <w:sz w:val="21"/>
                <w:szCs w:val="21"/>
              </w:rPr>
            </w:pPr>
            <w:r w:rsidRPr="00CF44CA">
              <w:rPr>
                <w:rFonts w:ascii="Times New Roman" w:hAnsi="Times New Roman" w:cs="Times New Roman"/>
                <w:bCs/>
                <w:sz w:val="21"/>
                <w:szCs w:val="21"/>
              </w:rPr>
              <w:t>1.0, 3.9</w:t>
            </w:r>
          </w:p>
        </w:tc>
        <w:tc>
          <w:tcPr>
            <w:tcW w:w="2340" w:type="dxa"/>
          </w:tcPr>
          <w:p w14:paraId="56E5C100" w14:textId="77777777" w:rsidR="00640A34" w:rsidRPr="00CF44CA" w:rsidRDefault="00640A34" w:rsidP="004502F1">
            <w:pPr>
              <w:autoSpaceDE w:val="0"/>
              <w:autoSpaceDN w:val="0"/>
              <w:adjustRightInd w:val="0"/>
              <w:jc w:val="center"/>
              <w:rPr>
                <w:rFonts w:ascii="Times New Roman" w:hAnsi="Times New Roman" w:cs="Times New Roman"/>
                <w:bCs/>
                <w:sz w:val="21"/>
                <w:szCs w:val="21"/>
              </w:rPr>
            </w:pPr>
            <w:r w:rsidRPr="00CF44CA">
              <w:rPr>
                <w:rFonts w:ascii="Times New Roman" w:hAnsi="Times New Roman" w:cs="Times New Roman"/>
                <w:bCs/>
                <w:sz w:val="21"/>
                <w:szCs w:val="21"/>
              </w:rPr>
              <w:t>0.8, 2.0</w:t>
            </w:r>
          </w:p>
        </w:tc>
        <w:tc>
          <w:tcPr>
            <w:tcW w:w="2070" w:type="dxa"/>
          </w:tcPr>
          <w:p w14:paraId="472A072C" w14:textId="77777777" w:rsidR="00640A34" w:rsidRPr="00CF44CA" w:rsidRDefault="00640A34" w:rsidP="004502F1">
            <w:pPr>
              <w:autoSpaceDE w:val="0"/>
              <w:autoSpaceDN w:val="0"/>
              <w:adjustRightInd w:val="0"/>
              <w:jc w:val="center"/>
              <w:rPr>
                <w:rFonts w:ascii="Times New Roman" w:hAnsi="Times New Roman" w:cs="Times New Roman"/>
                <w:bCs/>
                <w:sz w:val="21"/>
                <w:szCs w:val="21"/>
              </w:rPr>
            </w:pPr>
            <w:r w:rsidRPr="00CF44CA">
              <w:rPr>
                <w:rFonts w:ascii="Times New Roman" w:hAnsi="Times New Roman" w:cs="Times New Roman"/>
                <w:bCs/>
                <w:sz w:val="21"/>
                <w:szCs w:val="21"/>
              </w:rPr>
              <w:t>0.8, 3.9</w:t>
            </w:r>
          </w:p>
        </w:tc>
      </w:tr>
    </w:tbl>
    <w:p w14:paraId="59085200" w14:textId="77777777" w:rsidR="005A0276" w:rsidRPr="00CF44CA" w:rsidRDefault="005A0276"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At 1 and 2 hours post treatment, approximately 50% and 90% of patients experienced onset of symptom relief, respectively.</w:t>
      </w:r>
    </w:p>
    <w:p w14:paraId="14B81765" w14:textId="77777777" w:rsidR="005A0276" w:rsidRPr="00CF44CA" w:rsidRDefault="005A0276"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Overall, the median time to minimal symptoms (earliest time post treatment when all symptoms were either mild or absent) was 1.1 hours (95% CI: 1.0-2.0 hours).</w:t>
      </w:r>
    </w:p>
    <w:p w14:paraId="6FFFA7AF" w14:textId="77777777" w:rsidR="00AC2205" w:rsidRPr="00CF44CA" w:rsidRDefault="00AC2205" w:rsidP="00E90AB3">
      <w:pPr>
        <w:pStyle w:val="Heading2"/>
        <w:widowControl w:val="0"/>
        <w:numPr>
          <w:ilvl w:val="0"/>
          <w:numId w:val="0"/>
        </w:numPr>
        <w:spacing w:before="120" w:after="180" w:line="240" w:lineRule="auto"/>
        <w:ind w:left="567" w:hanging="567"/>
        <w:rPr>
          <w:rFonts w:ascii="Times New Roman" w:hAnsi="Times New Roman" w:cs="Times New Roman"/>
          <w:b w:val="0"/>
          <w:szCs w:val="24"/>
        </w:rPr>
      </w:pPr>
      <w:r w:rsidRPr="00CF44CA">
        <w:rPr>
          <w:rFonts w:ascii="Times New Roman" w:hAnsi="Times New Roman" w:cs="Times New Roman"/>
          <w:szCs w:val="24"/>
        </w:rPr>
        <w:t>5.2</w:t>
      </w:r>
      <w:r w:rsidRPr="00CF44CA">
        <w:rPr>
          <w:rFonts w:ascii="Times New Roman" w:hAnsi="Times New Roman" w:cs="Times New Roman"/>
          <w:szCs w:val="24"/>
        </w:rPr>
        <w:tab/>
        <w:t xml:space="preserve">PHARMACOKINETIC PROPERTIES </w:t>
      </w:r>
    </w:p>
    <w:p w14:paraId="0DA12930" w14:textId="37FF4356" w:rsidR="00A32083" w:rsidRPr="00CF44CA" w:rsidRDefault="00A32083"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The pharmacokinetics of </w:t>
      </w:r>
      <w:proofErr w:type="spellStart"/>
      <w:r w:rsidRPr="00CF44CA">
        <w:rPr>
          <w:rFonts w:ascii="Times New Roman" w:hAnsi="Times New Roman" w:cs="Times New Roman"/>
          <w:bCs/>
          <w:sz w:val="24"/>
          <w:szCs w:val="24"/>
        </w:rPr>
        <w:t>icatibant</w:t>
      </w:r>
      <w:proofErr w:type="spellEnd"/>
      <w:r w:rsidRPr="00CF44CA">
        <w:rPr>
          <w:rFonts w:ascii="Times New Roman" w:hAnsi="Times New Roman" w:cs="Times New Roman"/>
          <w:bCs/>
          <w:sz w:val="24"/>
          <w:szCs w:val="24"/>
        </w:rPr>
        <w:t xml:space="preserve"> has been extensively characterised by studies using both intravenous and subcutaneous administration to healthy volunteers and patients. The pharmacokinetic profile of icatibant in patients with </w:t>
      </w:r>
      <w:r w:rsidRPr="00CF44CA">
        <w:rPr>
          <w:rFonts w:ascii="Times New Roman" w:hAnsi="Times New Roman" w:cs="Times New Roman"/>
          <w:sz w:val="24"/>
          <w:szCs w:val="24"/>
        </w:rPr>
        <w:t>HAE</w:t>
      </w:r>
      <w:r w:rsidRPr="00CF44CA">
        <w:rPr>
          <w:rFonts w:ascii="Times New Roman" w:hAnsi="Times New Roman" w:cs="Times New Roman"/>
          <w:bCs/>
          <w:sz w:val="24"/>
          <w:szCs w:val="24"/>
        </w:rPr>
        <w:t xml:space="preserve"> is similar</w:t>
      </w:r>
      <w:r w:rsidR="00E90AB3">
        <w:rPr>
          <w:rFonts w:ascii="Times New Roman" w:hAnsi="Times New Roman" w:cs="Times New Roman"/>
          <w:bCs/>
          <w:sz w:val="24"/>
          <w:szCs w:val="24"/>
        </w:rPr>
        <w:t xml:space="preserve"> to that in healthy volunteers.</w:t>
      </w:r>
    </w:p>
    <w:p w14:paraId="2B018854" w14:textId="77777777" w:rsidR="00A32083" w:rsidRPr="00CF44CA" w:rsidRDefault="00A32083" w:rsidP="00E90AB3">
      <w:pPr>
        <w:autoSpaceDE w:val="0"/>
        <w:autoSpaceDN w:val="0"/>
        <w:adjustRightInd w:val="0"/>
        <w:spacing w:before="120" w:after="180" w:line="240" w:lineRule="auto"/>
        <w:rPr>
          <w:rFonts w:ascii="Times New Roman" w:hAnsi="Times New Roman" w:cs="Times New Roman"/>
          <w:b/>
          <w:iCs/>
          <w:sz w:val="24"/>
          <w:szCs w:val="24"/>
        </w:rPr>
      </w:pPr>
      <w:r w:rsidRPr="00CF44CA">
        <w:rPr>
          <w:rFonts w:ascii="Times New Roman" w:hAnsi="Times New Roman" w:cs="Times New Roman"/>
          <w:b/>
          <w:iCs/>
          <w:sz w:val="24"/>
          <w:szCs w:val="24"/>
        </w:rPr>
        <w:t>Absorption</w:t>
      </w:r>
    </w:p>
    <w:p w14:paraId="14DC4C08" w14:textId="77777777" w:rsidR="00A32083" w:rsidRPr="00CF44CA" w:rsidRDefault="00A32083"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Following subcutaneous administration, the absolute bioavailability of icatibant is 97%. The time to maximum concentration </w:t>
      </w:r>
      <w:r w:rsidR="005A0276" w:rsidRPr="00CF44CA">
        <w:rPr>
          <w:rFonts w:ascii="Times New Roman" w:hAnsi="Times New Roman" w:cs="Times New Roman"/>
          <w:bCs/>
          <w:sz w:val="24"/>
          <w:szCs w:val="24"/>
        </w:rPr>
        <w:t>(</w:t>
      </w:r>
      <w:proofErr w:type="spellStart"/>
      <w:r w:rsidR="005A0276" w:rsidRPr="00CF44CA">
        <w:rPr>
          <w:rFonts w:ascii="Times New Roman" w:hAnsi="Times New Roman" w:cs="Times New Roman"/>
          <w:bCs/>
          <w:sz w:val="24"/>
          <w:szCs w:val="24"/>
        </w:rPr>
        <w:t>t</w:t>
      </w:r>
      <w:r w:rsidR="005A0276" w:rsidRPr="00CF44CA">
        <w:rPr>
          <w:rFonts w:ascii="Times New Roman" w:hAnsi="Times New Roman" w:cs="Times New Roman"/>
          <w:bCs/>
          <w:sz w:val="24"/>
          <w:szCs w:val="24"/>
          <w:vertAlign w:val="subscript"/>
        </w:rPr>
        <w:t>max</w:t>
      </w:r>
      <w:proofErr w:type="spellEnd"/>
      <w:r w:rsidR="005A0276" w:rsidRPr="00CF44CA">
        <w:rPr>
          <w:rFonts w:ascii="Times New Roman" w:hAnsi="Times New Roman" w:cs="Times New Roman"/>
          <w:bCs/>
          <w:sz w:val="24"/>
          <w:szCs w:val="24"/>
        </w:rPr>
        <w:t xml:space="preserve">) </w:t>
      </w:r>
      <w:r w:rsidRPr="00CF44CA">
        <w:rPr>
          <w:rFonts w:ascii="Times New Roman" w:hAnsi="Times New Roman" w:cs="Times New Roman"/>
          <w:bCs/>
          <w:sz w:val="24"/>
          <w:szCs w:val="24"/>
        </w:rPr>
        <w:t>is approximately 0.5 hours.</w:t>
      </w:r>
    </w:p>
    <w:p w14:paraId="3848BC4F" w14:textId="77777777" w:rsidR="00A32083" w:rsidRPr="00CF44CA" w:rsidRDefault="00A32083" w:rsidP="00E90AB3">
      <w:pPr>
        <w:autoSpaceDE w:val="0"/>
        <w:autoSpaceDN w:val="0"/>
        <w:adjustRightInd w:val="0"/>
        <w:spacing w:before="120" w:after="180" w:line="240" w:lineRule="auto"/>
        <w:rPr>
          <w:rFonts w:ascii="Times New Roman" w:hAnsi="Times New Roman" w:cs="Times New Roman"/>
          <w:b/>
          <w:iCs/>
          <w:sz w:val="24"/>
          <w:szCs w:val="24"/>
        </w:rPr>
      </w:pPr>
      <w:r w:rsidRPr="00CF44CA">
        <w:rPr>
          <w:rFonts w:ascii="Times New Roman" w:hAnsi="Times New Roman" w:cs="Times New Roman"/>
          <w:b/>
          <w:iCs/>
          <w:sz w:val="24"/>
          <w:szCs w:val="24"/>
        </w:rPr>
        <w:t>Distribution</w:t>
      </w:r>
    </w:p>
    <w:p w14:paraId="4440D5E4" w14:textId="77777777" w:rsidR="00A32083" w:rsidRPr="00CF44CA" w:rsidRDefault="00A32083" w:rsidP="00E90AB3">
      <w:pPr>
        <w:autoSpaceDE w:val="0"/>
        <w:autoSpaceDN w:val="0"/>
        <w:adjustRightInd w:val="0"/>
        <w:spacing w:before="120" w:after="180" w:line="240" w:lineRule="auto"/>
        <w:rPr>
          <w:rFonts w:ascii="Times New Roman" w:hAnsi="Times New Roman" w:cs="Times New Roman"/>
          <w:bCs/>
          <w:sz w:val="24"/>
          <w:szCs w:val="24"/>
        </w:rPr>
      </w:pPr>
      <w:proofErr w:type="spellStart"/>
      <w:r w:rsidRPr="00CF44CA">
        <w:rPr>
          <w:rFonts w:ascii="Times New Roman" w:hAnsi="Times New Roman" w:cs="Times New Roman"/>
          <w:bCs/>
          <w:sz w:val="24"/>
          <w:szCs w:val="24"/>
        </w:rPr>
        <w:t>Icatibant</w:t>
      </w:r>
      <w:proofErr w:type="spellEnd"/>
      <w:r w:rsidRPr="00CF44CA">
        <w:rPr>
          <w:rFonts w:ascii="Times New Roman" w:hAnsi="Times New Roman" w:cs="Times New Roman"/>
          <w:bCs/>
          <w:sz w:val="24"/>
          <w:szCs w:val="24"/>
        </w:rPr>
        <w:t xml:space="preserve"> volume of distribution (</w:t>
      </w:r>
      <w:proofErr w:type="spellStart"/>
      <w:r w:rsidRPr="00CF44CA">
        <w:rPr>
          <w:rFonts w:ascii="Times New Roman" w:hAnsi="Times New Roman" w:cs="Times New Roman"/>
          <w:bCs/>
          <w:sz w:val="24"/>
          <w:szCs w:val="24"/>
        </w:rPr>
        <w:t>V</w:t>
      </w:r>
      <w:r w:rsidRPr="00CF44CA">
        <w:rPr>
          <w:rFonts w:ascii="Times New Roman" w:hAnsi="Times New Roman" w:cs="Times New Roman"/>
          <w:bCs/>
          <w:sz w:val="24"/>
          <w:szCs w:val="24"/>
          <w:vertAlign w:val="subscript"/>
        </w:rPr>
        <w:t>ss</w:t>
      </w:r>
      <w:proofErr w:type="spellEnd"/>
      <w:r w:rsidRPr="00CF44CA">
        <w:rPr>
          <w:rFonts w:ascii="Times New Roman" w:hAnsi="Times New Roman" w:cs="Times New Roman"/>
          <w:bCs/>
          <w:sz w:val="24"/>
          <w:szCs w:val="24"/>
        </w:rPr>
        <w:t>) is about 20-25 L. Plasma protein binding is 44%.</w:t>
      </w:r>
    </w:p>
    <w:p w14:paraId="57178A7B" w14:textId="77777777" w:rsidR="00A32083" w:rsidRPr="00CF44CA" w:rsidRDefault="00A32083" w:rsidP="00E90AB3">
      <w:pPr>
        <w:autoSpaceDE w:val="0"/>
        <w:autoSpaceDN w:val="0"/>
        <w:adjustRightInd w:val="0"/>
        <w:spacing w:before="120" w:after="180" w:line="240" w:lineRule="auto"/>
        <w:rPr>
          <w:rFonts w:ascii="Times New Roman" w:hAnsi="Times New Roman" w:cs="Times New Roman"/>
          <w:b/>
          <w:iCs/>
          <w:sz w:val="24"/>
          <w:szCs w:val="24"/>
        </w:rPr>
      </w:pPr>
      <w:r w:rsidRPr="00CF44CA">
        <w:rPr>
          <w:rFonts w:ascii="Times New Roman" w:hAnsi="Times New Roman" w:cs="Times New Roman"/>
          <w:b/>
          <w:iCs/>
          <w:sz w:val="24"/>
          <w:szCs w:val="24"/>
        </w:rPr>
        <w:t>Metabolism</w:t>
      </w:r>
    </w:p>
    <w:p w14:paraId="515AB60F" w14:textId="04F893A4" w:rsidR="00A32083" w:rsidRPr="00CF44CA" w:rsidRDefault="006A296F" w:rsidP="00E90AB3">
      <w:pPr>
        <w:autoSpaceDE w:val="0"/>
        <w:autoSpaceDN w:val="0"/>
        <w:adjustRightInd w:val="0"/>
        <w:spacing w:before="120" w:after="180" w:line="240" w:lineRule="auto"/>
        <w:rPr>
          <w:rFonts w:ascii="Times New Roman" w:hAnsi="Times New Roman" w:cs="Times New Roman"/>
          <w:bCs/>
          <w:sz w:val="24"/>
          <w:szCs w:val="24"/>
        </w:rPr>
      </w:pPr>
      <w:proofErr w:type="spellStart"/>
      <w:r w:rsidRPr="00CF44CA">
        <w:rPr>
          <w:rFonts w:ascii="Times New Roman" w:hAnsi="Times New Roman" w:cs="Times New Roman"/>
          <w:bCs/>
          <w:sz w:val="24"/>
          <w:szCs w:val="24"/>
        </w:rPr>
        <w:t>I</w:t>
      </w:r>
      <w:r w:rsidR="00A32083" w:rsidRPr="00CF44CA">
        <w:rPr>
          <w:rFonts w:ascii="Times New Roman" w:hAnsi="Times New Roman" w:cs="Times New Roman"/>
          <w:bCs/>
          <w:sz w:val="24"/>
          <w:szCs w:val="24"/>
        </w:rPr>
        <w:t>catibant</w:t>
      </w:r>
      <w:proofErr w:type="spellEnd"/>
      <w:r w:rsidR="00A32083" w:rsidRPr="00CF44CA">
        <w:rPr>
          <w:rFonts w:ascii="Times New Roman" w:hAnsi="Times New Roman" w:cs="Times New Roman"/>
          <w:bCs/>
          <w:sz w:val="24"/>
          <w:szCs w:val="24"/>
        </w:rPr>
        <w:t xml:space="preserve"> is extensively metabolised by proteolytic enzymes to inactive metabolites that are p</w:t>
      </w:r>
      <w:r w:rsidR="00E90AB3">
        <w:rPr>
          <w:rFonts w:ascii="Times New Roman" w:hAnsi="Times New Roman" w:cs="Times New Roman"/>
          <w:bCs/>
          <w:sz w:val="24"/>
          <w:szCs w:val="24"/>
        </w:rPr>
        <w:t>rimarily excreted in the urine.</w:t>
      </w:r>
    </w:p>
    <w:p w14:paraId="5208CAB9" w14:textId="77777777" w:rsidR="00A32083" w:rsidRPr="00CF44CA" w:rsidRDefault="00A32083"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i/>
          <w:sz w:val="24"/>
          <w:szCs w:val="24"/>
        </w:rPr>
        <w:t>In vitro</w:t>
      </w:r>
      <w:r w:rsidRPr="00CF44CA">
        <w:rPr>
          <w:rFonts w:ascii="Times New Roman" w:hAnsi="Times New Roman" w:cs="Times New Roman"/>
          <w:bCs/>
          <w:sz w:val="24"/>
          <w:szCs w:val="24"/>
        </w:rPr>
        <w:t xml:space="preserve"> studies have confirmed that icatibant is not degraded by oxidative metabolic pathways and is not an inhibitor of major cytochrome P450 (CYP) isoenzymes (CYP 1A2, 2A6, 2B6, 2C8, 2C9, 2C19, 2D6, 2E1, and 3A4) and is not an inducer of CYP 1A2 and 3A4.</w:t>
      </w:r>
    </w:p>
    <w:p w14:paraId="2458BEF6" w14:textId="77777777" w:rsidR="00A32083" w:rsidRPr="00CF44CA" w:rsidRDefault="00A32083" w:rsidP="00E90AB3">
      <w:pPr>
        <w:autoSpaceDE w:val="0"/>
        <w:autoSpaceDN w:val="0"/>
        <w:adjustRightInd w:val="0"/>
        <w:spacing w:before="120" w:after="180" w:line="240" w:lineRule="auto"/>
        <w:rPr>
          <w:rFonts w:ascii="Times New Roman" w:hAnsi="Times New Roman" w:cs="Times New Roman"/>
          <w:b/>
          <w:iCs/>
          <w:sz w:val="24"/>
          <w:szCs w:val="24"/>
        </w:rPr>
      </w:pPr>
      <w:r w:rsidRPr="00CF44CA">
        <w:rPr>
          <w:rFonts w:ascii="Times New Roman" w:hAnsi="Times New Roman" w:cs="Times New Roman"/>
          <w:b/>
          <w:iCs/>
          <w:sz w:val="24"/>
          <w:szCs w:val="24"/>
        </w:rPr>
        <w:t>E</w:t>
      </w:r>
      <w:r w:rsidR="00B57FF7" w:rsidRPr="00CF44CA">
        <w:rPr>
          <w:rFonts w:ascii="Times New Roman" w:hAnsi="Times New Roman" w:cs="Times New Roman"/>
          <w:b/>
          <w:iCs/>
          <w:sz w:val="24"/>
          <w:szCs w:val="24"/>
        </w:rPr>
        <w:t>xcretion</w:t>
      </w:r>
    </w:p>
    <w:p w14:paraId="2A75AC21" w14:textId="77777777" w:rsidR="00A32083" w:rsidRPr="00CF44CA" w:rsidRDefault="00A32083" w:rsidP="00E90AB3">
      <w:pPr>
        <w:autoSpaceDE w:val="0"/>
        <w:autoSpaceDN w:val="0"/>
        <w:adjustRightInd w:val="0"/>
        <w:spacing w:before="120" w:after="180" w:line="240" w:lineRule="auto"/>
        <w:rPr>
          <w:rFonts w:ascii="Times New Roman" w:hAnsi="Times New Roman" w:cs="Times New Roman"/>
          <w:bCs/>
          <w:sz w:val="24"/>
          <w:szCs w:val="24"/>
        </w:rPr>
      </w:pPr>
      <w:proofErr w:type="spellStart"/>
      <w:r w:rsidRPr="00CF44CA">
        <w:rPr>
          <w:rFonts w:ascii="Times New Roman" w:hAnsi="Times New Roman" w:cs="Times New Roman"/>
          <w:bCs/>
          <w:sz w:val="24"/>
          <w:szCs w:val="24"/>
        </w:rPr>
        <w:t>Icatibant</w:t>
      </w:r>
      <w:proofErr w:type="spellEnd"/>
      <w:r w:rsidRPr="00CF44CA">
        <w:rPr>
          <w:rFonts w:ascii="Times New Roman" w:hAnsi="Times New Roman" w:cs="Times New Roman"/>
          <w:bCs/>
          <w:sz w:val="24"/>
          <w:szCs w:val="24"/>
        </w:rPr>
        <w:t xml:space="preserve"> is mainly eliminated by metabolism with less than 10% of the dose eliminated in the urine as unchanged drug. Clearance is about 15-20 L/h and independent of dose. The terminal half-life </w:t>
      </w:r>
      <w:r w:rsidR="005A0276" w:rsidRPr="00CF44CA">
        <w:rPr>
          <w:rFonts w:ascii="Times New Roman" w:hAnsi="Times New Roman" w:cs="Times New Roman"/>
          <w:bCs/>
          <w:sz w:val="24"/>
          <w:szCs w:val="24"/>
        </w:rPr>
        <w:t>(t</w:t>
      </w:r>
      <w:r w:rsidR="005A0276" w:rsidRPr="00CF44CA">
        <w:rPr>
          <w:rFonts w:ascii="Times New Roman" w:hAnsi="Times New Roman" w:cs="Times New Roman"/>
          <w:bCs/>
          <w:sz w:val="24"/>
          <w:szCs w:val="24"/>
          <w:vertAlign w:val="subscript"/>
        </w:rPr>
        <w:t>1/2</w:t>
      </w:r>
      <w:r w:rsidR="005A0276" w:rsidRPr="00CF44CA">
        <w:rPr>
          <w:rFonts w:ascii="Times New Roman" w:hAnsi="Times New Roman" w:cs="Times New Roman"/>
          <w:bCs/>
          <w:sz w:val="24"/>
          <w:szCs w:val="24"/>
        </w:rPr>
        <w:t xml:space="preserve">) </w:t>
      </w:r>
      <w:r w:rsidRPr="00CF44CA">
        <w:rPr>
          <w:rFonts w:ascii="Times New Roman" w:hAnsi="Times New Roman" w:cs="Times New Roman"/>
          <w:bCs/>
          <w:sz w:val="24"/>
          <w:szCs w:val="24"/>
        </w:rPr>
        <w:t>is about 1-2 hours.</w:t>
      </w:r>
    </w:p>
    <w:p w14:paraId="3F4608FA" w14:textId="425927DA" w:rsidR="00B57FF7" w:rsidRPr="00CF44CA" w:rsidRDefault="00D45A53" w:rsidP="00E90AB3">
      <w:pPr>
        <w:pStyle w:val="Paragraph"/>
        <w:spacing w:before="120" w:after="180"/>
        <w:rPr>
          <w:rFonts w:ascii="Times New Roman" w:hAnsi="Times New Roman" w:cs="Times New Roman"/>
          <w:bCs/>
          <w:sz w:val="24"/>
          <w:szCs w:val="24"/>
        </w:rPr>
      </w:pPr>
      <w:r w:rsidRPr="00CF44CA">
        <w:rPr>
          <w:rFonts w:ascii="Times New Roman" w:hAnsi="Times New Roman" w:cs="Times New Roman"/>
          <w:b/>
          <w:sz w:val="24"/>
          <w:szCs w:val="24"/>
        </w:rPr>
        <w:lastRenderedPageBreak/>
        <w:t>Special populations</w:t>
      </w:r>
    </w:p>
    <w:p w14:paraId="7CD34791" w14:textId="58C549F6" w:rsidR="00640A34" w:rsidRPr="00CF44CA" w:rsidRDefault="00640A34" w:rsidP="00E90AB3">
      <w:pPr>
        <w:autoSpaceDE w:val="0"/>
        <w:autoSpaceDN w:val="0"/>
        <w:adjustRightInd w:val="0"/>
        <w:spacing w:before="120" w:after="180" w:line="240" w:lineRule="auto"/>
        <w:rPr>
          <w:rFonts w:ascii="Times New Roman" w:hAnsi="Times New Roman" w:cs="Times New Roman"/>
          <w:bCs/>
          <w:sz w:val="24"/>
          <w:szCs w:val="24"/>
          <w:u w:val="single"/>
        </w:rPr>
      </w:pPr>
      <w:r w:rsidRPr="00CF44CA">
        <w:rPr>
          <w:rFonts w:ascii="Times New Roman" w:hAnsi="Times New Roman" w:cs="Times New Roman"/>
          <w:bCs/>
          <w:sz w:val="24"/>
          <w:szCs w:val="24"/>
          <w:u w:val="single"/>
        </w:rPr>
        <w:t>E</w:t>
      </w:r>
      <w:r w:rsidR="00E90AB3">
        <w:rPr>
          <w:rFonts w:ascii="Times New Roman" w:hAnsi="Times New Roman" w:cs="Times New Roman"/>
          <w:bCs/>
          <w:sz w:val="24"/>
          <w:szCs w:val="24"/>
          <w:u w:val="single"/>
        </w:rPr>
        <w:t>lderly</w:t>
      </w:r>
    </w:p>
    <w:p w14:paraId="14541EE3" w14:textId="21557A05" w:rsidR="00640A34" w:rsidRPr="00CF44CA" w:rsidRDefault="00B57FF7"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Data suggest an age-related decline in clearance resulting in about 50-60% higher exposure in </w:t>
      </w:r>
      <w:r w:rsidR="00640A34" w:rsidRPr="00CF44CA">
        <w:rPr>
          <w:rFonts w:ascii="Times New Roman" w:hAnsi="Times New Roman" w:cs="Times New Roman"/>
          <w:bCs/>
          <w:sz w:val="24"/>
          <w:szCs w:val="24"/>
        </w:rPr>
        <w:t xml:space="preserve">older people </w:t>
      </w:r>
      <w:r w:rsidRPr="00CF44CA">
        <w:rPr>
          <w:rFonts w:ascii="Times New Roman" w:hAnsi="Times New Roman" w:cs="Times New Roman"/>
          <w:bCs/>
          <w:sz w:val="24"/>
          <w:szCs w:val="24"/>
        </w:rPr>
        <w:t>(75-80 years) compared to patient</w:t>
      </w:r>
      <w:r w:rsidR="00640A34" w:rsidRPr="00CF44CA">
        <w:rPr>
          <w:rFonts w:ascii="Times New Roman" w:hAnsi="Times New Roman" w:cs="Times New Roman"/>
          <w:bCs/>
          <w:sz w:val="24"/>
          <w:szCs w:val="24"/>
        </w:rPr>
        <w:t>s</w:t>
      </w:r>
      <w:r w:rsidR="00E90AB3">
        <w:rPr>
          <w:rFonts w:ascii="Times New Roman" w:hAnsi="Times New Roman" w:cs="Times New Roman"/>
          <w:bCs/>
          <w:sz w:val="24"/>
          <w:szCs w:val="24"/>
        </w:rPr>
        <w:t xml:space="preserve"> aged 40 years.</w:t>
      </w:r>
    </w:p>
    <w:p w14:paraId="5B7F63FD" w14:textId="2DAEE82A" w:rsidR="00640A34" w:rsidRPr="00CF44CA" w:rsidRDefault="00E90AB3" w:rsidP="00E90AB3">
      <w:pPr>
        <w:autoSpaceDE w:val="0"/>
        <w:autoSpaceDN w:val="0"/>
        <w:adjustRightInd w:val="0"/>
        <w:spacing w:before="120" w:after="18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Gender</w:t>
      </w:r>
    </w:p>
    <w:p w14:paraId="4A0EF6BA" w14:textId="56716716" w:rsidR="00B57FF7" w:rsidRPr="00CF44CA" w:rsidRDefault="00B57FF7"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Data suggest that </w:t>
      </w:r>
      <w:r w:rsidR="00640A34" w:rsidRPr="00CF44CA">
        <w:rPr>
          <w:rFonts w:ascii="Times New Roman" w:hAnsi="Times New Roman" w:cs="Times New Roman"/>
          <w:bCs/>
          <w:sz w:val="24"/>
          <w:szCs w:val="24"/>
        </w:rPr>
        <w:t>there is no difference in the clearance between females and males after correcting for body weight</w:t>
      </w:r>
      <w:r w:rsidR="00E90AB3">
        <w:rPr>
          <w:rFonts w:ascii="Times New Roman" w:hAnsi="Times New Roman" w:cs="Times New Roman"/>
          <w:bCs/>
          <w:sz w:val="24"/>
          <w:szCs w:val="24"/>
        </w:rPr>
        <w:t>.</w:t>
      </w:r>
    </w:p>
    <w:p w14:paraId="3F08B0D6" w14:textId="77777777" w:rsidR="00640A34" w:rsidRPr="00CF44CA" w:rsidRDefault="00640A34" w:rsidP="00E90AB3">
      <w:pPr>
        <w:autoSpaceDE w:val="0"/>
        <w:autoSpaceDN w:val="0"/>
        <w:adjustRightInd w:val="0"/>
        <w:spacing w:before="120" w:after="180" w:line="240" w:lineRule="auto"/>
        <w:rPr>
          <w:rFonts w:ascii="Times New Roman" w:hAnsi="Times New Roman" w:cs="Times New Roman"/>
          <w:bCs/>
          <w:sz w:val="24"/>
          <w:szCs w:val="24"/>
          <w:u w:val="single"/>
        </w:rPr>
      </w:pPr>
      <w:r w:rsidRPr="00CF44CA">
        <w:rPr>
          <w:rFonts w:ascii="Times New Roman" w:hAnsi="Times New Roman" w:cs="Times New Roman"/>
          <w:bCs/>
          <w:sz w:val="24"/>
          <w:szCs w:val="24"/>
          <w:u w:val="single"/>
        </w:rPr>
        <w:t>Hepatic and renal impairment</w:t>
      </w:r>
    </w:p>
    <w:p w14:paraId="5B134C14" w14:textId="095B93D4" w:rsidR="00640A34" w:rsidRPr="00CF44CA" w:rsidRDefault="00B57FF7"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Limited data suggest that icatibant exposure is not influenced </w:t>
      </w:r>
      <w:r w:rsidR="00E90AB3">
        <w:rPr>
          <w:rFonts w:ascii="Times New Roman" w:hAnsi="Times New Roman" w:cs="Times New Roman"/>
          <w:bCs/>
          <w:sz w:val="24"/>
          <w:szCs w:val="24"/>
        </w:rPr>
        <w:t>by hepatic or renal impairment.</w:t>
      </w:r>
    </w:p>
    <w:p w14:paraId="41288903" w14:textId="77777777" w:rsidR="00640A34" w:rsidRPr="00CF44CA" w:rsidRDefault="00640A34" w:rsidP="00E90AB3">
      <w:pPr>
        <w:autoSpaceDE w:val="0"/>
        <w:autoSpaceDN w:val="0"/>
        <w:adjustRightInd w:val="0"/>
        <w:spacing w:before="120" w:after="180" w:line="240" w:lineRule="auto"/>
        <w:rPr>
          <w:rFonts w:ascii="Times New Roman" w:hAnsi="Times New Roman" w:cs="Times New Roman"/>
          <w:bCs/>
          <w:sz w:val="24"/>
          <w:szCs w:val="24"/>
          <w:u w:val="single"/>
        </w:rPr>
      </w:pPr>
      <w:r w:rsidRPr="00CF44CA">
        <w:rPr>
          <w:rFonts w:ascii="Times New Roman" w:hAnsi="Times New Roman" w:cs="Times New Roman"/>
          <w:bCs/>
          <w:sz w:val="24"/>
          <w:szCs w:val="24"/>
          <w:u w:val="single"/>
        </w:rPr>
        <w:t>Race</w:t>
      </w:r>
    </w:p>
    <w:p w14:paraId="362B9ECA" w14:textId="753FDFA1" w:rsidR="00B57FF7" w:rsidRPr="00CF44CA" w:rsidRDefault="00640A34"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Information on individual race effect is limited. Available exposure data suggest no difference in the clearance between non-White (n=40) and White (n=132) subjects.</w:t>
      </w:r>
    </w:p>
    <w:p w14:paraId="7AC39577" w14:textId="213647EF" w:rsidR="00640A34" w:rsidRPr="00CF44CA" w:rsidRDefault="008C6623" w:rsidP="00E90AB3">
      <w:pPr>
        <w:autoSpaceDE w:val="0"/>
        <w:autoSpaceDN w:val="0"/>
        <w:adjustRightInd w:val="0"/>
        <w:spacing w:before="120" w:after="180"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Paediatric population</w:t>
      </w:r>
    </w:p>
    <w:p w14:paraId="7E293EED" w14:textId="63D87F1B" w:rsidR="005A0276" w:rsidRPr="00CF44CA" w:rsidRDefault="005A0276"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The pharmacokinetics of </w:t>
      </w:r>
      <w:proofErr w:type="spellStart"/>
      <w:r w:rsidRPr="00CF44CA">
        <w:rPr>
          <w:rFonts w:ascii="Times New Roman" w:hAnsi="Times New Roman" w:cs="Times New Roman"/>
          <w:bCs/>
          <w:sz w:val="24"/>
          <w:szCs w:val="24"/>
        </w:rPr>
        <w:t>icatibant</w:t>
      </w:r>
      <w:proofErr w:type="spellEnd"/>
      <w:r w:rsidRPr="00CF44CA">
        <w:rPr>
          <w:rFonts w:ascii="Times New Roman" w:hAnsi="Times New Roman" w:cs="Times New Roman"/>
          <w:bCs/>
          <w:sz w:val="24"/>
          <w:szCs w:val="24"/>
        </w:rPr>
        <w:t xml:space="preserve"> were characterised in paediatric HAE patients in Study HGT-FIR-086</w:t>
      </w:r>
      <w:r w:rsidR="00640A34" w:rsidRPr="00CF44CA">
        <w:rPr>
          <w:rFonts w:ascii="Times New Roman" w:hAnsi="Times New Roman" w:cs="Times New Roman"/>
          <w:bCs/>
          <w:sz w:val="24"/>
          <w:szCs w:val="24"/>
        </w:rPr>
        <w:t xml:space="preserve"> (see Section 5.1 Pharmacodynamic properties)</w:t>
      </w:r>
      <w:r w:rsidRPr="00CF44CA">
        <w:rPr>
          <w:rFonts w:ascii="Times New Roman" w:hAnsi="Times New Roman" w:cs="Times New Roman"/>
          <w:bCs/>
          <w:sz w:val="24"/>
          <w:szCs w:val="24"/>
        </w:rPr>
        <w:t xml:space="preserve">. Following </w:t>
      </w:r>
      <w:r w:rsidR="00640A34" w:rsidRPr="00CF44CA">
        <w:rPr>
          <w:rFonts w:ascii="Times New Roman" w:hAnsi="Times New Roman" w:cs="Times New Roman"/>
          <w:bCs/>
          <w:sz w:val="24"/>
          <w:szCs w:val="24"/>
        </w:rPr>
        <w:t xml:space="preserve">a single </w:t>
      </w:r>
      <w:r w:rsidRPr="00CF44CA">
        <w:rPr>
          <w:rFonts w:ascii="Times New Roman" w:hAnsi="Times New Roman" w:cs="Times New Roman"/>
          <w:bCs/>
          <w:sz w:val="24"/>
          <w:szCs w:val="24"/>
        </w:rPr>
        <w:t>subcutaneous administration</w:t>
      </w:r>
      <w:r w:rsidR="00640A34" w:rsidRPr="00CF44CA">
        <w:rPr>
          <w:rFonts w:ascii="Times New Roman" w:hAnsi="Times New Roman" w:cs="Times New Roman"/>
          <w:bCs/>
          <w:sz w:val="24"/>
          <w:szCs w:val="24"/>
        </w:rPr>
        <w:t xml:space="preserve"> (0.4 mg/kg up to a maximum of 30 mg)</w:t>
      </w:r>
      <w:r w:rsidRPr="00CF44CA">
        <w:rPr>
          <w:rFonts w:ascii="Times New Roman" w:hAnsi="Times New Roman" w:cs="Times New Roman"/>
          <w:bCs/>
          <w:sz w:val="24"/>
          <w:szCs w:val="24"/>
        </w:rPr>
        <w:t xml:space="preserve">, the </w:t>
      </w:r>
      <w:proofErr w:type="spellStart"/>
      <w:r w:rsidRPr="00CF44CA">
        <w:rPr>
          <w:rFonts w:ascii="Times New Roman" w:hAnsi="Times New Roman" w:cs="Times New Roman"/>
          <w:bCs/>
          <w:sz w:val="24"/>
          <w:szCs w:val="24"/>
        </w:rPr>
        <w:t>t</w:t>
      </w:r>
      <w:r w:rsidRPr="00CF44CA">
        <w:rPr>
          <w:rFonts w:ascii="Times New Roman" w:hAnsi="Times New Roman" w:cs="Times New Roman"/>
          <w:bCs/>
          <w:sz w:val="24"/>
          <w:szCs w:val="24"/>
          <w:vertAlign w:val="subscript"/>
        </w:rPr>
        <w:t>max</w:t>
      </w:r>
      <w:proofErr w:type="spellEnd"/>
      <w:r w:rsidRPr="00CF44CA">
        <w:rPr>
          <w:rFonts w:ascii="Times New Roman" w:hAnsi="Times New Roman" w:cs="Times New Roman"/>
          <w:bCs/>
          <w:sz w:val="24"/>
          <w:szCs w:val="24"/>
        </w:rPr>
        <w:t xml:space="preserve"> is approximately </w:t>
      </w:r>
      <w:r w:rsidR="00640A34" w:rsidRPr="00CF44CA">
        <w:rPr>
          <w:rFonts w:ascii="Times New Roman" w:hAnsi="Times New Roman" w:cs="Times New Roman"/>
          <w:bCs/>
          <w:sz w:val="24"/>
          <w:szCs w:val="24"/>
        </w:rPr>
        <w:t xml:space="preserve">30 minutes </w:t>
      </w:r>
      <w:r w:rsidRPr="00CF44CA">
        <w:rPr>
          <w:rFonts w:ascii="Times New Roman" w:hAnsi="Times New Roman" w:cs="Times New Roman"/>
          <w:bCs/>
          <w:sz w:val="24"/>
          <w:szCs w:val="24"/>
        </w:rPr>
        <w:t>and the t</w:t>
      </w:r>
      <w:r w:rsidRPr="00CF44CA">
        <w:rPr>
          <w:rFonts w:ascii="Times New Roman" w:hAnsi="Times New Roman" w:cs="Times New Roman"/>
          <w:bCs/>
          <w:sz w:val="24"/>
          <w:szCs w:val="24"/>
          <w:vertAlign w:val="subscript"/>
        </w:rPr>
        <w:t>1/2</w:t>
      </w:r>
      <w:r w:rsidRPr="00CF44CA">
        <w:rPr>
          <w:rFonts w:ascii="Times New Roman" w:hAnsi="Times New Roman" w:cs="Times New Roman"/>
          <w:bCs/>
          <w:sz w:val="24"/>
          <w:szCs w:val="24"/>
        </w:rPr>
        <w:t xml:space="preserve"> is about 2 hours. There are no observed differences in the exposure to icatibant between HAE patients with and without an attack. Population pharmacokinetic modelling using both adult and paediatric data showed that </w:t>
      </w:r>
      <w:r w:rsidR="00640A34" w:rsidRPr="00CF44CA">
        <w:rPr>
          <w:rFonts w:ascii="Times New Roman" w:hAnsi="Times New Roman" w:cs="Times New Roman"/>
          <w:bCs/>
          <w:sz w:val="24"/>
          <w:szCs w:val="24"/>
        </w:rPr>
        <w:t xml:space="preserve">clearance of icatibant is related to body weight with lower clearance values noted for lower body weights in the paediatric HAE population. Based on modelling for weight banded dosing, </w:t>
      </w:r>
      <w:r w:rsidRPr="00CF44CA">
        <w:rPr>
          <w:rFonts w:ascii="Times New Roman" w:hAnsi="Times New Roman" w:cs="Times New Roman"/>
          <w:bCs/>
          <w:sz w:val="24"/>
          <w:szCs w:val="24"/>
        </w:rPr>
        <w:t xml:space="preserve">the </w:t>
      </w:r>
      <w:r w:rsidR="00640A34" w:rsidRPr="00CF44CA">
        <w:rPr>
          <w:rFonts w:ascii="Times New Roman" w:hAnsi="Times New Roman" w:cs="Times New Roman"/>
          <w:bCs/>
          <w:sz w:val="24"/>
          <w:szCs w:val="24"/>
        </w:rPr>
        <w:t xml:space="preserve">predicted </w:t>
      </w:r>
      <w:r w:rsidRPr="00CF44CA">
        <w:rPr>
          <w:rFonts w:ascii="Times New Roman" w:hAnsi="Times New Roman" w:cs="Times New Roman"/>
          <w:bCs/>
          <w:sz w:val="24"/>
          <w:szCs w:val="24"/>
        </w:rPr>
        <w:t xml:space="preserve">exposure to icatibant in the paediatric HAE population </w:t>
      </w:r>
      <w:r w:rsidR="00640A34" w:rsidRPr="00CF44CA">
        <w:rPr>
          <w:rFonts w:ascii="Times New Roman" w:hAnsi="Times New Roman" w:cs="Times New Roman"/>
          <w:bCs/>
          <w:sz w:val="24"/>
          <w:szCs w:val="24"/>
        </w:rPr>
        <w:t xml:space="preserve">(see Section 4.2 Dose and method of administration) </w:t>
      </w:r>
      <w:r w:rsidRPr="00CF44CA">
        <w:rPr>
          <w:rFonts w:ascii="Times New Roman" w:hAnsi="Times New Roman" w:cs="Times New Roman"/>
          <w:bCs/>
          <w:sz w:val="24"/>
          <w:szCs w:val="24"/>
        </w:rPr>
        <w:t xml:space="preserve">is lower than </w:t>
      </w:r>
      <w:r w:rsidR="00640A34" w:rsidRPr="00CF44CA">
        <w:rPr>
          <w:rFonts w:ascii="Times New Roman" w:hAnsi="Times New Roman" w:cs="Times New Roman"/>
          <w:bCs/>
          <w:sz w:val="24"/>
          <w:szCs w:val="24"/>
        </w:rPr>
        <w:t>the observed exposure in studies conducted with</w:t>
      </w:r>
      <w:r w:rsidR="00640A34" w:rsidRPr="00CF44CA">
        <w:rPr>
          <w:rFonts w:ascii="Times New Roman" w:hAnsi="Times New Roman" w:cs="Times New Roman"/>
          <w:bCs/>
          <w:color w:val="FF0000"/>
          <w:sz w:val="24"/>
          <w:szCs w:val="24"/>
        </w:rPr>
        <w:t xml:space="preserve"> </w:t>
      </w:r>
      <w:r w:rsidRPr="00CF44CA">
        <w:rPr>
          <w:rFonts w:ascii="Times New Roman" w:hAnsi="Times New Roman" w:cs="Times New Roman"/>
          <w:bCs/>
          <w:sz w:val="24"/>
          <w:szCs w:val="24"/>
        </w:rPr>
        <w:t>adult HAE patients.</w:t>
      </w:r>
    </w:p>
    <w:p w14:paraId="74078BD1" w14:textId="4ECFE637" w:rsidR="00502D3C" w:rsidRPr="00CF44CA" w:rsidRDefault="008C6623" w:rsidP="008C6623">
      <w:pPr>
        <w:pStyle w:val="Heading2"/>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t>5.3</w:t>
      </w:r>
      <w:r>
        <w:rPr>
          <w:rFonts w:ascii="Times New Roman" w:hAnsi="Times New Roman" w:cs="Times New Roman"/>
          <w:szCs w:val="24"/>
        </w:rPr>
        <w:tab/>
        <w:t>PRECLINICAL SAFETY DATA</w:t>
      </w:r>
    </w:p>
    <w:p w14:paraId="6B8CF738" w14:textId="60CB5A4B" w:rsidR="00D45A53" w:rsidRPr="00CF44CA" w:rsidRDefault="008C6623" w:rsidP="00E90AB3">
      <w:pPr>
        <w:spacing w:before="120" w:after="180" w:line="240" w:lineRule="auto"/>
        <w:rPr>
          <w:rFonts w:ascii="Times New Roman" w:hAnsi="Times New Roman" w:cs="Times New Roman"/>
          <w:b/>
          <w:sz w:val="24"/>
          <w:szCs w:val="24"/>
        </w:rPr>
      </w:pPr>
      <w:proofErr w:type="spellStart"/>
      <w:r>
        <w:rPr>
          <w:rFonts w:ascii="Times New Roman" w:hAnsi="Times New Roman" w:cs="Times New Roman"/>
          <w:b/>
          <w:sz w:val="24"/>
          <w:szCs w:val="24"/>
        </w:rPr>
        <w:t>Genotoxicity</w:t>
      </w:r>
      <w:proofErr w:type="spellEnd"/>
    </w:p>
    <w:p w14:paraId="6780E0F4" w14:textId="77777777" w:rsidR="002314D0" w:rsidRPr="00CF44CA" w:rsidRDefault="002314D0"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In a standard battery of </w:t>
      </w:r>
      <w:r w:rsidRPr="00CF44CA">
        <w:rPr>
          <w:rFonts w:ascii="Times New Roman" w:hAnsi="Times New Roman" w:cs="Times New Roman"/>
          <w:bCs/>
          <w:i/>
          <w:sz w:val="24"/>
          <w:szCs w:val="24"/>
        </w:rPr>
        <w:t>in vitro</w:t>
      </w:r>
      <w:r w:rsidRPr="00CF44CA">
        <w:rPr>
          <w:rFonts w:ascii="Times New Roman" w:hAnsi="Times New Roman" w:cs="Times New Roman"/>
          <w:bCs/>
          <w:sz w:val="24"/>
          <w:szCs w:val="24"/>
        </w:rPr>
        <w:t xml:space="preserve"> and </w:t>
      </w:r>
      <w:r w:rsidRPr="00CF44CA">
        <w:rPr>
          <w:rFonts w:ascii="Times New Roman" w:hAnsi="Times New Roman" w:cs="Times New Roman"/>
          <w:bCs/>
          <w:i/>
          <w:sz w:val="24"/>
          <w:szCs w:val="24"/>
        </w:rPr>
        <w:t>in vivo</w:t>
      </w:r>
      <w:r w:rsidRPr="00CF44CA">
        <w:rPr>
          <w:rFonts w:ascii="Times New Roman" w:hAnsi="Times New Roman" w:cs="Times New Roman"/>
          <w:bCs/>
          <w:sz w:val="24"/>
          <w:szCs w:val="24"/>
        </w:rPr>
        <w:t xml:space="preserve"> tests icatibant was not genotoxic.</w:t>
      </w:r>
    </w:p>
    <w:p w14:paraId="5CF9AFDC" w14:textId="77777777" w:rsidR="00D45A53" w:rsidRPr="00CF44CA" w:rsidRDefault="00D45A53" w:rsidP="00E90AB3">
      <w:pPr>
        <w:spacing w:before="120" w:after="180" w:line="240" w:lineRule="auto"/>
        <w:rPr>
          <w:rFonts w:ascii="Times New Roman" w:hAnsi="Times New Roman" w:cs="Times New Roman"/>
          <w:b/>
          <w:sz w:val="24"/>
          <w:szCs w:val="24"/>
        </w:rPr>
      </w:pPr>
      <w:r w:rsidRPr="00CF44CA">
        <w:rPr>
          <w:rFonts w:ascii="Times New Roman" w:hAnsi="Times New Roman" w:cs="Times New Roman"/>
          <w:b/>
          <w:sz w:val="24"/>
          <w:szCs w:val="24"/>
        </w:rPr>
        <w:t>Carcinogenicity</w:t>
      </w:r>
    </w:p>
    <w:p w14:paraId="32AD1500" w14:textId="77777777" w:rsidR="002314D0" w:rsidRPr="00CF44CA" w:rsidRDefault="002314D0"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 xml:space="preserve">In a </w:t>
      </w:r>
      <w:proofErr w:type="gramStart"/>
      <w:r w:rsidRPr="00CF44CA">
        <w:rPr>
          <w:rFonts w:ascii="Times New Roman" w:hAnsi="Times New Roman" w:cs="Times New Roman"/>
          <w:bCs/>
          <w:sz w:val="24"/>
          <w:szCs w:val="24"/>
        </w:rPr>
        <w:t>2 year</w:t>
      </w:r>
      <w:proofErr w:type="gramEnd"/>
      <w:r w:rsidRPr="00CF44CA">
        <w:rPr>
          <w:rFonts w:ascii="Times New Roman" w:hAnsi="Times New Roman" w:cs="Times New Roman"/>
          <w:bCs/>
          <w:sz w:val="24"/>
          <w:szCs w:val="24"/>
        </w:rPr>
        <w:t xml:space="preserve"> study to evaluate the carcinogenic potential of icatibant in rats, daily SC doses up to 6 mg/kg/day (11-fold the anticipated clinical exposure in patients administered 240 mg icatibant per month, based on monthly AUC) had no effect on the incidence or morphology of tumours. Results do not indicate a carcinogenic potential for icatibant.</w:t>
      </w:r>
    </w:p>
    <w:p w14:paraId="41A17E3C" w14:textId="6318E454" w:rsidR="009E65E9" w:rsidRPr="00CF44CA" w:rsidRDefault="008C6623" w:rsidP="008C6623">
      <w:pPr>
        <w:pStyle w:val="Heading2"/>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t>6</w:t>
      </w:r>
      <w:r>
        <w:rPr>
          <w:rFonts w:ascii="Times New Roman" w:hAnsi="Times New Roman" w:cs="Times New Roman"/>
          <w:szCs w:val="24"/>
        </w:rPr>
        <w:tab/>
        <w:t>PHARMACEUTICAL PARTICULARS</w:t>
      </w:r>
    </w:p>
    <w:p w14:paraId="752C183C" w14:textId="04E4562E" w:rsidR="009E65E9" w:rsidRPr="00CF44CA" w:rsidRDefault="008C6623" w:rsidP="008C6623">
      <w:pPr>
        <w:pStyle w:val="Heading2"/>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t>6.1</w:t>
      </w:r>
      <w:r>
        <w:rPr>
          <w:rFonts w:ascii="Times New Roman" w:hAnsi="Times New Roman" w:cs="Times New Roman"/>
          <w:szCs w:val="24"/>
        </w:rPr>
        <w:tab/>
        <w:t>LIST OF EXCIPIENTS</w:t>
      </w:r>
    </w:p>
    <w:p w14:paraId="2B097044" w14:textId="110AD780" w:rsidR="00CF507D" w:rsidRPr="00CF44CA" w:rsidRDefault="008C6623" w:rsidP="00E90AB3">
      <w:pPr>
        <w:pStyle w:val="ListBullet"/>
        <w:spacing w:before="120" w:after="180" w:line="240" w:lineRule="auto"/>
        <w:rPr>
          <w:rFonts w:ascii="Times New Roman" w:hAnsi="Times New Roman" w:cs="Times New Roman"/>
          <w:b/>
          <w:sz w:val="24"/>
          <w:szCs w:val="24"/>
        </w:rPr>
      </w:pPr>
      <w:r>
        <w:rPr>
          <w:rFonts w:ascii="Times New Roman" w:hAnsi="Times New Roman" w:cs="Times New Roman"/>
          <w:sz w:val="24"/>
          <w:szCs w:val="24"/>
        </w:rPr>
        <w:t>Sodium chloride</w:t>
      </w:r>
    </w:p>
    <w:p w14:paraId="2424AB2F" w14:textId="77777777" w:rsidR="008D42AD" w:rsidRPr="00CF44CA" w:rsidRDefault="008D42AD" w:rsidP="00E90AB3">
      <w:pPr>
        <w:pStyle w:val="ListBullet"/>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Acetic acid</w:t>
      </w:r>
      <w:r w:rsidR="00CF507D" w:rsidRPr="00CF44CA">
        <w:rPr>
          <w:rFonts w:ascii="Times New Roman" w:hAnsi="Times New Roman" w:cs="Times New Roman"/>
          <w:sz w:val="24"/>
          <w:szCs w:val="24"/>
        </w:rPr>
        <w:t>,</w:t>
      </w:r>
      <w:r w:rsidRPr="00CF44CA">
        <w:rPr>
          <w:rFonts w:ascii="Times New Roman" w:hAnsi="Times New Roman" w:cs="Times New Roman"/>
          <w:sz w:val="24"/>
          <w:szCs w:val="24"/>
        </w:rPr>
        <w:t xml:space="preserve"> glacial </w:t>
      </w:r>
      <w:r w:rsidR="00CF507D" w:rsidRPr="00CF44CA">
        <w:rPr>
          <w:rFonts w:ascii="Times New Roman" w:hAnsi="Times New Roman" w:cs="Times New Roman"/>
          <w:sz w:val="24"/>
          <w:szCs w:val="24"/>
        </w:rPr>
        <w:t>(for pH adjustment)</w:t>
      </w:r>
    </w:p>
    <w:p w14:paraId="2DC7F2AE" w14:textId="77777777" w:rsidR="008D42AD" w:rsidRPr="00CF44CA" w:rsidRDefault="008D42AD" w:rsidP="00E90AB3">
      <w:pPr>
        <w:pStyle w:val="ListBullet"/>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Sodium hydroxide</w:t>
      </w:r>
      <w:r w:rsidR="00CF507D" w:rsidRPr="00CF44CA">
        <w:rPr>
          <w:rFonts w:ascii="Times New Roman" w:hAnsi="Times New Roman" w:cs="Times New Roman"/>
          <w:sz w:val="24"/>
          <w:szCs w:val="24"/>
        </w:rPr>
        <w:t xml:space="preserve"> (for pH adjustment)</w:t>
      </w:r>
    </w:p>
    <w:p w14:paraId="6AB5D76C" w14:textId="77777777" w:rsidR="00D45A53" w:rsidRPr="00CF44CA" w:rsidRDefault="00D45A53" w:rsidP="00E90AB3">
      <w:pPr>
        <w:pStyle w:val="ListBullet"/>
        <w:spacing w:before="120" w:after="180" w:line="240" w:lineRule="auto"/>
        <w:rPr>
          <w:rFonts w:ascii="Times New Roman" w:hAnsi="Times New Roman" w:cs="Times New Roman"/>
          <w:b/>
          <w:sz w:val="24"/>
          <w:szCs w:val="24"/>
        </w:rPr>
      </w:pPr>
      <w:r w:rsidRPr="00CF44CA">
        <w:rPr>
          <w:rFonts w:ascii="Times New Roman" w:hAnsi="Times New Roman" w:cs="Times New Roman"/>
          <w:sz w:val="24"/>
          <w:szCs w:val="24"/>
        </w:rPr>
        <w:t>Water for injections</w:t>
      </w:r>
    </w:p>
    <w:p w14:paraId="39721089" w14:textId="12935893" w:rsidR="009E65E9" w:rsidRPr="00CF44CA" w:rsidRDefault="008C6623" w:rsidP="007B225E">
      <w:pPr>
        <w:pStyle w:val="Heading2"/>
        <w:pageBreakBefore/>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lastRenderedPageBreak/>
        <w:t>6.2</w:t>
      </w:r>
      <w:r>
        <w:rPr>
          <w:rFonts w:ascii="Times New Roman" w:hAnsi="Times New Roman" w:cs="Times New Roman"/>
          <w:szCs w:val="24"/>
        </w:rPr>
        <w:tab/>
        <w:t>INCOMPATIBILITIES</w:t>
      </w:r>
    </w:p>
    <w:p w14:paraId="29935028" w14:textId="58FD4FBF" w:rsidR="00B45375" w:rsidRPr="00CF44CA" w:rsidRDefault="007B225E" w:rsidP="00E90AB3">
      <w:pPr>
        <w:spacing w:before="120" w:after="18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53785949" w14:textId="197253CA" w:rsidR="00E74924" w:rsidRPr="00CF44CA" w:rsidRDefault="007B225E" w:rsidP="007B225E">
      <w:pPr>
        <w:pStyle w:val="Heading2"/>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t>6.3</w:t>
      </w:r>
      <w:r>
        <w:rPr>
          <w:rFonts w:ascii="Times New Roman" w:hAnsi="Times New Roman" w:cs="Times New Roman"/>
          <w:szCs w:val="24"/>
        </w:rPr>
        <w:tab/>
        <w:t>SHELF LIFE</w:t>
      </w:r>
    </w:p>
    <w:p w14:paraId="482F7897" w14:textId="333327BE" w:rsidR="00495D47" w:rsidRPr="00CF44CA" w:rsidRDefault="00495D47" w:rsidP="00E90AB3">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2 years</w:t>
      </w:r>
      <w:r w:rsidR="00B45375" w:rsidRPr="00CF44CA">
        <w:rPr>
          <w:rFonts w:ascii="Times New Roman" w:hAnsi="Times New Roman" w:cs="Times New Roman"/>
          <w:sz w:val="24"/>
          <w:szCs w:val="24"/>
        </w:rPr>
        <w:t>.</w:t>
      </w:r>
    </w:p>
    <w:p w14:paraId="7B129332" w14:textId="5A7E8711" w:rsidR="00642B53" w:rsidRPr="00CF44CA" w:rsidRDefault="00642B53" w:rsidP="007B225E">
      <w:pPr>
        <w:pStyle w:val="Heading2"/>
        <w:numPr>
          <w:ilvl w:val="0"/>
          <w:numId w:val="0"/>
        </w:numPr>
        <w:spacing w:before="120" w:after="180" w:line="240" w:lineRule="auto"/>
        <w:ind w:left="567" w:hanging="567"/>
        <w:rPr>
          <w:rFonts w:ascii="Times New Roman" w:hAnsi="Times New Roman" w:cs="Times New Roman"/>
          <w:b w:val="0"/>
          <w:szCs w:val="24"/>
        </w:rPr>
      </w:pPr>
      <w:r w:rsidRPr="00CF44CA">
        <w:rPr>
          <w:rFonts w:ascii="Times New Roman" w:hAnsi="Times New Roman" w:cs="Times New Roman"/>
          <w:szCs w:val="24"/>
        </w:rPr>
        <w:t>6.4</w:t>
      </w:r>
      <w:r w:rsidRPr="00CF44CA">
        <w:rPr>
          <w:rFonts w:ascii="Times New Roman" w:hAnsi="Times New Roman" w:cs="Times New Roman"/>
          <w:szCs w:val="24"/>
        </w:rPr>
        <w:tab/>
      </w:r>
      <w:r w:rsidR="007B225E">
        <w:rPr>
          <w:rFonts w:ascii="Times New Roman" w:hAnsi="Times New Roman" w:cs="Times New Roman"/>
          <w:szCs w:val="24"/>
        </w:rPr>
        <w:t>SPECIAL PRECAUTIONS FOR STORAGE</w:t>
      </w:r>
    </w:p>
    <w:p w14:paraId="016E5820" w14:textId="77777777" w:rsidR="00171F5E" w:rsidRPr="00CF44CA" w:rsidRDefault="00171F5E"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Store FIRAZYR below 25°C. Do not freeze.</w:t>
      </w:r>
    </w:p>
    <w:p w14:paraId="4526718B" w14:textId="77777777" w:rsidR="00642B53" w:rsidRPr="00CF44CA" w:rsidRDefault="00642B53" w:rsidP="007B225E">
      <w:pPr>
        <w:pStyle w:val="Heading2"/>
        <w:numPr>
          <w:ilvl w:val="0"/>
          <w:numId w:val="0"/>
        </w:numPr>
        <w:spacing w:before="120" w:after="180" w:line="240" w:lineRule="auto"/>
        <w:ind w:left="567" w:hanging="567"/>
        <w:rPr>
          <w:rFonts w:ascii="Times New Roman" w:hAnsi="Times New Roman" w:cs="Times New Roman"/>
          <w:b w:val="0"/>
          <w:szCs w:val="24"/>
        </w:rPr>
      </w:pPr>
      <w:r w:rsidRPr="00CF44CA">
        <w:rPr>
          <w:rFonts w:ascii="Times New Roman" w:hAnsi="Times New Roman" w:cs="Times New Roman"/>
          <w:szCs w:val="24"/>
        </w:rPr>
        <w:t>6.5</w:t>
      </w:r>
      <w:r w:rsidRPr="00CF44CA">
        <w:rPr>
          <w:rFonts w:ascii="Times New Roman" w:hAnsi="Times New Roman" w:cs="Times New Roman"/>
          <w:szCs w:val="24"/>
        </w:rPr>
        <w:tab/>
        <w:t xml:space="preserve">NATURE AND CONTENTS OF CONTAINER </w:t>
      </w:r>
    </w:p>
    <w:p w14:paraId="7405E304" w14:textId="77777777" w:rsidR="00171F5E" w:rsidRPr="00CF44CA" w:rsidRDefault="00171F5E"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FIRAZYR is supplied as 30 mg icatibant (as acetate) in 3 mL in one pre-filled syringe (type I glass) with plunger stopper (</w:t>
      </w:r>
      <w:proofErr w:type="spellStart"/>
      <w:r w:rsidRPr="00CF44CA">
        <w:rPr>
          <w:rFonts w:ascii="Times New Roman" w:hAnsi="Times New Roman" w:cs="Times New Roman"/>
          <w:bCs/>
          <w:sz w:val="24"/>
          <w:szCs w:val="24"/>
        </w:rPr>
        <w:t>bromobutyl</w:t>
      </w:r>
      <w:proofErr w:type="spellEnd"/>
      <w:r w:rsidRPr="00CF44CA">
        <w:rPr>
          <w:rFonts w:ascii="Times New Roman" w:hAnsi="Times New Roman" w:cs="Times New Roman"/>
          <w:bCs/>
          <w:sz w:val="24"/>
          <w:szCs w:val="24"/>
        </w:rPr>
        <w:t xml:space="preserve"> coated with fluorocarbon polymer). A hypodermic needle (25 G; 16 mm) is included in the package.</w:t>
      </w:r>
    </w:p>
    <w:p w14:paraId="40C0DD43" w14:textId="0027FA53" w:rsidR="000B01ED" w:rsidRPr="00CF44CA" w:rsidRDefault="000B01ED" w:rsidP="00E90AB3">
      <w:pPr>
        <w:autoSpaceDE w:val="0"/>
        <w:autoSpaceDN w:val="0"/>
        <w:adjustRightInd w:val="0"/>
        <w:spacing w:before="120" w:after="180" w:line="240" w:lineRule="auto"/>
        <w:rPr>
          <w:rFonts w:ascii="Times New Roman" w:hAnsi="Times New Roman" w:cs="Times New Roman"/>
          <w:bCs/>
          <w:sz w:val="24"/>
          <w:szCs w:val="24"/>
        </w:rPr>
      </w:pPr>
      <w:r w:rsidRPr="00CF44CA">
        <w:rPr>
          <w:rFonts w:ascii="Times New Roman" w:hAnsi="Times New Roman" w:cs="Times New Roman"/>
          <w:bCs/>
          <w:sz w:val="24"/>
          <w:szCs w:val="24"/>
        </w:rPr>
        <w:t>Pack size of one pre-</w:t>
      </w:r>
      <w:r w:rsidR="007B225E">
        <w:rPr>
          <w:rFonts w:ascii="Times New Roman" w:hAnsi="Times New Roman" w:cs="Times New Roman"/>
          <w:bCs/>
          <w:sz w:val="24"/>
          <w:szCs w:val="24"/>
        </w:rPr>
        <w:t>filled syringe with one needle.</w:t>
      </w:r>
    </w:p>
    <w:p w14:paraId="76FB220F" w14:textId="77777777" w:rsidR="005A0276" w:rsidRPr="00CF44CA" w:rsidRDefault="005A0276" w:rsidP="00E90AB3">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The following equipment is required to extract and administer the appropriate dose when the prescribed dose is less than 30 mg (3 mL):</w:t>
      </w:r>
    </w:p>
    <w:p w14:paraId="1B5696BB" w14:textId="77777777" w:rsidR="005A0276" w:rsidRPr="00CF44CA" w:rsidRDefault="005A0276" w:rsidP="00E90AB3">
      <w:pPr>
        <w:pStyle w:val="ListParagraph"/>
        <w:numPr>
          <w:ilvl w:val="0"/>
          <w:numId w:val="37"/>
        </w:numPr>
        <w:spacing w:before="120" w:after="180" w:line="240" w:lineRule="auto"/>
        <w:ind w:left="360"/>
        <w:rPr>
          <w:rFonts w:ascii="Times New Roman" w:hAnsi="Times New Roman" w:cs="Times New Roman"/>
          <w:sz w:val="24"/>
          <w:szCs w:val="24"/>
        </w:rPr>
      </w:pPr>
      <w:r w:rsidRPr="00CF44CA">
        <w:rPr>
          <w:rFonts w:ascii="Times New Roman" w:hAnsi="Times New Roman" w:cs="Times New Roman"/>
          <w:sz w:val="24"/>
          <w:szCs w:val="24"/>
        </w:rPr>
        <w:t>Adapter</w:t>
      </w:r>
    </w:p>
    <w:p w14:paraId="63E15262" w14:textId="77777777" w:rsidR="005A0276" w:rsidRPr="00CF44CA" w:rsidRDefault="005A0276" w:rsidP="00E90AB3">
      <w:pPr>
        <w:pStyle w:val="ListParagraph"/>
        <w:numPr>
          <w:ilvl w:val="0"/>
          <w:numId w:val="37"/>
        </w:numPr>
        <w:autoSpaceDE w:val="0"/>
        <w:autoSpaceDN w:val="0"/>
        <w:adjustRightInd w:val="0"/>
        <w:spacing w:before="120" w:after="180" w:line="240" w:lineRule="auto"/>
        <w:ind w:left="360"/>
        <w:rPr>
          <w:rFonts w:ascii="Times New Roman" w:hAnsi="Times New Roman" w:cs="Times New Roman"/>
          <w:bCs/>
          <w:sz w:val="24"/>
          <w:szCs w:val="24"/>
        </w:rPr>
      </w:pPr>
      <w:r w:rsidRPr="00CF44CA">
        <w:rPr>
          <w:rFonts w:ascii="Times New Roman" w:hAnsi="Times New Roman" w:cs="Times New Roman"/>
          <w:sz w:val="24"/>
          <w:szCs w:val="24"/>
        </w:rPr>
        <w:t>3 mL graduated syringe</w:t>
      </w:r>
    </w:p>
    <w:p w14:paraId="7EED7BF3" w14:textId="507EA49B" w:rsidR="003963F8" w:rsidRPr="00CF44CA" w:rsidRDefault="003963F8" w:rsidP="007B225E">
      <w:pPr>
        <w:pStyle w:val="Heading2"/>
        <w:numPr>
          <w:ilvl w:val="0"/>
          <w:numId w:val="0"/>
        </w:numPr>
        <w:spacing w:before="120" w:after="180" w:line="240" w:lineRule="auto"/>
        <w:ind w:left="567" w:hanging="567"/>
        <w:rPr>
          <w:rFonts w:ascii="Times New Roman" w:hAnsi="Times New Roman" w:cs="Times New Roman"/>
          <w:b w:val="0"/>
          <w:szCs w:val="24"/>
        </w:rPr>
      </w:pPr>
      <w:r w:rsidRPr="00CF44CA">
        <w:rPr>
          <w:rFonts w:ascii="Times New Roman" w:hAnsi="Times New Roman" w:cs="Times New Roman"/>
          <w:szCs w:val="24"/>
        </w:rPr>
        <w:t>6.6</w:t>
      </w:r>
      <w:r w:rsidRPr="00CF44CA">
        <w:rPr>
          <w:rFonts w:ascii="Times New Roman" w:hAnsi="Times New Roman" w:cs="Times New Roman"/>
          <w:szCs w:val="24"/>
        </w:rPr>
        <w:tab/>
        <w:t>S</w:t>
      </w:r>
      <w:r w:rsidR="007B225E">
        <w:rPr>
          <w:rFonts w:ascii="Times New Roman" w:hAnsi="Times New Roman" w:cs="Times New Roman"/>
          <w:szCs w:val="24"/>
        </w:rPr>
        <w:t>PECIAL PRECAUTIONS FOR DISPOSAL</w:t>
      </w:r>
    </w:p>
    <w:p w14:paraId="144CA743" w14:textId="77777777" w:rsidR="000B01ED" w:rsidRPr="00CF44CA" w:rsidRDefault="000B01ED" w:rsidP="00E90AB3">
      <w:pPr>
        <w:autoSpaceDE w:val="0"/>
        <w:autoSpaceDN w:val="0"/>
        <w:adjustRightInd w:val="0"/>
        <w:spacing w:before="120" w:after="180" w:line="240" w:lineRule="auto"/>
        <w:rPr>
          <w:rFonts w:ascii="Times New Roman" w:hAnsi="Times New Roman" w:cs="Times New Roman"/>
          <w:sz w:val="24"/>
          <w:szCs w:val="24"/>
          <w:lang w:val="en-US"/>
        </w:rPr>
      </w:pPr>
      <w:r w:rsidRPr="00CF44CA">
        <w:rPr>
          <w:rFonts w:ascii="Times New Roman" w:hAnsi="Times New Roman" w:cs="Times New Roman"/>
          <w:sz w:val="24"/>
          <w:szCs w:val="24"/>
          <w:lang w:val="en-US"/>
        </w:rPr>
        <w:t xml:space="preserve">The pre-filled </w:t>
      </w:r>
      <w:proofErr w:type="spellStart"/>
      <w:r w:rsidRPr="00CF44CA">
        <w:rPr>
          <w:rFonts w:ascii="Times New Roman" w:hAnsi="Times New Roman" w:cs="Times New Roman"/>
          <w:sz w:val="24"/>
          <w:szCs w:val="24"/>
          <w:lang w:val="en-US"/>
        </w:rPr>
        <w:t>icatibant</w:t>
      </w:r>
      <w:proofErr w:type="spellEnd"/>
      <w:r w:rsidRPr="00CF44CA">
        <w:rPr>
          <w:rFonts w:ascii="Times New Roman" w:hAnsi="Times New Roman" w:cs="Times New Roman"/>
          <w:sz w:val="24"/>
          <w:szCs w:val="24"/>
          <w:lang w:val="en-US"/>
        </w:rPr>
        <w:t xml:space="preserve"> syringe and all other components are for single use only. All needles and syringes should be disposed of in a sharps container.</w:t>
      </w:r>
    </w:p>
    <w:p w14:paraId="7494D8F9" w14:textId="77777777" w:rsidR="000B01ED" w:rsidRPr="00CF44CA" w:rsidRDefault="000B01ED" w:rsidP="00E90AB3">
      <w:pPr>
        <w:autoSpaceDE w:val="0"/>
        <w:autoSpaceDN w:val="0"/>
        <w:adjustRightInd w:val="0"/>
        <w:spacing w:before="120" w:after="180" w:line="240" w:lineRule="auto"/>
        <w:rPr>
          <w:rFonts w:ascii="Times New Roman" w:hAnsi="Times New Roman" w:cs="Times New Roman"/>
          <w:sz w:val="24"/>
          <w:szCs w:val="24"/>
          <w:lang w:val="en-US"/>
        </w:rPr>
      </w:pPr>
      <w:r w:rsidRPr="00CF44CA">
        <w:rPr>
          <w:rFonts w:ascii="Times New Roman" w:hAnsi="Times New Roman" w:cs="Times New Roman"/>
          <w:sz w:val="24"/>
          <w:szCs w:val="24"/>
          <w:lang w:val="en-US"/>
        </w:rPr>
        <w:t>In Australia, any unused medicine or waste material should be disposed of in accordance with local requirements.</w:t>
      </w:r>
    </w:p>
    <w:p w14:paraId="05DFACF6" w14:textId="7AC1D095" w:rsidR="00074513" w:rsidRPr="00CF44CA" w:rsidRDefault="007B225E" w:rsidP="007B225E">
      <w:pPr>
        <w:pStyle w:val="Heading2"/>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t>6.7</w:t>
      </w:r>
      <w:r>
        <w:rPr>
          <w:rFonts w:ascii="Times New Roman" w:hAnsi="Times New Roman" w:cs="Times New Roman"/>
          <w:szCs w:val="24"/>
        </w:rPr>
        <w:tab/>
        <w:t>PHYSICOCHEMICAL PROPERTIES</w:t>
      </w:r>
    </w:p>
    <w:p w14:paraId="67D586E9" w14:textId="33D90F37" w:rsidR="006E08A7" w:rsidRPr="00CF44CA" w:rsidRDefault="007B225E" w:rsidP="00E90AB3">
      <w:pPr>
        <w:spacing w:before="120" w:after="180" w:line="240" w:lineRule="auto"/>
        <w:rPr>
          <w:rFonts w:ascii="Times New Roman" w:hAnsi="Times New Roman" w:cs="Times New Roman"/>
          <w:b/>
          <w:sz w:val="24"/>
          <w:szCs w:val="24"/>
        </w:rPr>
      </w:pPr>
      <w:r>
        <w:rPr>
          <w:rFonts w:ascii="Times New Roman" w:hAnsi="Times New Roman" w:cs="Times New Roman"/>
          <w:b/>
          <w:sz w:val="24"/>
          <w:szCs w:val="24"/>
        </w:rPr>
        <w:t>Chemical structure</w:t>
      </w:r>
    </w:p>
    <w:p w14:paraId="387341B8" w14:textId="77777777" w:rsidR="008D42AD" w:rsidRPr="00CF44CA" w:rsidRDefault="008D42AD" w:rsidP="00E90AB3">
      <w:pPr>
        <w:autoSpaceDE w:val="0"/>
        <w:autoSpaceDN w:val="0"/>
        <w:adjustRightInd w:val="0"/>
        <w:spacing w:before="120" w:after="180" w:line="240" w:lineRule="auto"/>
        <w:rPr>
          <w:rFonts w:ascii="Times New Roman" w:hAnsi="Times New Roman" w:cs="Times New Roman"/>
          <w:sz w:val="24"/>
          <w:szCs w:val="24"/>
        </w:rPr>
      </w:pPr>
      <w:r w:rsidRPr="00CF44CA">
        <w:rPr>
          <w:rFonts w:ascii="Times New Roman" w:hAnsi="Times New Roman" w:cs="Times New Roman"/>
          <w:bCs/>
          <w:sz w:val="24"/>
          <w:szCs w:val="24"/>
        </w:rPr>
        <w:t xml:space="preserve">Chemical </w:t>
      </w:r>
      <w:r w:rsidR="00A6070B" w:rsidRPr="00CF44CA">
        <w:rPr>
          <w:rFonts w:ascii="Times New Roman" w:hAnsi="Times New Roman" w:cs="Times New Roman"/>
          <w:bCs/>
          <w:sz w:val="24"/>
          <w:szCs w:val="24"/>
        </w:rPr>
        <w:t>n</w:t>
      </w:r>
      <w:r w:rsidRPr="00CF44CA">
        <w:rPr>
          <w:rFonts w:ascii="Times New Roman" w:hAnsi="Times New Roman" w:cs="Times New Roman"/>
          <w:bCs/>
          <w:sz w:val="24"/>
          <w:szCs w:val="24"/>
        </w:rPr>
        <w:t xml:space="preserve">ame of </w:t>
      </w:r>
      <w:proofErr w:type="spellStart"/>
      <w:r w:rsidRPr="00CF44CA">
        <w:rPr>
          <w:rFonts w:ascii="Times New Roman" w:hAnsi="Times New Roman" w:cs="Times New Roman"/>
          <w:sz w:val="24"/>
          <w:szCs w:val="24"/>
        </w:rPr>
        <w:t>icatibant</w:t>
      </w:r>
      <w:proofErr w:type="spellEnd"/>
      <w:r w:rsidRPr="00CF44CA">
        <w:rPr>
          <w:rFonts w:ascii="Times New Roman" w:hAnsi="Times New Roman" w:cs="Times New Roman"/>
          <w:b/>
          <w:bCs/>
          <w:sz w:val="24"/>
          <w:szCs w:val="24"/>
        </w:rPr>
        <w:t xml:space="preserve">: </w:t>
      </w:r>
      <w:r w:rsidRPr="00CF44CA">
        <w:rPr>
          <w:rFonts w:ascii="Times New Roman" w:hAnsi="Times New Roman" w:cs="Times New Roman"/>
          <w:sz w:val="24"/>
          <w:szCs w:val="24"/>
        </w:rPr>
        <w:t>D-Arginyl-L-arginyl-L-prolyl-L[(4R)-4-hydroxyprolyl]-glycyl-L[3-(2-</w:t>
      </w:r>
      <w:proofErr w:type="gramStart"/>
      <w:r w:rsidRPr="00CF44CA">
        <w:rPr>
          <w:rFonts w:ascii="Times New Roman" w:hAnsi="Times New Roman" w:cs="Times New Roman"/>
          <w:sz w:val="24"/>
          <w:szCs w:val="24"/>
        </w:rPr>
        <w:t>thienyl)alanyl</w:t>
      </w:r>
      <w:proofErr w:type="gramEnd"/>
      <w:r w:rsidRPr="00CF44CA">
        <w:rPr>
          <w:rFonts w:ascii="Times New Roman" w:hAnsi="Times New Roman" w:cs="Times New Roman"/>
          <w:sz w:val="24"/>
          <w:szCs w:val="24"/>
        </w:rPr>
        <w:t>]-L-seryl-D-(1,2,3,4-tetrahydroisoquinolin-3-ylcarbonyl)-L[(3aS,7aS)-octahydroindol-2-ylcarbonyl]-L-arginine.</w:t>
      </w:r>
    </w:p>
    <w:p w14:paraId="5EA1AF8B" w14:textId="77777777" w:rsidR="008D42AD" w:rsidRPr="00CF44CA" w:rsidRDefault="008D42AD" w:rsidP="00E90AB3">
      <w:pPr>
        <w:autoSpaceDE w:val="0"/>
        <w:autoSpaceDN w:val="0"/>
        <w:adjustRightInd w:val="0"/>
        <w:spacing w:before="120" w:after="180" w:line="240" w:lineRule="auto"/>
        <w:rPr>
          <w:rFonts w:ascii="Times New Roman" w:hAnsi="Times New Roman" w:cs="Times New Roman"/>
          <w:sz w:val="24"/>
          <w:szCs w:val="24"/>
        </w:rPr>
      </w:pPr>
      <w:proofErr w:type="spellStart"/>
      <w:r w:rsidRPr="00CF44CA">
        <w:rPr>
          <w:rFonts w:ascii="Times New Roman" w:hAnsi="Times New Roman" w:cs="Times New Roman"/>
          <w:sz w:val="24"/>
          <w:szCs w:val="24"/>
        </w:rPr>
        <w:t>Icatibant</w:t>
      </w:r>
      <w:proofErr w:type="spellEnd"/>
      <w:r w:rsidRPr="00CF44CA">
        <w:rPr>
          <w:rFonts w:ascii="Times New Roman" w:hAnsi="Times New Roman" w:cs="Times New Roman"/>
          <w:sz w:val="24"/>
          <w:szCs w:val="24"/>
        </w:rPr>
        <w:t xml:space="preserve"> is isolated as the acetate salt, containing approximately 1-4 equivalents of acetic acid.</w:t>
      </w:r>
    </w:p>
    <w:p w14:paraId="323852F3" w14:textId="77777777" w:rsidR="008D42AD" w:rsidRPr="00CF44CA" w:rsidRDefault="008D42AD" w:rsidP="008D42AD">
      <w:pPr>
        <w:autoSpaceDE w:val="0"/>
        <w:autoSpaceDN w:val="0"/>
        <w:adjustRightInd w:val="0"/>
        <w:spacing w:after="0" w:line="240" w:lineRule="auto"/>
        <w:rPr>
          <w:rFonts w:ascii="Times New Roman" w:hAnsi="Times New Roman" w:cs="Times New Roman"/>
          <w:sz w:val="24"/>
          <w:szCs w:val="24"/>
        </w:rPr>
      </w:pPr>
      <w:r w:rsidRPr="00CF44CA">
        <w:rPr>
          <w:rFonts w:ascii="Times New Roman" w:hAnsi="Times New Roman" w:cs="Times New Roman"/>
          <w:sz w:val="24"/>
          <w:szCs w:val="24"/>
        </w:rPr>
        <w:t xml:space="preserve">Chemical structure </w:t>
      </w:r>
      <w:r w:rsidR="00466BB5" w:rsidRPr="00CF44CA">
        <w:rPr>
          <w:rFonts w:ascii="Times New Roman" w:hAnsi="Times New Roman" w:cs="Times New Roman"/>
          <w:sz w:val="24"/>
          <w:szCs w:val="24"/>
        </w:rPr>
        <w:t xml:space="preserve">of </w:t>
      </w:r>
      <w:proofErr w:type="spellStart"/>
      <w:r w:rsidR="00466BB5" w:rsidRPr="00CF44CA">
        <w:rPr>
          <w:rFonts w:ascii="Times New Roman" w:hAnsi="Times New Roman" w:cs="Times New Roman"/>
          <w:sz w:val="24"/>
          <w:szCs w:val="24"/>
        </w:rPr>
        <w:t>icatibant</w:t>
      </w:r>
      <w:proofErr w:type="spellEnd"/>
      <w:r w:rsidR="002D2468" w:rsidRPr="00CF44CA">
        <w:rPr>
          <w:rFonts w:ascii="Times New Roman" w:hAnsi="Times New Roman" w:cs="Times New Roman"/>
          <w:sz w:val="24"/>
          <w:szCs w:val="24"/>
        </w:rPr>
        <w:t>:</w:t>
      </w:r>
    </w:p>
    <w:p w14:paraId="7BF6F065" w14:textId="77777777" w:rsidR="008D42AD" w:rsidRPr="00CF44CA" w:rsidRDefault="008D42AD" w:rsidP="00464CB6">
      <w:pPr>
        <w:autoSpaceDE w:val="0"/>
        <w:autoSpaceDN w:val="0"/>
        <w:adjustRightInd w:val="0"/>
        <w:spacing w:after="0" w:line="240" w:lineRule="auto"/>
        <w:rPr>
          <w:rFonts w:ascii="Times New Roman" w:hAnsi="Times New Roman" w:cs="Times New Roman"/>
          <w:sz w:val="24"/>
          <w:szCs w:val="24"/>
        </w:rPr>
      </w:pPr>
      <w:bookmarkStart w:id="3" w:name="2476"/>
      <w:bookmarkEnd w:id="3"/>
      <w:r w:rsidRPr="00CF44CA">
        <w:rPr>
          <w:rFonts w:ascii="Times New Roman" w:hAnsi="Times New Roman" w:cs="Times New Roman"/>
          <w:noProof/>
          <w:color w:val="000000"/>
          <w:sz w:val="24"/>
          <w:szCs w:val="24"/>
          <w:lang w:eastAsia="en-AU"/>
        </w:rPr>
        <w:drawing>
          <wp:inline distT="0" distB="0" distL="0" distR="0" wp14:anchorId="7F5AD3BC" wp14:editId="5A79CF9A">
            <wp:extent cx="4593265" cy="1690396"/>
            <wp:effectExtent l="0" t="0" r="0" b="5080"/>
            <wp:docPr id="1" name="Picture 1" descr="Structure of Icatib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6" descr="Structure of Icatib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0282" cy="1700339"/>
                    </a:xfrm>
                    <a:prstGeom prst="rect">
                      <a:avLst/>
                    </a:prstGeom>
                    <a:noFill/>
                    <a:ln>
                      <a:noFill/>
                    </a:ln>
                  </pic:spPr>
                </pic:pic>
              </a:graphicData>
            </a:graphic>
          </wp:inline>
        </w:drawing>
      </w:r>
    </w:p>
    <w:p w14:paraId="566622DA" w14:textId="77777777" w:rsidR="008D42AD" w:rsidRPr="00CF44CA" w:rsidRDefault="008D42AD" w:rsidP="008D42AD">
      <w:pPr>
        <w:autoSpaceDE w:val="0"/>
        <w:autoSpaceDN w:val="0"/>
        <w:adjustRightInd w:val="0"/>
        <w:spacing w:after="0" w:line="240" w:lineRule="auto"/>
        <w:rPr>
          <w:rStyle w:val="Strong"/>
          <w:rFonts w:ascii="Times New Roman" w:hAnsi="Times New Roman" w:cs="Times New Roman"/>
          <w:b w:val="0"/>
          <w:sz w:val="24"/>
          <w:szCs w:val="24"/>
        </w:rPr>
      </w:pPr>
      <w:r w:rsidRPr="00CF44CA">
        <w:rPr>
          <w:rStyle w:val="Strong"/>
          <w:rFonts w:ascii="Times New Roman" w:hAnsi="Times New Roman" w:cs="Times New Roman"/>
          <w:b w:val="0"/>
          <w:color w:val="000000"/>
          <w:sz w:val="24"/>
          <w:szCs w:val="24"/>
        </w:rPr>
        <w:t>Chemical formula</w:t>
      </w:r>
      <w:r w:rsidRPr="00CF44CA">
        <w:rPr>
          <w:rStyle w:val="Strong"/>
          <w:rFonts w:ascii="Times New Roman" w:hAnsi="Times New Roman" w:cs="Times New Roman"/>
          <w:color w:val="000000"/>
          <w:sz w:val="24"/>
          <w:szCs w:val="24"/>
        </w:rPr>
        <w:t xml:space="preserve"> </w:t>
      </w:r>
      <w:r w:rsidRPr="00CF44CA">
        <w:rPr>
          <w:rStyle w:val="Strong"/>
          <w:rFonts w:ascii="Times New Roman" w:hAnsi="Times New Roman" w:cs="Times New Roman"/>
          <w:b w:val="0"/>
          <w:color w:val="000000"/>
          <w:sz w:val="24"/>
          <w:szCs w:val="24"/>
        </w:rPr>
        <w:t xml:space="preserve">of </w:t>
      </w:r>
      <w:proofErr w:type="spellStart"/>
      <w:r w:rsidRPr="00CF44CA">
        <w:rPr>
          <w:rStyle w:val="Strong"/>
          <w:rFonts w:ascii="Times New Roman" w:hAnsi="Times New Roman" w:cs="Times New Roman"/>
          <w:b w:val="0"/>
          <w:color w:val="000000"/>
          <w:sz w:val="24"/>
          <w:szCs w:val="24"/>
        </w:rPr>
        <w:t>icatibant</w:t>
      </w:r>
      <w:proofErr w:type="spellEnd"/>
      <w:r w:rsidRPr="00CF44CA">
        <w:rPr>
          <w:rStyle w:val="Strong"/>
          <w:rFonts w:ascii="Times New Roman" w:hAnsi="Times New Roman" w:cs="Times New Roman"/>
          <w:b w:val="0"/>
          <w:color w:val="000000"/>
          <w:sz w:val="24"/>
          <w:szCs w:val="24"/>
        </w:rPr>
        <w:t>:</w:t>
      </w:r>
      <w:r w:rsidRPr="00CF44CA">
        <w:rPr>
          <w:rFonts w:ascii="Times New Roman" w:hAnsi="Times New Roman" w:cs="Times New Roman"/>
          <w:sz w:val="24"/>
          <w:szCs w:val="24"/>
        </w:rPr>
        <w:t xml:space="preserve"> </w:t>
      </w:r>
      <w:r w:rsidRPr="00CF44CA">
        <w:rPr>
          <w:rFonts w:ascii="Times New Roman" w:hAnsi="Times New Roman" w:cs="Times New Roman"/>
          <w:bCs/>
          <w:sz w:val="24"/>
          <w:szCs w:val="24"/>
        </w:rPr>
        <w:t>C</w:t>
      </w:r>
      <w:r w:rsidRPr="00CF44CA">
        <w:rPr>
          <w:rFonts w:ascii="Times New Roman" w:hAnsi="Times New Roman" w:cs="Times New Roman"/>
          <w:bCs/>
          <w:sz w:val="24"/>
          <w:szCs w:val="24"/>
          <w:vertAlign w:val="subscript"/>
        </w:rPr>
        <w:t>59</w:t>
      </w:r>
      <w:r w:rsidRPr="00CF44CA">
        <w:rPr>
          <w:rFonts w:ascii="Times New Roman" w:hAnsi="Times New Roman" w:cs="Times New Roman"/>
          <w:bCs/>
          <w:sz w:val="24"/>
          <w:szCs w:val="24"/>
        </w:rPr>
        <w:t>H</w:t>
      </w:r>
      <w:r w:rsidRPr="00CF44CA">
        <w:rPr>
          <w:rFonts w:ascii="Times New Roman" w:hAnsi="Times New Roman" w:cs="Times New Roman"/>
          <w:bCs/>
          <w:sz w:val="24"/>
          <w:szCs w:val="24"/>
          <w:vertAlign w:val="subscript"/>
        </w:rPr>
        <w:t>89</w:t>
      </w:r>
      <w:r w:rsidRPr="00CF44CA">
        <w:rPr>
          <w:rFonts w:ascii="Times New Roman" w:hAnsi="Times New Roman" w:cs="Times New Roman"/>
          <w:bCs/>
          <w:sz w:val="24"/>
          <w:szCs w:val="24"/>
        </w:rPr>
        <w:t>N</w:t>
      </w:r>
      <w:r w:rsidRPr="00CF44CA">
        <w:rPr>
          <w:rFonts w:ascii="Times New Roman" w:hAnsi="Times New Roman" w:cs="Times New Roman"/>
          <w:bCs/>
          <w:sz w:val="24"/>
          <w:szCs w:val="24"/>
          <w:vertAlign w:val="subscript"/>
        </w:rPr>
        <w:t>19</w:t>
      </w:r>
      <w:r w:rsidRPr="00CF44CA">
        <w:rPr>
          <w:rFonts w:ascii="Times New Roman" w:hAnsi="Times New Roman" w:cs="Times New Roman"/>
          <w:bCs/>
          <w:sz w:val="24"/>
          <w:szCs w:val="24"/>
        </w:rPr>
        <w:t>O</w:t>
      </w:r>
      <w:r w:rsidRPr="00CF44CA">
        <w:rPr>
          <w:rFonts w:ascii="Times New Roman" w:hAnsi="Times New Roman" w:cs="Times New Roman"/>
          <w:bCs/>
          <w:sz w:val="24"/>
          <w:szCs w:val="24"/>
          <w:vertAlign w:val="subscript"/>
        </w:rPr>
        <w:t>13</w:t>
      </w:r>
      <w:r w:rsidRPr="00CF44CA">
        <w:rPr>
          <w:rFonts w:ascii="Times New Roman" w:hAnsi="Times New Roman" w:cs="Times New Roman"/>
          <w:bCs/>
          <w:sz w:val="24"/>
          <w:szCs w:val="24"/>
        </w:rPr>
        <w:t>S</w:t>
      </w:r>
      <w:r w:rsidRPr="00CF44CA">
        <w:rPr>
          <w:rStyle w:val="Strong"/>
          <w:rFonts w:ascii="Times New Roman" w:hAnsi="Times New Roman" w:cs="Times New Roman"/>
          <w:sz w:val="24"/>
          <w:szCs w:val="24"/>
        </w:rPr>
        <w:t xml:space="preserve"> </w:t>
      </w:r>
      <w:r w:rsidRPr="00CF44CA">
        <w:rPr>
          <w:rStyle w:val="Strong"/>
          <w:rFonts w:ascii="Times New Roman" w:hAnsi="Times New Roman" w:cs="Times New Roman"/>
          <w:sz w:val="24"/>
          <w:szCs w:val="24"/>
        </w:rPr>
        <w:br/>
      </w:r>
      <w:r w:rsidRPr="00CF44CA">
        <w:rPr>
          <w:rStyle w:val="Strong"/>
          <w:rFonts w:ascii="Times New Roman" w:hAnsi="Times New Roman" w:cs="Times New Roman"/>
          <w:b w:val="0"/>
          <w:color w:val="000000"/>
          <w:sz w:val="24"/>
          <w:szCs w:val="24"/>
        </w:rPr>
        <w:t xml:space="preserve">Molecular weight of icatibant: </w:t>
      </w:r>
      <w:r w:rsidRPr="00CF44CA">
        <w:rPr>
          <w:rStyle w:val="Strong"/>
          <w:rFonts w:ascii="Times New Roman" w:hAnsi="Times New Roman" w:cs="Times New Roman"/>
          <w:b w:val="0"/>
          <w:sz w:val="24"/>
          <w:szCs w:val="24"/>
        </w:rPr>
        <w:t>1304.55</w:t>
      </w:r>
    </w:p>
    <w:p w14:paraId="566C9BC7" w14:textId="23A90933" w:rsidR="006E08A7" w:rsidRPr="00CF44CA" w:rsidRDefault="007B225E" w:rsidP="007B225E">
      <w:pPr>
        <w:spacing w:before="120" w:after="180" w:line="240" w:lineRule="auto"/>
        <w:rPr>
          <w:rFonts w:ascii="Times New Roman" w:hAnsi="Times New Roman" w:cs="Times New Roman"/>
          <w:b/>
          <w:sz w:val="24"/>
          <w:szCs w:val="24"/>
        </w:rPr>
      </w:pPr>
      <w:r>
        <w:rPr>
          <w:rFonts w:ascii="Times New Roman" w:hAnsi="Times New Roman" w:cs="Times New Roman"/>
          <w:b/>
          <w:sz w:val="24"/>
          <w:szCs w:val="24"/>
        </w:rPr>
        <w:lastRenderedPageBreak/>
        <w:t>CAS number</w:t>
      </w:r>
    </w:p>
    <w:p w14:paraId="00951916" w14:textId="2E495F86" w:rsidR="00DC3E15" w:rsidRPr="00CF44CA" w:rsidRDefault="006E08A7" w:rsidP="007B225E">
      <w:pPr>
        <w:spacing w:before="120" w:after="180" w:line="240" w:lineRule="auto"/>
        <w:rPr>
          <w:rFonts w:ascii="Times New Roman" w:hAnsi="Times New Roman" w:cs="Times New Roman"/>
          <w:sz w:val="24"/>
          <w:szCs w:val="24"/>
        </w:rPr>
      </w:pPr>
      <w:r w:rsidRPr="00CF44CA">
        <w:rPr>
          <w:rStyle w:val="Strong"/>
          <w:rFonts w:ascii="Times New Roman" w:hAnsi="Times New Roman" w:cs="Times New Roman"/>
          <w:b w:val="0"/>
          <w:color w:val="000000"/>
          <w:sz w:val="24"/>
          <w:szCs w:val="24"/>
        </w:rPr>
        <w:t>CAS number of</w:t>
      </w:r>
      <w:r w:rsidRPr="00CF44CA">
        <w:rPr>
          <w:rFonts w:ascii="Times New Roman" w:hAnsi="Times New Roman" w:cs="Times New Roman"/>
          <w:sz w:val="24"/>
          <w:szCs w:val="24"/>
        </w:rPr>
        <w:t xml:space="preserve"> </w:t>
      </w:r>
      <w:proofErr w:type="spellStart"/>
      <w:r w:rsidRPr="00CF44CA">
        <w:rPr>
          <w:rFonts w:ascii="Times New Roman" w:hAnsi="Times New Roman" w:cs="Times New Roman"/>
          <w:sz w:val="24"/>
          <w:szCs w:val="24"/>
        </w:rPr>
        <w:t>icatibant</w:t>
      </w:r>
      <w:proofErr w:type="spellEnd"/>
      <w:r w:rsidRPr="00CF44CA">
        <w:rPr>
          <w:rStyle w:val="Strong"/>
          <w:rFonts w:ascii="Times New Roman" w:hAnsi="Times New Roman" w:cs="Times New Roman"/>
          <w:color w:val="000000"/>
          <w:sz w:val="24"/>
          <w:szCs w:val="24"/>
        </w:rPr>
        <w:t xml:space="preserve">: </w:t>
      </w:r>
      <w:r w:rsidRPr="00CF44CA">
        <w:rPr>
          <w:rFonts w:ascii="Times New Roman" w:hAnsi="Times New Roman" w:cs="Times New Roman"/>
          <w:color w:val="000000"/>
          <w:sz w:val="24"/>
          <w:szCs w:val="24"/>
        </w:rPr>
        <w:t>130308-48-4</w:t>
      </w:r>
    </w:p>
    <w:p w14:paraId="72EFFF8F" w14:textId="46D15B71" w:rsidR="00AF0223" w:rsidRPr="00CF44CA" w:rsidRDefault="00AF0223" w:rsidP="007B225E">
      <w:pPr>
        <w:pStyle w:val="Heading2"/>
        <w:numPr>
          <w:ilvl w:val="0"/>
          <w:numId w:val="0"/>
        </w:numPr>
        <w:spacing w:before="120" w:after="180" w:line="240" w:lineRule="auto"/>
        <w:ind w:left="567" w:hanging="567"/>
        <w:rPr>
          <w:rFonts w:ascii="Times New Roman" w:hAnsi="Times New Roman" w:cs="Times New Roman"/>
          <w:b w:val="0"/>
          <w:szCs w:val="24"/>
        </w:rPr>
      </w:pPr>
      <w:r w:rsidRPr="00CF44CA">
        <w:rPr>
          <w:rFonts w:ascii="Times New Roman" w:hAnsi="Times New Roman" w:cs="Times New Roman"/>
          <w:szCs w:val="24"/>
        </w:rPr>
        <w:t>7</w:t>
      </w:r>
      <w:r w:rsidRPr="00CF44CA">
        <w:rPr>
          <w:rFonts w:ascii="Times New Roman" w:hAnsi="Times New Roman" w:cs="Times New Roman"/>
          <w:szCs w:val="24"/>
        </w:rPr>
        <w:tab/>
        <w:t>MEDIC</w:t>
      </w:r>
      <w:r w:rsidR="007B225E">
        <w:rPr>
          <w:rFonts w:ascii="Times New Roman" w:hAnsi="Times New Roman" w:cs="Times New Roman"/>
          <w:szCs w:val="24"/>
        </w:rPr>
        <w:t>INE SCHEDULE (POISONS STANDARD)</w:t>
      </w:r>
    </w:p>
    <w:p w14:paraId="423BDB36" w14:textId="693D3012" w:rsidR="00AF2577" w:rsidRPr="00CF44CA" w:rsidRDefault="00A6070B" w:rsidP="007B225E">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Prescription Only Medicine (S4)</w:t>
      </w:r>
    </w:p>
    <w:p w14:paraId="24EB91A4" w14:textId="628AE686" w:rsidR="00AF0223" w:rsidRPr="00CF44CA" w:rsidRDefault="007B225E" w:rsidP="007B225E">
      <w:pPr>
        <w:pStyle w:val="Heading2"/>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t>8</w:t>
      </w:r>
      <w:r>
        <w:rPr>
          <w:rFonts w:ascii="Times New Roman" w:hAnsi="Times New Roman" w:cs="Times New Roman"/>
          <w:szCs w:val="24"/>
        </w:rPr>
        <w:tab/>
        <w:t>SPONSOR</w:t>
      </w:r>
    </w:p>
    <w:p w14:paraId="1B4FD345" w14:textId="77777777" w:rsidR="00CF507D" w:rsidRPr="00CF44CA" w:rsidRDefault="00CF507D" w:rsidP="00121678">
      <w:pPr>
        <w:spacing w:before="120" w:after="0" w:line="240" w:lineRule="auto"/>
        <w:jc w:val="both"/>
        <w:rPr>
          <w:rFonts w:ascii="Times New Roman" w:hAnsi="Times New Roman" w:cs="Times New Roman"/>
          <w:sz w:val="24"/>
          <w:szCs w:val="24"/>
        </w:rPr>
      </w:pPr>
      <w:r w:rsidRPr="00CF44CA">
        <w:rPr>
          <w:rFonts w:ascii="Times New Roman" w:hAnsi="Times New Roman" w:cs="Times New Roman"/>
          <w:sz w:val="24"/>
          <w:szCs w:val="24"/>
        </w:rPr>
        <w:t>Shire Australia Pty Limited</w:t>
      </w:r>
    </w:p>
    <w:p w14:paraId="6068C7B8" w14:textId="77777777" w:rsidR="00A7034E" w:rsidRPr="00CF44CA" w:rsidRDefault="00A7034E" w:rsidP="00121678">
      <w:pPr>
        <w:spacing w:after="0" w:line="240" w:lineRule="auto"/>
        <w:jc w:val="both"/>
        <w:rPr>
          <w:rFonts w:ascii="Times New Roman" w:hAnsi="Times New Roman" w:cs="Times New Roman"/>
          <w:sz w:val="24"/>
          <w:szCs w:val="24"/>
        </w:rPr>
      </w:pPr>
      <w:r w:rsidRPr="00CF44CA">
        <w:rPr>
          <w:rFonts w:ascii="Times New Roman" w:hAnsi="Times New Roman" w:cs="Times New Roman"/>
          <w:sz w:val="24"/>
          <w:szCs w:val="24"/>
        </w:rPr>
        <w:t>Shire is now part of Takeda</w:t>
      </w:r>
    </w:p>
    <w:p w14:paraId="2EC2CCE4" w14:textId="77777777" w:rsidR="00CF507D" w:rsidRPr="00CF44CA" w:rsidRDefault="00A6070B" w:rsidP="00121678">
      <w:pPr>
        <w:spacing w:after="0" w:line="240" w:lineRule="auto"/>
        <w:jc w:val="both"/>
        <w:rPr>
          <w:rFonts w:ascii="Times New Roman" w:hAnsi="Times New Roman" w:cs="Times New Roman"/>
          <w:sz w:val="24"/>
          <w:szCs w:val="24"/>
        </w:rPr>
      </w:pPr>
      <w:r w:rsidRPr="00CF44CA">
        <w:rPr>
          <w:rFonts w:ascii="Times New Roman" w:hAnsi="Times New Roman" w:cs="Times New Roman"/>
          <w:sz w:val="24"/>
          <w:szCs w:val="24"/>
        </w:rPr>
        <w:t>Level 39</w:t>
      </w:r>
    </w:p>
    <w:p w14:paraId="023B01A7" w14:textId="77777777" w:rsidR="00CF507D" w:rsidRPr="00CF44CA" w:rsidRDefault="00A6070B" w:rsidP="00121678">
      <w:pPr>
        <w:spacing w:after="0" w:line="240" w:lineRule="auto"/>
        <w:jc w:val="both"/>
        <w:rPr>
          <w:rFonts w:ascii="Times New Roman" w:hAnsi="Times New Roman" w:cs="Times New Roman"/>
          <w:sz w:val="24"/>
          <w:szCs w:val="24"/>
        </w:rPr>
      </w:pPr>
      <w:r w:rsidRPr="00CF44CA">
        <w:rPr>
          <w:rFonts w:ascii="Times New Roman" w:hAnsi="Times New Roman" w:cs="Times New Roman"/>
          <w:sz w:val="24"/>
          <w:szCs w:val="24"/>
        </w:rPr>
        <w:t>225 George Street</w:t>
      </w:r>
    </w:p>
    <w:p w14:paraId="2CBB0756" w14:textId="77777777" w:rsidR="00CF507D" w:rsidRPr="00CF44CA" w:rsidRDefault="00A6070B" w:rsidP="00121678">
      <w:pPr>
        <w:spacing w:after="0" w:line="240" w:lineRule="auto"/>
        <w:jc w:val="both"/>
        <w:rPr>
          <w:rFonts w:ascii="Times New Roman" w:hAnsi="Times New Roman" w:cs="Times New Roman"/>
          <w:sz w:val="24"/>
          <w:szCs w:val="24"/>
        </w:rPr>
      </w:pPr>
      <w:r w:rsidRPr="00CF44CA">
        <w:rPr>
          <w:rFonts w:ascii="Times New Roman" w:hAnsi="Times New Roman" w:cs="Times New Roman"/>
          <w:sz w:val="24"/>
          <w:szCs w:val="24"/>
        </w:rPr>
        <w:t>Sydney, NSW 2000</w:t>
      </w:r>
    </w:p>
    <w:p w14:paraId="1E153368" w14:textId="77777777" w:rsidR="00CF507D" w:rsidRPr="00CF44CA" w:rsidRDefault="00CF507D" w:rsidP="00121678">
      <w:pPr>
        <w:spacing w:after="0" w:line="240" w:lineRule="auto"/>
        <w:jc w:val="both"/>
        <w:rPr>
          <w:rFonts w:ascii="Times New Roman" w:hAnsi="Times New Roman" w:cs="Times New Roman"/>
          <w:sz w:val="24"/>
          <w:szCs w:val="24"/>
        </w:rPr>
      </w:pPr>
      <w:r w:rsidRPr="00CF44CA">
        <w:rPr>
          <w:rFonts w:ascii="Times New Roman" w:hAnsi="Times New Roman" w:cs="Times New Roman"/>
          <w:sz w:val="24"/>
          <w:szCs w:val="24"/>
        </w:rPr>
        <w:t>Australia</w:t>
      </w:r>
    </w:p>
    <w:p w14:paraId="2E61DA00" w14:textId="77777777" w:rsidR="00A6070B" w:rsidRPr="00CF44CA" w:rsidRDefault="00A6070B" w:rsidP="00121678">
      <w:pPr>
        <w:spacing w:after="0" w:line="240" w:lineRule="auto"/>
        <w:jc w:val="both"/>
        <w:rPr>
          <w:rFonts w:ascii="Times New Roman" w:hAnsi="Times New Roman" w:cs="Times New Roman"/>
          <w:sz w:val="24"/>
          <w:szCs w:val="24"/>
        </w:rPr>
      </w:pPr>
      <w:r w:rsidRPr="00CF44CA">
        <w:rPr>
          <w:rFonts w:ascii="Times New Roman" w:hAnsi="Times New Roman" w:cs="Times New Roman"/>
          <w:sz w:val="24"/>
          <w:szCs w:val="24"/>
        </w:rPr>
        <w:t>Telephone: 1800 012 612</w:t>
      </w:r>
    </w:p>
    <w:p w14:paraId="7AF4F4D5" w14:textId="77777777" w:rsidR="00702FE3" w:rsidRPr="00CF44CA" w:rsidRDefault="003E431B" w:rsidP="007B225E">
      <w:pPr>
        <w:spacing w:after="180" w:line="240" w:lineRule="auto"/>
        <w:rPr>
          <w:rFonts w:ascii="Times New Roman" w:hAnsi="Times New Roman" w:cs="Times New Roman"/>
          <w:sz w:val="24"/>
          <w:szCs w:val="24"/>
        </w:rPr>
      </w:pPr>
      <w:hyperlink r:id="rId12" w:history="1">
        <w:r w:rsidR="00A6070B" w:rsidRPr="00CF44CA">
          <w:rPr>
            <w:rStyle w:val="Hyperlink"/>
            <w:rFonts w:ascii="Times New Roman" w:hAnsi="Times New Roman" w:cs="Times New Roman"/>
            <w:color w:val="auto"/>
            <w:sz w:val="24"/>
            <w:szCs w:val="24"/>
          </w:rPr>
          <w:t>www.shireaustralia.com.au</w:t>
        </w:r>
      </w:hyperlink>
    </w:p>
    <w:p w14:paraId="13F09754" w14:textId="5BD4E9F8" w:rsidR="00EB3A9E" w:rsidRPr="00CF44CA" w:rsidRDefault="00121678" w:rsidP="00121678">
      <w:pPr>
        <w:pStyle w:val="Heading2"/>
        <w:numPr>
          <w:ilvl w:val="0"/>
          <w:numId w:val="0"/>
        </w:numPr>
        <w:spacing w:before="120" w:after="180" w:line="240" w:lineRule="auto"/>
        <w:ind w:left="567" w:hanging="567"/>
        <w:rPr>
          <w:rFonts w:ascii="Times New Roman" w:hAnsi="Times New Roman" w:cs="Times New Roman"/>
          <w:b w:val="0"/>
          <w:szCs w:val="24"/>
        </w:rPr>
      </w:pPr>
      <w:r>
        <w:rPr>
          <w:rFonts w:ascii="Times New Roman" w:hAnsi="Times New Roman" w:cs="Times New Roman"/>
          <w:szCs w:val="24"/>
        </w:rPr>
        <w:t>9</w:t>
      </w:r>
      <w:r>
        <w:rPr>
          <w:rFonts w:ascii="Times New Roman" w:hAnsi="Times New Roman" w:cs="Times New Roman"/>
          <w:szCs w:val="24"/>
        </w:rPr>
        <w:tab/>
        <w:t>DATE OF FIRST APPROVAL</w:t>
      </w:r>
    </w:p>
    <w:p w14:paraId="0FEA206D" w14:textId="77777777" w:rsidR="00EB3A9E" w:rsidRPr="00CF44CA" w:rsidRDefault="00CF507D" w:rsidP="007B225E">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7 June 2010</w:t>
      </w:r>
    </w:p>
    <w:p w14:paraId="7AB5E2F8" w14:textId="6823B163" w:rsidR="00171F5E" w:rsidRPr="00CF44CA" w:rsidRDefault="00121678" w:rsidP="007B225E">
      <w:pPr>
        <w:pStyle w:val="Heading2"/>
        <w:numPr>
          <w:ilvl w:val="0"/>
          <w:numId w:val="0"/>
        </w:numPr>
        <w:spacing w:before="120" w:after="180" w:line="240" w:lineRule="auto"/>
        <w:rPr>
          <w:rFonts w:ascii="Times New Roman" w:hAnsi="Times New Roman" w:cs="Times New Roman"/>
          <w:b w:val="0"/>
          <w:szCs w:val="24"/>
        </w:rPr>
      </w:pPr>
      <w:r>
        <w:rPr>
          <w:rFonts w:ascii="Times New Roman" w:hAnsi="Times New Roman" w:cs="Times New Roman"/>
          <w:szCs w:val="24"/>
        </w:rPr>
        <w:t>10</w:t>
      </w:r>
      <w:r>
        <w:rPr>
          <w:rFonts w:ascii="Times New Roman" w:hAnsi="Times New Roman" w:cs="Times New Roman"/>
          <w:szCs w:val="24"/>
        </w:rPr>
        <w:tab/>
        <w:t>DATE OF REVISION</w:t>
      </w:r>
    </w:p>
    <w:p w14:paraId="2ED14832" w14:textId="77777777" w:rsidR="00AF2577" w:rsidRPr="00CF44CA" w:rsidRDefault="00141C3A" w:rsidP="007B225E">
      <w:pPr>
        <w:spacing w:before="120" w:after="180" w:line="240" w:lineRule="auto"/>
        <w:rPr>
          <w:rFonts w:ascii="Times New Roman" w:hAnsi="Times New Roman" w:cs="Times New Roman"/>
          <w:sz w:val="24"/>
          <w:szCs w:val="24"/>
        </w:rPr>
      </w:pPr>
      <w:r w:rsidRPr="00CF44CA">
        <w:rPr>
          <w:rFonts w:ascii="Times New Roman" w:hAnsi="Times New Roman" w:cs="Times New Roman"/>
          <w:sz w:val="24"/>
          <w:szCs w:val="24"/>
        </w:rPr>
        <w:t>26 July 2019</w:t>
      </w:r>
    </w:p>
    <w:p w14:paraId="6E93AABA" w14:textId="77777777" w:rsidR="00171F5E" w:rsidRPr="00CF44CA" w:rsidRDefault="00171F5E" w:rsidP="00121678">
      <w:pPr>
        <w:spacing w:before="120" w:after="120" w:line="240" w:lineRule="auto"/>
        <w:rPr>
          <w:rFonts w:ascii="Times New Roman" w:hAnsi="Times New Roman" w:cs="Times New Roman"/>
          <w:b/>
          <w:sz w:val="24"/>
          <w:szCs w:val="24"/>
        </w:rPr>
      </w:pPr>
      <w:r w:rsidRPr="00CF44CA">
        <w:rPr>
          <w:rFonts w:ascii="Times New Roman" w:hAnsi="Times New Roman" w:cs="Times New Roman"/>
          <w:b/>
          <w:sz w:val="24"/>
          <w:szCs w:val="24"/>
        </w:rPr>
        <w:t>Summary table of changes</w:t>
      </w:r>
    </w:p>
    <w:tbl>
      <w:tblPr>
        <w:tblStyle w:val="TableGrid"/>
        <w:tblW w:w="0" w:type="auto"/>
        <w:tblInd w:w="-5" w:type="dxa"/>
        <w:tblLook w:val="04A0" w:firstRow="1" w:lastRow="0" w:firstColumn="1" w:lastColumn="0" w:noHBand="0" w:noVBand="1"/>
      </w:tblPr>
      <w:tblGrid>
        <w:gridCol w:w="2074"/>
        <w:gridCol w:w="7091"/>
      </w:tblGrid>
      <w:tr w:rsidR="00171F5E" w:rsidRPr="00CF44CA" w14:paraId="08202880" w14:textId="77777777" w:rsidTr="008025B4">
        <w:tc>
          <w:tcPr>
            <w:tcW w:w="2074" w:type="dxa"/>
          </w:tcPr>
          <w:p w14:paraId="371FB436" w14:textId="77777777" w:rsidR="00171F5E" w:rsidRPr="00CF44CA" w:rsidRDefault="00171F5E" w:rsidP="00914208">
            <w:pPr>
              <w:rPr>
                <w:rFonts w:ascii="Times New Roman" w:hAnsi="Times New Roman" w:cs="Times New Roman"/>
                <w:b/>
                <w:sz w:val="24"/>
                <w:szCs w:val="24"/>
              </w:rPr>
            </w:pPr>
            <w:r w:rsidRPr="00CF44CA">
              <w:rPr>
                <w:rFonts w:ascii="Times New Roman" w:hAnsi="Times New Roman" w:cs="Times New Roman"/>
                <w:b/>
                <w:sz w:val="24"/>
                <w:szCs w:val="24"/>
              </w:rPr>
              <w:t>Section changed</w:t>
            </w:r>
          </w:p>
        </w:tc>
        <w:tc>
          <w:tcPr>
            <w:tcW w:w="7091" w:type="dxa"/>
          </w:tcPr>
          <w:p w14:paraId="56514DBD" w14:textId="77777777" w:rsidR="00171F5E" w:rsidRPr="00CF44CA" w:rsidRDefault="00171F5E" w:rsidP="00914208">
            <w:pPr>
              <w:rPr>
                <w:rFonts w:ascii="Times New Roman" w:hAnsi="Times New Roman" w:cs="Times New Roman"/>
                <w:b/>
                <w:sz w:val="24"/>
                <w:szCs w:val="24"/>
              </w:rPr>
            </w:pPr>
            <w:r w:rsidRPr="00CF44CA">
              <w:rPr>
                <w:rFonts w:ascii="Times New Roman" w:hAnsi="Times New Roman" w:cs="Times New Roman"/>
                <w:b/>
                <w:sz w:val="24"/>
                <w:szCs w:val="24"/>
              </w:rPr>
              <w:t xml:space="preserve">Summary of new information </w:t>
            </w:r>
          </w:p>
        </w:tc>
      </w:tr>
      <w:tr w:rsidR="005A0276" w:rsidRPr="00CF44CA" w14:paraId="08867F37" w14:textId="77777777" w:rsidTr="008025B4">
        <w:tc>
          <w:tcPr>
            <w:tcW w:w="2074" w:type="dxa"/>
          </w:tcPr>
          <w:p w14:paraId="54BE6BFF"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4.1</w:t>
            </w:r>
          </w:p>
        </w:tc>
        <w:tc>
          <w:tcPr>
            <w:tcW w:w="7091" w:type="dxa"/>
          </w:tcPr>
          <w:p w14:paraId="28420A01"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 xml:space="preserve">Inclusion of adolescents and children aged 2 years and older </w:t>
            </w:r>
          </w:p>
        </w:tc>
      </w:tr>
      <w:tr w:rsidR="005A0276" w:rsidRPr="00CF44CA" w14:paraId="4C2CB7EC" w14:textId="77777777" w:rsidTr="008025B4">
        <w:trPr>
          <w:trHeight w:val="609"/>
        </w:trPr>
        <w:tc>
          <w:tcPr>
            <w:tcW w:w="2074" w:type="dxa"/>
          </w:tcPr>
          <w:p w14:paraId="2ACB12F6"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4.2</w:t>
            </w:r>
          </w:p>
        </w:tc>
        <w:tc>
          <w:tcPr>
            <w:tcW w:w="7091" w:type="dxa"/>
          </w:tcPr>
          <w:p w14:paraId="4BA320C3"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 xml:space="preserve">Revision of text; inclusion of dosage recommendation for paediatric population </w:t>
            </w:r>
          </w:p>
        </w:tc>
      </w:tr>
      <w:tr w:rsidR="005A0276" w:rsidRPr="00CF44CA" w14:paraId="12EC9732" w14:textId="77777777" w:rsidTr="008025B4">
        <w:tc>
          <w:tcPr>
            <w:tcW w:w="2074" w:type="dxa"/>
          </w:tcPr>
          <w:p w14:paraId="6A98C5D4"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4.4</w:t>
            </w:r>
          </w:p>
        </w:tc>
        <w:tc>
          <w:tcPr>
            <w:tcW w:w="7091" w:type="dxa"/>
          </w:tcPr>
          <w:p w14:paraId="01EA41D7"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Revision of information on paediatric use</w:t>
            </w:r>
          </w:p>
        </w:tc>
      </w:tr>
      <w:tr w:rsidR="005A0276" w:rsidRPr="00CF44CA" w14:paraId="14E2DE5A" w14:textId="77777777" w:rsidTr="008025B4">
        <w:tc>
          <w:tcPr>
            <w:tcW w:w="2074" w:type="dxa"/>
          </w:tcPr>
          <w:p w14:paraId="19711496"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4.8</w:t>
            </w:r>
          </w:p>
        </w:tc>
        <w:tc>
          <w:tcPr>
            <w:tcW w:w="7091" w:type="dxa"/>
          </w:tcPr>
          <w:p w14:paraId="222F8A8C"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 xml:space="preserve">Inclusion of a new subsection on paediatric population and immunogenicity information in paediatric patients </w:t>
            </w:r>
          </w:p>
        </w:tc>
      </w:tr>
      <w:tr w:rsidR="005A0276" w:rsidRPr="00CF44CA" w14:paraId="18FF1333" w14:textId="77777777" w:rsidTr="008025B4">
        <w:tc>
          <w:tcPr>
            <w:tcW w:w="2074" w:type="dxa"/>
          </w:tcPr>
          <w:p w14:paraId="5E78CCBB"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5.1</w:t>
            </w:r>
          </w:p>
        </w:tc>
        <w:tc>
          <w:tcPr>
            <w:tcW w:w="7091" w:type="dxa"/>
          </w:tcPr>
          <w:p w14:paraId="5B52F7F3"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Revision of text; inclusion of study HGT-FIR-086 (paediatric patients)</w:t>
            </w:r>
          </w:p>
        </w:tc>
      </w:tr>
      <w:tr w:rsidR="005A0276" w:rsidRPr="00CF44CA" w14:paraId="2C159D87" w14:textId="77777777" w:rsidTr="008025B4">
        <w:tc>
          <w:tcPr>
            <w:tcW w:w="2074" w:type="dxa"/>
          </w:tcPr>
          <w:p w14:paraId="0C9050EA"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 xml:space="preserve">5.2 </w:t>
            </w:r>
          </w:p>
        </w:tc>
        <w:tc>
          <w:tcPr>
            <w:tcW w:w="7091" w:type="dxa"/>
          </w:tcPr>
          <w:p w14:paraId="177CDC21"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 xml:space="preserve">Inclusion of pharmacokinetics in paediatric patients </w:t>
            </w:r>
          </w:p>
        </w:tc>
      </w:tr>
      <w:tr w:rsidR="005A0276" w:rsidRPr="00CF44CA" w14:paraId="18517B93" w14:textId="77777777" w:rsidTr="008025B4">
        <w:tc>
          <w:tcPr>
            <w:tcW w:w="2074" w:type="dxa"/>
          </w:tcPr>
          <w:p w14:paraId="54491F14"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6.5</w:t>
            </w:r>
          </w:p>
        </w:tc>
        <w:tc>
          <w:tcPr>
            <w:tcW w:w="7091" w:type="dxa"/>
          </w:tcPr>
          <w:p w14:paraId="143A36B5"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 xml:space="preserve">Inclusion of devices for use in paediatric patients </w:t>
            </w:r>
          </w:p>
        </w:tc>
      </w:tr>
      <w:tr w:rsidR="005A0276" w:rsidRPr="00CF44CA" w14:paraId="4EFEC5BC" w14:textId="77777777" w:rsidTr="008025B4">
        <w:tc>
          <w:tcPr>
            <w:tcW w:w="2074" w:type="dxa"/>
          </w:tcPr>
          <w:p w14:paraId="08FE6443"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10</w:t>
            </w:r>
          </w:p>
        </w:tc>
        <w:tc>
          <w:tcPr>
            <w:tcW w:w="7091" w:type="dxa"/>
          </w:tcPr>
          <w:p w14:paraId="2259181D" w14:textId="77777777" w:rsidR="005A0276" w:rsidRPr="00CF44CA" w:rsidDel="00E1310E" w:rsidRDefault="005A0276" w:rsidP="004502F1">
            <w:pPr>
              <w:rPr>
                <w:rFonts w:ascii="Times New Roman" w:hAnsi="Times New Roman" w:cs="Times New Roman"/>
                <w:sz w:val="24"/>
                <w:szCs w:val="24"/>
              </w:rPr>
            </w:pPr>
            <w:r w:rsidRPr="00CF44CA">
              <w:rPr>
                <w:rFonts w:ascii="Times New Roman" w:hAnsi="Times New Roman" w:cs="Times New Roman"/>
                <w:sz w:val="24"/>
                <w:szCs w:val="24"/>
              </w:rPr>
              <w:t xml:space="preserve">Revision of document date </w:t>
            </w:r>
          </w:p>
        </w:tc>
      </w:tr>
    </w:tbl>
    <w:p w14:paraId="0182E3A3" w14:textId="3CD76584" w:rsidR="00A6070B" w:rsidRPr="00CF44CA" w:rsidRDefault="00A6070B" w:rsidP="00121678">
      <w:pPr>
        <w:spacing w:before="120" w:after="0" w:line="240" w:lineRule="auto"/>
        <w:rPr>
          <w:rFonts w:ascii="Times New Roman" w:hAnsi="Times New Roman" w:cs="Times New Roman"/>
          <w:sz w:val="24"/>
          <w:szCs w:val="24"/>
        </w:rPr>
      </w:pPr>
      <w:r w:rsidRPr="00CF44CA">
        <w:rPr>
          <w:rFonts w:ascii="Times New Roman" w:hAnsi="Times New Roman" w:cs="Times New Roman"/>
          <w:sz w:val="24"/>
          <w:szCs w:val="24"/>
        </w:rPr>
        <w:t xml:space="preserve">FIRAZYR is a </w:t>
      </w:r>
      <w:r w:rsidR="00BD5D87" w:rsidRPr="00CF44CA">
        <w:rPr>
          <w:rFonts w:ascii="Times New Roman" w:hAnsi="Times New Roman" w:cs="Times New Roman"/>
          <w:sz w:val="24"/>
          <w:szCs w:val="24"/>
        </w:rPr>
        <w:t xml:space="preserve">trademark or </w:t>
      </w:r>
      <w:r w:rsidRPr="00CF44CA">
        <w:rPr>
          <w:rFonts w:ascii="Times New Roman" w:hAnsi="Times New Roman" w:cs="Times New Roman"/>
          <w:sz w:val="24"/>
          <w:szCs w:val="24"/>
        </w:rPr>
        <w:t xml:space="preserve">registered trademark of </w:t>
      </w:r>
      <w:r w:rsidR="00654CC0" w:rsidRPr="00CF44CA">
        <w:rPr>
          <w:rFonts w:ascii="Times New Roman" w:hAnsi="Times New Roman" w:cs="Times New Roman"/>
          <w:sz w:val="24"/>
          <w:szCs w:val="24"/>
        </w:rPr>
        <w:t>Shire Orphan Therapies GmbH</w:t>
      </w:r>
      <w:r w:rsidR="00BD5D87" w:rsidRPr="00CF44CA">
        <w:rPr>
          <w:rFonts w:ascii="Times New Roman" w:hAnsi="Times New Roman" w:cs="Times New Roman"/>
          <w:sz w:val="24"/>
          <w:szCs w:val="24"/>
        </w:rPr>
        <w:t>,</w:t>
      </w:r>
      <w:r w:rsidR="00964C75" w:rsidRPr="00CF44CA">
        <w:rPr>
          <w:rFonts w:ascii="Times New Roman" w:hAnsi="Times New Roman" w:cs="Times New Roman"/>
          <w:sz w:val="24"/>
          <w:szCs w:val="24"/>
        </w:rPr>
        <w:t xml:space="preserve"> </w:t>
      </w:r>
      <w:r w:rsidR="00AE52C5" w:rsidRPr="00CF44CA">
        <w:rPr>
          <w:rFonts w:ascii="Times New Roman" w:hAnsi="Times New Roman" w:cs="Times New Roman"/>
          <w:sz w:val="24"/>
          <w:szCs w:val="24"/>
        </w:rPr>
        <w:t>a Takeda company</w:t>
      </w:r>
      <w:r w:rsidR="00AE52C5" w:rsidRPr="00CF44CA">
        <w:rPr>
          <w:rFonts w:ascii="Times New Roman" w:hAnsi="Times New Roman"/>
        </w:rPr>
        <w:t>.</w:t>
      </w:r>
    </w:p>
    <w:sectPr w:rsidR="00A6070B" w:rsidRPr="00CF44CA" w:rsidSect="00016C72">
      <w:headerReference w:type="default" r:id="rId13"/>
      <w:footerReference w:type="default" r:id="rId14"/>
      <w:headerReference w:type="first" r:id="rId15"/>
      <w:pgSz w:w="11906" w:h="16838" w:code="9"/>
      <w:pgMar w:top="677" w:right="1296" w:bottom="965" w:left="144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8A369" w14:textId="77777777" w:rsidR="003E431B" w:rsidRDefault="003E431B" w:rsidP="001A3992">
      <w:pPr>
        <w:spacing w:after="0" w:line="240" w:lineRule="auto"/>
      </w:pPr>
      <w:r>
        <w:separator/>
      </w:r>
    </w:p>
  </w:endnote>
  <w:endnote w:type="continuationSeparator" w:id="0">
    <w:p w14:paraId="2091C68B" w14:textId="77777777" w:rsidR="003E431B" w:rsidRDefault="003E431B"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9D229" w14:textId="476AF1FE" w:rsidR="003E431B" w:rsidRPr="007D24C4" w:rsidRDefault="003E431B" w:rsidP="007D24C4">
    <w:pPr>
      <w:pStyle w:val="Footer"/>
      <w:pBdr>
        <w:top w:val="single" w:sz="4" w:space="1" w:color="auto"/>
      </w:pBdr>
      <w:tabs>
        <w:tab w:val="clear" w:pos="4513"/>
        <w:tab w:val="clear" w:pos="9026"/>
        <w:tab w:val="center" w:pos="7083"/>
      </w:tabs>
      <w:rPr>
        <w:rFonts w:ascii="Times New Roman" w:hAnsi="Times New Roman" w:cs="Times New Roman"/>
        <w:sz w:val="20"/>
        <w:szCs w:val="20"/>
      </w:rPr>
    </w:pPr>
    <w:r>
      <w:rPr>
        <w:rFonts w:ascii="Times New Roman" w:hAnsi="Times New Roman" w:cs="Times New Roman"/>
        <w:sz w:val="20"/>
        <w:szCs w:val="20"/>
      </w:rPr>
      <w:t xml:space="preserve">FIRAZYR </w:t>
    </w:r>
    <w:r w:rsidRPr="003E0BCE">
      <w:rPr>
        <w:rFonts w:ascii="Times New Roman" w:hAnsi="Times New Roman" w:cs="Times New Roman"/>
        <w:sz w:val="20"/>
        <w:szCs w:val="20"/>
      </w:rPr>
      <w:t>PI</w:t>
    </w:r>
    <w:r>
      <w:rPr>
        <w:rFonts w:ascii="Times New Roman" w:hAnsi="Times New Roman" w:cs="Times New Roman"/>
        <w:sz w:val="20"/>
        <w:szCs w:val="20"/>
      </w:rPr>
      <w:t xml:space="preserve">, 26 Jul 2019 (CCDS11)    </w:t>
    </w:r>
    <w:r>
      <w:rPr>
        <w:rFonts w:ascii="Times New Roman" w:hAnsi="Times New Roman" w:cs="Times New Roman"/>
        <w:sz w:val="20"/>
        <w:szCs w:val="20"/>
      </w:rPr>
      <w:tab/>
      <w:t xml:space="preserve">                                                                </w:t>
    </w:r>
    <w:r w:rsidRPr="003E0BCE">
      <w:rPr>
        <w:rFonts w:ascii="Times New Roman" w:hAnsi="Times New Roman" w:cs="Times New Roman"/>
        <w:sz w:val="20"/>
        <w:szCs w:val="20"/>
      </w:rPr>
      <w:t xml:space="preserve">Page </w:t>
    </w:r>
    <w:r w:rsidRPr="003E0BCE">
      <w:rPr>
        <w:rFonts w:ascii="Times New Roman" w:hAnsi="Times New Roman" w:cs="Times New Roman"/>
        <w:b/>
        <w:bCs/>
        <w:sz w:val="20"/>
        <w:szCs w:val="20"/>
      </w:rPr>
      <w:fldChar w:fldCharType="begin"/>
    </w:r>
    <w:r w:rsidRPr="003E0BCE">
      <w:rPr>
        <w:rFonts w:ascii="Times New Roman" w:hAnsi="Times New Roman" w:cs="Times New Roman"/>
        <w:b/>
        <w:bCs/>
        <w:sz w:val="20"/>
        <w:szCs w:val="20"/>
      </w:rPr>
      <w:instrText xml:space="preserve"> PAGE </w:instrText>
    </w:r>
    <w:r w:rsidRPr="003E0BCE">
      <w:rPr>
        <w:rFonts w:ascii="Times New Roman" w:hAnsi="Times New Roman" w:cs="Times New Roman"/>
        <w:b/>
        <w:bCs/>
        <w:sz w:val="20"/>
        <w:szCs w:val="20"/>
      </w:rPr>
      <w:fldChar w:fldCharType="separate"/>
    </w:r>
    <w:r w:rsidR="00CA3C3A">
      <w:rPr>
        <w:rFonts w:ascii="Times New Roman" w:hAnsi="Times New Roman" w:cs="Times New Roman"/>
        <w:b/>
        <w:bCs/>
        <w:noProof/>
        <w:sz w:val="20"/>
        <w:szCs w:val="20"/>
      </w:rPr>
      <w:t>1</w:t>
    </w:r>
    <w:r w:rsidRPr="003E0BCE">
      <w:rPr>
        <w:rFonts w:ascii="Times New Roman" w:hAnsi="Times New Roman" w:cs="Times New Roman"/>
        <w:b/>
        <w:bCs/>
        <w:sz w:val="20"/>
        <w:szCs w:val="20"/>
      </w:rPr>
      <w:fldChar w:fldCharType="end"/>
    </w:r>
    <w:r w:rsidRPr="003E0BCE">
      <w:rPr>
        <w:rFonts w:ascii="Times New Roman" w:hAnsi="Times New Roman" w:cs="Times New Roman"/>
        <w:sz w:val="20"/>
        <w:szCs w:val="20"/>
      </w:rPr>
      <w:t xml:space="preserve"> of </w:t>
    </w:r>
    <w:r w:rsidRPr="003E0BCE">
      <w:rPr>
        <w:rFonts w:ascii="Times New Roman" w:hAnsi="Times New Roman" w:cs="Times New Roman"/>
        <w:b/>
        <w:bCs/>
        <w:sz w:val="20"/>
        <w:szCs w:val="20"/>
      </w:rPr>
      <w:fldChar w:fldCharType="begin"/>
    </w:r>
    <w:r w:rsidRPr="003E0BCE">
      <w:rPr>
        <w:rFonts w:ascii="Times New Roman" w:hAnsi="Times New Roman" w:cs="Times New Roman"/>
        <w:b/>
        <w:bCs/>
        <w:sz w:val="20"/>
        <w:szCs w:val="20"/>
      </w:rPr>
      <w:instrText xml:space="preserve"> NUMPAGES  </w:instrText>
    </w:r>
    <w:r w:rsidRPr="003E0BCE">
      <w:rPr>
        <w:rFonts w:ascii="Times New Roman" w:hAnsi="Times New Roman" w:cs="Times New Roman"/>
        <w:b/>
        <w:bCs/>
        <w:sz w:val="20"/>
        <w:szCs w:val="20"/>
      </w:rPr>
      <w:fldChar w:fldCharType="separate"/>
    </w:r>
    <w:r w:rsidR="00CA3C3A">
      <w:rPr>
        <w:rFonts w:ascii="Times New Roman" w:hAnsi="Times New Roman" w:cs="Times New Roman"/>
        <w:b/>
        <w:bCs/>
        <w:noProof/>
        <w:sz w:val="20"/>
        <w:szCs w:val="20"/>
      </w:rPr>
      <w:t>14</w:t>
    </w:r>
    <w:r w:rsidRPr="003E0BCE">
      <w:rPr>
        <w:rFonts w:ascii="Times New Roman" w:hAnsi="Times New Roman"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4139F" w14:textId="77777777" w:rsidR="003E431B" w:rsidRDefault="003E431B" w:rsidP="001A3992">
      <w:pPr>
        <w:spacing w:after="0" w:line="240" w:lineRule="auto"/>
      </w:pPr>
      <w:r>
        <w:separator/>
      </w:r>
    </w:p>
  </w:footnote>
  <w:footnote w:type="continuationSeparator" w:id="0">
    <w:p w14:paraId="23319833" w14:textId="77777777" w:rsidR="003E431B" w:rsidRDefault="003E431B"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3E431B" w14:paraId="53563147" w14:textId="77777777" w:rsidTr="003E431B">
      <w:tc>
        <w:tcPr>
          <w:tcW w:w="8720" w:type="dxa"/>
          <w:shd w:val="clear" w:color="auto" w:fill="E4F2E0"/>
        </w:tcPr>
        <w:p w14:paraId="174BD5CF" w14:textId="3538DBA5" w:rsidR="003E431B" w:rsidRPr="00D361CA" w:rsidRDefault="003E431B" w:rsidP="00684042">
          <w:pPr>
            <w:spacing w:before="40" w:after="40"/>
            <w:rPr>
              <w:b/>
              <w:sz w:val="20"/>
              <w:szCs w:val="20"/>
            </w:rPr>
          </w:pPr>
          <w:r w:rsidRPr="00D361CA">
            <w:rPr>
              <w:b/>
              <w:sz w:val="20"/>
              <w:szCs w:val="20"/>
            </w:rPr>
            <w:t xml:space="preserve">Attachment 1: Product information for </w:t>
          </w:r>
          <w:proofErr w:type="spellStart"/>
          <w:r w:rsidRPr="00684042">
            <w:rPr>
              <w:b/>
              <w:sz w:val="20"/>
              <w:szCs w:val="20"/>
            </w:rPr>
            <w:t>AusPAR</w:t>
          </w:r>
          <w:proofErr w:type="spellEnd"/>
          <w:r w:rsidRPr="00684042">
            <w:rPr>
              <w:b/>
              <w:sz w:val="20"/>
              <w:szCs w:val="20"/>
            </w:rPr>
            <w:t xml:space="preserve"> - FIRAZYR - </w:t>
          </w:r>
          <w:proofErr w:type="spellStart"/>
          <w:r w:rsidRPr="00684042">
            <w:rPr>
              <w:b/>
              <w:sz w:val="20"/>
              <w:szCs w:val="20"/>
            </w:rPr>
            <w:t>icatibant</w:t>
          </w:r>
          <w:proofErr w:type="spellEnd"/>
          <w:r w:rsidRPr="00684042">
            <w:rPr>
              <w:b/>
              <w:sz w:val="20"/>
              <w:szCs w:val="20"/>
            </w:rPr>
            <w:t xml:space="preserve"> - Shire Australia Pty Limited </w:t>
          </w:r>
          <w:r>
            <w:rPr>
              <w:b/>
              <w:sz w:val="20"/>
              <w:szCs w:val="20"/>
            </w:rPr>
            <w:t>–</w:t>
          </w:r>
          <w:r w:rsidRPr="00684042">
            <w:rPr>
              <w:b/>
              <w:sz w:val="20"/>
              <w:szCs w:val="20"/>
            </w:rPr>
            <w:t xml:space="preserve"> </w:t>
          </w:r>
          <w:r>
            <w:rPr>
              <w:b/>
              <w:sz w:val="20"/>
              <w:szCs w:val="20"/>
            </w:rPr>
            <w:br/>
          </w:r>
          <w:r w:rsidRPr="00684042">
            <w:rPr>
              <w:b/>
              <w:sz w:val="20"/>
              <w:szCs w:val="20"/>
            </w:rPr>
            <w:t>PM-2018-02506-1-2</w:t>
          </w:r>
          <w:r>
            <w:rPr>
              <w:b/>
              <w:sz w:val="20"/>
              <w:szCs w:val="20"/>
            </w:rPr>
            <w:t xml:space="preserve"> </w:t>
          </w:r>
          <w:r w:rsidRPr="00684042">
            <w:rPr>
              <w:b/>
              <w:sz w:val="20"/>
              <w:szCs w:val="20"/>
            </w:rPr>
            <w:t>FINAL 1 November 2019</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14:paraId="763EAF4A" w14:textId="77777777" w:rsidR="003E431B" w:rsidRPr="00EF0E0C" w:rsidRDefault="003E431B">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5F10A" w14:textId="77777777" w:rsidR="003E431B" w:rsidRDefault="003E431B">
    <w:pPr>
      <w:pStyle w:val="Header"/>
      <w:rPr>
        <w:lang w:val="en-US"/>
      </w:rPr>
    </w:pPr>
  </w:p>
  <w:p w14:paraId="2CBCB6F8" w14:textId="77777777" w:rsidR="003E431B" w:rsidRPr="00EF0E0C" w:rsidRDefault="003E431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4A90C6"/>
    <w:lvl w:ilvl="0">
      <w:start w:val="1"/>
      <w:numFmt w:val="decimal"/>
      <w:lvlText w:val="%1."/>
      <w:lvlJc w:val="left"/>
      <w:pPr>
        <w:tabs>
          <w:tab w:val="num" w:pos="360"/>
        </w:tabs>
        <w:ind w:left="360" w:hanging="360"/>
      </w:pPr>
      <w:rPr>
        <w:rFonts w:cs="Times New Roman"/>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1008D"/>
    <w:multiLevelType w:val="hybridMultilevel"/>
    <w:tmpl w:val="9A1EE9AA"/>
    <w:lvl w:ilvl="0" w:tplc="AB0C9DD6">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326B3"/>
    <w:multiLevelType w:val="hybridMultilevel"/>
    <w:tmpl w:val="0FCA39A8"/>
    <w:lvl w:ilvl="0" w:tplc="3B98C25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E84AB7"/>
    <w:multiLevelType w:val="singleLevel"/>
    <w:tmpl w:val="5E3ED3CC"/>
    <w:name w:val="BXTFL"/>
    <w:lvl w:ilvl="0">
      <w:start w:val="1"/>
      <w:numFmt w:val="lowerLetter"/>
      <w:pStyle w:val="TableFootnoteLetter"/>
      <w:lvlText w:val="%1"/>
      <w:lvlJc w:val="left"/>
      <w:pPr>
        <w:tabs>
          <w:tab w:val="num" w:pos="115"/>
        </w:tabs>
        <w:ind w:left="115" w:hanging="115"/>
      </w:pPr>
      <w:rPr>
        <w:rFonts w:ascii="Times New Roman" w:hAnsi="Times New Roman" w:cs="Times New Roman"/>
        <w:sz w:val="20"/>
        <w:vertAlign w:val="superscript"/>
      </w:rPr>
    </w:lvl>
  </w:abstractNum>
  <w:abstractNum w:abstractNumId="5"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AC43F5"/>
    <w:multiLevelType w:val="hybridMultilevel"/>
    <w:tmpl w:val="0CA45D74"/>
    <w:lvl w:ilvl="0" w:tplc="DA941008">
      <w:start w:val="1"/>
      <w:numFmt w:val="decimal"/>
      <w:pStyle w:val="Appendix"/>
      <w:lvlText w:val="APPENDIX %1"/>
      <w:lvlJc w:val="left"/>
      <w:pPr>
        <w:tabs>
          <w:tab w:val="num" w:pos="1701"/>
        </w:tabs>
        <w:ind w:left="1701" w:hanging="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3F68F4"/>
    <w:multiLevelType w:val="hybridMultilevel"/>
    <w:tmpl w:val="9D507384"/>
    <w:lvl w:ilvl="0" w:tplc="1409000F">
      <w:start w:val="1"/>
      <w:numFmt w:val="decimal"/>
      <w:lvlText w:val="%1."/>
      <w:lvlJc w:val="left"/>
      <w:pPr>
        <w:ind w:left="720" w:hanging="360"/>
      </w:pPr>
      <w:rPr>
        <w:rFonts w:hint="default"/>
      </w:rPr>
    </w:lvl>
    <w:lvl w:ilvl="1" w:tplc="1409000F">
      <w:start w:val="1"/>
      <w:numFmt w:val="decimal"/>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D92222"/>
    <w:multiLevelType w:val="hybridMultilevel"/>
    <w:tmpl w:val="3D684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32392"/>
    <w:multiLevelType w:val="hybridMultilevel"/>
    <w:tmpl w:val="C644A31A"/>
    <w:lvl w:ilvl="0" w:tplc="14090001">
      <w:start w:val="1"/>
      <w:numFmt w:val="bullet"/>
      <w:lvlText w:val=""/>
      <w:lvlJc w:val="left"/>
      <w:pPr>
        <w:ind w:left="1151" w:hanging="360"/>
      </w:pPr>
      <w:rPr>
        <w:rFonts w:ascii="Symbol" w:hAnsi="Symbol" w:hint="default"/>
      </w:rPr>
    </w:lvl>
    <w:lvl w:ilvl="1" w:tplc="14090003" w:tentative="1">
      <w:start w:val="1"/>
      <w:numFmt w:val="bullet"/>
      <w:lvlText w:val="o"/>
      <w:lvlJc w:val="left"/>
      <w:pPr>
        <w:ind w:left="1871" w:hanging="360"/>
      </w:pPr>
      <w:rPr>
        <w:rFonts w:ascii="Courier New" w:hAnsi="Courier New" w:cs="Courier New" w:hint="default"/>
      </w:rPr>
    </w:lvl>
    <w:lvl w:ilvl="2" w:tplc="14090005" w:tentative="1">
      <w:start w:val="1"/>
      <w:numFmt w:val="bullet"/>
      <w:lvlText w:val=""/>
      <w:lvlJc w:val="left"/>
      <w:pPr>
        <w:ind w:left="2591" w:hanging="360"/>
      </w:pPr>
      <w:rPr>
        <w:rFonts w:ascii="Wingdings" w:hAnsi="Wingdings" w:hint="default"/>
      </w:rPr>
    </w:lvl>
    <w:lvl w:ilvl="3" w:tplc="14090001" w:tentative="1">
      <w:start w:val="1"/>
      <w:numFmt w:val="bullet"/>
      <w:lvlText w:val=""/>
      <w:lvlJc w:val="left"/>
      <w:pPr>
        <w:ind w:left="3311" w:hanging="360"/>
      </w:pPr>
      <w:rPr>
        <w:rFonts w:ascii="Symbol" w:hAnsi="Symbol" w:hint="default"/>
      </w:rPr>
    </w:lvl>
    <w:lvl w:ilvl="4" w:tplc="14090003" w:tentative="1">
      <w:start w:val="1"/>
      <w:numFmt w:val="bullet"/>
      <w:lvlText w:val="o"/>
      <w:lvlJc w:val="left"/>
      <w:pPr>
        <w:ind w:left="4031" w:hanging="360"/>
      </w:pPr>
      <w:rPr>
        <w:rFonts w:ascii="Courier New" w:hAnsi="Courier New" w:cs="Courier New" w:hint="default"/>
      </w:rPr>
    </w:lvl>
    <w:lvl w:ilvl="5" w:tplc="14090005" w:tentative="1">
      <w:start w:val="1"/>
      <w:numFmt w:val="bullet"/>
      <w:lvlText w:val=""/>
      <w:lvlJc w:val="left"/>
      <w:pPr>
        <w:ind w:left="4751" w:hanging="360"/>
      </w:pPr>
      <w:rPr>
        <w:rFonts w:ascii="Wingdings" w:hAnsi="Wingdings" w:hint="default"/>
      </w:rPr>
    </w:lvl>
    <w:lvl w:ilvl="6" w:tplc="14090001" w:tentative="1">
      <w:start w:val="1"/>
      <w:numFmt w:val="bullet"/>
      <w:lvlText w:val=""/>
      <w:lvlJc w:val="left"/>
      <w:pPr>
        <w:ind w:left="5471" w:hanging="360"/>
      </w:pPr>
      <w:rPr>
        <w:rFonts w:ascii="Symbol" w:hAnsi="Symbol" w:hint="default"/>
      </w:rPr>
    </w:lvl>
    <w:lvl w:ilvl="7" w:tplc="14090003" w:tentative="1">
      <w:start w:val="1"/>
      <w:numFmt w:val="bullet"/>
      <w:lvlText w:val="o"/>
      <w:lvlJc w:val="left"/>
      <w:pPr>
        <w:ind w:left="6191" w:hanging="360"/>
      </w:pPr>
      <w:rPr>
        <w:rFonts w:ascii="Courier New" w:hAnsi="Courier New" w:cs="Courier New" w:hint="default"/>
      </w:rPr>
    </w:lvl>
    <w:lvl w:ilvl="8" w:tplc="14090005" w:tentative="1">
      <w:start w:val="1"/>
      <w:numFmt w:val="bullet"/>
      <w:lvlText w:val=""/>
      <w:lvlJc w:val="left"/>
      <w:pPr>
        <w:ind w:left="6911" w:hanging="360"/>
      </w:pPr>
      <w:rPr>
        <w:rFonts w:ascii="Wingdings" w:hAnsi="Wingdings" w:hint="default"/>
      </w:rPr>
    </w:lvl>
  </w:abstractNum>
  <w:abstractNum w:abstractNumId="11" w15:restartNumberingAfterBreak="0">
    <w:nsid w:val="4C1519AA"/>
    <w:multiLevelType w:val="hybridMultilevel"/>
    <w:tmpl w:val="ED7EC390"/>
    <w:lvl w:ilvl="0" w:tplc="0DF24B30">
      <w:start w:val="4"/>
      <w:numFmt w:val="bullet"/>
      <w:lvlText w:val=""/>
      <w:lvlJc w:val="left"/>
      <w:pPr>
        <w:ind w:left="432" w:hanging="360"/>
      </w:pPr>
      <w:rPr>
        <w:rFonts w:ascii="Symbol" w:eastAsiaTheme="minorHAnsi"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54894B24"/>
    <w:multiLevelType w:val="hybridMultilevel"/>
    <w:tmpl w:val="2220A714"/>
    <w:lvl w:ilvl="0" w:tplc="B1FCB0CA">
      <w:start w:val="1"/>
      <w:numFmt w:val="bullet"/>
      <w:lvlText w:val=""/>
      <w:lvlJc w:val="left"/>
      <w:pPr>
        <w:tabs>
          <w:tab w:val="num" w:pos="720"/>
        </w:tabs>
        <w:ind w:left="720" w:hanging="360"/>
      </w:pPr>
      <w:rPr>
        <w:rFonts w:ascii="Symbol" w:hAnsi="Symbol" w:hint="default"/>
      </w:rPr>
    </w:lvl>
    <w:lvl w:ilvl="1" w:tplc="CAA23CEE" w:tentative="1">
      <w:start w:val="1"/>
      <w:numFmt w:val="bullet"/>
      <w:lvlText w:val="o"/>
      <w:lvlJc w:val="left"/>
      <w:pPr>
        <w:tabs>
          <w:tab w:val="num" w:pos="1440"/>
        </w:tabs>
        <w:ind w:left="1440" w:hanging="360"/>
      </w:pPr>
      <w:rPr>
        <w:rFonts w:ascii="Courier New" w:hAnsi="Courier New" w:hint="default"/>
      </w:rPr>
    </w:lvl>
    <w:lvl w:ilvl="2" w:tplc="EDE861A6" w:tentative="1">
      <w:start w:val="1"/>
      <w:numFmt w:val="bullet"/>
      <w:lvlText w:val=""/>
      <w:lvlJc w:val="left"/>
      <w:pPr>
        <w:tabs>
          <w:tab w:val="num" w:pos="2160"/>
        </w:tabs>
        <w:ind w:left="2160" w:hanging="360"/>
      </w:pPr>
      <w:rPr>
        <w:rFonts w:ascii="Wingdings" w:hAnsi="Wingdings" w:hint="default"/>
      </w:rPr>
    </w:lvl>
    <w:lvl w:ilvl="3" w:tplc="8388858E" w:tentative="1">
      <w:start w:val="1"/>
      <w:numFmt w:val="bullet"/>
      <w:lvlText w:val=""/>
      <w:lvlJc w:val="left"/>
      <w:pPr>
        <w:tabs>
          <w:tab w:val="num" w:pos="2880"/>
        </w:tabs>
        <w:ind w:left="2880" w:hanging="360"/>
      </w:pPr>
      <w:rPr>
        <w:rFonts w:ascii="Symbol" w:hAnsi="Symbol" w:hint="default"/>
      </w:rPr>
    </w:lvl>
    <w:lvl w:ilvl="4" w:tplc="1D34D178" w:tentative="1">
      <w:start w:val="1"/>
      <w:numFmt w:val="bullet"/>
      <w:lvlText w:val="o"/>
      <w:lvlJc w:val="left"/>
      <w:pPr>
        <w:tabs>
          <w:tab w:val="num" w:pos="3600"/>
        </w:tabs>
        <w:ind w:left="3600" w:hanging="360"/>
      </w:pPr>
      <w:rPr>
        <w:rFonts w:ascii="Courier New" w:hAnsi="Courier New" w:hint="default"/>
      </w:rPr>
    </w:lvl>
    <w:lvl w:ilvl="5" w:tplc="6B90D98C" w:tentative="1">
      <w:start w:val="1"/>
      <w:numFmt w:val="bullet"/>
      <w:lvlText w:val=""/>
      <w:lvlJc w:val="left"/>
      <w:pPr>
        <w:tabs>
          <w:tab w:val="num" w:pos="4320"/>
        </w:tabs>
        <w:ind w:left="4320" w:hanging="360"/>
      </w:pPr>
      <w:rPr>
        <w:rFonts w:ascii="Wingdings" w:hAnsi="Wingdings" w:hint="default"/>
      </w:rPr>
    </w:lvl>
    <w:lvl w:ilvl="6" w:tplc="76202182" w:tentative="1">
      <w:start w:val="1"/>
      <w:numFmt w:val="bullet"/>
      <w:lvlText w:val=""/>
      <w:lvlJc w:val="left"/>
      <w:pPr>
        <w:tabs>
          <w:tab w:val="num" w:pos="5040"/>
        </w:tabs>
        <w:ind w:left="5040" w:hanging="360"/>
      </w:pPr>
      <w:rPr>
        <w:rFonts w:ascii="Symbol" w:hAnsi="Symbol" w:hint="default"/>
      </w:rPr>
    </w:lvl>
    <w:lvl w:ilvl="7" w:tplc="E948244E" w:tentative="1">
      <w:start w:val="1"/>
      <w:numFmt w:val="bullet"/>
      <w:lvlText w:val="o"/>
      <w:lvlJc w:val="left"/>
      <w:pPr>
        <w:tabs>
          <w:tab w:val="num" w:pos="5760"/>
        </w:tabs>
        <w:ind w:left="5760" w:hanging="360"/>
      </w:pPr>
      <w:rPr>
        <w:rFonts w:ascii="Courier New" w:hAnsi="Courier New" w:hint="default"/>
      </w:rPr>
    </w:lvl>
    <w:lvl w:ilvl="8" w:tplc="0F1642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F22D1"/>
    <w:multiLevelType w:val="hybridMultilevel"/>
    <w:tmpl w:val="505C5E7E"/>
    <w:lvl w:ilvl="0" w:tplc="A066D89C">
      <w:start w:val="2"/>
      <w:numFmt w:val="decimal"/>
      <w:lvlText w:val="%1."/>
      <w:lvlJc w:val="left"/>
      <w:pPr>
        <w:tabs>
          <w:tab w:val="num" w:pos="1080"/>
        </w:tabs>
        <w:ind w:left="1080" w:hanging="720"/>
      </w:pPr>
      <w:rPr>
        <w:rFonts w:cs="Times New Roman" w:hint="default"/>
      </w:rPr>
    </w:lvl>
    <w:lvl w:ilvl="1" w:tplc="8F82D410" w:tentative="1">
      <w:start w:val="1"/>
      <w:numFmt w:val="lowerLetter"/>
      <w:lvlText w:val="%2."/>
      <w:lvlJc w:val="left"/>
      <w:pPr>
        <w:tabs>
          <w:tab w:val="num" w:pos="1440"/>
        </w:tabs>
        <w:ind w:left="1440" w:hanging="360"/>
      </w:pPr>
      <w:rPr>
        <w:rFonts w:cs="Times New Roman"/>
      </w:rPr>
    </w:lvl>
    <w:lvl w:ilvl="2" w:tplc="19C62078" w:tentative="1">
      <w:start w:val="1"/>
      <w:numFmt w:val="lowerRoman"/>
      <w:lvlText w:val="%3."/>
      <w:lvlJc w:val="right"/>
      <w:pPr>
        <w:tabs>
          <w:tab w:val="num" w:pos="2160"/>
        </w:tabs>
        <w:ind w:left="2160" w:hanging="180"/>
      </w:pPr>
      <w:rPr>
        <w:rFonts w:cs="Times New Roman"/>
      </w:rPr>
    </w:lvl>
    <w:lvl w:ilvl="3" w:tplc="09C087A2" w:tentative="1">
      <w:start w:val="1"/>
      <w:numFmt w:val="decimal"/>
      <w:lvlText w:val="%4."/>
      <w:lvlJc w:val="left"/>
      <w:pPr>
        <w:tabs>
          <w:tab w:val="num" w:pos="2880"/>
        </w:tabs>
        <w:ind w:left="2880" w:hanging="360"/>
      </w:pPr>
      <w:rPr>
        <w:rFonts w:cs="Times New Roman"/>
      </w:rPr>
    </w:lvl>
    <w:lvl w:ilvl="4" w:tplc="CB646A80" w:tentative="1">
      <w:start w:val="1"/>
      <w:numFmt w:val="lowerLetter"/>
      <w:lvlText w:val="%5."/>
      <w:lvlJc w:val="left"/>
      <w:pPr>
        <w:tabs>
          <w:tab w:val="num" w:pos="3600"/>
        </w:tabs>
        <w:ind w:left="3600" w:hanging="360"/>
      </w:pPr>
      <w:rPr>
        <w:rFonts w:cs="Times New Roman"/>
      </w:rPr>
    </w:lvl>
    <w:lvl w:ilvl="5" w:tplc="1E0C048C" w:tentative="1">
      <w:start w:val="1"/>
      <w:numFmt w:val="lowerRoman"/>
      <w:lvlText w:val="%6."/>
      <w:lvlJc w:val="right"/>
      <w:pPr>
        <w:tabs>
          <w:tab w:val="num" w:pos="4320"/>
        </w:tabs>
        <w:ind w:left="4320" w:hanging="180"/>
      </w:pPr>
      <w:rPr>
        <w:rFonts w:cs="Times New Roman"/>
      </w:rPr>
    </w:lvl>
    <w:lvl w:ilvl="6" w:tplc="EF2879FA" w:tentative="1">
      <w:start w:val="1"/>
      <w:numFmt w:val="decimal"/>
      <w:lvlText w:val="%7."/>
      <w:lvlJc w:val="left"/>
      <w:pPr>
        <w:tabs>
          <w:tab w:val="num" w:pos="5040"/>
        </w:tabs>
        <w:ind w:left="5040" w:hanging="360"/>
      </w:pPr>
      <w:rPr>
        <w:rFonts w:cs="Times New Roman"/>
      </w:rPr>
    </w:lvl>
    <w:lvl w:ilvl="7" w:tplc="0C686C24" w:tentative="1">
      <w:start w:val="1"/>
      <w:numFmt w:val="lowerLetter"/>
      <w:lvlText w:val="%8."/>
      <w:lvlJc w:val="left"/>
      <w:pPr>
        <w:tabs>
          <w:tab w:val="num" w:pos="5760"/>
        </w:tabs>
        <w:ind w:left="5760" w:hanging="360"/>
      </w:pPr>
      <w:rPr>
        <w:rFonts w:cs="Times New Roman"/>
      </w:rPr>
    </w:lvl>
    <w:lvl w:ilvl="8" w:tplc="37EE0504"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B237A7"/>
    <w:multiLevelType w:val="hybridMultilevel"/>
    <w:tmpl w:val="95A43BFA"/>
    <w:lvl w:ilvl="0" w:tplc="04090001">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7504386"/>
    <w:multiLevelType w:val="multilevel"/>
    <w:tmpl w:val="2A4CF700"/>
    <w:lvl w:ilvl="0">
      <w:start w:val="1"/>
      <w:numFmt w:val="decimal"/>
      <w:pStyle w:val="ListNumber"/>
      <w:lvlText w:val="%1."/>
      <w:lvlJc w:val="left"/>
      <w:pPr>
        <w:tabs>
          <w:tab w:val="num" w:pos="567"/>
        </w:tabs>
        <w:ind w:left="567" w:hanging="567"/>
      </w:pPr>
      <w:rPr>
        <w:rFonts w:cs="Times New Roman" w:hint="default"/>
      </w:rPr>
    </w:lvl>
    <w:lvl w:ilvl="1">
      <w:start w:val="1"/>
      <w:numFmt w:val="none"/>
      <w:lvlRestart w:val="0"/>
      <w:lvlText w:val="-"/>
      <w:lvlJc w:val="left"/>
      <w:pPr>
        <w:tabs>
          <w:tab w:val="num" w:pos="1134"/>
        </w:tabs>
        <w:ind w:left="1134" w:hanging="567"/>
      </w:pPr>
      <w:rPr>
        <w:rFonts w:cs="Times New Roman" w:hint="default"/>
      </w:rPr>
    </w:lvl>
    <w:lvl w:ilvl="2">
      <w:start w:val="1"/>
      <w:numFmt w:val="none"/>
      <w:lvlRestart w:val="0"/>
      <w:lvlText w:val="-"/>
      <w:lvlJc w:val="left"/>
      <w:pPr>
        <w:tabs>
          <w:tab w:val="num" w:pos="1701"/>
        </w:tabs>
        <w:ind w:left="1701"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numFmt w:val="none"/>
      <w:lvlText w:val=""/>
      <w:lvlJc w:val="left"/>
      <w:pPr>
        <w:tabs>
          <w:tab w:val="num" w:pos="360"/>
        </w:tabs>
      </w:pPr>
      <w:rPr>
        <w:rFonts w:cs="Times New Roman"/>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ED48F3"/>
    <w:multiLevelType w:val="multilevel"/>
    <w:tmpl w:val="B0C28F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6EFA4160"/>
    <w:multiLevelType w:val="hybridMultilevel"/>
    <w:tmpl w:val="7C0C3CCE"/>
    <w:lvl w:ilvl="0" w:tplc="F08CEA8E">
      <w:start w:val="2"/>
      <w:numFmt w:val="bullet"/>
      <w:lvlText w:val=""/>
      <w:lvlJc w:val="left"/>
      <w:pPr>
        <w:tabs>
          <w:tab w:val="num" w:pos="720"/>
        </w:tabs>
        <w:ind w:left="720" w:hanging="360"/>
      </w:pPr>
      <w:rPr>
        <w:rFonts w:ascii="Symbol" w:eastAsia="Times New Roman" w:hAnsi="Symbol" w:hint="default"/>
      </w:rPr>
    </w:lvl>
    <w:lvl w:ilvl="1" w:tplc="E8E06722" w:tentative="1">
      <w:start w:val="1"/>
      <w:numFmt w:val="bullet"/>
      <w:lvlText w:val="o"/>
      <w:lvlJc w:val="left"/>
      <w:pPr>
        <w:tabs>
          <w:tab w:val="num" w:pos="1440"/>
        </w:tabs>
        <w:ind w:left="1440" w:hanging="360"/>
      </w:pPr>
      <w:rPr>
        <w:rFonts w:ascii="Courier New" w:hAnsi="Courier New" w:hint="default"/>
      </w:rPr>
    </w:lvl>
    <w:lvl w:ilvl="2" w:tplc="F9EA087C" w:tentative="1">
      <w:start w:val="1"/>
      <w:numFmt w:val="bullet"/>
      <w:lvlText w:val=""/>
      <w:lvlJc w:val="left"/>
      <w:pPr>
        <w:tabs>
          <w:tab w:val="num" w:pos="2160"/>
        </w:tabs>
        <w:ind w:left="2160" w:hanging="360"/>
      </w:pPr>
      <w:rPr>
        <w:rFonts w:ascii="Wingdings" w:hAnsi="Wingdings" w:hint="default"/>
      </w:rPr>
    </w:lvl>
    <w:lvl w:ilvl="3" w:tplc="E968F258" w:tentative="1">
      <w:start w:val="1"/>
      <w:numFmt w:val="bullet"/>
      <w:lvlText w:val=""/>
      <w:lvlJc w:val="left"/>
      <w:pPr>
        <w:tabs>
          <w:tab w:val="num" w:pos="2880"/>
        </w:tabs>
        <w:ind w:left="2880" w:hanging="360"/>
      </w:pPr>
      <w:rPr>
        <w:rFonts w:ascii="Symbol" w:hAnsi="Symbol" w:hint="default"/>
      </w:rPr>
    </w:lvl>
    <w:lvl w:ilvl="4" w:tplc="A94A12E0" w:tentative="1">
      <w:start w:val="1"/>
      <w:numFmt w:val="bullet"/>
      <w:lvlText w:val="o"/>
      <w:lvlJc w:val="left"/>
      <w:pPr>
        <w:tabs>
          <w:tab w:val="num" w:pos="3600"/>
        </w:tabs>
        <w:ind w:left="3600" w:hanging="360"/>
      </w:pPr>
      <w:rPr>
        <w:rFonts w:ascii="Courier New" w:hAnsi="Courier New" w:hint="default"/>
      </w:rPr>
    </w:lvl>
    <w:lvl w:ilvl="5" w:tplc="7CF8D306" w:tentative="1">
      <w:start w:val="1"/>
      <w:numFmt w:val="bullet"/>
      <w:lvlText w:val=""/>
      <w:lvlJc w:val="left"/>
      <w:pPr>
        <w:tabs>
          <w:tab w:val="num" w:pos="4320"/>
        </w:tabs>
        <w:ind w:left="4320" w:hanging="360"/>
      </w:pPr>
      <w:rPr>
        <w:rFonts w:ascii="Wingdings" w:hAnsi="Wingdings" w:hint="default"/>
      </w:rPr>
    </w:lvl>
    <w:lvl w:ilvl="6" w:tplc="4E081A64" w:tentative="1">
      <w:start w:val="1"/>
      <w:numFmt w:val="bullet"/>
      <w:lvlText w:val=""/>
      <w:lvlJc w:val="left"/>
      <w:pPr>
        <w:tabs>
          <w:tab w:val="num" w:pos="5040"/>
        </w:tabs>
        <w:ind w:left="5040" w:hanging="360"/>
      </w:pPr>
      <w:rPr>
        <w:rFonts w:ascii="Symbol" w:hAnsi="Symbol" w:hint="default"/>
      </w:rPr>
    </w:lvl>
    <w:lvl w:ilvl="7" w:tplc="DE5E5938" w:tentative="1">
      <w:start w:val="1"/>
      <w:numFmt w:val="bullet"/>
      <w:lvlText w:val="o"/>
      <w:lvlJc w:val="left"/>
      <w:pPr>
        <w:tabs>
          <w:tab w:val="num" w:pos="5760"/>
        </w:tabs>
        <w:ind w:left="5760" w:hanging="360"/>
      </w:pPr>
      <w:rPr>
        <w:rFonts w:ascii="Courier New" w:hAnsi="Courier New" w:hint="default"/>
      </w:rPr>
    </w:lvl>
    <w:lvl w:ilvl="8" w:tplc="3792683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EC776F"/>
    <w:multiLevelType w:val="hybridMultilevel"/>
    <w:tmpl w:val="E36E6F32"/>
    <w:lvl w:ilvl="0" w:tplc="D6AC39DA">
      <w:start w:val="3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52DA2"/>
    <w:multiLevelType w:val="hybridMultilevel"/>
    <w:tmpl w:val="A828B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A66539"/>
    <w:multiLevelType w:val="hybridMultilevel"/>
    <w:tmpl w:val="0DB8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
  </w:num>
  <w:num w:numId="4">
    <w:abstractNumId w:val="14"/>
  </w:num>
  <w:num w:numId="5">
    <w:abstractNumId w:val="27"/>
  </w:num>
  <w:num w:numId="6">
    <w:abstractNumId w:val="22"/>
  </w:num>
  <w:num w:numId="7">
    <w:abstractNumId w:val="18"/>
  </w:num>
  <w:num w:numId="8">
    <w:abstractNumId w:val="23"/>
  </w:num>
  <w:num w:numId="9">
    <w:abstractNumId w:val="8"/>
  </w:num>
  <w:num w:numId="10">
    <w:abstractNumId w:val="16"/>
  </w:num>
  <w:num w:numId="11">
    <w:abstractNumId w:val="6"/>
  </w:num>
  <w:num w:numId="12">
    <w:abstractNumId w:val="0"/>
  </w:num>
  <w:num w:numId="13">
    <w:abstractNumId w:val="19"/>
  </w:num>
  <w:num w:numId="14">
    <w:abstractNumId w:val="20"/>
  </w:num>
  <w:num w:numId="15">
    <w:abstractNumId w:val="13"/>
  </w:num>
  <w:num w:numId="16">
    <w:abstractNumId w:val="15"/>
  </w:num>
  <w:num w:numId="17">
    <w:abstractNumId w:val="12"/>
  </w:num>
  <w:num w:numId="18">
    <w:abstractNumId w:val="17"/>
  </w:num>
  <w:num w:numId="19">
    <w:abstractNumId w:val="21"/>
  </w:num>
  <w:num w:numId="20">
    <w:abstractNumId w:val="10"/>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7"/>
  </w:num>
  <w:num w:numId="30">
    <w:abstractNumId w:val="3"/>
  </w:num>
  <w:num w:numId="31">
    <w:abstractNumId w:val="2"/>
  </w:num>
  <w:num w:numId="32">
    <w:abstractNumId w:val="4"/>
  </w:num>
  <w:num w:numId="33">
    <w:abstractNumId w:val="4"/>
    <w:lvlOverride w:ilvl="0">
      <w:startOverride w:val="1"/>
    </w:lvlOverride>
  </w:num>
  <w:num w:numId="34">
    <w:abstractNumId w:val="9"/>
  </w:num>
  <w:num w:numId="35">
    <w:abstractNumId w:val="25"/>
  </w:num>
  <w:num w:numId="36">
    <w:abstractNumId w:val="11"/>
  </w:num>
  <w:num w:numId="37">
    <w:abstractNumId w:val="2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73"/>
    <w:rsid w:val="00006FB2"/>
    <w:rsid w:val="00016C72"/>
    <w:rsid w:val="00023EC3"/>
    <w:rsid w:val="00027C3F"/>
    <w:rsid w:val="0003392F"/>
    <w:rsid w:val="000377C8"/>
    <w:rsid w:val="000414F9"/>
    <w:rsid w:val="00042EF2"/>
    <w:rsid w:val="0005618F"/>
    <w:rsid w:val="0006404F"/>
    <w:rsid w:val="000667DB"/>
    <w:rsid w:val="00074513"/>
    <w:rsid w:val="00090CAC"/>
    <w:rsid w:val="0009498C"/>
    <w:rsid w:val="000A2401"/>
    <w:rsid w:val="000A4AEB"/>
    <w:rsid w:val="000B01ED"/>
    <w:rsid w:val="000C1396"/>
    <w:rsid w:val="000C49C8"/>
    <w:rsid w:val="000D5FA9"/>
    <w:rsid w:val="000E2F8B"/>
    <w:rsid w:val="000F1982"/>
    <w:rsid w:val="000F1E70"/>
    <w:rsid w:val="000F7FBA"/>
    <w:rsid w:val="00121678"/>
    <w:rsid w:val="00130D84"/>
    <w:rsid w:val="001410D0"/>
    <w:rsid w:val="00141C3A"/>
    <w:rsid w:val="00151AB5"/>
    <w:rsid w:val="00152B3F"/>
    <w:rsid w:val="00153440"/>
    <w:rsid w:val="00162AEC"/>
    <w:rsid w:val="0016728F"/>
    <w:rsid w:val="00171F5E"/>
    <w:rsid w:val="00172E76"/>
    <w:rsid w:val="00182B5B"/>
    <w:rsid w:val="001838C5"/>
    <w:rsid w:val="001A0819"/>
    <w:rsid w:val="001A3992"/>
    <w:rsid w:val="001A7603"/>
    <w:rsid w:val="001B308D"/>
    <w:rsid w:val="001B62B5"/>
    <w:rsid w:val="001C4C5E"/>
    <w:rsid w:val="001C565D"/>
    <w:rsid w:val="001D0AAC"/>
    <w:rsid w:val="001D180F"/>
    <w:rsid w:val="001F7E6B"/>
    <w:rsid w:val="002012AB"/>
    <w:rsid w:val="00204AC7"/>
    <w:rsid w:val="00205612"/>
    <w:rsid w:val="002115DE"/>
    <w:rsid w:val="002171E9"/>
    <w:rsid w:val="002314D0"/>
    <w:rsid w:val="00234C18"/>
    <w:rsid w:val="0025317C"/>
    <w:rsid w:val="002618E1"/>
    <w:rsid w:val="00270299"/>
    <w:rsid w:val="00275CE2"/>
    <w:rsid w:val="00276DE8"/>
    <w:rsid w:val="002A4169"/>
    <w:rsid w:val="002B30BC"/>
    <w:rsid w:val="002B7438"/>
    <w:rsid w:val="002C69F7"/>
    <w:rsid w:val="002D2468"/>
    <w:rsid w:val="002D76C4"/>
    <w:rsid w:val="002E277D"/>
    <w:rsid w:val="002E3CA1"/>
    <w:rsid w:val="002E430C"/>
    <w:rsid w:val="002E4E33"/>
    <w:rsid w:val="003243F4"/>
    <w:rsid w:val="0033106E"/>
    <w:rsid w:val="0033253C"/>
    <w:rsid w:val="00343170"/>
    <w:rsid w:val="00345707"/>
    <w:rsid w:val="003465BA"/>
    <w:rsid w:val="0036114B"/>
    <w:rsid w:val="00364B02"/>
    <w:rsid w:val="0037513E"/>
    <w:rsid w:val="003772D3"/>
    <w:rsid w:val="00385264"/>
    <w:rsid w:val="00387296"/>
    <w:rsid w:val="0039423D"/>
    <w:rsid w:val="003963F8"/>
    <w:rsid w:val="00397B97"/>
    <w:rsid w:val="003A1EED"/>
    <w:rsid w:val="003B0C19"/>
    <w:rsid w:val="003B1F3B"/>
    <w:rsid w:val="003C0186"/>
    <w:rsid w:val="003C1A4C"/>
    <w:rsid w:val="003D2778"/>
    <w:rsid w:val="003E0BCE"/>
    <w:rsid w:val="003E431B"/>
    <w:rsid w:val="003E531D"/>
    <w:rsid w:val="003E7A8D"/>
    <w:rsid w:val="003F2E42"/>
    <w:rsid w:val="0040068D"/>
    <w:rsid w:val="0040107C"/>
    <w:rsid w:val="004032BD"/>
    <w:rsid w:val="00403B69"/>
    <w:rsid w:val="00405B1B"/>
    <w:rsid w:val="0041322A"/>
    <w:rsid w:val="0042150B"/>
    <w:rsid w:val="00421858"/>
    <w:rsid w:val="00431ACD"/>
    <w:rsid w:val="00432DB6"/>
    <w:rsid w:val="00434EC8"/>
    <w:rsid w:val="00436430"/>
    <w:rsid w:val="00443C7A"/>
    <w:rsid w:val="00444043"/>
    <w:rsid w:val="004502F1"/>
    <w:rsid w:val="004600F9"/>
    <w:rsid w:val="00464CB6"/>
    <w:rsid w:val="00466084"/>
    <w:rsid w:val="00466BB5"/>
    <w:rsid w:val="00471054"/>
    <w:rsid w:val="00483F4D"/>
    <w:rsid w:val="004845CC"/>
    <w:rsid w:val="00484E5B"/>
    <w:rsid w:val="00495D47"/>
    <w:rsid w:val="004C0F0C"/>
    <w:rsid w:val="004C6A8E"/>
    <w:rsid w:val="004D3995"/>
    <w:rsid w:val="004D6137"/>
    <w:rsid w:val="004E5D27"/>
    <w:rsid w:val="004F0D72"/>
    <w:rsid w:val="004F7EFF"/>
    <w:rsid w:val="0050050E"/>
    <w:rsid w:val="00502D3C"/>
    <w:rsid w:val="00506328"/>
    <w:rsid w:val="005078E6"/>
    <w:rsid w:val="0050798C"/>
    <w:rsid w:val="00512BA0"/>
    <w:rsid w:val="00525ED2"/>
    <w:rsid w:val="00530ECD"/>
    <w:rsid w:val="0053442D"/>
    <w:rsid w:val="00543E73"/>
    <w:rsid w:val="00554A96"/>
    <w:rsid w:val="00555FF8"/>
    <w:rsid w:val="00564342"/>
    <w:rsid w:val="005700B1"/>
    <w:rsid w:val="00571904"/>
    <w:rsid w:val="0057363E"/>
    <w:rsid w:val="00573853"/>
    <w:rsid w:val="00592112"/>
    <w:rsid w:val="005A0276"/>
    <w:rsid w:val="005A3E21"/>
    <w:rsid w:val="005A4528"/>
    <w:rsid w:val="005A6A18"/>
    <w:rsid w:val="005B1270"/>
    <w:rsid w:val="005B1C92"/>
    <w:rsid w:val="005B3154"/>
    <w:rsid w:val="005B3F11"/>
    <w:rsid w:val="005C1A58"/>
    <w:rsid w:val="005D46F9"/>
    <w:rsid w:val="005F186F"/>
    <w:rsid w:val="006223A0"/>
    <w:rsid w:val="006229DD"/>
    <w:rsid w:val="0063046A"/>
    <w:rsid w:val="00630F8A"/>
    <w:rsid w:val="0063197F"/>
    <w:rsid w:val="0063367E"/>
    <w:rsid w:val="00635AF5"/>
    <w:rsid w:val="00640A34"/>
    <w:rsid w:val="00642B53"/>
    <w:rsid w:val="00652D7A"/>
    <w:rsid w:val="00652F78"/>
    <w:rsid w:val="00654506"/>
    <w:rsid w:val="00654CC0"/>
    <w:rsid w:val="00654E45"/>
    <w:rsid w:val="00676EDD"/>
    <w:rsid w:val="00684042"/>
    <w:rsid w:val="00692674"/>
    <w:rsid w:val="006A1BE6"/>
    <w:rsid w:val="006A2800"/>
    <w:rsid w:val="006A296F"/>
    <w:rsid w:val="006B3C9B"/>
    <w:rsid w:val="006B5ACB"/>
    <w:rsid w:val="006C14B2"/>
    <w:rsid w:val="006C5E6A"/>
    <w:rsid w:val="006C67CE"/>
    <w:rsid w:val="006D11B6"/>
    <w:rsid w:val="006D3629"/>
    <w:rsid w:val="006D46EC"/>
    <w:rsid w:val="006E08A7"/>
    <w:rsid w:val="006E13C1"/>
    <w:rsid w:val="006E1881"/>
    <w:rsid w:val="006E5037"/>
    <w:rsid w:val="006F095B"/>
    <w:rsid w:val="006F1DD5"/>
    <w:rsid w:val="006F67E4"/>
    <w:rsid w:val="007019E9"/>
    <w:rsid w:val="00702FE3"/>
    <w:rsid w:val="007217E0"/>
    <w:rsid w:val="00722E95"/>
    <w:rsid w:val="00731BDA"/>
    <w:rsid w:val="0073205C"/>
    <w:rsid w:val="0073313E"/>
    <w:rsid w:val="0073693A"/>
    <w:rsid w:val="00743574"/>
    <w:rsid w:val="007550BD"/>
    <w:rsid w:val="007558D2"/>
    <w:rsid w:val="007636BC"/>
    <w:rsid w:val="00764CDF"/>
    <w:rsid w:val="00774B18"/>
    <w:rsid w:val="00776C5D"/>
    <w:rsid w:val="007811A7"/>
    <w:rsid w:val="00785DDD"/>
    <w:rsid w:val="007862CD"/>
    <w:rsid w:val="00791FC8"/>
    <w:rsid w:val="00797A73"/>
    <w:rsid w:val="007A0E2F"/>
    <w:rsid w:val="007A3177"/>
    <w:rsid w:val="007A3F04"/>
    <w:rsid w:val="007A5D00"/>
    <w:rsid w:val="007B225E"/>
    <w:rsid w:val="007B2BFE"/>
    <w:rsid w:val="007B5F3C"/>
    <w:rsid w:val="007C7C18"/>
    <w:rsid w:val="007D24C4"/>
    <w:rsid w:val="007D677C"/>
    <w:rsid w:val="007D7633"/>
    <w:rsid w:val="007E346F"/>
    <w:rsid w:val="007E693C"/>
    <w:rsid w:val="007F0F84"/>
    <w:rsid w:val="008025B4"/>
    <w:rsid w:val="00806430"/>
    <w:rsid w:val="008206BF"/>
    <w:rsid w:val="00825DE0"/>
    <w:rsid w:val="00836971"/>
    <w:rsid w:val="00836D38"/>
    <w:rsid w:val="00836EF7"/>
    <w:rsid w:val="00837665"/>
    <w:rsid w:val="00846548"/>
    <w:rsid w:val="00855577"/>
    <w:rsid w:val="00856DC5"/>
    <w:rsid w:val="0086475D"/>
    <w:rsid w:val="008654C5"/>
    <w:rsid w:val="00874DEF"/>
    <w:rsid w:val="00880C9F"/>
    <w:rsid w:val="008861F4"/>
    <w:rsid w:val="008A30D6"/>
    <w:rsid w:val="008B0F44"/>
    <w:rsid w:val="008C4C34"/>
    <w:rsid w:val="008C529F"/>
    <w:rsid w:val="008C61C6"/>
    <w:rsid w:val="008C6623"/>
    <w:rsid w:val="008D18A9"/>
    <w:rsid w:val="008D42AD"/>
    <w:rsid w:val="008E2069"/>
    <w:rsid w:val="008E7847"/>
    <w:rsid w:val="008F4595"/>
    <w:rsid w:val="00900551"/>
    <w:rsid w:val="00910E9F"/>
    <w:rsid w:val="00911EBE"/>
    <w:rsid w:val="00914208"/>
    <w:rsid w:val="00932DAB"/>
    <w:rsid w:val="00941DDF"/>
    <w:rsid w:val="00946DFB"/>
    <w:rsid w:val="00947329"/>
    <w:rsid w:val="00951183"/>
    <w:rsid w:val="009521E7"/>
    <w:rsid w:val="00960CD5"/>
    <w:rsid w:val="00964C75"/>
    <w:rsid w:val="009722CF"/>
    <w:rsid w:val="0098015B"/>
    <w:rsid w:val="00981E1D"/>
    <w:rsid w:val="00983982"/>
    <w:rsid w:val="00984E4A"/>
    <w:rsid w:val="00987C8C"/>
    <w:rsid w:val="009A2EE0"/>
    <w:rsid w:val="009D419E"/>
    <w:rsid w:val="009D4C68"/>
    <w:rsid w:val="009D6AA0"/>
    <w:rsid w:val="009D7887"/>
    <w:rsid w:val="009E0EC8"/>
    <w:rsid w:val="009E65E9"/>
    <w:rsid w:val="009E6F12"/>
    <w:rsid w:val="009E71B8"/>
    <w:rsid w:val="009F1423"/>
    <w:rsid w:val="00A00B6E"/>
    <w:rsid w:val="00A01E24"/>
    <w:rsid w:val="00A02E5E"/>
    <w:rsid w:val="00A05595"/>
    <w:rsid w:val="00A13F43"/>
    <w:rsid w:val="00A15367"/>
    <w:rsid w:val="00A24AC0"/>
    <w:rsid w:val="00A32083"/>
    <w:rsid w:val="00A33996"/>
    <w:rsid w:val="00A40410"/>
    <w:rsid w:val="00A5133F"/>
    <w:rsid w:val="00A6070B"/>
    <w:rsid w:val="00A7034E"/>
    <w:rsid w:val="00A719EF"/>
    <w:rsid w:val="00A7328C"/>
    <w:rsid w:val="00A74040"/>
    <w:rsid w:val="00A76F9B"/>
    <w:rsid w:val="00A95CC8"/>
    <w:rsid w:val="00A964DE"/>
    <w:rsid w:val="00AA29D8"/>
    <w:rsid w:val="00AC2205"/>
    <w:rsid w:val="00AD6CD1"/>
    <w:rsid w:val="00AE01B3"/>
    <w:rsid w:val="00AE52C5"/>
    <w:rsid w:val="00AF0223"/>
    <w:rsid w:val="00AF2577"/>
    <w:rsid w:val="00B003DF"/>
    <w:rsid w:val="00B112FF"/>
    <w:rsid w:val="00B368E3"/>
    <w:rsid w:val="00B44C82"/>
    <w:rsid w:val="00B45117"/>
    <w:rsid w:val="00B45375"/>
    <w:rsid w:val="00B50D10"/>
    <w:rsid w:val="00B57FF7"/>
    <w:rsid w:val="00B63522"/>
    <w:rsid w:val="00B65240"/>
    <w:rsid w:val="00B70EA6"/>
    <w:rsid w:val="00B871DB"/>
    <w:rsid w:val="00B9192F"/>
    <w:rsid w:val="00B94995"/>
    <w:rsid w:val="00B964EF"/>
    <w:rsid w:val="00BA0CE6"/>
    <w:rsid w:val="00BA1409"/>
    <w:rsid w:val="00BA2490"/>
    <w:rsid w:val="00BA29AF"/>
    <w:rsid w:val="00BA5DD3"/>
    <w:rsid w:val="00BB1D23"/>
    <w:rsid w:val="00BB4B09"/>
    <w:rsid w:val="00BB5513"/>
    <w:rsid w:val="00BC0EA5"/>
    <w:rsid w:val="00BC20AF"/>
    <w:rsid w:val="00BC3400"/>
    <w:rsid w:val="00BC3E64"/>
    <w:rsid w:val="00BC699C"/>
    <w:rsid w:val="00BD06B4"/>
    <w:rsid w:val="00BD5D87"/>
    <w:rsid w:val="00BD7918"/>
    <w:rsid w:val="00BE6F58"/>
    <w:rsid w:val="00BF0672"/>
    <w:rsid w:val="00BF0F23"/>
    <w:rsid w:val="00BF15D8"/>
    <w:rsid w:val="00BF565B"/>
    <w:rsid w:val="00C04E2C"/>
    <w:rsid w:val="00C1158D"/>
    <w:rsid w:val="00C133EA"/>
    <w:rsid w:val="00C145B5"/>
    <w:rsid w:val="00C170CD"/>
    <w:rsid w:val="00C22C7E"/>
    <w:rsid w:val="00C23F81"/>
    <w:rsid w:val="00C372D3"/>
    <w:rsid w:val="00C40A94"/>
    <w:rsid w:val="00C41D04"/>
    <w:rsid w:val="00C53651"/>
    <w:rsid w:val="00C76DB1"/>
    <w:rsid w:val="00C77FE2"/>
    <w:rsid w:val="00C8665F"/>
    <w:rsid w:val="00C90017"/>
    <w:rsid w:val="00C945C7"/>
    <w:rsid w:val="00C94D5F"/>
    <w:rsid w:val="00CA1A2D"/>
    <w:rsid w:val="00CA3C3A"/>
    <w:rsid w:val="00CA6CCF"/>
    <w:rsid w:val="00CB4ACA"/>
    <w:rsid w:val="00CB4FCB"/>
    <w:rsid w:val="00CC0E8C"/>
    <w:rsid w:val="00CD322B"/>
    <w:rsid w:val="00CD5313"/>
    <w:rsid w:val="00CD5B55"/>
    <w:rsid w:val="00CD6B77"/>
    <w:rsid w:val="00CE30E5"/>
    <w:rsid w:val="00CF05B3"/>
    <w:rsid w:val="00CF44CA"/>
    <w:rsid w:val="00CF4A7E"/>
    <w:rsid w:val="00CF507D"/>
    <w:rsid w:val="00CF749C"/>
    <w:rsid w:val="00D05525"/>
    <w:rsid w:val="00D1391E"/>
    <w:rsid w:val="00D1400E"/>
    <w:rsid w:val="00D22390"/>
    <w:rsid w:val="00D24AE4"/>
    <w:rsid w:val="00D34225"/>
    <w:rsid w:val="00D44BA0"/>
    <w:rsid w:val="00D45A53"/>
    <w:rsid w:val="00D5532A"/>
    <w:rsid w:val="00D57DBA"/>
    <w:rsid w:val="00D62685"/>
    <w:rsid w:val="00D7019A"/>
    <w:rsid w:val="00D8664A"/>
    <w:rsid w:val="00DB00C5"/>
    <w:rsid w:val="00DB08E5"/>
    <w:rsid w:val="00DB1B02"/>
    <w:rsid w:val="00DB7A30"/>
    <w:rsid w:val="00DC0262"/>
    <w:rsid w:val="00DC2BA2"/>
    <w:rsid w:val="00DC3E15"/>
    <w:rsid w:val="00DC559F"/>
    <w:rsid w:val="00DD3B46"/>
    <w:rsid w:val="00DD41A0"/>
    <w:rsid w:val="00DE29AC"/>
    <w:rsid w:val="00DF4E9C"/>
    <w:rsid w:val="00DF5E99"/>
    <w:rsid w:val="00E0273F"/>
    <w:rsid w:val="00E23B5C"/>
    <w:rsid w:val="00E25E77"/>
    <w:rsid w:val="00E322DF"/>
    <w:rsid w:val="00E372F7"/>
    <w:rsid w:val="00E50F62"/>
    <w:rsid w:val="00E51348"/>
    <w:rsid w:val="00E61777"/>
    <w:rsid w:val="00E74924"/>
    <w:rsid w:val="00E74A56"/>
    <w:rsid w:val="00E7780D"/>
    <w:rsid w:val="00E80BAD"/>
    <w:rsid w:val="00E822C6"/>
    <w:rsid w:val="00E83AA0"/>
    <w:rsid w:val="00E90447"/>
    <w:rsid w:val="00E90AB3"/>
    <w:rsid w:val="00EA0F81"/>
    <w:rsid w:val="00EA6370"/>
    <w:rsid w:val="00EB3331"/>
    <w:rsid w:val="00EB3A9E"/>
    <w:rsid w:val="00EB4441"/>
    <w:rsid w:val="00EC0BE7"/>
    <w:rsid w:val="00EC4A3C"/>
    <w:rsid w:val="00EC4D11"/>
    <w:rsid w:val="00ED0937"/>
    <w:rsid w:val="00ED5996"/>
    <w:rsid w:val="00EE1A30"/>
    <w:rsid w:val="00EE46BC"/>
    <w:rsid w:val="00EE5A2C"/>
    <w:rsid w:val="00EE61F0"/>
    <w:rsid w:val="00EF0E0C"/>
    <w:rsid w:val="00EF726C"/>
    <w:rsid w:val="00F162EF"/>
    <w:rsid w:val="00F24E2B"/>
    <w:rsid w:val="00F32613"/>
    <w:rsid w:val="00F4107B"/>
    <w:rsid w:val="00F4227D"/>
    <w:rsid w:val="00F7134E"/>
    <w:rsid w:val="00F73450"/>
    <w:rsid w:val="00F7744C"/>
    <w:rsid w:val="00F80D49"/>
    <w:rsid w:val="00F82D58"/>
    <w:rsid w:val="00F85053"/>
    <w:rsid w:val="00F920E7"/>
    <w:rsid w:val="00F97BB7"/>
    <w:rsid w:val="00FC296C"/>
    <w:rsid w:val="00FD387D"/>
    <w:rsid w:val="00FE5F04"/>
    <w:rsid w:val="00FF0B36"/>
    <w:rsid w:val="00FF5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166AF1"/>
  <w15:docId w15:val="{8AC7EB10-3AB5-414C-98B3-91923C84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9"/>
    <w:rsid w:val="001A3992"/>
    <w:rPr>
      <w:rFonts w:asciiTheme="majorHAnsi" w:hAnsiTheme="majorHAnsi"/>
      <w:b/>
      <w:smallCaps/>
      <w:sz w:val="24"/>
    </w:rPr>
  </w:style>
  <w:style w:type="character" w:customStyle="1" w:styleId="Heading3Char">
    <w:name w:val="Heading 3 Char"/>
    <w:basedOn w:val="DefaultParagraphFont"/>
    <w:link w:val="Heading3"/>
    <w:uiPriority w:val="9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Annotation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TOAHeading">
    <w:name w:val="toa heading"/>
    <w:basedOn w:val="Normal"/>
    <w:next w:val="Normal"/>
    <w:semiHidden/>
    <w:rsid w:val="009D6AA0"/>
    <w:pPr>
      <w:tabs>
        <w:tab w:val="right" w:pos="9360"/>
      </w:tabs>
      <w:suppressAutoHyphens/>
      <w:spacing w:after="240" w:line="240" w:lineRule="auto"/>
      <w:jc w:val="both"/>
    </w:pPr>
    <w:rPr>
      <w:rFonts w:ascii="Arial" w:eastAsia="Times New Roman" w:hAnsi="Arial" w:cs="Times New Roman"/>
      <w:szCs w:val="24"/>
      <w:lang w:val="en-US"/>
    </w:rPr>
  </w:style>
  <w:style w:type="paragraph" w:styleId="BodyText2">
    <w:name w:val="Body Text 2"/>
    <w:basedOn w:val="Normal"/>
    <w:link w:val="BodyText2Char"/>
    <w:uiPriority w:val="99"/>
    <w:rsid w:val="009D6AA0"/>
    <w:pPr>
      <w:spacing w:after="240" w:line="240" w:lineRule="auto"/>
      <w:jc w:val="both"/>
    </w:pPr>
    <w:rPr>
      <w:rFonts w:ascii="Times New Roman" w:eastAsia="Times New Roman" w:hAnsi="Times New Roman" w:cs="Times New Roman"/>
      <w:b/>
      <w:szCs w:val="24"/>
      <w:lang w:val="en-GB"/>
    </w:rPr>
  </w:style>
  <w:style w:type="character" w:customStyle="1" w:styleId="BodyText2Char">
    <w:name w:val="Body Text 2 Char"/>
    <w:basedOn w:val="DefaultParagraphFont"/>
    <w:link w:val="BodyText2"/>
    <w:uiPriority w:val="99"/>
    <w:rsid w:val="009D6AA0"/>
    <w:rPr>
      <w:rFonts w:ascii="Times New Roman" w:eastAsia="Times New Roman" w:hAnsi="Times New Roman" w:cs="Times New Roman"/>
      <w:b/>
      <w:szCs w:val="24"/>
      <w:lang w:val="en-GB"/>
    </w:rPr>
  </w:style>
  <w:style w:type="paragraph" w:styleId="Title">
    <w:name w:val="Title"/>
    <w:basedOn w:val="Normal"/>
    <w:next w:val="Normal"/>
    <w:link w:val="TitleChar"/>
    <w:uiPriority w:val="99"/>
    <w:qFormat/>
    <w:rsid w:val="009D6AA0"/>
    <w:pPr>
      <w:keepNext/>
      <w:spacing w:before="240" w:after="240" w:line="240" w:lineRule="auto"/>
      <w:jc w:val="center"/>
      <w:outlineLvl w:val="0"/>
    </w:pPr>
    <w:rPr>
      <w:rFonts w:ascii="Arial" w:eastAsia="Times New Roman" w:hAnsi="Arial" w:cs="Arial"/>
      <w:b/>
      <w:bCs/>
      <w:caps/>
      <w:kern w:val="28"/>
      <w:sz w:val="24"/>
      <w:szCs w:val="32"/>
      <w:lang w:val="en-GB"/>
    </w:rPr>
  </w:style>
  <w:style w:type="character" w:customStyle="1" w:styleId="TitleChar">
    <w:name w:val="Title Char"/>
    <w:basedOn w:val="DefaultParagraphFont"/>
    <w:link w:val="Title"/>
    <w:uiPriority w:val="99"/>
    <w:rsid w:val="009D6AA0"/>
    <w:rPr>
      <w:rFonts w:ascii="Arial" w:eastAsia="Times New Roman" w:hAnsi="Arial" w:cs="Arial"/>
      <w:b/>
      <w:bCs/>
      <w:caps/>
      <w:kern w:val="28"/>
      <w:sz w:val="24"/>
      <w:szCs w:val="32"/>
      <w:lang w:val="en-GB"/>
    </w:rPr>
  </w:style>
  <w:style w:type="paragraph" w:customStyle="1" w:styleId="Appendix">
    <w:name w:val="Appendix"/>
    <w:basedOn w:val="Caption"/>
    <w:next w:val="Normal"/>
    <w:rsid w:val="009D6AA0"/>
    <w:pPr>
      <w:keepNext/>
      <w:numPr>
        <w:numId w:val="11"/>
      </w:numPr>
      <w:spacing w:before="3200" w:after="0"/>
      <w:ind w:left="432" w:hanging="432"/>
      <w:jc w:val="both"/>
    </w:pPr>
    <w:rPr>
      <w:rFonts w:ascii="Arial" w:eastAsia="Times New Roman" w:hAnsi="Arial" w:cs="Times New Roman"/>
      <w:b/>
      <w:bCs/>
      <w:i w:val="0"/>
      <w:iCs w:val="0"/>
      <w:caps/>
      <w:color w:val="auto"/>
      <w:sz w:val="22"/>
      <w:szCs w:val="20"/>
      <w:lang w:val="en-GB"/>
    </w:rPr>
  </w:style>
  <w:style w:type="paragraph" w:styleId="Caption">
    <w:name w:val="caption"/>
    <w:aliases w:val="! Q"/>
    <w:basedOn w:val="Normal"/>
    <w:next w:val="Normal"/>
    <w:link w:val="CaptionChar"/>
    <w:uiPriority w:val="99"/>
    <w:unhideWhenUsed/>
    <w:qFormat/>
    <w:rsid w:val="009D6AA0"/>
    <w:pPr>
      <w:spacing w:line="240" w:lineRule="auto"/>
    </w:pPr>
    <w:rPr>
      <w:i/>
      <w:iCs/>
      <w:color w:val="1F497D" w:themeColor="text2"/>
      <w:sz w:val="18"/>
      <w:szCs w:val="18"/>
    </w:rPr>
  </w:style>
  <w:style w:type="character" w:customStyle="1" w:styleId="CaptionChar">
    <w:name w:val="Caption Char"/>
    <w:aliases w:val="! Q Char"/>
    <w:basedOn w:val="DefaultParagraphFont"/>
    <w:link w:val="Caption"/>
    <w:uiPriority w:val="99"/>
    <w:locked/>
    <w:rsid w:val="004600F9"/>
    <w:rPr>
      <w:i/>
      <w:iCs/>
      <w:color w:val="1F497D" w:themeColor="text2"/>
      <w:sz w:val="18"/>
      <w:szCs w:val="18"/>
    </w:rPr>
  </w:style>
  <w:style w:type="paragraph" w:styleId="Subtitle">
    <w:name w:val="Subtitle"/>
    <w:basedOn w:val="Normal"/>
    <w:link w:val="SubtitleChar"/>
    <w:qFormat/>
    <w:rsid w:val="009D6AA0"/>
    <w:pPr>
      <w:spacing w:after="240" w:line="240" w:lineRule="auto"/>
      <w:jc w:val="center"/>
    </w:pPr>
    <w:rPr>
      <w:rFonts w:ascii="Arial" w:eastAsia="Times New Roman" w:hAnsi="Arial" w:cs="Times New Roman"/>
      <w:i/>
      <w:iCs/>
      <w:sz w:val="28"/>
      <w:szCs w:val="24"/>
      <w:lang w:val="en-GB"/>
    </w:rPr>
  </w:style>
  <w:style w:type="character" w:customStyle="1" w:styleId="SubtitleChar">
    <w:name w:val="Subtitle Char"/>
    <w:basedOn w:val="DefaultParagraphFont"/>
    <w:link w:val="Subtitle"/>
    <w:rsid w:val="009D6AA0"/>
    <w:rPr>
      <w:rFonts w:ascii="Arial" w:eastAsia="Times New Roman" w:hAnsi="Arial" w:cs="Times New Roman"/>
      <w:i/>
      <w:iCs/>
      <w:sz w:val="28"/>
      <w:szCs w:val="24"/>
      <w:lang w:val="en-GB"/>
    </w:rPr>
  </w:style>
  <w:style w:type="character" w:styleId="Strong">
    <w:name w:val="Strong"/>
    <w:qFormat/>
    <w:rsid w:val="009D6AA0"/>
    <w:rPr>
      <w:b/>
      <w:bCs/>
    </w:rPr>
  </w:style>
  <w:style w:type="paragraph" w:styleId="NormalIndent">
    <w:name w:val="Normal Indent"/>
    <w:basedOn w:val="Normal"/>
    <w:rsid w:val="009D6AA0"/>
    <w:pPr>
      <w:spacing w:after="120" w:line="240" w:lineRule="auto"/>
      <w:ind w:left="720"/>
    </w:pPr>
    <w:rPr>
      <w:rFonts w:ascii="Times New Roman" w:eastAsia="Times New Roman" w:hAnsi="Times New Roman" w:cs="Times New Roman"/>
      <w:szCs w:val="20"/>
      <w:lang w:val="en-GB" w:eastAsia="en-GB"/>
    </w:rPr>
  </w:style>
  <w:style w:type="paragraph" w:customStyle="1" w:styleId="EMEAEnBodyText">
    <w:name w:val="EMEA En Body Text"/>
    <w:basedOn w:val="Normal"/>
    <w:rsid w:val="009D6AA0"/>
    <w:pPr>
      <w:autoSpaceDE w:val="0"/>
      <w:autoSpaceDN w:val="0"/>
      <w:adjustRightInd w:val="0"/>
      <w:spacing w:after="0" w:line="240" w:lineRule="auto"/>
    </w:pPr>
    <w:rPr>
      <w:rFonts w:ascii="Times New Roman" w:eastAsia="Times New Roman" w:hAnsi="Times New Roman" w:cs="Times New Roman"/>
      <w:noProof/>
      <w:lang w:val="en-US"/>
    </w:rPr>
  </w:style>
  <w:style w:type="paragraph" w:customStyle="1" w:styleId="TableText">
    <w:name w:val="TableText"/>
    <w:uiPriority w:val="99"/>
    <w:rsid w:val="009D6AA0"/>
    <w:pPr>
      <w:keepNext/>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83AA0"/>
    <w:pPr>
      <w:autoSpaceDE w:val="0"/>
      <w:autoSpaceDN w:val="0"/>
      <w:adjustRightInd w:val="0"/>
      <w:spacing w:after="0" w:line="240" w:lineRule="auto"/>
    </w:pPr>
    <w:rPr>
      <w:rFonts w:ascii="Symbol" w:hAnsi="Symbol" w:cs="Symbol"/>
      <w:color w:val="000000"/>
      <w:sz w:val="24"/>
      <w:szCs w:val="24"/>
      <w:lang w:val="en-NZ"/>
    </w:rPr>
  </w:style>
  <w:style w:type="table" w:styleId="TableGrid">
    <w:name w:val="Table Grid"/>
    <w:basedOn w:val="TableNormal"/>
    <w:uiPriority w:val="59"/>
    <w:unhideWhenUsed/>
    <w:rsid w:val="00153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153440"/>
  </w:style>
  <w:style w:type="paragraph" w:styleId="BodyText">
    <w:name w:val="Body Text"/>
    <w:basedOn w:val="Normal"/>
    <w:link w:val="BodyTextChar"/>
    <w:uiPriority w:val="99"/>
    <w:unhideWhenUsed/>
    <w:rsid w:val="004600F9"/>
    <w:pPr>
      <w:spacing w:after="120"/>
    </w:pPr>
  </w:style>
  <w:style w:type="character" w:customStyle="1" w:styleId="BodyTextChar">
    <w:name w:val="Body Text Char"/>
    <w:basedOn w:val="DefaultParagraphFont"/>
    <w:link w:val="BodyText"/>
    <w:uiPriority w:val="99"/>
    <w:semiHidden/>
    <w:rsid w:val="004600F9"/>
  </w:style>
  <w:style w:type="paragraph" w:styleId="BodyTextIndent">
    <w:name w:val="Body Text Indent"/>
    <w:basedOn w:val="Normal"/>
    <w:link w:val="BodyTextIndentChar"/>
    <w:uiPriority w:val="99"/>
    <w:rsid w:val="004600F9"/>
    <w:pPr>
      <w:spacing w:after="0" w:line="240" w:lineRule="auto"/>
      <w:ind w:left="9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rsid w:val="004600F9"/>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4600F9"/>
    <w:pPr>
      <w:spacing w:after="0" w:line="240" w:lineRule="auto"/>
    </w:pPr>
    <w:rPr>
      <w:rFonts w:ascii="Times New Roman" w:eastAsia="Times New Roman" w:hAnsi="Times New Roman" w:cs="Times New Roman"/>
      <w:color w:val="0000FF"/>
      <w:sz w:val="24"/>
      <w:szCs w:val="20"/>
      <w:lang w:val="en-US"/>
    </w:rPr>
  </w:style>
  <w:style w:type="character" w:customStyle="1" w:styleId="BodyText3Char">
    <w:name w:val="Body Text 3 Char"/>
    <w:basedOn w:val="DefaultParagraphFont"/>
    <w:link w:val="BodyText3"/>
    <w:uiPriority w:val="99"/>
    <w:rsid w:val="004600F9"/>
    <w:rPr>
      <w:rFonts w:ascii="Times New Roman" w:eastAsia="Times New Roman" w:hAnsi="Times New Roman" w:cs="Times New Roman"/>
      <w:color w:val="0000FF"/>
      <w:sz w:val="24"/>
      <w:szCs w:val="20"/>
      <w:lang w:val="en-US"/>
    </w:rPr>
  </w:style>
  <w:style w:type="character" w:customStyle="1" w:styleId="EndnoteTextChar">
    <w:name w:val="Endnote Text Char"/>
    <w:basedOn w:val="DefaultParagraphFont"/>
    <w:link w:val="EndnoteText"/>
    <w:uiPriority w:val="99"/>
    <w:semiHidden/>
    <w:rsid w:val="004600F9"/>
    <w:rPr>
      <w:rFonts w:ascii="Times New Roman" w:eastAsia="Times New Roman" w:hAnsi="Times New Roman" w:cs="Times New Roman"/>
      <w:sz w:val="18"/>
      <w:szCs w:val="20"/>
      <w:lang w:val="en-GB"/>
    </w:rPr>
  </w:style>
  <w:style w:type="paragraph" w:styleId="EndnoteText">
    <w:name w:val="endnote text"/>
    <w:basedOn w:val="Normal"/>
    <w:link w:val="EndnoteTextChar"/>
    <w:uiPriority w:val="99"/>
    <w:semiHidden/>
    <w:rsid w:val="004600F9"/>
    <w:pPr>
      <w:widowControl w:val="0"/>
      <w:tabs>
        <w:tab w:val="left" w:pos="567"/>
      </w:tabs>
      <w:spacing w:after="0" w:line="240" w:lineRule="auto"/>
    </w:pPr>
    <w:rPr>
      <w:rFonts w:ascii="Times New Roman" w:eastAsia="Times New Roman" w:hAnsi="Times New Roman" w:cs="Times New Roman"/>
      <w:sz w:val="18"/>
      <w:szCs w:val="20"/>
      <w:lang w:val="en-GB"/>
    </w:rPr>
  </w:style>
  <w:style w:type="character" w:customStyle="1" w:styleId="DocumentMapChar">
    <w:name w:val="Document Map Char"/>
    <w:basedOn w:val="DefaultParagraphFont"/>
    <w:link w:val="DocumentMap"/>
    <w:uiPriority w:val="99"/>
    <w:semiHidden/>
    <w:rsid w:val="004600F9"/>
    <w:rPr>
      <w:rFonts w:ascii="Tahoma" w:eastAsia="Times New Roman" w:hAnsi="Tahoma" w:cs="Tahoma"/>
      <w:sz w:val="20"/>
      <w:szCs w:val="20"/>
      <w:shd w:val="clear" w:color="auto" w:fill="000080"/>
      <w:lang w:val="en-US"/>
    </w:rPr>
  </w:style>
  <w:style w:type="paragraph" w:styleId="DocumentMap">
    <w:name w:val="Document Map"/>
    <w:basedOn w:val="Normal"/>
    <w:link w:val="DocumentMapChar"/>
    <w:uiPriority w:val="99"/>
    <w:semiHidden/>
    <w:rsid w:val="004600F9"/>
    <w:pPr>
      <w:shd w:val="clear" w:color="auto" w:fill="000080"/>
      <w:spacing w:after="0" w:line="240" w:lineRule="auto"/>
    </w:pPr>
    <w:rPr>
      <w:rFonts w:ascii="Tahoma" w:eastAsia="Times New Roman" w:hAnsi="Tahoma" w:cs="Tahoma"/>
      <w:sz w:val="20"/>
      <w:szCs w:val="20"/>
      <w:lang w:val="en-US"/>
    </w:rPr>
  </w:style>
  <w:style w:type="character" w:customStyle="1" w:styleId="CommentSubjectChar">
    <w:name w:val="Comment Subject Char"/>
    <w:basedOn w:val="CommentTextChar"/>
    <w:link w:val="CommentSubject"/>
    <w:uiPriority w:val="99"/>
    <w:semiHidden/>
    <w:rsid w:val="004600F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4600F9"/>
    <w:pPr>
      <w:spacing w:after="0"/>
    </w:pPr>
    <w:rPr>
      <w:rFonts w:ascii="Times New Roman" w:eastAsia="Times New Roman" w:hAnsi="Times New Roman" w:cs="Times New Roman"/>
      <w:b/>
      <w:bCs/>
      <w:lang w:val="en-US"/>
    </w:rPr>
  </w:style>
  <w:style w:type="character" w:customStyle="1" w:styleId="st1">
    <w:name w:val="st1"/>
    <w:basedOn w:val="DefaultParagraphFont"/>
    <w:uiPriority w:val="99"/>
    <w:rsid w:val="004600F9"/>
    <w:rPr>
      <w:rFonts w:cs="Times New Roman"/>
    </w:rPr>
  </w:style>
  <w:style w:type="paragraph" w:styleId="ListNumber">
    <w:name w:val="List Number"/>
    <w:basedOn w:val="Normal"/>
    <w:uiPriority w:val="99"/>
    <w:rsid w:val="004600F9"/>
    <w:pPr>
      <w:numPr>
        <w:numId w:val="18"/>
      </w:numPr>
      <w:spacing w:after="120" w:line="240" w:lineRule="auto"/>
      <w:jc w:val="both"/>
    </w:pPr>
    <w:rPr>
      <w:rFonts w:ascii="Arial" w:eastAsia="Times New Roman" w:hAnsi="Arial" w:cs="Times New Roman"/>
      <w:szCs w:val="24"/>
      <w:lang w:val="en-GB"/>
    </w:rPr>
  </w:style>
  <w:style w:type="paragraph" w:customStyle="1" w:styleId="Table">
    <w:name w:val="Table"/>
    <w:basedOn w:val="Normal"/>
    <w:link w:val="TableChar"/>
    <w:uiPriority w:val="99"/>
    <w:rsid w:val="004600F9"/>
    <w:pPr>
      <w:spacing w:before="40" w:after="40" w:line="240" w:lineRule="auto"/>
    </w:pPr>
    <w:rPr>
      <w:rFonts w:ascii="Times New Roman" w:eastAsia="Times New Roman" w:hAnsi="Times New Roman" w:cs="Times New Roman"/>
      <w:sz w:val="20"/>
      <w:szCs w:val="24"/>
      <w:lang w:val="en-US"/>
    </w:rPr>
  </w:style>
  <w:style w:type="character" w:customStyle="1" w:styleId="TableChar">
    <w:name w:val="Table Char"/>
    <w:basedOn w:val="DefaultParagraphFont"/>
    <w:link w:val="Table"/>
    <w:uiPriority w:val="99"/>
    <w:locked/>
    <w:rsid w:val="004600F9"/>
    <w:rPr>
      <w:rFonts w:ascii="Times New Roman" w:eastAsia="Times New Roman" w:hAnsi="Times New Roman" w:cs="Times New Roman"/>
      <w:sz w:val="20"/>
      <w:szCs w:val="24"/>
      <w:lang w:val="en-US"/>
    </w:rPr>
  </w:style>
  <w:style w:type="paragraph" w:customStyle="1" w:styleId="TableFootnotes">
    <w:name w:val="Table Footnotes"/>
    <w:basedOn w:val="Normal"/>
    <w:next w:val="Normal"/>
    <w:link w:val="TableFootnotesChar"/>
    <w:autoRedefine/>
    <w:uiPriority w:val="99"/>
    <w:rsid w:val="00C170CD"/>
    <w:pPr>
      <w:spacing w:after="0" w:line="240" w:lineRule="auto"/>
    </w:pPr>
    <w:rPr>
      <w:rFonts w:ascii="Times New Roman" w:eastAsia="Times New Roman" w:hAnsi="Times New Roman" w:cs="Times New Roman"/>
      <w:sz w:val="20"/>
      <w:szCs w:val="20"/>
      <w:lang w:val="en-GB"/>
    </w:rPr>
  </w:style>
  <w:style w:type="character" w:customStyle="1" w:styleId="TableFootnotesChar">
    <w:name w:val="Table Footnotes Char"/>
    <w:basedOn w:val="DefaultParagraphFont"/>
    <w:link w:val="TableFootnotes"/>
    <w:uiPriority w:val="99"/>
    <w:locked/>
    <w:rsid w:val="00C170CD"/>
    <w:rPr>
      <w:rFonts w:ascii="Times New Roman" w:eastAsia="Times New Roman" w:hAnsi="Times New Roman" w:cs="Times New Roman"/>
      <w:sz w:val="20"/>
      <w:szCs w:val="20"/>
      <w:lang w:val="en-GB"/>
    </w:rPr>
  </w:style>
  <w:style w:type="character" w:customStyle="1" w:styleId="QChar1">
    <w:name w:val="! Q  Char1"/>
    <w:aliases w:val="! Q Char Char1"/>
    <w:uiPriority w:val="99"/>
    <w:locked/>
    <w:rsid w:val="004600F9"/>
    <w:rPr>
      <w:b/>
      <w:sz w:val="24"/>
      <w:lang w:val="en-US" w:eastAsia="en-US"/>
    </w:rPr>
  </w:style>
  <w:style w:type="character" w:customStyle="1" w:styleId="ParagraphChar">
    <w:name w:val="Paragraph Char"/>
    <w:basedOn w:val="DefaultParagraphFont"/>
    <w:link w:val="Paragraph"/>
    <w:locked/>
    <w:rsid w:val="0033253C"/>
  </w:style>
  <w:style w:type="paragraph" w:customStyle="1" w:styleId="Paragraph">
    <w:name w:val="Paragraph"/>
    <w:basedOn w:val="Normal"/>
    <w:link w:val="ParagraphChar"/>
    <w:qFormat/>
    <w:rsid w:val="0033253C"/>
    <w:pPr>
      <w:spacing w:after="120" w:line="240" w:lineRule="auto"/>
    </w:pPr>
  </w:style>
  <w:style w:type="paragraph" w:customStyle="1" w:styleId="TableTitle">
    <w:name w:val="Table Title"/>
    <w:basedOn w:val="Normal"/>
    <w:rsid w:val="00D05525"/>
    <w:pPr>
      <w:keepNext/>
      <w:keepLines/>
      <w:spacing w:after="0" w:line="240" w:lineRule="auto"/>
      <w:outlineLvl w:val="0"/>
    </w:pPr>
    <w:rPr>
      <w:rFonts w:ascii="Arial" w:eastAsia="Times New Roman" w:hAnsi="Arial" w:cs="Arial"/>
      <w:b/>
      <w:noProof/>
      <w:sz w:val="24"/>
      <w:szCs w:val="24"/>
    </w:rPr>
  </w:style>
  <w:style w:type="paragraph" w:customStyle="1" w:styleId="TableFootnoteLetter">
    <w:name w:val="Table Footnote Letter"/>
    <w:link w:val="TableFootnoteLetterChar"/>
    <w:rsid w:val="00D05525"/>
    <w:pPr>
      <w:numPr>
        <w:numId w:val="32"/>
      </w:numPr>
      <w:spacing w:before="60" w:after="60" w:line="240" w:lineRule="auto"/>
    </w:pPr>
    <w:rPr>
      <w:rFonts w:ascii="Times New Roman" w:eastAsia="Times New Roman" w:hAnsi="Times New Roman" w:cs="Times New Roman"/>
      <w:sz w:val="20"/>
      <w:szCs w:val="20"/>
      <w:lang w:val="en-US" w:eastAsia="ja-JP"/>
    </w:rPr>
  </w:style>
  <w:style w:type="character" w:customStyle="1" w:styleId="TableFootnoteLetterChar">
    <w:name w:val="Table Footnote Letter Char"/>
    <w:link w:val="TableFootnoteLetter"/>
    <w:locked/>
    <w:rsid w:val="00D05525"/>
    <w:rPr>
      <w:rFonts w:ascii="Times New Roman" w:eastAsia="Times New Roman" w:hAnsi="Times New Roman" w:cs="Times New Roman"/>
      <w:sz w:val="20"/>
      <w:szCs w:val="20"/>
      <w:lang w:val="en-US" w:eastAsia="ja-JP"/>
    </w:rPr>
  </w:style>
  <w:style w:type="paragraph" w:customStyle="1" w:styleId="TableCenter">
    <w:name w:val="Table Center"/>
    <w:rsid w:val="00D05525"/>
    <w:pPr>
      <w:spacing w:before="60" w:after="60" w:line="240" w:lineRule="auto"/>
      <w:jc w:val="center"/>
    </w:pPr>
    <w:rPr>
      <w:rFonts w:ascii="Times New Roman" w:eastAsia="Times New Roman" w:hAnsi="Times New Roman" w:cs="Times New Roman"/>
      <w:sz w:val="20"/>
      <w:szCs w:val="20"/>
      <w:lang w:val="en-US" w:eastAsia="ja-JP"/>
    </w:rPr>
  </w:style>
  <w:style w:type="paragraph" w:customStyle="1" w:styleId="Center">
    <w:name w:val="Center"/>
    <w:basedOn w:val="Normal"/>
    <w:rsid w:val="00D1400E"/>
    <w:pPr>
      <w:spacing w:after="0" w:line="240" w:lineRule="auto"/>
      <w:jc w:val="center"/>
    </w:pPr>
    <w:rPr>
      <w:rFonts w:ascii="Courier New" w:eastAsia="Times New Roman" w:hAnsi="Courier New" w:cs="Times New Roman"/>
      <w:sz w:val="16"/>
      <w:szCs w:val="24"/>
      <w:lang w:val="en-US"/>
    </w:rPr>
  </w:style>
  <w:style w:type="paragraph" w:customStyle="1" w:styleId="TableHead">
    <w:name w:val="Table Head"/>
    <w:rsid w:val="00E90447"/>
    <w:pPr>
      <w:keepNext/>
      <w:spacing w:before="60" w:after="60" w:line="240" w:lineRule="auto"/>
      <w:jc w:val="center"/>
    </w:pPr>
    <w:rPr>
      <w:rFonts w:ascii="Times New Roman" w:eastAsia="MS Mincho" w:hAnsi="Times New Roman" w:cs="Times New Roman"/>
      <w:b/>
      <w:sz w:val="20"/>
      <w:szCs w:val="20"/>
      <w:lang w:val="en-US" w:eastAsia="ja-JP"/>
    </w:rPr>
  </w:style>
  <w:style w:type="paragraph" w:customStyle="1" w:styleId="FigureTitle">
    <w:name w:val="Figure Title"/>
    <w:next w:val="Paragraph"/>
    <w:rsid w:val="00E90447"/>
    <w:pPr>
      <w:keepNext/>
      <w:spacing w:before="120" w:after="120" w:line="240" w:lineRule="auto"/>
      <w:jc w:val="center"/>
    </w:pPr>
    <w:rPr>
      <w:rFonts w:ascii="Times New Roman" w:eastAsia="MS Mincho" w:hAnsi="Times New Roman" w:cs="Times New Roman"/>
      <w:b/>
      <w:bCs/>
      <w:sz w:val="24"/>
      <w:szCs w:val="24"/>
      <w:lang w:val="en-US" w:eastAsia="ja-JP"/>
    </w:rPr>
  </w:style>
  <w:style w:type="paragraph" w:styleId="NormalWeb">
    <w:name w:val="Normal (Web)"/>
    <w:basedOn w:val="Normal"/>
    <w:uiPriority w:val="99"/>
    <w:semiHidden/>
    <w:unhideWhenUsed/>
    <w:rsid w:val="005738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573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6206">
      <w:bodyDiv w:val="1"/>
      <w:marLeft w:val="0"/>
      <w:marRight w:val="0"/>
      <w:marTop w:val="0"/>
      <w:marBottom w:val="0"/>
      <w:divBdr>
        <w:top w:val="none" w:sz="0" w:space="0" w:color="auto"/>
        <w:left w:val="none" w:sz="0" w:space="0" w:color="auto"/>
        <w:bottom w:val="none" w:sz="0" w:space="0" w:color="auto"/>
        <w:right w:val="none" w:sz="0" w:space="0" w:color="auto"/>
      </w:divBdr>
    </w:div>
    <w:div w:id="484901346">
      <w:bodyDiv w:val="1"/>
      <w:marLeft w:val="0"/>
      <w:marRight w:val="0"/>
      <w:marTop w:val="0"/>
      <w:marBottom w:val="0"/>
      <w:divBdr>
        <w:top w:val="none" w:sz="0" w:space="0" w:color="auto"/>
        <w:left w:val="none" w:sz="0" w:space="0" w:color="auto"/>
        <w:bottom w:val="none" w:sz="0" w:space="0" w:color="auto"/>
        <w:right w:val="none" w:sz="0" w:space="0" w:color="auto"/>
      </w:divBdr>
    </w:div>
    <w:div w:id="630482636">
      <w:bodyDiv w:val="1"/>
      <w:marLeft w:val="0"/>
      <w:marRight w:val="0"/>
      <w:marTop w:val="0"/>
      <w:marBottom w:val="0"/>
      <w:divBdr>
        <w:top w:val="none" w:sz="0" w:space="0" w:color="auto"/>
        <w:left w:val="none" w:sz="0" w:space="0" w:color="auto"/>
        <w:bottom w:val="none" w:sz="0" w:space="0" w:color="auto"/>
        <w:right w:val="none" w:sz="0" w:space="0" w:color="auto"/>
      </w:divBdr>
    </w:div>
    <w:div w:id="649598556">
      <w:bodyDiv w:val="1"/>
      <w:marLeft w:val="0"/>
      <w:marRight w:val="0"/>
      <w:marTop w:val="0"/>
      <w:marBottom w:val="0"/>
      <w:divBdr>
        <w:top w:val="none" w:sz="0" w:space="0" w:color="auto"/>
        <w:left w:val="none" w:sz="0" w:space="0" w:color="auto"/>
        <w:bottom w:val="none" w:sz="0" w:space="0" w:color="auto"/>
        <w:right w:val="none" w:sz="0" w:space="0" w:color="auto"/>
      </w:divBdr>
    </w:div>
    <w:div w:id="876117497">
      <w:bodyDiv w:val="1"/>
      <w:marLeft w:val="0"/>
      <w:marRight w:val="0"/>
      <w:marTop w:val="0"/>
      <w:marBottom w:val="0"/>
      <w:divBdr>
        <w:top w:val="none" w:sz="0" w:space="0" w:color="auto"/>
        <w:left w:val="none" w:sz="0" w:space="0" w:color="auto"/>
        <w:bottom w:val="none" w:sz="0" w:space="0" w:color="auto"/>
        <w:right w:val="none" w:sz="0" w:space="0" w:color="auto"/>
      </w:divBdr>
    </w:div>
    <w:div w:id="1247956471">
      <w:bodyDiv w:val="1"/>
      <w:marLeft w:val="0"/>
      <w:marRight w:val="0"/>
      <w:marTop w:val="0"/>
      <w:marBottom w:val="0"/>
      <w:divBdr>
        <w:top w:val="none" w:sz="0" w:space="0" w:color="auto"/>
        <w:left w:val="none" w:sz="0" w:space="0" w:color="auto"/>
        <w:bottom w:val="none" w:sz="0" w:space="0" w:color="auto"/>
        <w:right w:val="none" w:sz="0" w:space="0" w:color="auto"/>
      </w:divBdr>
    </w:div>
    <w:div w:id="1287395082">
      <w:bodyDiv w:val="1"/>
      <w:marLeft w:val="0"/>
      <w:marRight w:val="0"/>
      <w:marTop w:val="0"/>
      <w:marBottom w:val="0"/>
      <w:divBdr>
        <w:top w:val="none" w:sz="0" w:space="0" w:color="auto"/>
        <w:left w:val="none" w:sz="0" w:space="0" w:color="auto"/>
        <w:bottom w:val="none" w:sz="0" w:space="0" w:color="auto"/>
        <w:right w:val="none" w:sz="0" w:space="0" w:color="auto"/>
      </w:divBdr>
    </w:div>
    <w:div w:id="1315177935">
      <w:bodyDiv w:val="1"/>
      <w:marLeft w:val="0"/>
      <w:marRight w:val="0"/>
      <w:marTop w:val="0"/>
      <w:marBottom w:val="0"/>
      <w:divBdr>
        <w:top w:val="none" w:sz="0" w:space="0" w:color="auto"/>
        <w:left w:val="none" w:sz="0" w:space="0" w:color="auto"/>
        <w:bottom w:val="none" w:sz="0" w:space="0" w:color="auto"/>
        <w:right w:val="none" w:sz="0" w:space="0" w:color="auto"/>
      </w:divBdr>
    </w:div>
    <w:div w:id="1316567252">
      <w:bodyDiv w:val="1"/>
      <w:marLeft w:val="0"/>
      <w:marRight w:val="0"/>
      <w:marTop w:val="0"/>
      <w:marBottom w:val="0"/>
      <w:divBdr>
        <w:top w:val="none" w:sz="0" w:space="0" w:color="auto"/>
        <w:left w:val="none" w:sz="0" w:space="0" w:color="auto"/>
        <w:bottom w:val="none" w:sz="0" w:space="0" w:color="auto"/>
        <w:right w:val="none" w:sz="0" w:space="0" w:color="auto"/>
      </w:divBdr>
    </w:div>
    <w:div w:id="166959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ireaustralia.co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ga.gov.au/reporting-problems" TargetMode="External"/><Relationship Id="rId4" Type="http://schemas.openxmlformats.org/officeDocument/2006/relationships/settings" Target="settings.xml"/><Relationship Id="rId9" Type="http://schemas.openxmlformats.org/officeDocument/2006/relationships/hyperlink" Target="https://www.ebs.tga.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0700D-2E8C-4CE9-850A-8DF2287B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14</Pages>
  <Words>5040</Words>
  <Characters>28728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Australian PI – tradename (active ingredient)</vt:lpstr>
    </vt:vector>
  </TitlesOfParts>
  <Company>Therapeutic Goods Administration</Company>
  <LinksUpToDate>false</LinksUpToDate>
  <CharactersWithSpaces>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Icatibant</dc:title>
  <dc:subject>AusPARS</dc:subject>
  <dc:creator>Therapeutic Goods Administration</dc:creator>
  <cp:lastPrinted>2019-01-30T06:36:00Z</cp:lastPrinted>
  <dcterms:created xsi:type="dcterms:W3CDTF">2019-08-04T14:23:00Z</dcterms:created>
  <dcterms:modified xsi:type="dcterms:W3CDTF">2019-11-12T05:02:00Z</dcterms:modified>
</cp:coreProperties>
</file>