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B6" w:rsidRPr="0042370A" w:rsidRDefault="00C354C5" w:rsidP="00BC2379">
      <w:pPr>
        <w:pStyle w:val="BrandNamePI"/>
      </w:pPr>
      <w:bookmarkStart w:id="0" w:name="_GoBack"/>
      <w:bookmarkEnd w:id="0"/>
      <w:r>
        <w:t>PRAXBIND</w:t>
      </w:r>
      <w:r w:rsidR="00014579" w:rsidRPr="0042370A">
        <w:rPr>
          <w:vertAlign w:val="superscript"/>
        </w:rPr>
        <w:sym w:font="Symbol" w:char="F0D2"/>
      </w:r>
    </w:p>
    <w:p w:rsidR="00014579" w:rsidRPr="0042370A" w:rsidRDefault="00DE60D1" w:rsidP="001A7050">
      <w:pPr>
        <w:pStyle w:val="ActiveIngredientPI"/>
      </w:pPr>
      <w:proofErr w:type="spellStart"/>
      <w:proofErr w:type="gramStart"/>
      <w:r>
        <w:t>i</w:t>
      </w:r>
      <w:r w:rsidR="001A1A1C">
        <w:t>darucizumab</w:t>
      </w:r>
      <w:proofErr w:type="spellEnd"/>
      <w:proofErr w:type="gramEnd"/>
      <w:r>
        <w:t xml:space="preserve">, </w:t>
      </w:r>
      <w:proofErr w:type="spellStart"/>
      <w:r>
        <w:t>rch</w:t>
      </w:r>
      <w:proofErr w:type="spellEnd"/>
    </w:p>
    <w:p w:rsidR="00014579" w:rsidRPr="0042370A" w:rsidRDefault="00014579" w:rsidP="001A7050">
      <w:pPr>
        <w:pStyle w:val="PIHeading1"/>
      </w:pPr>
      <w:r w:rsidRPr="0042370A">
        <w:t xml:space="preserve">NAME OF THE </w:t>
      </w:r>
      <w:r w:rsidR="00E456E3" w:rsidRPr="0042370A">
        <w:t>medicine</w:t>
      </w:r>
    </w:p>
    <w:p w:rsidR="007B16E1" w:rsidRPr="00C354C5" w:rsidRDefault="007B16E1" w:rsidP="001A7050">
      <w:pPr>
        <w:pStyle w:val="TextPI"/>
        <w:rPr>
          <w:rFonts w:cs="Arial"/>
          <w:color w:val="000000" w:themeColor="text1"/>
          <w:lang w:val="pt-PT"/>
        </w:rPr>
      </w:pPr>
      <w:r w:rsidRPr="00C354C5">
        <w:rPr>
          <w:rFonts w:cs="Arial"/>
          <w:i/>
          <w:iCs/>
          <w:color w:val="000000" w:themeColor="text1"/>
          <w:lang w:val="pt-PT"/>
        </w:rPr>
        <w:t>Active Ingredient:</w:t>
      </w:r>
      <w:r w:rsidRPr="00C354C5">
        <w:rPr>
          <w:rFonts w:cs="Arial"/>
          <w:color w:val="000000" w:themeColor="text1"/>
          <w:lang w:val="pt-PT"/>
        </w:rPr>
        <w:tab/>
      </w:r>
      <w:r w:rsidR="001A1A1C" w:rsidRPr="00C354C5">
        <w:rPr>
          <w:rFonts w:cs="Arial"/>
          <w:color w:val="000000" w:themeColor="text1"/>
          <w:lang w:val="pt-PT"/>
        </w:rPr>
        <w:t>idarucizumab</w:t>
      </w:r>
      <w:r w:rsidR="00DE60D1" w:rsidRPr="00C354C5">
        <w:rPr>
          <w:rFonts w:cs="Arial"/>
          <w:color w:val="000000" w:themeColor="text1"/>
          <w:lang w:val="pt-PT"/>
        </w:rPr>
        <w:t>, rch</w:t>
      </w:r>
    </w:p>
    <w:p w:rsidR="00CD2B71" w:rsidRPr="00C354C5" w:rsidRDefault="00014579" w:rsidP="005861DF">
      <w:pPr>
        <w:autoSpaceDE w:val="0"/>
        <w:autoSpaceDN w:val="0"/>
        <w:adjustRightInd w:val="0"/>
        <w:spacing w:line="258" w:lineRule="exact"/>
        <w:ind w:right="-20"/>
        <w:rPr>
          <w:rFonts w:ascii="Arial" w:hAnsi="Arial" w:cs="Arial"/>
          <w:sz w:val="22"/>
          <w:szCs w:val="22"/>
          <w:lang w:val="pt-PT" w:eastAsia="en-AU" w:bidi="th-TH"/>
        </w:rPr>
      </w:pPr>
      <w:r w:rsidRPr="00C354C5">
        <w:rPr>
          <w:rFonts w:ascii="Arial" w:hAnsi="Arial" w:cs="Arial"/>
          <w:i/>
          <w:iCs/>
          <w:color w:val="000000" w:themeColor="text1"/>
          <w:sz w:val="22"/>
          <w:szCs w:val="22"/>
          <w:lang w:val="pt-PT"/>
        </w:rPr>
        <w:t>Molecular formula:</w:t>
      </w:r>
      <w:r w:rsidRPr="00C354C5">
        <w:rPr>
          <w:rFonts w:ascii="Arial" w:hAnsi="Arial" w:cs="Arial"/>
          <w:color w:val="000000" w:themeColor="text1"/>
          <w:sz w:val="22"/>
          <w:szCs w:val="22"/>
          <w:lang w:val="pt-PT"/>
        </w:rPr>
        <w:tab/>
      </w:r>
      <w:r w:rsidR="00CD2B71" w:rsidRPr="00C354C5">
        <w:rPr>
          <w:rFonts w:ascii="Arial" w:hAnsi="Arial" w:cs="Arial"/>
          <w:spacing w:val="-1"/>
          <w:position w:val="1"/>
          <w:sz w:val="22"/>
          <w:szCs w:val="22"/>
          <w:lang w:val="pt-PT" w:eastAsia="en-AU" w:bidi="th-TH"/>
        </w:rPr>
        <w:t>C</w:t>
      </w:r>
      <w:r w:rsidR="009168BF" w:rsidRPr="00C354C5">
        <w:rPr>
          <w:rFonts w:ascii="Arial" w:hAnsi="Arial" w:cs="Arial"/>
          <w:position w:val="-2"/>
          <w:sz w:val="22"/>
          <w:szCs w:val="22"/>
          <w:vertAlign w:val="subscript"/>
          <w:lang w:val="pt-PT" w:eastAsia="en-AU" w:bidi="th-TH"/>
        </w:rPr>
        <w:t>2</w:t>
      </w:r>
      <w:r w:rsidR="00CD2B71" w:rsidRPr="00C354C5">
        <w:rPr>
          <w:rFonts w:ascii="Arial" w:hAnsi="Arial" w:cs="Arial"/>
          <w:position w:val="-2"/>
          <w:sz w:val="22"/>
          <w:szCs w:val="22"/>
          <w:vertAlign w:val="subscript"/>
          <w:lang w:val="pt-PT" w:eastAsia="en-AU" w:bidi="th-TH"/>
        </w:rPr>
        <w:t>1</w:t>
      </w:r>
      <w:r w:rsidR="009168BF" w:rsidRPr="00C354C5">
        <w:rPr>
          <w:rFonts w:ascii="Arial" w:hAnsi="Arial" w:cs="Arial"/>
          <w:position w:val="-2"/>
          <w:sz w:val="22"/>
          <w:szCs w:val="22"/>
          <w:vertAlign w:val="subscript"/>
          <w:lang w:val="pt-PT" w:eastAsia="en-AU" w:bidi="th-TH"/>
        </w:rPr>
        <w:t>31</w:t>
      </w:r>
      <w:r w:rsidR="00CD2B71" w:rsidRPr="00C354C5">
        <w:rPr>
          <w:rFonts w:ascii="Arial" w:hAnsi="Arial" w:cs="Arial"/>
          <w:position w:val="1"/>
          <w:sz w:val="22"/>
          <w:szCs w:val="22"/>
          <w:lang w:val="pt-PT" w:eastAsia="en-AU" w:bidi="th-TH"/>
        </w:rPr>
        <w:t>H</w:t>
      </w:r>
      <w:r w:rsidR="00CD2B71" w:rsidRPr="00C354C5">
        <w:rPr>
          <w:rFonts w:ascii="Arial" w:hAnsi="Arial" w:cs="Arial"/>
          <w:position w:val="-2"/>
          <w:sz w:val="22"/>
          <w:szCs w:val="22"/>
          <w:vertAlign w:val="subscript"/>
          <w:lang w:val="pt-PT" w:eastAsia="en-AU" w:bidi="th-TH"/>
        </w:rPr>
        <w:t>3</w:t>
      </w:r>
      <w:r w:rsidR="009168BF" w:rsidRPr="00C354C5">
        <w:rPr>
          <w:rFonts w:ascii="Arial" w:hAnsi="Arial" w:cs="Arial"/>
          <w:position w:val="-2"/>
          <w:sz w:val="22"/>
          <w:szCs w:val="22"/>
          <w:vertAlign w:val="subscript"/>
          <w:lang w:val="pt-PT" w:eastAsia="en-AU" w:bidi="th-TH"/>
        </w:rPr>
        <w:t>299</w:t>
      </w:r>
      <w:r w:rsidR="00CD2B71" w:rsidRPr="00C354C5">
        <w:rPr>
          <w:rFonts w:ascii="Arial" w:hAnsi="Arial" w:cs="Arial"/>
          <w:position w:val="1"/>
          <w:sz w:val="22"/>
          <w:szCs w:val="22"/>
          <w:lang w:val="pt-PT" w:eastAsia="en-AU" w:bidi="th-TH"/>
        </w:rPr>
        <w:t>N</w:t>
      </w:r>
      <w:r w:rsidR="00CD2B71" w:rsidRPr="00C354C5">
        <w:rPr>
          <w:rFonts w:ascii="Arial" w:hAnsi="Arial" w:cs="Arial"/>
          <w:position w:val="-2"/>
          <w:sz w:val="22"/>
          <w:szCs w:val="22"/>
          <w:vertAlign w:val="subscript"/>
          <w:lang w:val="pt-PT" w:eastAsia="en-AU" w:bidi="th-TH"/>
        </w:rPr>
        <w:t>5</w:t>
      </w:r>
      <w:r w:rsidR="009168BF" w:rsidRPr="00C354C5">
        <w:rPr>
          <w:rFonts w:ascii="Arial" w:hAnsi="Arial" w:cs="Arial"/>
          <w:position w:val="-2"/>
          <w:sz w:val="22"/>
          <w:szCs w:val="22"/>
          <w:vertAlign w:val="subscript"/>
          <w:lang w:val="pt-PT" w:eastAsia="en-AU" w:bidi="th-TH"/>
        </w:rPr>
        <w:t>55</w:t>
      </w:r>
      <w:r w:rsidR="00CD2B71" w:rsidRPr="00C354C5">
        <w:rPr>
          <w:rFonts w:ascii="Arial" w:hAnsi="Arial" w:cs="Arial"/>
          <w:spacing w:val="2"/>
          <w:position w:val="1"/>
          <w:sz w:val="22"/>
          <w:szCs w:val="22"/>
          <w:lang w:val="pt-PT" w:eastAsia="en-AU" w:bidi="th-TH"/>
        </w:rPr>
        <w:t>O</w:t>
      </w:r>
      <w:r w:rsidR="009168BF" w:rsidRPr="00C354C5">
        <w:rPr>
          <w:rFonts w:ascii="Arial" w:hAnsi="Arial" w:cs="Arial"/>
          <w:position w:val="-2"/>
          <w:sz w:val="22"/>
          <w:szCs w:val="22"/>
          <w:vertAlign w:val="subscript"/>
          <w:lang w:val="pt-PT" w:eastAsia="en-AU" w:bidi="th-TH"/>
        </w:rPr>
        <w:t>671</w:t>
      </w:r>
      <w:r w:rsidR="00CD2B71" w:rsidRPr="00C354C5">
        <w:rPr>
          <w:rFonts w:ascii="Arial" w:hAnsi="Arial" w:cs="Arial"/>
          <w:position w:val="1"/>
          <w:sz w:val="22"/>
          <w:szCs w:val="22"/>
          <w:lang w:val="pt-PT" w:eastAsia="en-AU" w:bidi="th-TH"/>
        </w:rPr>
        <w:t>S</w:t>
      </w:r>
      <w:r w:rsidR="009168BF" w:rsidRPr="00C354C5">
        <w:rPr>
          <w:rFonts w:ascii="Arial" w:hAnsi="Arial" w:cs="Arial"/>
          <w:position w:val="-2"/>
          <w:sz w:val="22"/>
          <w:szCs w:val="22"/>
          <w:vertAlign w:val="subscript"/>
          <w:lang w:val="pt-PT" w:eastAsia="en-AU" w:bidi="th-TH"/>
        </w:rPr>
        <w:t>11</w:t>
      </w:r>
    </w:p>
    <w:p w:rsidR="002260F2" w:rsidRPr="00DE60D1" w:rsidRDefault="00014579" w:rsidP="002260F2">
      <w:pPr>
        <w:pStyle w:val="TextPI"/>
        <w:rPr>
          <w:rFonts w:cs="Arial"/>
          <w:color w:val="000000" w:themeColor="text1"/>
        </w:rPr>
      </w:pPr>
      <w:r w:rsidRPr="00DE60D1">
        <w:rPr>
          <w:rFonts w:cs="Arial"/>
          <w:i/>
          <w:iCs/>
          <w:color w:val="000000" w:themeColor="text1"/>
        </w:rPr>
        <w:t>CAS number:</w:t>
      </w:r>
      <w:r w:rsidRPr="00DE60D1">
        <w:rPr>
          <w:rFonts w:cs="Arial"/>
          <w:color w:val="000000" w:themeColor="text1"/>
        </w:rPr>
        <w:tab/>
      </w:r>
      <w:r w:rsidRPr="00DE60D1">
        <w:rPr>
          <w:rFonts w:cs="Arial"/>
          <w:color w:val="000000" w:themeColor="text1"/>
        </w:rPr>
        <w:tab/>
      </w:r>
      <w:r w:rsidR="001A1A1C" w:rsidRPr="00DE60D1">
        <w:rPr>
          <w:rFonts w:cs="Arial"/>
          <w:color w:val="000000" w:themeColor="text1"/>
        </w:rPr>
        <w:t>1362509-93-0</w:t>
      </w:r>
    </w:p>
    <w:p w:rsidR="009C49A3" w:rsidRPr="00D747F5" w:rsidRDefault="00014579" w:rsidP="009C49A3">
      <w:pPr>
        <w:pStyle w:val="TextPI"/>
        <w:rPr>
          <w:rFonts w:cs="Arial"/>
          <w:color w:val="000000" w:themeColor="text1"/>
        </w:rPr>
      </w:pPr>
      <w:r w:rsidRPr="00D747F5">
        <w:rPr>
          <w:rFonts w:cs="Arial"/>
          <w:i/>
          <w:iCs/>
          <w:color w:val="000000" w:themeColor="text1"/>
        </w:rPr>
        <w:t xml:space="preserve">Molecular </w:t>
      </w:r>
      <w:r w:rsidR="000D6FE0" w:rsidRPr="00D747F5">
        <w:rPr>
          <w:rFonts w:cs="Arial"/>
          <w:i/>
          <w:iCs/>
          <w:color w:val="000000" w:themeColor="text1"/>
        </w:rPr>
        <w:t>mass</w:t>
      </w:r>
      <w:r w:rsidRPr="00D747F5">
        <w:rPr>
          <w:rFonts w:cs="Arial"/>
          <w:i/>
          <w:iCs/>
          <w:color w:val="000000" w:themeColor="text1"/>
        </w:rPr>
        <w:t>:</w:t>
      </w:r>
      <w:r w:rsidRPr="00D747F5">
        <w:rPr>
          <w:rFonts w:cs="Arial"/>
          <w:color w:val="000000" w:themeColor="text1"/>
        </w:rPr>
        <w:t xml:space="preserve"> </w:t>
      </w:r>
      <w:r w:rsidR="000D6FE0" w:rsidRPr="00D747F5">
        <w:rPr>
          <w:rFonts w:cs="Arial"/>
          <w:color w:val="000000" w:themeColor="text1"/>
        </w:rPr>
        <w:tab/>
      </w:r>
      <w:r w:rsidRPr="00D747F5">
        <w:rPr>
          <w:rFonts w:cs="Arial"/>
          <w:color w:val="000000" w:themeColor="text1"/>
        </w:rPr>
        <w:tab/>
      </w:r>
      <w:r w:rsidR="000D6FE0" w:rsidRPr="00D747F5">
        <w:rPr>
          <w:rFonts w:cs="Arial"/>
          <w:color w:val="000000" w:themeColor="text1"/>
        </w:rPr>
        <w:t>47,766 Da</w:t>
      </w:r>
    </w:p>
    <w:p w:rsidR="00922D14" w:rsidRDefault="00047718" w:rsidP="005A477A">
      <w:pPr>
        <w:autoSpaceDE w:val="0"/>
        <w:autoSpaceDN w:val="0"/>
        <w:adjustRightInd w:val="0"/>
        <w:ind w:left="2244" w:hanging="2244"/>
        <w:jc w:val="both"/>
        <w:rPr>
          <w:rFonts w:ascii="Arial" w:hAnsi="Arial" w:cs="Arial"/>
          <w:color w:val="000000" w:themeColor="text1"/>
          <w:sz w:val="22"/>
          <w:szCs w:val="22"/>
        </w:rPr>
      </w:pPr>
      <w:r w:rsidRPr="007E26FF">
        <w:rPr>
          <w:rFonts w:ascii="Arial" w:hAnsi="Arial" w:cs="Arial"/>
          <w:i/>
          <w:iCs/>
          <w:color w:val="000000" w:themeColor="text1"/>
          <w:sz w:val="22"/>
          <w:szCs w:val="22"/>
        </w:rPr>
        <w:t>S</w:t>
      </w:r>
      <w:r w:rsidR="00014579" w:rsidRPr="007E26FF">
        <w:rPr>
          <w:rFonts w:ascii="Arial" w:hAnsi="Arial" w:cs="Arial"/>
          <w:i/>
          <w:iCs/>
          <w:color w:val="000000" w:themeColor="text1"/>
          <w:sz w:val="22"/>
          <w:szCs w:val="22"/>
        </w:rPr>
        <w:t>tructural formula:</w:t>
      </w:r>
      <w:r w:rsidR="007B16E1" w:rsidRPr="007E26FF">
        <w:rPr>
          <w:rFonts w:ascii="Arial" w:hAnsi="Arial" w:cs="Arial"/>
          <w:i/>
          <w:iCs/>
          <w:color w:val="000000" w:themeColor="text1"/>
          <w:sz w:val="22"/>
          <w:szCs w:val="22"/>
        </w:rPr>
        <w:tab/>
      </w:r>
      <w:r w:rsidR="007E26FF" w:rsidRPr="007E26FF">
        <w:rPr>
          <w:rFonts w:ascii="Arial" w:hAnsi="Arial" w:cs="Arial"/>
          <w:color w:val="000000" w:themeColor="text1"/>
          <w:sz w:val="22"/>
          <w:szCs w:val="22"/>
        </w:rPr>
        <w:t>Light chain (amino acids 1-219) and heavy chain fragment</w:t>
      </w:r>
      <w:r w:rsidR="007E26FF">
        <w:rPr>
          <w:rFonts w:ascii="Arial" w:hAnsi="Arial" w:cs="Arial"/>
          <w:color w:val="000000" w:themeColor="text1"/>
          <w:sz w:val="22"/>
          <w:szCs w:val="22"/>
        </w:rPr>
        <w:t>s</w:t>
      </w:r>
      <w:r w:rsidR="007E26FF" w:rsidRPr="007E26FF">
        <w:rPr>
          <w:rFonts w:ascii="Arial" w:hAnsi="Arial" w:cs="Arial"/>
          <w:color w:val="000000" w:themeColor="text1"/>
          <w:sz w:val="22"/>
          <w:szCs w:val="22"/>
        </w:rPr>
        <w:t xml:space="preserve"> (amino acids 1-225), covalently linked together by one </w:t>
      </w:r>
      <w:proofErr w:type="spellStart"/>
      <w:r w:rsidR="007E26FF">
        <w:rPr>
          <w:rFonts w:ascii="Arial" w:hAnsi="Arial" w:cs="Arial"/>
          <w:color w:val="000000" w:themeColor="text1"/>
          <w:sz w:val="22"/>
          <w:szCs w:val="22"/>
        </w:rPr>
        <w:t>disul</w:t>
      </w:r>
      <w:r w:rsidR="00E435D6">
        <w:rPr>
          <w:rFonts w:ascii="Arial" w:hAnsi="Arial" w:cs="Arial"/>
          <w:color w:val="000000" w:themeColor="text1"/>
          <w:sz w:val="22"/>
          <w:szCs w:val="22"/>
        </w:rPr>
        <w:t>f</w:t>
      </w:r>
      <w:r w:rsidR="007E26FF">
        <w:rPr>
          <w:rFonts w:ascii="Arial" w:hAnsi="Arial" w:cs="Arial"/>
          <w:color w:val="000000" w:themeColor="text1"/>
          <w:sz w:val="22"/>
          <w:szCs w:val="22"/>
        </w:rPr>
        <w:t>ide</w:t>
      </w:r>
      <w:proofErr w:type="spellEnd"/>
      <w:r w:rsidR="007E26FF">
        <w:rPr>
          <w:rFonts w:ascii="Arial" w:hAnsi="Arial" w:cs="Arial"/>
          <w:color w:val="000000" w:themeColor="text1"/>
          <w:sz w:val="22"/>
          <w:szCs w:val="22"/>
        </w:rPr>
        <w:t xml:space="preserve"> </w:t>
      </w:r>
      <w:r w:rsidR="007E26FF" w:rsidRPr="007E26FF">
        <w:rPr>
          <w:rFonts w:ascii="Arial" w:hAnsi="Arial" w:cs="Arial"/>
          <w:color w:val="000000" w:themeColor="text1"/>
          <w:sz w:val="22"/>
          <w:szCs w:val="22"/>
        </w:rPr>
        <w:t>bond between cysteine 225 of the heavy chain fragment and cysteine 219 of the light chain.</w:t>
      </w:r>
    </w:p>
    <w:p w:rsidR="00934E0A" w:rsidRDefault="00934E0A" w:rsidP="005A477A">
      <w:pPr>
        <w:autoSpaceDE w:val="0"/>
        <w:autoSpaceDN w:val="0"/>
        <w:adjustRightInd w:val="0"/>
        <w:ind w:left="2244" w:hanging="2244"/>
        <w:jc w:val="both"/>
        <w:rPr>
          <w:rFonts w:ascii="Arial" w:hAnsi="Arial" w:cs="Arial"/>
          <w:color w:val="000000" w:themeColor="text1"/>
          <w:sz w:val="22"/>
          <w:szCs w:val="22"/>
        </w:rPr>
      </w:pPr>
    </w:p>
    <w:p w:rsidR="00934E0A" w:rsidRDefault="00934E0A" w:rsidP="00934E0A">
      <w:pPr>
        <w:autoSpaceDE w:val="0"/>
        <w:autoSpaceDN w:val="0"/>
        <w:adjustRightInd w:val="0"/>
        <w:ind w:left="2244" w:hanging="2244"/>
        <w:jc w:val="center"/>
        <w:rPr>
          <w:rFonts w:ascii="Arial" w:hAnsi="Arial" w:cs="Arial"/>
          <w:color w:val="000000" w:themeColor="text1"/>
          <w:sz w:val="22"/>
          <w:szCs w:val="22"/>
        </w:rPr>
      </w:pPr>
      <w:r>
        <w:rPr>
          <w:rFonts w:ascii="Arial" w:hAnsi="Arial" w:cs="Arial"/>
          <w:noProof/>
          <w:color w:val="000000" w:themeColor="text1"/>
          <w:sz w:val="22"/>
          <w:szCs w:val="22"/>
          <w:lang w:eastAsia="en-AU"/>
        </w:rPr>
        <w:drawing>
          <wp:inline distT="0" distB="0" distL="0" distR="0" wp14:anchorId="2C990564" wp14:editId="057098EF">
            <wp:extent cx="4715124" cy="37222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9762" cy="3725958"/>
                    </a:xfrm>
                    <a:prstGeom prst="rect">
                      <a:avLst/>
                    </a:prstGeom>
                    <a:noFill/>
                    <a:ln>
                      <a:noFill/>
                    </a:ln>
                  </pic:spPr>
                </pic:pic>
              </a:graphicData>
            </a:graphic>
          </wp:inline>
        </w:drawing>
      </w:r>
    </w:p>
    <w:p w:rsidR="00014579" w:rsidRPr="0042370A" w:rsidRDefault="00014579" w:rsidP="001A7050">
      <w:pPr>
        <w:pStyle w:val="PIHeading1"/>
      </w:pPr>
      <w:r w:rsidRPr="0042370A">
        <w:t>DESCRIPTION</w:t>
      </w:r>
    </w:p>
    <w:p w:rsidR="006128F4" w:rsidRPr="006E1E60" w:rsidRDefault="00752EBA" w:rsidP="00266133">
      <w:pPr>
        <w:pStyle w:val="TextPI"/>
        <w:rPr>
          <w:highlight w:val="yellow"/>
        </w:rPr>
      </w:pPr>
      <w:proofErr w:type="spellStart"/>
      <w:r>
        <w:t>Idarucizumab</w:t>
      </w:r>
      <w:proofErr w:type="spellEnd"/>
      <w:r>
        <w:t xml:space="preserve"> is a humanised monoclonal antibody fragment (Fab) molecule derived from murine IgG1 isotype antibody molecule.  </w:t>
      </w:r>
      <w:proofErr w:type="spellStart"/>
      <w:r w:rsidR="000D6FE0">
        <w:t>Idarucizumab</w:t>
      </w:r>
      <w:proofErr w:type="spellEnd"/>
      <w:r w:rsidR="000D6FE0">
        <w:t xml:space="preserve"> drug substance is a colourless to slightly yellow, clear to slightly opalescent solution.  </w:t>
      </w:r>
      <w:r w:rsidR="00F405B8">
        <w:t>T</w:t>
      </w:r>
      <w:r w:rsidR="000D6FE0" w:rsidRPr="000D6FE0">
        <w:t xml:space="preserve">he final formulated </w:t>
      </w:r>
      <w:proofErr w:type="spellStart"/>
      <w:r w:rsidR="000D6FE0" w:rsidRPr="000D6FE0">
        <w:t>idarucizumab</w:t>
      </w:r>
      <w:proofErr w:type="spellEnd"/>
      <w:r w:rsidR="000D6FE0" w:rsidRPr="000D6FE0">
        <w:t xml:space="preserve"> drug substance </w:t>
      </w:r>
      <w:r w:rsidR="00F405B8">
        <w:t>has a pH of</w:t>
      </w:r>
      <w:r w:rsidR="000D6FE0" w:rsidRPr="000D6FE0">
        <w:t xml:space="preserve"> 5.5</w:t>
      </w:r>
      <w:r w:rsidR="00F405B8">
        <w:t xml:space="preserve"> and an osmolality of 270 – 330 </w:t>
      </w:r>
      <w:proofErr w:type="spellStart"/>
      <w:r w:rsidR="00F405B8">
        <w:t>mOsmol</w:t>
      </w:r>
      <w:proofErr w:type="spellEnd"/>
      <w:r w:rsidR="00F405B8">
        <w:t>/kg</w:t>
      </w:r>
      <w:r w:rsidR="000D6FE0" w:rsidRPr="000D6FE0">
        <w:t>.</w:t>
      </w:r>
      <w:r>
        <w:t xml:space="preserve">  The melting point of the </w:t>
      </w:r>
      <w:proofErr w:type="spellStart"/>
      <w:r>
        <w:t>idarucizumab</w:t>
      </w:r>
      <w:proofErr w:type="spellEnd"/>
      <w:r>
        <w:t xml:space="preserve"> molecule is 84.4</w:t>
      </w:r>
      <w:r>
        <w:rPr>
          <w:rFonts w:cs="Arial"/>
        </w:rPr>
        <w:t>°</w:t>
      </w:r>
      <w:r>
        <w:t>C.</w:t>
      </w:r>
    </w:p>
    <w:p w:rsidR="00AA0875" w:rsidRPr="00864F76" w:rsidRDefault="00864F76" w:rsidP="00F41769">
      <w:pPr>
        <w:pStyle w:val="TextPI"/>
        <w:rPr>
          <w:color w:val="000000" w:themeColor="text1"/>
        </w:rPr>
      </w:pPr>
      <w:r w:rsidRPr="00864F76">
        <w:rPr>
          <w:color w:val="000000" w:themeColor="text1"/>
        </w:rPr>
        <w:t xml:space="preserve">Each 50 mL vial of </w:t>
      </w:r>
      <w:r w:rsidR="00762F30">
        <w:rPr>
          <w:color w:val="000000" w:themeColor="text1"/>
        </w:rPr>
        <w:t>PRAXBIND</w:t>
      </w:r>
      <w:r w:rsidRPr="00864F76">
        <w:rPr>
          <w:color w:val="000000" w:themeColor="text1"/>
        </w:rPr>
        <w:t xml:space="preserve"> solution for injection/infusion</w:t>
      </w:r>
      <w:r w:rsidR="00F41769" w:rsidRPr="00864F76">
        <w:rPr>
          <w:color w:val="000000" w:themeColor="text1"/>
        </w:rPr>
        <w:t xml:space="preserve"> </w:t>
      </w:r>
      <w:r w:rsidRPr="00864F76">
        <w:rPr>
          <w:color w:val="000000" w:themeColor="text1"/>
        </w:rPr>
        <w:t xml:space="preserve">contains 2.5 g of </w:t>
      </w:r>
      <w:proofErr w:type="spellStart"/>
      <w:r w:rsidRPr="00864F76">
        <w:rPr>
          <w:color w:val="000000" w:themeColor="text1"/>
        </w:rPr>
        <w:t>idarucizumab</w:t>
      </w:r>
      <w:proofErr w:type="spellEnd"/>
      <w:r w:rsidRPr="00864F76">
        <w:rPr>
          <w:color w:val="000000" w:themeColor="text1"/>
        </w:rPr>
        <w:t xml:space="preserve"> (50 mg/mL).</w:t>
      </w:r>
    </w:p>
    <w:p w:rsidR="00970FE3" w:rsidRPr="00864F76" w:rsidRDefault="00B107C9" w:rsidP="0003332A">
      <w:pPr>
        <w:pStyle w:val="TextPI"/>
        <w:rPr>
          <w:color w:val="000000" w:themeColor="text1"/>
        </w:rPr>
      </w:pPr>
      <w:r w:rsidRPr="00864F76">
        <w:rPr>
          <w:color w:val="000000" w:themeColor="text1"/>
        </w:rPr>
        <w:t xml:space="preserve">Excipients: </w:t>
      </w:r>
      <w:r w:rsidR="00762F30">
        <w:rPr>
          <w:color w:val="000000" w:themeColor="text1"/>
        </w:rPr>
        <w:t>PRAXBIND</w:t>
      </w:r>
      <w:r w:rsidR="00B77478" w:rsidRPr="00864F76">
        <w:rPr>
          <w:color w:val="000000" w:themeColor="text1"/>
        </w:rPr>
        <w:t xml:space="preserve"> </w:t>
      </w:r>
      <w:r w:rsidRPr="00864F76">
        <w:rPr>
          <w:color w:val="000000" w:themeColor="text1"/>
        </w:rPr>
        <w:t xml:space="preserve">also </w:t>
      </w:r>
      <w:r w:rsidR="00970FE3" w:rsidRPr="00864F76">
        <w:rPr>
          <w:color w:val="000000" w:themeColor="text1"/>
        </w:rPr>
        <w:t>contains</w:t>
      </w:r>
      <w:r w:rsidR="00B77478" w:rsidRPr="00864F76">
        <w:rPr>
          <w:color w:val="000000" w:themeColor="text1"/>
        </w:rPr>
        <w:t xml:space="preserve"> </w:t>
      </w:r>
      <w:r w:rsidR="00864F76" w:rsidRPr="00864F76">
        <w:rPr>
          <w:color w:val="000000" w:themeColor="text1"/>
        </w:rPr>
        <w:t xml:space="preserve">acetic acid – glacial, </w:t>
      </w:r>
      <w:proofErr w:type="spellStart"/>
      <w:r w:rsidR="00864F76" w:rsidRPr="00864F76">
        <w:rPr>
          <w:color w:val="000000" w:themeColor="text1"/>
        </w:rPr>
        <w:t>polysorbate</w:t>
      </w:r>
      <w:proofErr w:type="spellEnd"/>
      <w:r w:rsidR="00864F76" w:rsidRPr="00864F76">
        <w:rPr>
          <w:color w:val="000000" w:themeColor="text1"/>
        </w:rPr>
        <w:t xml:space="preserve"> 20, sodium acetate </w:t>
      </w:r>
      <w:proofErr w:type="spellStart"/>
      <w:r w:rsidR="00864F76" w:rsidRPr="00864F76">
        <w:rPr>
          <w:color w:val="000000" w:themeColor="text1"/>
        </w:rPr>
        <w:t>trihydrate</w:t>
      </w:r>
      <w:proofErr w:type="spellEnd"/>
      <w:r w:rsidR="00815D0A">
        <w:rPr>
          <w:color w:val="000000" w:themeColor="text1"/>
        </w:rPr>
        <w:t>,</w:t>
      </w:r>
      <w:r w:rsidR="00864F76" w:rsidRPr="00864F76">
        <w:rPr>
          <w:color w:val="000000" w:themeColor="text1"/>
        </w:rPr>
        <w:t xml:space="preserve"> sorbitol</w:t>
      </w:r>
      <w:r w:rsidR="00815D0A">
        <w:rPr>
          <w:color w:val="000000" w:themeColor="text1"/>
        </w:rPr>
        <w:t xml:space="preserve"> and water for injection</w:t>
      </w:r>
      <w:r w:rsidR="00B77478" w:rsidRPr="00864F76">
        <w:rPr>
          <w:color w:val="000000" w:themeColor="text1"/>
        </w:rPr>
        <w:t xml:space="preserve">.  </w:t>
      </w:r>
    </w:p>
    <w:p w:rsidR="001D1C54" w:rsidRPr="003B2190" w:rsidRDefault="00014579" w:rsidP="00F501B8">
      <w:pPr>
        <w:pStyle w:val="PIHeading1"/>
      </w:pPr>
      <w:r w:rsidRPr="003B2190">
        <w:lastRenderedPageBreak/>
        <w:t>PHARMACOLOGY</w:t>
      </w:r>
    </w:p>
    <w:p w:rsidR="00AD1AE7" w:rsidRPr="006E1E60" w:rsidRDefault="00245E95" w:rsidP="00245E95">
      <w:pPr>
        <w:pStyle w:val="PIheading2"/>
      </w:pPr>
      <w:r>
        <w:t>Mode of Action</w:t>
      </w:r>
    </w:p>
    <w:p w:rsidR="006E1E60" w:rsidRPr="006E1E60" w:rsidRDefault="006E1E60" w:rsidP="006E1E60">
      <w:pPr>
        <w:pStyle w:val="TextPI"/>
        <w:rPr>
          <w:rFonts w:cs="Arial"/>
          <w:lang w:val="en-GB" w:eastAsia="de-DE"/>
        </w:rPr>
      </w:pPr>
      <w:proofErr w:type="spellStart"/>
      <w:r w:rsidRPr="006E1E60">
        <w:rPr>
          <w:rFonts w:cs="Arial"/>
          <w:lang w:val="en-GB" w:eastAsia="de-DE"/>
        </w:rPr>
        <w:t>Idarucizumab</w:t>
      </w:r>
      <w:proofErr w:type="spellEnd"/>
      <w:r w:rsidRPr="006E1E60">
        <w:rPr>
          <w:rFonts w:cs="Arial"/>
          <w:lang w:val="en-GB" w:eastAsia="de-DE"/>
        </w:rPr>
        <w:t xml:space="preserve"> is a specific reversal agent for dabigatran. It is a humani</w:t>
      </w:r>
      <w:r>
        <w:rPr>
          <w:rFonts w:cs="Arial"/>
          <w:lang w:val="en-GB" w:eastAsia="de-DE"/>
        </w:rPr>
        <w:t>s</w:t>
      </w:r>
      <w:r w:rsidRPr="006E1E60">
        <w:rPr>
          <w:rFonts w:cs="Arial"/>
          <w:lang w:val="en-GB" w:eastAsia="de-DE"/>
        </w:rPr>
        <w:t>ed</w:t>
      </w:r>
      <w:r w:rsidR="005A21C9">
        <w:rPr>
          <w:rFonts w:cs="Arial"/>
          <w:lang w:val="en-GB" w:eastAsia="de-DE"/>
        </w:rPr>
        <w:t xml:space="preserve"> monoclonal antibody fragment</w:t>
      </w:r>
      <w:r w:rsidRPr="006E1E60">
        <w:rPr>
          <w:rFonts w:cs="Arial"/>
          <w:lang w:val="en-GB" w:eastAsia="de-DE"/>
        </w:rPr>
        <w:t xml:space="preserve"> </w:t>
      </w:r>
      <w:r w:rsidR="005A21C9">
        <w:rPr>
          <w:rFonts w:cs="Arial"/>
          <w:lang w:val="en-GB" w:eastAsia="de-DE"/>
        </w:rPr>
        <w:t>(</w:t>
      </w:r>
      <w:r w:rsidR="00752EBA">
        <w:rPr>
          <w:rFonts w:cs="Arial"/>
          <w:lang w:val="en-GB" w:eastAsia="de-DE"/>
        </w:rPr>
        <w:t>Fab</w:t>
      </w:r>
      <w:r w:rsidR="005A21C9">
        <w:rPr>
          <w:rFonts w:cs="Arial"/>
          <w:lang w:val="en-GB" w:eastAsia="de-DE"/>
        </w:rPr>
        <w:t>)</w:t>
      </w:r>
      <w:r w:rsidRPr="006E1E60">
        <w:rPr>
          <w:rFonts w:cs="Arial"/>
          <w:lang w:val="en-GB" w:eastAsia="de-DE"/>
        </w:rPr>
        <w:t xml:space="preserve"> that binds to dabigatran with very high affinity, approximately 300-</w:t>
      </w:r>
      <w:r>
        <w:rPr>
          <w:rFonts w:cs="Arial"/>
          <w:lang w:val="en-GB" w:eastAsia="de-DE"/>
        </w:rPr>
        <w:t xml:space="preserve"> </w:t>
      </w:r>
      <w:r w:rsidRPr="006E1E60">
        <w:rPr>
          <w:rFonts w:cs="Arial"/>
          <w:lang w:val="en-GB" w:eastAsia="de-DE"/>
        </w:rPr>
        <w:t xml:space="preserve">fold </w:t>
      </w:r>
      <w:r w:rsidR="00B445AE">
        <w:rPr>
          <w:rFonts w:cs="Arial"/>
          <w:lang w:val="en-GB" w:eastAsia="de-DE"/>
        </w:rPr>
        <w:t>higher</w:t>
      </w:r>
      <w:r w:rsidRPr="006E1E60">
        <w:rPr>
          <w:rFonts w:cs="Arial"/>
          <w:lang w:val="en-GB" w:eastAsia="de-DE"/>
        </w:rPr>
        <w:t xml:space="preserve"> than the binding affinity </w:t>
      </w:r>
      <w:r>
        <w:rPr>
          <w:rFonts w:cs="Arial"/>
          <w:lang w:val="en-GB" w:eastAsia="de-DE"/>
        </w:rPr>
        <w:t>of dabigatran for thrombin</w:t>
      </w:r>
      <w:r w:rsidR="00B445AE">
        <w:rPr>
          <w:rFonts w:cs="Arial"/>
          <w:lang w:val="en-GB" w:eastAsia="de-DE"/>
        </w:rPr>
        <w:t xml:space="preserve"> at physiological pH (pH 7.4)</w:t>
      </w:r>
      <w:r>
        <w:rPr>
          <w:rFonts w:cs="Arial"/>
          <w:lang w:val="en-GB" w:eastAsia="de-DE"/>
        </w:rPr>
        <w:t xml:space="preserve">. The </w:t>
      </w:r>
      <w:proofErr w:type="spellStart"/>
      <w:r w:rsidRPr="006E1E60">
        <w:rPr>
          <w:rFonts w:cs="Arial"/>
          <w:lang w:val="en-GB" w:eastAsia="de-DE"/>
        </w:rPr>
        <w:t>idarucizumab</w:t>
      </w:r>
      <w:proofErr w:type="spellEnd"/>
      <w:r>
        <w:rPr>
          <w:rFonts w:cs="Arial"/>
          <w:lang w:val="en-GB" w:eastAsia="de-DE"/>
        </w:rPr>
        <w:t>-</w:t>
      </w:r>
      <w:r w:rsidRPr="006E1E60">
        <w:rPr>
          <w:rFonts w:cs="Arial"/>
          <w:lang w:val="en-GB" w:eastAsia="de-DE"/>
        </w:rPr>
        <w:t>dabigatran</w:t>
      </w:r>
      <w:r>
        <w:rPr>
          <w:rFonts w:cs="Arial"/>
          <w:lang w:val="en-GB" w:eastAsia="de-DE"/>
        </w:rPr>
        <w:t xml:space="preserve"> </w:t>
      </w:r>
      <w:r w:rsidRPr="006E1E60">
        <w:rPr>
          <w:rFonts w:cs="Arial"/>
          <w:lang w:val="en-GB" w:eastAsia="de-DE"/>
        </w:rPr>
        <w:t>complex is characterised by a rapid on-rate and extremely slow off-rate resulting in</w:t>
      </w:r>
      <w:r>
        <w:rPr>
          <w:rFonts w:cs="Arial"/>
          <w:lang w:val="en-GB" w:eastAsia="de-DE"/>
        </w:rPr>
        <w:t xml:space="preserve"> </w:t>
      </w:r>
      <w:r w:rsidRPr="006E1E60">
        <w:rPr>
          <w:rFonts w:cs="Arial"/>
          <w:lang w:val="en-GB" w:eastAsia="de-DE"/>
        </w:rPr>
        <w:t xml:space="preserve">a very stable complex. </w:t>
      </w:r>
      <w:proofErr w:type="spellStart"/>
      <w:r w:rsidRPr="006E1E60">
        <w:rPr>
          <w:rFonts w:cs="Arial"/>
          <w:lang w:val="en-GB" w:eastAsia="de-DE"/>
        </w:rPr>
        <w:t>Idarucizumab</w:t>
      </w:r>
      <w:proofErr w:type="spellEnd"/>
      <w:r w:rsidRPr="006E1E60">
        <w:rPr>
          <w:rFonts w:cs="Arial"/>
          <w:lang w:val="en-GB" w:eastAsia="de-DE"/>
        </w:rPr>
        <w:t xml:space="preserve"> specifically binds to dabigatran and its</w:t>
      </w:r>
      <w:r>
        <w:rPr>
          <w:rFonts w:cs="Arial"/>
          <w:lang w:val="en-GB" w:eastAsia="de-DE"/>
        </w:rPr>
        <w:t xml:space="preserve"> </w:t>
      </w:r>
      <w:r w:rsidR="00B445AE">
        <w:rPr>
          <w:rFonts w:cs="Arial"/>
          <w:lang w:val="en-GB" w:eastAsia="de-DE"/>
        </w:rPr>
        <w:t xml:space="preserve">acyl glucuronide </w:t>
      </w:r>
      <w:r w:rsidRPr="006E1E60">
        <w:rPr>
          <w:rFonts w:cs="Arial"/>
          <w:lang w:val="en-GB" w:eastAsia="de-DE"/>
        </w:rPr>
        <w:t xml:space="preserve">metabolites and </w:t>
      </w:r>
      <w:r w:rsidR="00B445AE">
        <w:rPr>
          <w:rFonts w:cs="Arial"/>
          <w:lang w:val="en-GB" w:eastAsia="de-DE"/>
        </w:rPr>
        <w:t xml:space="preserve">potently </w:t>
      </w:r>
      <w:r w:rsidRPr="006E1E60">
        <w:rPr>
          <w:rFonts w:cs="Arial"/>
          <w:lang w:val="en-GB" w:eastAsia="de-DE"/>
        </w:rPr>
        <w:t>neutralis</w:t>
      </w:r>
      <w:r>
        <w:rPr>
          <w:rFonts w:cs="Arial"/>
          <w:lang w:val="en-GB" w:eastAsia="de-DE"/>
        </w:rPr>
        <w:t>es their anticoagulant effect.</w:t>
      </w:r>
    </w:p>
    <w:p w:rsidR="00362DF0" w:rsidRPr="00245E95" w:rsidRDefault="00362DF0" w:rsidP="00245E95">
      <w:pPr>
        <w:pStyle w:val="PIheading2"/>
      </w:pPr>
      <w:r w:rsidRPr="00245E95">
        <w:t>Pharmacodynamic</w:t>
      </w:r>
      <w:r w:rsidR="00245E95">
        <w:t>s</w:t>
      </w:r>
    </w:p>
    <w:p w:rsidR="00245E95" w:rsidRPr="00245E95" w:rsidRDefault="00245E95" w:rsidP="00245E95">
      <w:pPr>
        <w:pStyle w:val="TextPI"/>
        <w:rPr>
          <w:rFonts w:cs="Arial"/>
          <w:lang w:val="en-GB" w:eastAsia="de-DE"/>
        </w:rPr>
      </w:pPr>
      <w:r w:rsidRPr="00245E95">
        <w:rPr>
          <w:rFonts w:cs="Arial"/>
          <w:lang w:val="en-GB" w:eastAsia="de-DE"/>
        </w:rPr>
        <w:t xml:space="preserve">The pharmacodynamics of </w:t>
      </w:r>
      <w:proofErr w:type="spellStart"/>
      <w:r w:rsidRPr="00245E95">
        <w:rPr>
          <w:rFonts w:cs="Arial"/>
          <w:lang w:val="en-GB" w:eastAsia="de-DE"/>
        </w:rPr>
        <w:t>idarucizumab</w:t>
      </w:r>
      <w:proofErr w:type="spellEnd"/>
      <w:r w:rsidRPr="00245E95">
        <w:rPr>
          <w:rFonts w:cs="Arial"/>
          <w:lang w:val="en-GB" w:eastAsia="de-DE"/>
        </w:rPr>
        <w:t xml:space="preserve"> after administration of dabigatran </w:t>
      </w:r>
      <w:proofErr w:type="spellStart"/>
      <w:r w:rsidRPr="00245E95">
        <w:rPr>
          <w:rFonts w:cs="Arial"/>
          <w:lang w:val="en-GB" w:eastAsia="de-DE"/>
        </w:rPr>
        <w:t>etexilate</w:t>
      </w:r>
      <w:proofErr w:type="spellEnd"/>
      <w:r w:rsidRPr="00245E95">
        <w:rPr>
          <w:rFonts w:cs="Arial"/>
          <w:lang w:val="en-GB" w:eastAsia="de-DE"/>
        </w:rPr>
        <w:t xml:space="preserve"> were</w:t>
      </w:r>
      <w:r>
        <w:rPr>
          <w:rFonts w:cs="Arial"/>
          <w:lang w:val="en-GB" w:eastAsia="de-DE"/>
        </w:rPr>
        <w:t xml:space="preserve"> </w:t>
      </w:r>
      <w:r w:rsidRPr="00245E95">
        <w:rPr>
          <w:rFonts w:cs="Arial"/>
          <w:lang w:val="en-GB" w:eastAsia="de-DE"/>
        </w:rPr>
        <w:t>investigated in</w:t>
      </w:r>
      <w:r w:rsidR="00277BD6">
        <w:rPr>
          <w:rFonts w:cs="Arial"/>
          <w:lang w:val="en-GB" w:eastAsia="de-DE"/>
        </w:rPr>
        <w:t xml:space="preserve"> 141 subjects in Phase I studies, of which data for a representative subgroup of 6</w:t>
      </w:r>
      <w:r w:rsidRPr="00245E95">
        <w:rPr>
          <w:rFonts w:cs="Arial"/>
          <w:lang w:val="en-GB" w:eastAsia="de-DE"/>
        </w:rPr>
        <w:t xml:space="preserve"> healthy subjects aged 45 to 64 years receiving a dose of 5 g </w:t>
      </w:r>
      <w:r w:rsidR="00026E10">
        <w:rPr>
          <w:rFonts w:cs="Arial"/>
          <w:lang w:val="en-GB" w:eastAsia="de-DE"/>
        </w:rPr>
        <w:t>via</w:t>
      </w:r>
      <w:r w:rsidR="00026E10" w:rsidRPr="00245E95">
        <w:rPr>
          <w:rFonts w:cs="Arial"/>
          <w:lang w:val="en-GB" w:eastAsia="de-DE"/>
        </w:rPr>
        <w:t xml:space="preserve"> </w:t>
      </w:r>
      <w:r w:rsidRPr="00245E95">
        <w:rPr>
          <w:rFonts w:cs="Arial"/>
          <w:lang w:val="en-GB" w:eastAsia="de-DE"/>
        </w:rPr>
        <w:t>intravenous</w:t>
      </w:r>
      <w:r>
        <w:rPr>
          <w:rFonts w:cs="Arial"/>
          <w:lang w:val="en-GB" w:eastAsia="de-DE"/>
        </w:rPr>
        <w:t xml:space="preserve"> </w:t>
      </w:r>
      <w:r w:rsidRPr="00245E95">
        <w:rPr>
          <w:rFonts w:cs="Arial"/>
          <w:lang w:val="en-GB" w:eastAsia="de-DE"/>
        </w:rPr>
        <w:t>infusion</w:t>
      </w:r>
      <w:r w:rsidR="00277BD6">
        <w:rPr>
          <w:rFonts w:cs="Arial"/>
          <w:lang w:val="en-GB" w:eastAsia="de-DE"/>
        </w:rPr>
        <w:t xml:space="preserve"> are presented</w:t>
      </w:r>
      <w:r w:rsidRPr="00245E95">
        <w:rPr>
          <w:rFonts w:cs="Arial"/>
          <w:lang w:val="en-GB" w:eastAsia="de-DE"/>
        </w:rPr>
        <w:t>. The median peak dabigatran exposure in the investigated healthy subjects was in the</w:t>
      </w:r>
      <w:r>
        <w:rPr>
          <w:rFonts w:cs="Arial"/>
          <w:lang w:val="en-GB" w:eastAsia="de-DE"/>
        </w:rPr>
        <w:t xml:space="preserve"> </w:t>
      </w:r>
      <w:r w:rsidRPr="00245E95">
        <w:rPr>
          <w:rFonts w:cs="Arial"/>
          <w:lang w:val="en-GB" w:eastAsia="de-DE"/>
        </w:rPr>
        <w:t xml:space="preserve">range of a twice daily administration of 150 mg dabigatran </w:t>
      </w:r>
      <w:proofErr w:type="spellStart"/>
      <w:r w:rsidRPr="00245E95">
        <w:rPr>
          <w:rFonts w:cs="Arial"/>
          <w:lang w:val="en-GB" w:eastAsia="de-DE"/>
        </w:rPr>
        <w:t>etexilate</w:t>
      </w:r>
      <w:proofErr w:type="spellEnd"/>
      <w:r w:rsidRPr="00245E95">
        <w:rPr>
          <w:rFonts w:cs="Arial"/>
          <w:lang w:val="en-GB" w:eastAsia="de-DE"/>
        </w:rPr>
        <w:t xml:space="preserve"> in patients. </w:t>
      </w:r>
    </w:p>
    <w:p w:rsidR="00245E95" w:rsidRPr="004F5D96" w:rsidRDefault="00245E95" w:rsidP="00245E95">
      <w:pPr>
        <w:pStyle w:val="TextPI"/>
        <w:rPr>
          <w:rFonts w:cs="Arial"/>
          <w:u w:val="single"/>
          <w:lang w:val="en-GB" w:eastAsia="de-DE"/>
        </w:rPr>
      </w:pPr>
      <w:r w:rsidRPr="004F5D96">
        <w:rPr>
          <w:rFonts w:cs="Arial"/>
          <w:u w:val="single"/>
          <w:lang w:val="en-GB" w:eastAsia="de-DE"/>
        </w:rPr>
        <w:t xml:space="preserve">Effect of </w:t>
      </w:r>
      <w:proofErr w:type="spellStart"/>
      <w:r w:rsidRPr="004F5D96">
        <w:rPr>
          <w:rFonts w:cs="Arial"/>
          <w:u w:val="single"/>
          <w:lang w:val="en-GB" w:eastAsia="de-DE"/>
        </w:rPr>
        <w:t>idarucizumab</w:t>
      </w:r>
      <w:proofErr w:type="spellEnd"/>
      <w:r w:rsidRPr="004F5D96">
        <w:rPr>
          <w:rFonts w:cs="Arial"/>
          <w:u w:val="single"/>
          <w:lang w:val="en-GB" w:eastAsia="de-DE"/>
        </w:rPr>
        <w:t xml:space="preserve"> on the exposure and anticoagulant activity of dabigatran</w:t>
      </w:r>
    </w:p>
    <w:p w:rsidR="00245E95" w:rsidRDefault="00245E95" w:rsidP="00245E95">
      <w:pPr>
        <w:pStyle w:val="TextPI"/>
        <w:rPr>
          <w:rFonts w:cs="Arial"/>
          <w:lang w:val="en-GB" w:eastAsia="de-DE"/>
        </w:rPr>
      </w:pPr>
      <w:r w:rsidRPr="00245E95">
        <w:rPr>
          <w:rFonts w:cs="Arial"/>
          <w:lang w:val="en-GB" w:eastAsia="de-DE"/>
        </w:rPr>
        <w:t xml:space="preserve">Immediately after the administration of </w:t>
      </w:r>
      <w:proofErr w:type="spellStart"/>
      <w:r w:rsidRPr="00245E95">
        <w:rPr>
          <w:rFonts w:cs="Arial"/>
          <w:lang w:val="en-GB" w:eastAsia="de-DE"/>
        </w:rPr>
        <w:t>idarucizumab</w:t>
      </w:r>
      <w:proofErr w:type="spellEnd"/>
      <w:r w:rsidRPr="00245E95">
        <w:rPr>
          <w:rFonts w:cs="Arial"/>
          <w:lang w:val="en-GB" w:eastAsia="de-DE"/>
        </w:rPr>
        <w:t>, the plasma concentrations of unbound</w:t>
      </w:r>
      <w:r>
        <w:rPr>
          <w:rFonts w:cs="Arial"/>
          <w:lang w:val="en-GB" w:eastAsia="de-DE"/>
        </w:rPr>
        <w:t xml:space="preserve"> </w:t>
      </w:r>
      <w:r w:rsidRPr="00245E95">
        <w:rPr>
          <w:rFonts w:cs="Arial"/>
          <w:lang w:val="en-GB" w:eastAsia="de-DE"/>
        </w:rPr>
        <w:t>dabigatran were reduced by more than 99%, resulting in levels with no anticoagulant activity.</w:t>
      </w:r>
      <w:r>
        <w:rPr>
          <w:rFonts w:cs="Arial"/>
          <w:lang w:val="en-GB" w:eastAsia="de-DE"/>
        </w:rPr>
        <w:t xml:space="preserve">  </w:t>
      </w:r>
    </w:p>
    <w:p w:rsidR="004E723A" w:rsidRDefault="004E723A" w:rsidP="004E723A">
      <w:pPr>
        <w:pStyle w:val="TextPI"/>
        <w:rPr>
          <w:rFonts w:cs="Arial"/>
          <w:lang w:val="en-GB" w:eastAsia="de-DE"/>
        </w:rPr>
      </w:pPr>
      <w:r w:rsidRPr="004E723A">
        <w:rPr>
          <w:rFonts w:cs="Arial"/>
          <w:lang w:val="en-GB" w:eastAsia="de-DE"/>
        </w:rPr>
        <w:t>The majority of the patients showed sustained reversal of dabigatran plasma concentrations</w:t>
      </w:r>
      <w:r>
        <w:rPr>
          <w:rFonts w:cs="Arial"/>
          <w:lang w:val="en-GB" w:eastAsia="de-DE"/>
        </w:rPr>
        <w:t xml:space="preserve"> </w:t>
      </w:r>
      <w:r w:rsidRPr="004E723A">
        <w:rPr>
          <w:rFonts w:cs="Arial"/>
          <w:lang w:val="en-GB" w:eastAsia="de-DE"/>
        </w:rPr>
        <w:t>up to 12 hours (&gt;90%). In a subset of patients, recurrence of plasma levels of unbound</w:t>
      </w:r>
      <w:r>
        <w:rPr>
          <w:rFonts w:cs="Arial"/>
          <w:lang w:val="en-GB" w:eastAsia="de-DE"/>
        </w:rPr>
        <w:t xml:space="preserve"> </w:t>
      </w:r>
      <w:r w:rsidRPr="004E723A">
        <w:rPr>
          <w:rFonts w:cs="Arial"/>
          <w:lang w:val="en-GB" w:eastAsia="de-DE"/>
        </w:rPr>
        <w:t>dabigatran and concomitant elevation of clotting test</w:t>
      </w:r>
      <w:r>
        <w:rPr>
          <w:rFonts w:cs="Arial"/>
          <w:lang w:val="en-GB" w:eastAsia="de-DE"/>
        </w:rPr>
        <w:t xml:space="preserve">s was observed, possibly due to </w:t>
      </w:r>
      <w:r w:rsidRPr="004E723A">
        <w:rPr>
          <w:rFonts w:cs="Arial"/>
          <w:lang w:val="en-GB" w:eastAsia="de-DE"/>
        </w:rPr>
        <w:t>redistribution</w:t>
      </w:r>
      <w:r>
        <w:rPr>
          <w:rFonts w:cs="Arial"/>
          <w:lang w:val="en-GB" w:eastAsia="de-DE"/>
        </w:rPr>
        <w:t xml:space="preserve"> </w:t>
      </w:r>
      <w:r w:rsidRPr="004E723A">
        <w:rPr>
          <w:rFonts w:cs="Arial"/>
          <w:lang w:val="en-GB" w:eastAsia="de-DE"/>
        </w:rPr>
        <w:t>of dabigatran from the periphery. This occurred 2-24 hours after administration</w:t>
      </w:r>
      <w:r>
        <w:rPr>
          <w:rFonts w:cs="Arial"/>
          <w:lang w:val="en-GB" w:eastAsia="de-DE"/>
        </w:rPr>
        <w:t xml:space="preserve"> </w:t>
      </w:r>
      <w:r w:rsidRPr="004E723A">
        <w:rPr>
          <w:rFonts w:cs="Arial"/>
          <w:lang w:val="en-GB" w:eastAsia="de-DE"/>
        </w:rPr>
        <w:t xml:space="preserve">of </w:t>
      </w:r>
      <w:proofErr w:type="spellStart"/>
      <w:r w:rsidRPr="004E723A">
        <w:rPr>
          <w:rFonts w:cs="Arial"/>
          <w:lang w:val="en-GB" w:eastAsia="de-DE"/>
        </w:rPr>
        <w:t>idarucizumab</w:t>
      </w:r>
      <w:proofErr w:type="spellEnd"/>
      <w:r w:rsidRPr="004E723A">
        <w:rPr>
          <w:rFonts w:cs="Arial"/>
          <w:lang w:val="en-GB" w:eastAsia="de-DE"/>
        </w:rPr>
        <w:t xml:space="preserve"> mainly at </w:t>
      </w:r>
      <w:proofErr w:type="spellStart"/>
      <w:r w:rsidRPr="004E723A">
        <w:rPr>
          <w:rFonts w:cs="Arial"/>
          <w:lang w:val="en-GB" w:eastAsia="de-DE"/>
        </w:rPr>
        <w:t>timepoints</w:t>
      </w:r>
      <w:proofErr w:type="spellEnd"/>
      <w:r w:rsidRPr="004E723A">
        <w:rPr>
          <w:rFonts w:cs="Arial"/>
          <w:lang w:val="en-GB" w:eastAsia="de-DE"/>
        </w:rPr>
        <w:t xml:space="preserve"> ≥ 12 hours.</w:t>
      </w:r>
    </w:p>
    <w:p w:rsidR="0086166F" w:rsidRPr="00245E95" w:rsidRDefault="0086166F" w:rsidP="004E723A">
      <w:pPr>
        <w:pStyle w:val="TextPI"/>
        <w:rPr>
          <w:rFonts w:cs="Arial"/>
          <w:lang w:val="en-GB" w:eastAsia="de-DE"/>
        </w:rPr>
      </w:pPr>
    </w:p>
    <w:p w:rsidR="00245E95" w:rsidRPr="00F303AD" w:rsidRDefault="00157B00" w:rsidP="00D50AFD">
      <w:pPr>
        <w:pStyle w:val="PIheading2"/>
        <w:jc w:val="both"/>
        <w:rPr>
          <w:lang w:val="en-GB"/>
        </w:rPr>
      </w:pPr>
      <w:r w:rsidRPr="00F303AD">
        <w:rPr>
          <w:lang w:val="en-GB"/>
        </w:rPr>
        <w:lastRenderedPageBreak/>
        <w:t>Figure 1</w:t>
      </w:r>
      <w:r w:rsidR="00026E10" w:rsidRPr="00F303AD">
        <w:rPr>
          <w:lang w:val="en-GB"/>
        </w:rPr>
        <w:t>:</w:t>
      </w:r>
      <w:r w:rsidRPr="00F303AD">
        <w:rPr>
          <w:lang w:val="en-GB"/>
        </w:rPr>
        <w:t xml:space="preserve"> Plasma-levels of unbound dabigatran in the representative group of healthy subjects (administration of </w:t>
      </w:r>
      <w:proofErr w:type="spellStart"/>
      <w:r w:rsidRPr="00F303AD">
        <w:rPr>
          <w:lang w:val="en-GB"/>
        </w:rPr>
        <w:t>idarucizumab</w:t>
      </w:r>
      <w:proofErr w:type="spellEnd"/>
      <w:r w:rsidRPr="00F303AD">
        <w:rPr>
          <w:lang w:val="en-GB"/>
        </w:rPr>
        <w:t xml:space="preserve"> or placebo at 0 h</w:t>
      </w:r>
      <w:r w:rsidR="00D0431A">
        <w:rPr>
          <w:lang w:val="en-GB"/>
        </w:rPr>
        <w:t>ours</w:t>
      </w:r>
      <w:r w:rsidRPr="00F303AD">
        <w:rPr>
          <w:lang w:val="en-GB"/>
        </w:rPr>
        <w:t>)</w:t>
      </w:r>
    </w:p>
    <w:p w:rsidR="00245E95" w:rsidRDefault="00157B00" w:rsidP="00F303AD">
      <w:pPr>
        <w:pStyle w:val="PIheading2"/>
        <w:jc w:val="center"/>
      </w:pPr>
      <w:r>
        <w:rPr>
          <w:noProof/>
          <w:lang w:eastAsia="en-AU"/>
        </w:rPr>
        <w:drawing>
          <wp:inline distT="0" distB="0" distL="0" distR="0" wp14:anchorId="4BA7C6DD" wp14:editId="7E84F568">
            <wp:extent cx="3891280" cy="3521710"/>
            <wp:effectExtent l="0" t="0" r="0" b="2540"/>
            <wp:docPr id="1" name="Picture 1" descr="unb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bound"/>
                    <pic:cNvPicPr>
                      <a:picLocks noChangeAspect="1" noChangeArrowheads="1"/>
                    </pic:cNvPicPr>
                  </pic:nvPicPr>
                  <pic:blipFill>
                    <a:blip r:embed="rId10" cstate="print">
                      <a:extLst>
                        <a:ext uri="{28A0092B-C50C-407E-A947-70E740481C1C}">
                          <a14:useLocalDpi xmlns:a14="http://schemas.microsoft.com/office/drawing/2010/main" val="0"/>
                        </a:ext>
                      </a:extLst>
                    </a:blip>
                    <a:srcRect l="13853" t="11963" r="12711" b="40875"/>
                    <a:stretch>
                      <a:fillRect/>
                    </a:stretch>
                  </pic:blipFill>
                  <pic:spPr bwMode="auto">
                    <a:xfrm>
                      <a:off x="0" y="0"/>
                      <a:ext cx="3891280" cy="3521710"/>
                    </a:xfrm>
                    <a:prstGeom prst="rect">
                      <a:avLst/>
                    </a:prstGeom>
                    <a:noFill/>
                    <a:ln>
                      <a:noFill/>
                    </a:ln>
                  </pic:spPr>
                </pic:pic>
              </a:graphicData>
            </a:graphic>
          </wp:inline>
        </w:drawing>
      </w:r>
    </w:p>
    <w:p w:rsidR="00245E95" w:rsidRDefault="00157B00" w:rsidP="00157B00">
      <w:pPr>
        <w:pStyle w:val="TextPI"/>
        <w:rPr>
          <w:rFonts w:cs="Arial"/>
          <w:lang w:val="en-GB" w:eastAsia="de-DE"/>
        </w:rPr>
      </w:pPr>
      <w:r w:rsidRPr="00157B00">
        <w:rPr>
          <w:rFonts w:cs="Arial"/>
          <w:lang w:val="en-GB" w:eastAsia="de-DE"/>
        </w:rPr>
        <w:t>Dabigatran prolongs the clotting time of coagulation markers such as diluted Thrombin Time (</w:t>
      </w:r>
      <w:proofErr w:type="spellStart"/>
      <w:r w:rsidRPr="00157B00">
        <w:rPr>
          <w:rFonts w:cs="Arial"/>
          <w:lang w:val="en-GB" w:eastAsia="de-DE"/>
        </w:rPr>
        <w:t>dTT</w:t>
      </w:r>
      <w:proofErr w:type="spellEnd"/>
      <w:r w:rsidRPr="00157B00">
        <w:rPr>
          <w:rFonts w:cs="Arial"/>
          <w:lang w:val="en-GB" w:eastAsia="de-DE"/>
        </w:rPr>
        <w:t>), Thrombin Time (TT), activated Partial Thromboplastin Time (</w:t>
      </w:r>
      <w:proofErr w:type="spellStart"/>
      <w:r w:rsidRPr="00157B00">
        <w:rPr>
          <w:rFonts w:cs="Arial"/>
          <w:lang w:val="en-GB" w:eastAsia="de-DE"/>
        </w:rPr>
        <w:t>aPTT</w:t>
      </w:r>
      <w:proofErr w:type="spellEnd"/>
      <w:r w:rsidRPr="00157B00">
        <w:rPr>
          <w:rFonts w:cs="Arial"/>
          <w:lang w:val="en-GB" w:eastAsia="de-DE"/>
        </w:rPr>
        <w:t xml:space="preserve">) and </w:t>
      </w:r>
      <w:proofErr w:type="spellStart"/>
      <w:r w:rsidRPr="00157B00">
        <w:rPr>
          <w:rFonts w:cs="Arial"/>
          <w:lang w:val="en-GB" w:eastAsia="de-DE"/>
        </w:rPr>
        <w:t>Ecarin</w:t>
      </w:r>
      <w:proofErr w:type="spellEnd"/>
      <w:r w:rsidRPr="00157B00">
        <w:rPr>
          <w:rFonts w:cs="Arial"/>
          <w:lang w:val="en-GB" w:eastAsia="de-DE"/>
        </w:rPr>
        <w:t xml:space="preserve"> Clotting Time (ECT), which provide an approximate indication of the anticoagulation intensity. A value in the normal range after administration of </w:t>
      </w:r>
      <w:proofErr w:type="spellStart"/>
      <w:r w:rsidRPr="00157B00">
        <w:rPr>
          <w:rFonts w:cs="Arial"/>
          <w:lang w:val="en-GB" w:eastAsia="de-DE"/>
        </w:rPr>
        <w:t>idarucizumab</w:t>
      </w:r>
      <w:proofErr w:type="spellEnd"/>
      <w:r w:rsidRPr="00157B00">
        <w:rPr>
          <w:rFonts w:cs="Arial"/>
          <w:lang w:val="en-GB" w:eastAsia="de-DE"/>
        </w:rPr>
        <w:t xml:space="preserve"> indicates that a patient is no longer anticoagulated. A value above the normal range may reflect residual active dabigatran or other clinical conditions e.g., presence of other drugs or transfusion coagulopathy. These tests were used to assess the anticoagulant effect of dabigatran. A complete and sustained reversal of dabigatran-induced clotting time prolongation was observed immediately after the </w:t>
      </w:r>
      <w:proofErr w:type="spellStart"/>
      <w:r w:rsidRPr="00157B00">
        <w:rPr>
          <w:rFonts w:cs="Arial"/>
          <w:lang w:val="en-GB" w:eastAsia="de-DE"/>
        </w:rPr>
        <w:t>idarucizumab</w:t>
      </w:r>
      <w:proofErr w:type="spellEnd"/>
      <w:r w:rsidRPr="00157B00">
        <w:rPr>
          <w:rFonts w:cs="Arial"/>
          <w:lang w:val="en-GB" w:eastAsia="de-DE"/>
        </w:rPr>
        <w:t xml:space="preserve"> infusion, lasting over the entire observation period of at least 24 h</w:t>
      </w:r>
      <w:r w:rsidR="003D6DFE">
        <w:rPr>
          <w:rFonts w:cs="Arial"/>
          <w:lang w:val="en-GB" w:eastAsia="de-DE"/>
        </w:rPr>
        <w:t>ours</w:t>
      </w:r>
      <w:r w:rsidRPr="00157B00">
        <w:rPr>
          <w:rFonts w:cs="Arial"/>
          <w:lang w:val="en-GB" w:eastAsia="de-DE"/>
        </w:rPr>
        <w:t xml:space="preserve">. </w:t>
      </w:r>
    </w:p>
    <w:p w:rsidR="00266133" w:rsidRDefault="00266133">
      <w:pPr>
        <w:rPr>
          <w:rFonts w:ascii="Arial" w:hAnsi="Arial" w:cs="Arial"/>
          <w:sz w:val="22"/>
          <w:szCs w:val="22"/>
          <w:lang w:val="en-GB" w:eastAsia="de-DE"/>
        </w:rPr>
      </w:pPr>
      <w:r>
        <w:rPr>
          <w:rFonts w:cs="Arial"/>
          <w:lang w:val="en-GB" w:eastAsia="de-DE"/>
        </w:rPr>
        <w:br w:type="page"/>
      </w:r>
    </w:p>
    <w:p w:rsidR="00157B00" w:rsidRPr="00F303AD" w:rsidRDefault="00157B00" w:rsidP="00157B00">
      <w:pPr>
        <w:pStyle w:val="TextPI"/>
        <w:rPr>
          <w:rFonts w:cs="Arial"/>
          <w:b/>
          <w:bCs/>
          <w:lang w:val="en-GB" w:eastAsia="de-DE"/>
        </w:rPr>
      </w:pPr>
      <w:r w:rsidRPr="00F303AD">
        <w:rPr>
          <w:rFonts w:cs="Arial"/>
          <w:b/>
          <w:bCs/>
          <w:lang w:val="en-GB" w:eastAsia="de-DE"/>
        </w:rPr>
        <w:lastRenderedPageBreak/>
        <w:t>Figure 2</w:t>
      </w:r>
      <w:r w:rsidR="00D0431A" w:rsidRPr="00F303AD">
        <w:rPr>
          <w:rFonts w:cs="Arial"/>
          <w:b/>
          <w:bCs/>
          <w:lang w:val="en-GB" w:eastAsia="de-DE"/>
        </w:rPr>
        <w:t>:</w:t>
      </w:r>
      <w:r w:rsidRPr="00F303AD">
        <w:rPr>
          <w:rFonts w:cs="Arial"/>
          <w:b/>
          <w:bCs/>
          <w:lang w:val="en-GB" w:eastAsia="de-DE"/>
        </w:rPr>
        <w:t xml:space="preserve"> Reversal of dabigatran-induced clotting time prolongation determined by </w:t>
      </w:r>
      <w:proofErr w:type="spellStart"/>
      <w:r w:rsidRPr="00F303AD">
        <w:rPr>
          <w:rFonts w:cs="Arial"/>
          <w:b/>
          <w:bCs/>
          <w:lang w:val="en-GB" w:eastAsia="de-DE"/>
        </w:rPr>
        <w:t>dTT</w:t>
      </w:r>
      <w:proofErr w:type="spellEnd"/>
      <w:r w:rsidRPr="00F303AD">
        <w:rPr>
          <w:rFonts w:cs="Arial"/>
          <w:b/>
          <w:bCs/>
          <w:lang w:val="en-GB" w:eastAsia="de-DE"/>
        </w:rPr>
        <w:t xml:space="preserve"> in the representative group of healthy subjects (administration of </w:t>
      </w:r>
      <w:proofErr w:type="spellStart"/>
      <w:r w:rsidRPr="00F303AD">
        <w:rPr>
          <w:rFonts w:cs="Arial"/>
          <w:b/>
          <w:bCs/>
          <w:lang w:val="en-GB" w:eastAsia="de-DE"/>
        </w:rPr>
        <w:t>idarucizumab</w:t>
      </w:r>
      <w:proofErr w:type="spellEnd"/>
      <w:r w:rsidRPr="00F303AD">
        <w:rPr>
          <w:rFonts w:cs="Arial"/>
          <w:b/>
          <w:bCs/>
          <w:lang w:val="en-GB" w:eastAsia="de-DE"/>
        </w:rPr>
        <w:t xml:space="preserve"> or placebo at 0 h</w:t>
      </w:r>
      <w:r w:rsidR="00D0431A" w:rsidRPr="00F303AD">
        <w:rPr>
          <w:rFonts w:cs="Arial"/>
          <w:b/>
          <w:bCs/>
          <w:lang w:val="en-GB" w:eastAsia="de-DE"/>
        </w:rPr>
        <w:t>ours</w:t>
      </w:r>
      <w:r w:rsidRPr="00F303AD">
        <w:rPr>
          <w:rFonts w:cs="Arial"/>
          <w:b/>
          <w:bCs/>
          <w:lang w:val="en-GB" w:eastAsia="de-DE"/>
        </w:rPr>
        <w:t xml:space="preserve">) </w:t>
      </w:r>
    </w:p>
    <w:p w:rsidR="00157B00" w:rsidRDefault="00157B00" w:rsidP="00F303AD">
      <w:pPr>
        <w:jc w:val="center"/>
        <w:rPr>
          <w:szCs w:val="24"/>
          <w:lang w:val="en-GB"/>
        </w:rPr>
      </w:pPr>
      <w:r>
        <w:rPr>
          <w:noProof/>
          <w:lang w:eastAsia="en-AU"/>
        </w:rPr>
        <w:drawing>
          <wp:inline distT="0" distB="0" distL="0" distR="0" wp14:anchorId="4DC790EA" wp14:editId="7C0F3DB1">
            <wp:extent cx="3648075" cy="3540760"/>
            <wp:effectExtent l="0" t="0" r="9525" b="2540"/>
            <wp:docPr id="3" name="Picture 3" descr="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T"/>
                    <pic:cNvPicPr>
                      <a:picLocks noChangeAspect="1" noChangeArrowheads="1"/>
                    </pic:cNvPicPr>
                  </pic:nvPicPr>
                  <pic:blipFill>
                    <a:blip r:embed="rId11" cstate="print">
                      <a:extLst>
                        <a:ext uri="{28A0092B-C50C-407E-A947-70E740481C1C}">
                          <a14:useLocalDpi xmlns:a14="http://schemas.microsoft.com/office/drawing/2010/main" val="0"/>
                        </a:ext>
                      </a:extLst>
                    </a:blip>
                    <a:srcRect l="15614" t="11794" r="15614" b="40942"/>
                    <a:stretch>
                      <a:fillRect/>
                    </a:stretch>
                  </pic:blipFill>
                  <pic:spPr bwMode="auto">
                    <a:xfrm>
                      <a:off x="0" y="0"/>
                      <a:ext cx="3648075" cy="3540760"/>
                    </a:xfrm>
                    <a:prstGeom prst="rect">
                      <a:avLst/>
                    </a:prstGeom>
                    <a:noFill/>
                    <a:ln>
                      <a:noFill/>
                    </a:ln>
                  </pic:spPr>
                </pic:pic>
              </a:graphicData>
            </a:graphic>
          </wp:inline>
        </w:drawing>
      </w:r>
    </w:p>
    <w:p w:rsidR="00D67148" w:rsidRDefault="00D67148" w:rsidP="00C32C49">
      <w:pPr>
        <w:pStyle w:val="TextPI"/>
        <w:rPr>
          <w:rFonts w:cs="Arial"/>
          <w:u w:val="single"/>
          <w:lang w:val="en-GB" w:eastAsia="de-DE"/>
        </w:rPr>
      </w:pPr>
    </w:p>
    <w:p w:rsidR="00E07D8E" w:rsidRPr="00E07D8E" w:rsidRDefault="00E07D8E" w:rsidP="00E07D8E">
      <w:pPr>
        <w:pStyle w:val="TextPI"/>
        <w:rPr>
          <w:rFonts w:cs="Arial"/>
          <w:lang w:val="en-GB" w:eastAsia="de-DE"/>
        </w:rPr>
      </w:pPr>
      <w:r w:rsidRPr="00E07D8E">
        <w:rPr>
          <w:rFonts w:cs="Arial"/>
          <w:lang w:val="en-GB" w:eastAsia="de-DE"/>
        </w:rPr>
        <w:t xml:space="preserve">The tables below summarise the </w:t>
      </w:r>
      <w:proofErr w:type="spellStart"/>
      <w:r w:rsidRPr="00E07D8E">
        <w:rPr>
          <w:rFonts w:cs="Arial"/>
          <w:lang w:val="en-GB" w:eastAsia="de-DE"/>
        </w:rPr>
        <w:t>idarucizumab</w:t>
      </w:r>
      <w:proofErr w:type="spellEnd"/>
      <w:r w:rsidRPr="00E07D8E">
        <w:rPr>
          <w:rFonts w:cs="Arial"/>
          <w:lang w:val="en-GB" w:eastAsia="de-DE"/>
        </w:rPr>
        <w:t xml:space="preserve"> effect on coagulation parameters </w:t>
      </w:r>
      <w:proofErr w:type="spellStart"/>
      <w:r w:rsidRPr="00E07D8E">
        <w:rPr>
          <w:rFonts w:cs="Arial"/>
          <w:lang w:val="en-GB" w:eastAsia="de-DE"/>
        </w:rPr>
        <w:t>dTT</w:t>
      </w:r>
      <w:proofErr w:type="spellEnd"/>
      <w:r w:rsidRPr="00E07D8E">
        <w:rPr>
          <w:rFonts w:cs="Arial"/>
          <w:lang w:val="en-GB" w:eastAsia="de-DE"/>
        </w:rPr>
        <w:t xml:space="preserve">, </w:t>
      </w:r>
      <w:proofErr w:type="spellStart"/>
      <w:r w:rsidRPr="00E07D8E">
        <w:rPr>
          <w:rFonts w:cs="Arial"/>
          <w:lang w:val="en-GB" w:eastAsia="de-DE"/>
        </w:rPr>
        <w:t>aPTT</w:t>
      </w:r>
      <w:proofErr w:type="spellEnd"/>
      <w:r w:rsidRPr="00E07D8E">
        <w:rPr>
          <w:rFonts w:cs="Arial"/>
          <w:lang w:val="en-GB" w:eastAsia="de-DE"/>
        </w:rPr>
        <w:t xml:space="preserve">, ECT, TT, and ACT over time for 14 healthy subjects aged 45 to 80 years receiving a dose of 5 g via intravenous infusion. The median peak dabigatran exposure in the investigated healthy subjects was in the range of a twice daily administration of 150 mg dabigatran </w:t>
      </w:r>
      <w:proofErr w:type="spellStart"/>
      <w:r w:rsidRPr="00E07D8E">
        <w:rPr>
          <w:rFonts w:cs="Arial"/>
          <w:lang w:val="en-GB" w:eastAsia="de-DE"/>
        </w:rPr>
        <w:t>etexilate</w:t>
      </w:r>
      <w:proofErr w:type="spellEnd"/>
      <w:r w:rsidRPr="00E07D8E">
        <w:rPr>
          <w:rFonts w:cs="Arial"/>
          <w:lang w:val="en-GB" w:eastAsia="de-DE"/>
        </w:rPr>
        <w:t xml:space="preserve"> in patients. Table 1 </w:t>
      </w:r>
      <w:proofErr w:type="gramStart"/>
      <w:r w:rsidRPr="00E07D8E">
        <w:rPr>
          <w:rFonts w:cs="Arial"/>
          <w:lang w:val="en-GB" w:eastAsia="de-DE"/>
        </w:rPr>
        <w:t>shows</w:t>
      </w:r>
      <w:proofErr w:type="gramEnd"/>
      <w:r w:rsidRPr="00E07D8E">
        <w:rPr>
          <w:rFonts w:cs="Arial"/>
          <w:lang w:val="en-GB" w:eastAsia="de-DE"/>
        </w:rPr>
        <w:t xml:space="preserve"> the results of the </w:t>
      </w:r>
      <w:proofErr w:type="spellStart"/>
      <w:r w:rsidRPr="00E07D8E">
        <w:rPr>
          <w:rFonts w:cs="Arial"/>
          <w:lang w:val="en-GB" w:eastAsia="de-DE"/>
        </w:rPr>
        <w:t>idarucizumab</w:t>
      </w:r>
      <w:proofErr w:type="spellEnd"/>
      <w:r w:rsidRPr="00E07D8E">
        <w:rPr>
          <w:rFonts w:cs="Arial"/>
          <w:lang w:val="en-GB" w:eastAsia="de-DE"/>
        </w:rPr>
        <w:t xml:space="preserve"> treatment group and Table 2 shows the results of the placebo treatment group.</w:t>
      </w:r>
    </w:p>
    <w:p w:rsidR="00E07D8E" w:rsidRDefault="00E07D8E" w:rsidP="00E07D8E">
      <w:pPr>
        <w:autoSpaceDE w:val="0"/>
        <w:autoSpaceDN w:val="0"/>
        <w:adjustRightInd w:val="0"/>
        <w:ind w:left="426"/>
        <w:rPr>
          <w:i/>
          <w:iCs/>
          <w:color w:val="000000"/>
          <w:szCs w:val="24"/>
          <w:u w:val="single"/>
          <w:lang w:eastAsia="de-DE" w:bidi="th-TH"/>
        </w:rPr>
      </w:pPr>
    </w:p>
    <w:p w:rsidR="00E07D8E" w:rsidRPr="005C36FD" w:rsidRDefault="005C36FD" w:rsidP="005C36FD">
      <w:pPr>
        <w:autoSpaceDE w:val="0"/>
        <w:autoSpaceDN w:val="0"/>
        <w:adjustRightInd w:val="0"/>
        <w:jc w:val="both"/>
        <w:rPr>
          <w:rFonts w:ascii="Arial" w:hAnsi="Arial" w:cs="Arial"/>
          <w:b/>
          <w:bCs/>
          <w:sz w:val="22"/>
          <w:szCs w:val="22"/>
          <w:lang w:val="en-GB" w:eastAsia="de-DE"/>
        </w:rPr>
      </w:pPr>
      <w:r w:rsidRPr="005C36FD">
        <w:rPr>
          <w:rFonts w:ascii="Arial" w:hAnsi="Arial" w:cs="Arial"/>
          <w:b/>
          <w:bCs/>
          <w:sz w:val="22"/>
          <w:szCs w:val="22"/>
          <w:lang w:val="en-GB" w:eastAsia="de-DE"/>
        </w:rPr>
        <w:t>Table 1</w:t>
      </w:r>
      <w:r w:rsidR="00C60A66">
        <w:rPr>
          <w:rFonts w:ascii="Arial" w:hAnsi="Arial" w:cs="Arial"/>
          <w:b/>
          <w:bCs/>
          <w:sz w:val="22"/>
          <w:szCs w:val="22"/>
          <w:lang w:val="en-GB" w:eastAsia="de-DE"/>
        </w:rPr>
        <w:t xml:space="preserve">: </w:t>
      </w:r>
      <w:r w:rsidR="00E07D8E" w:rsidRPr="005C36FD">
        <w:rPr>
          <w:rFonts w:ascii="Arial" w:hAnsi="Arial" w:cs="Arial"/>
          <w:b/>
          <w:bCs/>
          <w:sz w:val="22"/>
          <w:szCs w:val="22"/>
          <w:lang w:val="en-GB" w:eastAsia="de-DE"/>
        </w:rPr>
        <w:t xml:space="preserve">Change in </w:t>
      </w:r>
      <w:r w:rsidR="00DB36BC">
        <w:rPr>
          <w:rFonts w:ascii="Arial" w:hAnsi="Arial" w:cs="Arial"/>
          <w:b/>
          <w:bCs/>
          <w:sz w:val="22"/>
          <w:szCs w:val="22"/>
          <w:lang w:val="en-GB" w:eastAsia="de-DE"/>
        </w:rPr>
        <w:t>c</w:t>
      </w:r>
      <w:r w:rsidR="00E07D8E" w:rsidRPr="005C36FD">
        <w:rPr>
          <w:rFonts w:ascii="Arial" w:hAnsi="Arial" w:cs="Arial"/>
          <w:b/>
          <w:bCs/>
          <w:sz w:val="22"/>
          <w:szCs w:val="22"/>
          <w:lang w:val="en-GB" w:eastAsia="de-DE"/>
        </w:rPr>
        <w:t xml:space="preserve">oagulation </w:t>
      </w:r>
      <w:r w:rsidR="00DB36BC">
        <w:rPr>
          <w:rFonts w:ascii="Arial" w:hAnsi="Arial" w:cs="Arial"/>
          <w:b/>
          <w:bCs/>
          <w:sz w:val="22"/>
          <w:szCs w:val="22"/>
          <w:lang w:val="en-GB" w:eastAsia="de-DE"/>
        </w:rPr>
        <w:t>p</w:t>
      </w:r>
      <w:r w:rsidR="00E07D8E" w:rsidRPr="005C36FD">
        <w:rPr>
          <w:rFonts w:ascii="Arial" w:hAnsi="Arial" w:cs="Arial"/>
          <w:b/>
          <w:bCs/>
          <w:sz w:val="22"/>
          <w:szCs w:val="22"/>
          <w:lang w:val="en-GB" w:eastAsia="de-DE"/>
        </w:rPr>
        <w:t xml:space="preserve">arameters in 14 </w:t>
      </w:r>
      <w:r w:rsidR="00DB36BC">
        <w:rPr>
          <w:rFonts w:ascii="Arial" w:hAnsi="Arial" w:cs="Arial"/>
          <w:b/>
          <w:bCs/>
          <w:sz w:val="22"/>
          <w:szCs w:val="22"/>
          <w:lang w:val="en-GB" w:eastAsia="de-DE"/>
        </w:rPr>
        <w:t>d</w:t>
      </w:r>
      <w:r w:rsidR="00E07D8E" w:rsidRPr="005C36FD">
        <w:rPr>
          <w:rFonts w:ascii="Arial" w:hAnsi="Arial" w:cs="Arial"/>
          <w:b/>
          <w:bCs/>
          <w:sz w:val="22"/>
          <w:szCs w:val="22"/>
          <w:lang w:val="en-GB" w:eastAsia="de-DE"/>
        </w:rPr>
        <w:t xml:space="preserve">abigatran-exposed </w:t>
      </w:r>
      <w:r w:rsidR="00DB36BC">
        <w:rPr>
          <w:rFonts w:ascii="Arial" w:hAnsi="Arial" w:cs="Arial"/>
          <w:b/>
          <w:bCs/>
          <w:sz w:val="22"/>
          <w:szCs w:val="22"/>
          <w:lang w:val="en-GB" w:eastAsia="de-DE"/>
        </w:rPr>
        <w:t>s</w:t>
      </w:r>
      <w:r w:rsidR="00E07D8E" w:rsidRPr="005C36FD">
        <w:rPr>
          <w:rFonts w:ascii="Arial" w:hAnsi="Arial" w:cs="Arial"/>
          <w:b/>
          <w:bCs/>
          <w:sz w:val="22"/>
          <w:szCs w:val="22"/>
          <w:lang w:val="en-GB" w:eastAsia="de-DE"/>
        </w:rPr>
        <w:t xml:space="preserve">ubjects </w:t>
      </w:r>
      <w:r w:rsidR="00DB36BC">
        <w:rPr>
          <w:rFonts w:ascii="Arial" w:hAnsi="Arial" w:cs="Arial"/>
          <w:b/>
          <w:bCs/>
          <w:sz w:val="22"/>
          <w:szCs w:val="22"/>
          <w:lang w:val="en-GB" w:eastAsia="de-DE"/>
        </w:rPr>
        <w:t xml:space="preserve">treated with 5 g </w:t>
      </w:r>
      <w:proofErr w:type="spellStart"/>
      <w:r w:rsidR="00DB36BC">
        <w:rPr>
          <w:rFonts w:ascii="Arial" w:hAnsi="Arial" w:cs="Arial"/>
          <w:b/>
          <w:bCs/>
          <w:sz w:val="22"/>
          <w:szCs w:val="22"/>
          <w:lang w:val="en-GB" w:eastAsia="de-DE"/>
        </w:rPr>
        <w:t>i</w:t>
      </w:r>
      <w:r w:rsidR="00E07D8E" w:rsidRPr="005C36FD">
        <w:rPr>
          <w:rFonts w:ascii="Arial" w:hAnsi="Arial" w:cs="Arial"/>
          <w:b/>
          <w:bCs/>
          <w:sz w:val="22"/>
          <w:szCs w:val="22"/>
          <w:lang w:val="en-GB" w:eastAsia="de-DE"/>
        </w:rPr>
        <w:t>darucizumab</w:t>
      </w:r>
      <w:proofErr w:type="spellEnd"/>
    </w:p>
    <w:p w:rsidR="00E07D8E" w:rsidRDefault="00E07D8E" w:rsidP="00E07D8E">
      <w:pPr>
        <w:ind w:left="426"/>
        <w:jc w:val="both"/>
        <w:rPr>
          <w:i/>
          <w:iCs/>
          <w:color w:val="000000"/>
          <w:szCs w:val="24"/>
          <w:lang w:eastAsia="de-DE" w:bidi="th-TH"/>
        </w:rPr>
      </w:pPr>
    </w:p>
    <w:tbl>
      <w:tblPr>
        <w:tblStyle w:val="TableGrid"/>
        <w:tblW w:w="8979" w:type="dxa"/>
        <w:tblInd w:w="108" w:type="dxa"/>
        <w:tblLook w:val="04A0" w:firstRow="1" w:lastRow="0" w:firstColumn="1" w:lastColumn="0" w:noHBand="0" w:noVBand="1"/>
      </w:tblPr>
      <w:tblGrid>
        <w:gridCol w:w="2410"/>
        <w:gridCol w:w="2126"/>
        <w:gridCol w:w="2127"/>
        <w:gridCol w:w="2316"/>
      </w:tblGrid>
      <w:tr w:rsidR="005C36FD" w:rsidRPr="005C36FD" w:rsidTr="005C36FD">
        <w:tc>
          <w:tcPr>
            <w:tcW w:w="2410" w:type="dxa"/>
          </w:tcPr>
          <w:p w:rsidR="00E07D8E" w:rsidRPr="005C36FD" w:rsidRDefault="00E07D8E" w:rsidP="000D4079">
            <w:pPr>
              <w:pStyle w:val="Default"/>
              <w:rPr>
                <w:rFonts w:ascii="Arial" w:hAnsi="Arial" w:cs="Arial"/>
                <w:color w:val="auto"/>
                <w:sz w:val="22"/>
                <w:szCs w:val="22"/>
                <w:lang w:val="en-AU"/>
              </w:rPr>
            </w:pPr>
            <w:r w:rsidRPr="005C36FD">
              <w:rPr>
                <w:rFonts w:ascii="Arial" w:hAnsi="Arial" w:cs="Arial"/>
                <w:color w:val="auto"/>
                <w:sz w:val="22"/>
                <w:szCs w:val="22"/>
                <w:lang w:val="en-AU"/>
              </w:rPr>
              <w:t xml:space="preserve">Clotting </w:t>
            </w:r>
            <w:r w:rsidR="00DB36BC">
              <w:rPr>
                <w:rFonts w:ascii="Arial" w:hAnsi="Arial" w:cs="Arial"/>
                <w:color w:val="auto"/>
                <w:sz w:val="22"/>
                <w:szCs w:val="22"/>
                <w:lang w:val="en-AU"/>
              </w:rPr>
              <w:t>a</w:t>
            </w:r>
            <w:r w:rsidRPr="005C36FD">
              <w:rPr>
                <w:rFonts w:ascii="Arial" w:hAnsi="Arial" w:cs="Arial"/>
                <w:color w:val="auto"/>
                <w:sz w:val="22"/>
                <w:szCs w:val="22"/>
                <w:lang w:val="en-AU"/>
              </w:rPr>
              <w:t xml:space="preserve">ssay </w:t>
            </w:r>
          </w:p>
          <w:p w:rsidR="00E07D8E" w:rsidRPr="005C36FD" w:rsidRDefault="00DB36BC" w:rsidP="00DB36BC">
            <w:pPr>
              <w:rPr>
                <w:rFonts w:ascii="Arial" w:hAnsi="Arial" w:cs="Arial"/>
                <w:sz w:val="22"/>
                <w:szCs w:val="22"/>
                <w:lang w:eastAsia="de-DE" w:bidi="th-TH"/>
              </w:rPr>
            </w:pPr>
            <w:r>
              <w:rPr>
                <w:rFonts w:ascii="Arial" w:hAnsi="Arial" w:cs="Arial"/>
                <w:sz w:val="22"/>
                <w:szCs w:val="22"/>
              </w:rPr>
              <w:t>(m</w:t>
            </w:r>
            <w:r w:rsidR="00E07D8E" w:rsidRPr="005C36FD">
              <w:rPr>
                <w:rFonts w:ascii="Arial" w:hAnsi="Arial" w:cs="Arial"/>
                <w:sz w:val="22"/>
                <w:szCs w:val="22"/>
              </w:rPr>
              <w:t xml:space="preserve">ean and </w:t>
            </w:r>
            <w:r>
              <w:rPr>
                <w:rFonts w:ascii="Arial" w:hAnsi="Arial" w:cs="Arial"/>
                <w:sz w:val="22"/>
                <w:szCs w:val="22"/>
              </w:rPr>
              <w:t>s</w:t>
            </w:r>
            <w:r w:rsidR="00E07D8E" w:rsidRPr="005C36FD">
              <w:rPr>
                <w:rFonts w:ascii="Arial" w:hAnsi="Arial" w:cs="Arial"/>
                <w:sz w:val="22"/>
                <w:szCs w:val="22"/>
              </w:rPr>
              <w:t xml:space="preserve">tandard </w:t>
            </w:r>
            <w:r>
              <w:rPr>
                <w:rFonts w:ascii="Arial" w:hAnsi="Arial" w:cs="Arial"/>
                <w:sz w:val="22"/>
                <w:szCs w:val="22"/>
              </w:rPr>
              <w:t>d</w:t>
            </w:r>
            <w:r w:rsidR="00E07D8E" w:rsidRPr="005C36FD">
              <w:rPr>
                <w:rFonts w:ascii="Arial" w:hAnsi="Arial" w:cs="Arial"/>
                <w:sz w:val="22"/>
                <w:szCs w:val="22"/>
              </w:rPr>
              <w:t xml:space="preserve">eviation)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Pre-</w:t>
            </w:r>
            <w:proofErr w:type="spellStart"/>
            <w:r w:rsidR="00DB36BC">
              <w:rPr>
                <w:rFonts w:ascii="Arial" w:hAnsi="Arial" w:cs="Arial"/>
                <w:sz w:val="22"/>
                <w:szCs w:val="22"/>
                <w:lang w:eastAsia="de-DE" w:bidi="th-TH"/>
              </w:rPr>
              <w:t>i</w:t>
            </w:r>
            <w:r w:rsidRPr="005C36FD">
              <w:rPr>
                <w:rFonts w:ascii="Arial" w:hAnsi="Arial" w:cs="Arial"/>
                <w:sz w:val="22"/>
                <w:szCs w:val="22"/>
                <w:lang w:eastAsia="de-DE" w:bidi="th-TH"/>
              </w:rPr>
              <w:t>darucizumab</w:t>
            </w:r>
            <w:proofErr w:type="spellEnd"/>
          </w:p>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(N=14)</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 xml:space="preserve">End of infusion of </w:t>
            </w:r>
            <w:proofErr w:type="spellStart"/>
            <w:r w:rsidR="00DB36BC">
              <w:rPr>
                <w:rFonts w:ascii="Arial" w:hAnsi="Arial" w:cs="Arial"/>
                <w:sz w:val="22"/>
                <w:szCs w:val="22"/>
                <w:lang w:eastAsia="de-DE" w:bidi="th-TH"/>
              </w:rPr>
              <w:t>i</w:t>
            </w:r>
            <w:r w:rsidRPr="005C36FD">
              <w:rPr>
                <w:rFonts w:ascii="Arial" w:hAnsi="Arial" w:cs="Arial"/>
                <w:sz w:val="22"/>
                <w:szCs w:val="22"/>
                <w:lang w:eastAsia="de-DE" w:bidi="th-TH"/>
              </w:rPr>
              <w:t>darucizumab</w:t>
            </w:r>
            <w:proofErr w:type="spellEnd"/>
          </w:p>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(N=14)</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24 hours after</w:t>
            </w:r>
          </w:p>
          <w:p w:rsidR="00E07D8E" w:rsidRPr="005C36FD" w:rsidRDefault="00DB36BC" w:rsidP="000D4079">
            <w:pPr>
              <w:jc w:val="center"/>
              <w:rPr>
                <w:rFonts w:ascii="Arial" w:hAnsi="Arial" w:cs="Arial"/>
                <w:sz w:val="22"/>
                <w:szCs w:val="22"/>
                <w:lang w:eastAsia="de-DE" w:bidi="th-TH"/>
              </w:rPr>
            </w:pPr>
            <w:proofErr w:type="spellStart"/>
            <w:r>
              <w:rPr>
                <w:rFonts w:ascii="Arial" w:hAnsi="Arial" w:cs="Arial"/>
                <w:sz w:val="22"/>
                <w:szCs w:val="22"/>
                <w:lang w:eastAsia="de-DE" w:bidi="th-TH"/>
              </w:rPr>
              <w:t>i</w:t>
            </w:r>
            <w:r w:rsidR="00E07D8E" w:rsidRPr="005C36FD">
              <w:rPr>
                <w:rFonts w:ascii="Arial" w:hAnsi="Arial" w:cs="Arial"/>
                <w:sz w:val="22"/>
                <w:szCs w:val="22"/>
                <w:lang w:eastAsia="de-DE" w:bidi="th-TH"/>
              </w:rPr>
              <w:t>darucizumab</w:t>
            </w:r>
            <w:proofErr w:type="spellEnd"/>
          </w:p>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(N=14)</w:t>
            </w:r>
          </w:p>
        </w:tc>
      </w:tr>
      <w:tr w:rsidR="005C36FD" w:rsidRPr="005C36FD" w:rsidTr="005C36FD">
        <w:tc>
          <w:tcPr>
            <w:tcW w:w="2410" w:type="dxa"/>
          </w:tcPr>
          <w:p w:rsidR="00E07D8E" w:rsidRPr="005C36FD" w:rsidRDefault="00E07D8E" w:rsidP="000D4079">
            <w:pPr>
              <w:pStyle w:val="Default"/>
              <w:jc w:val="both"/>
              <w:rPr>
                <w:rFonts w:ascii="Arial" w:hAnsi="Arial" w:cs="Arial"/>
                <w:color w:val="auto"/>
                <w:sz w:val="22"/>
                <w:szCs w:val="22"/>
              </w:rPr>
            </w:pPr>
            <w:r w:rsidRPr="005C36FD">
              <w:rPr>
                <w:rFonts w:ascii="Arial" w:hAnsi="Arial" w:cs="Arial"/>
                <w:color w:val="auto"/>
                <w:sz w:val="22"/>
                <w:szCs w:val="22"/>
              </w:rPr>
              <w:t xml:space="preserve">dTT [s]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66.6 (12.0)</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32.1 (1.38)</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33.0 (1.69)</w:t>
            </w:r>
          </w:p>
        </w:tc>
      </w:tr>
      <w:tr w:rsidR="005C36FD" w:rsidRPr="005C36FD" w:rsidTr="005C36FD">
        <w:tc>
          <w:tcPr>
            <w:tcW w:w="2410" w:type="dxa"/>
          </w:tcPr>
          <w:p w:rsidR="00E07D8E" w:rsidRPr="005C36FD" w:rsidRDefault="00E07D8E" w:rsidP="000D4079">
            <w:pPr>
              <w:pStyle w:val="Default"/>
              <w:jc w:val="both"/>
              <w:rPr>
                <w:rFonts w:ascii="Arial" w:hAnsi="Arial" w:cs="Arial"/>
                <w:color w:val="auto"/>
                <w:sz w:val="22"/>
                <w:szCs w:val="22"/>
              </w:rPr>
            </w:pPr>
            <w:r w:rsidRPr="005C36FD">
              <w:rPr>
                <w:rFonts w:ascii="Arial" w:hAnsi="Arial" w:cs="Arial"/>
                <w:color w:val="auto"/>
                <w:sz w:val="22"/>
                <w:szCs w:val="22"/>
              </w:rPr>
              <w:t xml:space="preserve">aPTT [s]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67.8 (14.5)</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29.2 (4.74)</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31.9 (5.71)</w:t>
            </w:r>
          </w:p>
        </w:tc>
      </w:tr>
      <w:tr w:rsidR="005C36FD" w:rsidRPr="005C36FD" w:rsidTr="005C36FD">
        <w:tc>
          <w:tcPr>
            <w:tcW w:w="2410" w:type="dxa"/>
          </w:tcPr>
          <w:p w:rsidR="00E07D8E" w:rsidRPr="005C36FD" w:rsidRDefault="00E07D8E" w:rsidP="000D4079">
            <w:pPr>
              <w:pStyle w:val="Default"/>
              <w:jc w:val="both"/>
              <w:rPr>
                <w:rFonts w:ascii="Arial" w:hAnsi="Arial" w:cs="Arial"/>
                <w:color w:val="auto"/>
                <w:sz w:val="22"/>
                <w:szCs w:val="22"/>
              </w:rPr>
            </w:pPr>
            <w:r w:rsidRPr="005C36FD">
              <w:rPr>
                <w:rFonts w:ascii="Arial" w:hAnsi="Arial" w:cs="Arial"/>
                <w:color w:val="auto"/>
                <w:sz w:val="22"/>
                <w:szCs w:val="22"/>
              </w:rPr>
              <w:t xml:space="preserve">ECT [s]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122 (42.2)</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34.7 (1.92)</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38.8 (2.86)</w:t>
            </w:r>
          </w:p>
        </w:tc>
      </w:tr>
      <w:tr w:rsidR="005C36FD" w:rsidRPr="005C36FD" w:rsidTr="005C36FD">
        <w:tc>
          <w:tcPr>
            <w:tcW w:w="2410" w:type="dxa"/>
          </w:tcPr>
          <w:p w:rsidR="00E07D8E" w:rsidRPr="005C36FD" w:rsidRDefault="00E07D8E" w:rsidP="000D4079">
            <w:pPr>
              <w:pStyle w:val="Default"/>
              <w:jc w:val="both"/>
              <w:rPr>
                <w:rFonts w:ascii="Arial" w:hAnsi="Arial" w:cs="Arial"/>
                <w:color w:val="auto"/>
                <w:sz w:val="22"/>
                <w:szCs w:val="22"/>
              </w:rPr>
            </w:pPr>
            <w:r w:rsidRPr="005C36FD">
              <w:rPr>
                <w:rFonts w:ascii="Arial" w:hAnsi="Arial" w:cs="Arial"/>
                <w:color w:val="auto"/>
                <w:sz w:val="22"/>
                <w:szCs w:val="22"/>
              </w:rPr>
              <w:t xml:space="preserve">TT [s]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127 (62.6)</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12.5 (0.786)</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19.3 (5.14)</w:t>
            </w:r>
          </w:p>
        </w:tc>
      </w:tr>
      <w:tr w:rsidR="005C36FD" w:rsidRPr="005C36FD" w:rsidTr="005C36FD">
        <w:tc>
          <w:tcPr>
            <w:tcW w:w="2410" w:type="dxa"/>
          </w:tcPr>
          <w:p w:rsidR="00E07D8E" w:rsidRPr="005C36FD" w:rsidRDefault="00E07D8E" w:rsidP="000D4079">
            <w:pPr>
              <w:pStyle w:val="Default"/>
              <w:jc w:val="both"/>
              <w:rPr>
                <w:rFonts w:ascii="Arial" w:hAnsi="Arial" w:cs="Arial"/>
                <w:color w:val="auto"/>
                <w:sz w:val="22"/>
                <w:szCs w:val="22"/>
              </w:rPr>
            </w:pPr>
            <w:r w:rsidRPr="005C36FD">
              <w:rPr>
                <w:rFonts w:ascii="Arial" w:hAnsi="Arial" w:cs="Arial"/>
                <w:color w:val="auto"/>
                <w:sz w:val="22"/>
                <w:szCs w:val="22"/>
              </w:rPr>
              <w:t xml:space="preserve">ACT [s]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236 (47.6)</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116 (7.71)</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140 (10.0)</w:t>
            </w:r>
          </w:p>
        </w:tc>
      </w:tr>
    </w:tbl>
    <w:p w:rsidR="00E07D8E" w:rsidRPr="005C36FD" w:rsidRDefault="00E07D8E" w:rsidP="00E07D8E">
      <w:pPr>
        <w:ind w:left="426"/>
        <w:jc w:val="both"/>
        <w:rPr>
          <w:i/>
          <w:iCs/>
          <w:szCs w:val="24"/>
          <w:lang w:eastAsia="de-DE" w:bidi="th-TH"/>
        </w:rPr>
      </w:pPr>
    </w:p>
    <w:p w:rsidR="00E07D8E" w:rsidRPr="005C36FD" w:rsidRDefault="00E07D8E" w:rsidP="00E07D8E">
      <w:pPr>
        <w:rPr>
          <w:i/>
          <w:iCs/>
          <w:szCs w:val="24"/>
          <w:u w:val="single"/>
          <w:lang w:eastAsia="de-DE" w:bidi="th-TH"/>
        </w:rPr>
      </w:pPr>
      <w:r w:rsidRPr="005C36FD">
        <w:rPr>
          <w:i/>
          <w:iCs/>
          <w:szCs w:val="24"/>
          <w:u w:val="single"/>
          <w:lang w:eastAsia="de-DE" w:bidi="th-TH"/>
        </w:rPr>
        <w:br w:type="page"/>
      </w:r>
    </w:p>
    <w:p w:rsidR="00E07D8E" w:rsidRPr="005C36FD" w:rsidRDefault="00E07D8E" w:rsidP="005C36FD">
      <w:pPr>
        <w:autoSpaceDE w:val="0"/>
        <w:autoSpaceDN w:val="0"/>
        <w:adjustRightInd w:val="0"/>
        <w:jc w:val="both"/>
        <w:rPr>
          <w:rFonts w:ascii="Arial" w:hAnsi="Arial" w:cs="Arial"/>
          <w:b/>
          <w:bCs/>
          <w:sz w:val="22"/>
          <w:szCs w:val="22"/>
          <w:lang w:val="en-GB" w:eastAsia="de-DE"/>
        </w:rPr>
      </w:pPr>
      <w:r w:rsidRPr="005C36FD">
        <w:rPr>
          <w:rFonts w:ascii="Arial" w:hAnsi="Arial" w:cs="Arial"/>
          <w:b/>
          <w:bCs/>
          <w:sz w:val="22"/>
          <w:szCs w:val="22"/>
          <w:lang w:val="en-GB" w:eastAsia="de-DE"/>
        </w:rPr>
        <w:lastRenderedPageBreak/>
        <w:t>Table 2</w:t>
      </w:r>
      <w:r w:rsidR="00C60A66">
        <w:rPr>
          <w:rFonts w:ascii="Arial" w:hAnsi="Arial" w:cs="Arial"/>
          <w:b/>
          <w:bCs/>
          <w:sz w:val="22"/>
          <w:szCs w:val="22"/>
          <w:lang w:val="en-GB" w:eastAsia="de-DE"/>
        </w:rPr>
        <w:t xml:space="preserve">: </w:t>
      </w:r>
      <w:r w:rsidRPr="005C36FD">
        <w:rPr>
          <w:rFonts w:ascii="Arial" w:hAnsi="Arial" w:cs="Arial"/>
          <w:b/>
          <w:bCs/>
          <w:sz w:val="22"/>
          <w:szCs w:val="22"/>
          <w:lang w:val="en-GB" w:eastAsia="de-DE"/>
        </w:rPr>
        <w:t xml:space="preserve">Change in </w:t>
      </w:r>
      <w:r w:rsidR="00617184">
        <w:rPr>
          <w:rFonts w:ascii="Arial" w:hAnsi="Arial" w:cs="Arial"/>
          <w:b/>
          <w:bCs/>
          <w:sz w:val="22"/>
          <w:szCs w:val="22"/>
          <w:lang w:val="en-GB" w:eastAsia="de-DE"/>
        </w:rPr>
        <w:t>c</w:t>
      </w:r>
      <w:r w:rsidRPr="005C36FD">
        <w:rPr>
          <w:rFonts w:ascii="Arial" w:hAnsi="Arial" w:cs="Arial"/>
          <w:b/>
          <w:bCs/>
          <w:sz w:val="22"/>
          <w:szCs w:val="22"/>
          <w:lang w:val="en-GB" w:eastAsia="de-DE"/>
        </w:rPr>
        <w:t xml:space="preserve">oagulation </w:t>
      </w:r>
      <w:r w:rsidR="00617184">
        <w:rPr>
          <w:rFonts w:ascii="Arial" w:hAnsi="Arial" w:cs="Arial"/>
          <w:b/>
          <w:bCs/>
          <w:sz w:val="22"/>
          <w:szCs w:val="22"/>
          <w:lang w:val="en-GB" w:eastAsia="de-DE"/>
        </w:rPr>
        <w:t>p</w:t>
      </w:r>
      <w:r w:rsidRPr="005C36FD">
        <w:rPr>
          <w:rFonts w:ascii="Arial" w:hAnsi="Arial" w:cs="Arial"/>
          <w:b/>
          <w:bCs/>
          <w:sz w:val="22"/>
          <w:szCs w:val="22"/>
          <w:lang w:val="en-GB" w:eastAsia="de-DE"/>
        </w:rPr>
        <w:t xml:space="preserve">arameters in 14 </w:t>
      </w:r>
      <w:r w:rsidR="00617184">
        <w:rPr>
          <w:rFonts w:ascii="Arial" w:hAnsi="Arial" w:cs="Arial"/>
          <w:b/>
          <w:bCs/>
          <w:sz w:val="22"/>
          <w:szCs w:val="22"/>
          <w:lang w:val="en-GB" w:eastAsia="de-DE"/>
        </w:rPr>
        <w:t>d</w:t>
      </w:r>
      <w:r w:rsidRPr="005C36FD">
        <w:rPr>
          <w:rFonts w:ascii="Arial" w:hAnsi="Arial" w:cs="Arial"/>
          <w:b/>
          <w:bCs/>
          <w:sz w:val="22"/>
          <w:szCs w:val="22"/>
          <w:lang w:val="en-GB" w:eastAsia="de-DE"/>
        </w:rPr>
        <w:t xml:space="preserve">abigatran-exposed </w:t>
      </w:r>
      <w:r w:rsidR="00617184">
        <w:rPr>
          <w:rFonts w:ascii="Arial" w:hAnsi="Arial" w:cs="Arial"/>
          <w:b/>
          <w:bCs/>
          <w:sz w:val="22"/>
          <w:szCs w:val="22"/>
          <w:lang w:val="en-GB" w:eastAsia="de-DE"/>
        </w:rPr>
        <w:t>s</w:t>
      </w:r>
      <w:r w:rsidRPr="005C36FD">
        <w:rPr>
          <w:rFonts w:ascii="Arial" w:hAnsi="Arial" w:cs="Arial"/>
          <w:b/>
          <w:bCs/>
          <w:sz w:val="22"/>
          <w:szCs w:val="22"/>
          <w:lang w:val="en-GB" w:eastAsia="de-DE"/>
        </w:rPr>
        <w:t xml:space="preserve">ubjects </w:t>
      </w:r>
      <w:r w:rsidR="00617184">
        <w:rPr>
          <w:rFonts w:ascii="Arial" w:hAnsi="Arial" w:cs="Arial"/>
          <w:b/>
          <w:bCs/>
          <w:sz w:val="22"/>
          <w:szCs w:val="22"/>
          <w:lang w:val="en-GB" w:eastAsia="de-DE"/>
        </w:rPr>
        <w:t>t</w:t>
      </w:r>
      <w:r w:rsidRPr="005C36FD">
        <w:rPr>
          <w:rFonts w:ascii="Arial" w:hAnsi="Arial" w:cs="Arial"/>
          <w:b/>
          <w:bCs/>
          <w:sz w:val="22"/>
          <w:szCs w:val="22"/>
          <w:lang w:val="en-GB" w:eastAsia="de-DE"/>
        </w:rPr>
        <w:t xml:space="preserve">reated with </w:t>
      </w:r>
      <w:r w:rsidR="00617184">
        <w:rPr>
          <w:rFonts w:ascii="Arial" w:hAnsi="Arial" w:cs="Arial"/>
          <w:b/>
          <w:bCs/>
          <w:sz w:val="22"/>
          <w:szCs w:val="22"/>
          <w:lang w:val="en-GB" w:eastAsia="de-DE"/>
        </w:rPr>
        <w:t>p</w:t>
      </w:r>
      <w:r w:rsidRPr="005C36FD">
        <w:rPr>
          <w:rFonts w:ascii="Arial" w:hAnsi="Arial" w:cs="Arial"/>
          <w:b/>
          <w:bCs/>
          <w:sz w:val="22"/>
          <w:szCs w:val="22"/>
          <w:lang w:val="en-GB" w:eastAsia="de-DE"/>
        </w:rPr>
        <w:t>lacebo</w:t>
      </w:r>
    </w:p>
    <w:p w:rsidR="00E07D8E" w:rsidRPr="005C36FD" w:rsidRDefault="00E07D8E" w:rsidP="00E07D8E">
      <w:pPr>
        <w:autoSpaceDE w:val="0"/>
        <w:autoSpaceDN w:val="0"/>
        <w:adjustRightInd w:val="0"/>
        <w:ind w:left="1418" w:hanging="992"/>
        <w:jc w:val="both"/>
        <w:rPr>
          <w:i/>
          <w:iCs/>
          <w:szCs w:val="24"/>
          <w:u w:val="single"/>
          <w:lang w:eastAsia="de-DE" w:bidi="th-TH"/>
        </w:rPr>
      </w:pPr>
    </w:p>
    <w:tbl>
      <w:tblPr>
        <w:tblStyle w:val="TableGrid"/>
        <w:tblW w:w="8979" w:type="dxa"/>
        <w:tblInd w:w="108" w:type="dxa"/>
        <w:tblLook w:val="04A0" w:firstRow="1" w:lastRow="0" w:firstColumn="1" w:lastColumn="0" w:noHBand="0" w:noVBand="1"/>
      </w:tblPr>
      <w:tblGrid>
        <w:gridCol w:w="2410"/>
        <w:gridCol w:w="2126"/>
        <w:gridCol w:w="2127"/>
        <w:gridCol w:w="2316"/>
      </w:tblGrid>
      <w:tr w:rsidR="005C36FD" w:rsidRPr="005C36FD" w:rsidTr="005C36FD">
        <w:tc>
          <w:tcPr>
            <w:tcW w:w="2410" w:type="dxa"/>
          </w:tcPr>
          <w:p w:rsidR="00E07D8E" w:rsidRPr="005C36FD" w:rsidRDefault="00DE79B8" w:rsidP="000D4079">
            <w:pPr>
              <w:pStyle w:val="Default"/>
              <w:rPr>
                <w:rFonts w:ascii="Arial" w:hAnsi="Arial" w:cs="Arial"/>
                <w:color w:val="auto"/>
                <w:sz w:val="22"/>
                <w:szCs w:val="22"/>
                <w:lang w:val="en-AU"/>
              </w:rPr>
            </w:pPr>
            <w:r>
              <w:rPr>
                <w:rFonts w:ascii="Arial" w:hAnsi="Arial" w:cs="Arial"/>
                <w:color w:val="auto"/>
                <w:sz w:val="22"/>
                <w:szCs w:val="22"/>
                <w:lang w:val="en-AU"/>
              </w:rPr>
              <w:t>Clotting a</w:t>
            </w:r>
            <w:r w:rsidR="00E07D8E" w:rsidRPr="005C36FD">
              <w:rPr>
                <w:rFonts w:ascii="Arial" w:hAnsi="Arial" w:cs="Arial"/>
                <w:color w:val="auto"/>
                <w:sz w:val="22"/>
                <w:szCs w:val="22"/>
                <w:lang w:val="en-AU"/>
              </w:rPr>
              <w:t xml:space="preserve">ssay </w:t>
            </w:r>
          </w:p>
          <w:p w:rsidR="00E07D8E" w:rsidRPr="005C36FD" w:rsidRDefault="00E07D8E" w:rsidP="00DE79B8">
            <w:pPr>
              <w:rPr>
                <w:rFonts w:ascii="Arial" w:hAnsi="Arial" w:cs="Arial"/>
                <w:sz w:val="22"/>
                <w:szCs w:val="22"/>
                <w:lang w:eastAsia="de-DE" w:bidi="th-TH"/>
              </w:rPr>
            </w:pPr>
            <w:r w:rsidRPr="005C36FD">
              <w:rPr>
                <w:rFonts w:ascii="Arial" w:hAnsi="Arial" w:cs="Arial"/>
                <w:sz w:val="22"/>
                <w:szCs w:val="22"/>
              </w:rPr>
              <w:t>(</w:t>
            </w:r>
            <w:r w:rsidR="00DE79B8">
              <w:rPr>
                <w:rFonts w:ascii="Arial" w:hAnsi="Arial" w:cs="Arial"/>
                <w:sz w:val="22"/>
                <w:szCs w:val="22"/>
              </w:rPr>
              <w:t>m</w:t>
            </w:r>
            <w:r w:rsidRPr="005C36FD">
              <w:rPr>
                <w:rFonts w:ascii="Arial" w:hAnsi="Arial" w:cs="Arial"/>
                <w:sz w:val="22"/>
                <w:szCs w:val="22"/>
              </w:rPr>
              <w:t xml:space="preserve">ean and </w:t>
            </w:r>
            <w:r w:rsidR="00DE79B8">
              <w:rPr>
                <w:rFonts w:ascii="Arial" w:hAnsi="Arial" w:cs="Arial"/>
                <w:sz w:val="22"/>
                <w:szCs w:val="22"/>
              </w:rPr>
              <w:t>s</w:t>
            </w:r>
            <w:r w:rsidRPr="005C36FD">
              <w:rPr>
                <w:rFonts w:ascii="Arial" w:hAnsi="Arial" w:cs="Arial"/>
                <w:sz w:val="22"/>
                <w:szCs w:val="22"/>
              </w:rPr>
              <w:t xml:space="preserve">tandard </w:t>
            </w:r>
            <w:r w:rsidR="00DE79B8">
              <w:rPr>
                <w:rFonts w:ascii="Arial" w:hAnsi="Arial" w:cs="Arial"/>
                <w:sz w:val="22"/>
                <w:szCs w:val="22"/>
              </w:rPr>
              <w:t>d</w:t>
            </w:r>
            <w:r w:rsidRPr="005C36FD">
              <w:rPr>
                <w:rFonts w:ascii="Arial" w:hAnsi="Arial" w:cs="Arial"/>
                <w:sz w:val="22"/>
                <w:szCs w:val="22"/>
              </w:rPr>
              <w:t xml:space="preserve">eviation)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Pre-</w:t>
            </w:r>
            <w:r w:rsidR="00DE79B8">
              <w:rPr>
                <w:rFonts w:ascii="Arial" w:hAnsi="Arial" w:cs="Arial"/>
                <w:sz w:val="22"/>
                <w:szCs w:val="22"/>
                <w:lang w:eastAsia="de-DE" w:bidi="th-TH"/>
              </w:rPr>
              <w:t>p</w:t>
            </w:r>
            <w:r w:rsidRPr="005C36FD">
              <w:rPr>
                <w:rFonts w:ascii="Arial" w:hAnsi="Arial" w:cs="Arial"/>
                <w:sz w:val="22"/>
                <w:szCs w:val="22"/>
                <w:lang w:eastAsia="de-DE" w:bidi="th-TH"/>
              </w:rPr>
              <w:t>lacebo</w:t>
            </w:r>
          </w:p>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(N=14)</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 xml:space="preserve">End of infusion of </w:t>
            </w:r>
            <w:r w:rsidR="00DE79B8">
              <w:rPr>
                <w:rFonts w:ascii="Arial" w:hAnsi="Arial" w:cs="Arial"/>
                <w:sz w:val="22"/>
                <w:szCs w:val="22"/>
                <w:lang w:eastAsia="de-DE" w:bidi="th-TH"/>
              </w:rPr>
              <w:t>p</w:t>
            </w:r>
            <w:r w:rsidRPr="005C36FD">
              <w:rPr>
                <w:rFonts w:ascii="Arial" w:hAnsi="Arial" w:cs="Arial"/>
                <w:sz w:val="22"/>
                <w:szCs w:val="22"/>
                <w:lang w:eastAsia="de-DE" w:bidi="th-TH"/>
              </w:rPr>
              <w:t>lacebo</w:t>
            </w:r>
          </w:p>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(N=14)</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24 hours after</w:t>
            </w:r>
          </w:p>
          <w:p w:rsidR="00E07D8E" w:rsidRPr="005C36FD" w:rsidRDefault="00DE79B8" w:rsidP="000D4079">
            <w:pPr>
              <w:jc w:val="center"/>
              <w:rPr>
                <w:rFonts w:ascii="Arial" w:hAnsi="Arial" w:cs="Arial"/>
                <w:sz w:val="22"/>
                <w:szCs w:val="22"/>
                <w:lang w:eastAsia="de-DE" w:bidi="th-TH"/>
              </w:rPr>
            </w:pPr>
            <w:r>
              <w:rPr>
                <w:rFonts w:ascii="Arial" w:hAnsi="Arial" w:cs="Arial"/>
                <w:sz w:val="22"/>
                <w:szCs w:val="22"/>
                <w:lang w:eastAsia="de-DE" w:bidi="th-TH"/>
              </w:rPr>
              <w:t>p</w:t>
            </w:r>
            <w:r w:rsidR="00E07D8E" w:rsidRPr="005C36FD">
              <w:rPr>
                <w:rFonts w:ascii="Arial" w:hAnsi="Arial" w:cs="Arial"/>
                <w:sz w:val="22"/>
                <w:szCs w:val="22"/>
                <w:lang w:eastAsia="de-DE" w:bidi="th-TH"/>
              </w:rPr>
              <w:t>lacebo</w:t>
            </w:r>
          </w:p>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(N=14)</w:t>
            </w:r>
          </w:p>
        </w:tc>
      </w:tr>
      <w:tr w:rsidR="005C36FD" w:rsidRPr="005C36FD" w:rsidTr="005C36FD">
        <w:tc>
          <w:tcPr>
            <w:tcW w:w="2410" w:type="dxa"/>
          </w:tcPr>
          <w:p w:rsidR="00E07D8E" w:rsidRPr="005C36FD" w:rsidRDefault="00E07D8E" w:rsidP="000D4079">
            <w:pPr>
              <w:pStyle w:val="Default"/>
              <w:jc w:val="both"/>
              <w:rPr>
                <w:rFonts w:ascii="Arial" w:hAnsi="Arial" w:cs="Arial"/>
                <w:color w:val="auto"/>
                <w:sz w:val="22"/>
                <w:szCs w:val="22"/>
              </w:rPr>
            </w:pPr>
            <w:r w:rsidRPr="005C36FD">
              <w:rPr>
                <w:rFonts w:ascii="Arial" w:hAnsi="Arial" w:cs="Arial"/>
                <w:color w:val="auto"/>
                <w:sz w:val="22"/>
                <w:szCs w:val="22"/>
              </w:rPr>
              <w:t xml:space="preserve">dTT [s]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64.7 (9.82)</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65.3 (12.1)</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36.1 (2.48)</w:t>
            </w:r>
          </w:p>
        </w:tc>
      </w:tr>
      <w:tr w:rsidR="005C36FD" w:rsidRPr="005C36FD" w:rsidTr="005C36FD">
        <w:tc>
          <w:tcPr>
            <w:tcW w:w="2410" w:type="dxa"/>
          </w:tcPr>
          <w:p w:rsidR="00E07D8E" w:rsidRPr="005C36FD" w:rsidRDefault="00E07D8E" w:rsidP="000D4079">
            <w:pPr>
              <w:pStyle w:val="Default"/>
              <w:jc w:val="both"/>
              <w:rPr>
                <w:rFonts w:ascii="Arial" w:hAnsi="Arial" w:cs="Arial"/>
                <w:color w:val="auto"/>
                <w:sz w:val="22"/>
                <w:szCs w:val="22"/>
              </w:rPr>
            </w:pPr>
            <w:r w:rsidRPr="005C36FD">
              <w:rPr>
                <w:rFonts w:ascii="Arial" w:hAnsi="Arial" w:cs="Arial"/>
                <w:color w:val="auto"/>
                <w:sz w:val="22"/>
                <w:szCs w:val="22"/>
              </w:rPr>
              <w:t xml:space="preserve">aPTT [s]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65.2 (14.0)</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66.5 (13.2)</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37.0 (7.10)</w:t>
            </w:r>
          </w:p>
        </w:tc>
      </w:tr>
      <w:tr w:rsidR="005C36FD" w:rsidRPr="005C36FD" w:rsidTr="005C36FD">
        <w:tc>
          <w:tcPr>
            <w:tcW w:w="2410" w:type="dxa"/>
          </w:tcPr>
          <w:p w:rsidR="00E07D8E" w:rsidRPr="005C36FD" w:rsidRDefault="00E07D8E" w:rsidP="000D4079">
            <w:pPr>
              <w:pStyle w:val="Default"/>
              <w:jc w:val="both"/>
              <w:rPr>
                <w:rFonts w:ascii="Arial" w:hAnsi="Arial" w:cs="Arial"/>
                <w:color w:val="auto"/>
                <w:sz w:val="22"/>
                <w:szCs w:val="22"/>
              </w:rPr>
            </w:pPr>
            <w:r w:rsidRPr="005C36FD">
              <w:rPr>
                <w:rFonts w:ascii="Arial" w:hAnsi="Arial" w:cs="Arial"/>
                <w:color w:val="auto"/>
                <w:sz w:val="22"/>
                <w:szCs w:val="22"/>
              </w:rPr>
              <w:t xml:space="preserve">ECT [s]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117 (29.8)</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122 (32.9)</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44.7 (5.39)</w:t>
            </w:r>
          </w:p>
        </w:tc>
      </w:tr>
      <w:tr w:rsidR="005C36FD" w:rsidRPr="005C36FD" w:rsidTr="005C36FD">
        <w:tc>
          <w:tcPr>
            <w:tcW w:w="2410" w:type="dxa"/>
          </w:tcPr>
          <w:p w:rsidR="00E07D8E" w:rsidRPr="005C36FD" w:rsidRDefault="00E07D8E" w:rsidP="000D4079">
            <w:pPr>
              <w:pStyle w:val="Default"/>
              <w:jc w:val="both"/>
              <w:rPr>
                <w:rFonts w:ascii="Arial" w:hAnsi="Arial" w:cs="Arial"/>
                <w:color w:val="auto"/>
                <w:sz w:val="22"/>
                <w:szCs w:val="22"/>
              </w:rPr>
            </w:pPr>
            <w:r w:rsidRPr="005C36FD">
              <w:rPr>
                <w:rFonts w:ascii="Arial" w:hAnsi="Arial" w:cs="Arial"/>
                <w:color w:val="auto"/>
                <w:sz w:val="22"/>
                <w:szCs w:val="22"/>
              </w:rPr>
              <w:t xml:space="preserve">TT [s]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132 (35.4)</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147 (46.7)</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39.5 (11.8)</w:t>
            </w:r>
          </w:p>
        </w:tc>
      </w:tr>
      <w:tr w:rsidR="005C36FD" w:rsidRPr="005C36FD" w:rsidTr="005C36FD">
        <w:tc>
          <w:tcPr>
            <w:tcW w:w="2410" w:type="dxa"/>
          </w:tcPr>
          <w:p w:rsidR="00E07D8E" w:rsidRPr="005C36FD" w:rsidRDefault="00E07D8E" w:rsidP="000D4079">
            <w:pPr>
              <w:pStyle w:val="Default"/>
              <w:jc w:val="both"/>
              <w:rPr>
                <w:rFonts w:ascii="Arial" w:hAnsi="Arial" w:cs="Arial"/>
                <w:color w:val="auto"/>
                <w:sz w:val="22"/>
                <w:szCs w:val="22"/>
              </w:rPr>
            </w:pPr>
            <w:r w:rsidRPr="005C36FD">
              <w:rPr>
                <w:rFonts w:ascii="Arial" w:hAnsi="Arial" w:cs="Arial"/>
                <w:color w:val="auto"/>
                <w:sz w:val="22"/>
                <w:szCs w:val="22"/>
              </w:rPr>
              <w:t xml:space="preserve">ACT [s] </w:t>
            </w:r>
          </w:p>
        </w:tc>
        <w:tc>
          <w:tcPr>
            <w:tcW w:w="212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219 (44.7)</w:t>
            </w:r>
          </w:p>
        </w:tc>
        <w:tc>
          <w:tcPr>
            <w:tcW w:w="2127"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216 (50.5)</w:t>
            </w:r>
          </w:p>
        </w:tc>
        <w:tc>
          <w:tcPr>
            <w:tcW w:w="2316" w:type="dxa"/>
          </w:tcPr>
          <w:p w:rsidR="00E07D8E" w:rsidRPr="005C36FD" w:rsidRDefault="00E07D8E" w:rsidP="000D4079">
            <w:pPr>
              <w:jc w:val="center"/>
              <w:rPr>
                <w:rFonts w:ascii="Arial" w:hAnsi="Arial" w:cs="Arial"/>
                <w:sz w:val="22"/>
                <w:szCs w:val="22"/>
                <w:lang w:eastAsia="de-DE" w:bidi="th-TH"/>
              </w:rPr>
            </w:pPr>
            <w:r w:rsidRPr="005C36FD">
              <w:rPr>
                <w:rFonts w:ascii="Arial" w:hAnsi="Arial" w:cs="Arial"/>
                <w:sz w:val="22"/>
                <w:szCs w:val="22"/>
                <w:lang w:eastAsia="de-DE" w:bidi="th-TH"/>
              </w:rPr>
              <w:t>148 (15.1)</w:t>
            </w:r>
          </w:p>
        </w:tc>
      </w:tr>
    </w:tbl>
    <w:p w:rsidR="00C32C49" w:rsidRPr="00C32C49" w:rsidRDefault="00C32C49" w:rsidP="00C32C49">
      <w:pPr>
        <w:pStyle w:val="TextPI"/>
        <w:rPr>
          <w:rFonts w:cs="Arial"/>
          <w:u w:val="single"/>
          <w:lang w:val="en-GB" w:eastAsia="de-DE"/>
        </w:rPr>
      </w:pPr>
      <w:r w:rsidRPr="00C32C49">
        <w:rPr>
          <w:rFonts w:cs="Arial"/>
          <w:u w:val="single"/>
          <w:lang w:val="en-GB" w:eastAsia="de-DE"/>
        </w:rPr>
        <w:t>Thrombin generation parameters</w:t>
      </w:r>
    </w:p>
    <w:p w:rsidR="00C32C49" w:rsidRPr="00C32C49" w:rsidRDefault="00C32C49" w:rsidP="00C32C49">
      <w:pPr>
        <w:pStyle w:val="TextPI"/>
        <w:rPr>
          <w:rFonts w:cs="Arial"/>
          <w:lang w:val="en-GB" w:eastAsia="de-DE"/>
        </w:rPr>
      </w:pPr>
      <w:r w:rsidRPr="00C32C49">
        <w:rPr>
          <w:rFonts w:cs="Arial"/>
          <w:lang w:val="en-GB" w:eastAsia="de-DE"/>
        </w:rPr>
        <w:t xml:space="preserve">Dabigatran exerts pronounced effects on parameters of the endogenous thrombin potential (ETP). </w:t>
      </w:r>
      <w:proofErr w:type="spellStart"/>
      <w:r w:rsidRPr="00C32C49">
        <w:rPr>
          <w:rFonts w:cs="Arial"/>
          <w:lang w:val="en-GB" w:eastAsia="de-DE"/>
        </w:rPr>
        <w:t>Idarucizumab</w:t>
      </w:r>
      <w:proofErr w:type="spellEnd"/>
      <w:r w:rsidRPr="00C32C49">
        <w:rPr>
          <w:rFonts w:cs="Arial"/>
          <w:lang w:val="en-GB" w:eastAsia="de-DE"/>
        </w:rPr>
        <w:t xml:space="preserve"> treatment normalised both thrombin lag time ratio and time to peak ratio to baseline levels as determined 0.5 to 12 hours after the end of the </w:t>
      </w:r>
      <w:proofErr w:type="spellStart"/>
      <w:r w:rsidRPr="00C32C49">
        <w:rPr>
          <w:rFonts w:cs="Arial"/>
          <w:lang w:val="en-GB" w:eastAsia="de-DE"/>
        </w:rPr>
        <w:t>idarucizumab</w:t>
      </w:r>
      <w:proofErr w:type="spellEnd"/>
      <w:r w:rsidRPr="00C32C49">
        <w:rPr>
          <w:rFonts w:cs="Arial"/>
          <w:lang w:val="en-GB" w:eastAsia="de-DE"/>
        </w:rPr>
        <w:t xml:space="preserve"> infusion. </w:t>
      </w:r>
      <w:proofErr w:type="spellStart"/>
      <w:r w:rsidRPr="00C32C49">
        <w:rPr>
          <w:rFonts w:cs="Arial"/>
          <w:lang w:val="en-GB" w:eastAsia="de-DE"/>
        </w:rPr>
        <w:t>Idarucizumab</w:t>
      </w:r>
      <w:proofErr w:type="spellEnd"/>
      <w:r w:rsidRPr="00C32C49">
        <w:rPr>
          <w:rFonts w:cs="Arial"/>
          <w:lang w:val="en-GB" w:eastAsia="de-DE"/>
        </w:rPr>
        <w:t xml:space="preserve"> alone has shown no </w:t>
      </w:r>
      <w:proofErr w:type="spellStart"/>
      <w:r w:rsidRPr="00C32C49">
        <w:rPr>
          <w:rFonts w:cs="Arial"/>
          <w:lang w:val="en-GB" w:eastAsia="de-DE"/>
        </w:rPr>
        <w:t>procoagulant</w:t>
      </w:r>
      <w:proofErr w:type="spellEnd"/>
      <w:r w:rsidRPr="00C32C49">
        <w:rPr>
          <w:rFonts w:cs="Arial"/>
          <w:lang w:val="en-GB" w:eastAsia="de-DE"/>
        </w:rPr>
        <w:t xml:space="preserve"> effect measured as ETP. This suggests that </w:t>
      </w:r>
      <w:proofErr w:type="spellStart"/>
      <w:r w:rsidRPr="00C32C49">
        <w:rPr>
          <w:rFonts w:cs="Arial"/>
          <w:lang w:val="en-GB" w:eastAsia="de-DE"/>
        </w:rPr>
        <w:t>idarucizumab</w:t>
      </w:r>
      <w:proofErr w:type="spellEnd"/>
      <w:r w:rsidRPr="00C32C49">
        <w:rPr>
          <w:rFonts w:cs="Arial"/>
          <w:lang w:val="en-GB" w:eastAsia="de-DE"/>
        </w:rPr>
        <w:t xml:space="preserve"> has no </w:t>
      </w:r>
      <w:proofErr w:type="spellStart"/>
      <w:r w:rsidRPr="00C32C49">
        <w:rPr>
          <w:rFonts w:cs="Arial"/>
          <w:lang w:val="en-GB" w:eastAsia="de-DE"/>
        </w:rPr>
        <w:t>prothrombotic</w:t>
      </w:r>
      <w:proofErr w:type="spellEnd"/>
      <w:r w:rsidRPr="00C32C49">
        <w:rPr>
          <w:rFonts w:cs="Arial"/>
          <w:lang w:val="en-GB" w:eastAsia="de-DE"/>
        </w:rPr>
        <w:t xml:space="preserve"> effect. </w:t>
      </w:r>
    </w:p>
    <w:p w:rsidR="00C32C49" w:rsidRPr="00C32C49" w:rsidRDefault="00C32C49" w:rsidP="00C32C49">
      <w:pPr>
        <w:pStyle w:val="TextPI"/>
        <w:rPr>
          <w:rFonts w:cs="Arial"/>
          <w:u w:val="single"/>
          <w:lang w:val="en-GB" w:eastAsia="de-DE"/>
        </w:rPr>
      </w:pPr>
      <w:r w:rsidRPr="00C32C49">
        <w:rPr>
          <w:rFonts w:cs="Arial"/>
          <w:u w:val="single"/>
          <w:lang w:val="en-GB" w:eastAsia="de-DE"/>
        </w:rPr>
        <w:t xml:space="preserve">Re-administration of dabigatran </w:t>
      </w:r>
      <w:proofErr w:type="spellStart"/>
      <w:r w:rsidRPr="00C32C49">
        <w:rPr>
          <w:rFonts w:cs="Arial"/>
          <w:u w:val="single"/>
          <w:lang w:val="en-GB" w:eastAsia="de-DE"/>
        </w:rPr>
        <w:t>etexilate</w:t>
      </w:r>
      <w:proofErr w:type="spellEnd"/>
    </w:p>
    <w:p w:rsidR="00C32C49" w:rsidRPr="00C32C49" w:rsidRDefault="00C32C49" w:rsidP="00C32C49">
      <w:pPr>
        <w:pStyle w:val="TextPI"/>
        <w:rPr>
          <w:rFonts w:cs="Arial"/>
          <w:lang w:val="en-GB" w:eastAsia="de-DE"/>
        </w:rPr>
      </w:pPr>
      <w:r w:rsidRPr="00C32C49">
        <w:rPr>
          <w:rFonts w:cs="Arial"/>
          <w:lang w:val="en-GB" w:eastAsia="de-DE"/>
        </w:rPr>
        <w:t xml:space="preserve">24 hours after the </w:t>
      </w:r>
      <w:proofErr w:type="spellStart"/>
      <w:r w:rsidRPr="00C32C49">
        <w:rPr>
          <w:rFonts w:cs="Arial"/>
          <w:lang w:val="en-GB" w:eastAsia="de-DE"/>
        </w:rPr>
        <w:t>idarucizumab</w:t>
      </w:r>
      <w:proofErr w:type="spellEnd"/>
      <w:r w:rsidRPr="00C32C49">
        <w:rPr>
          <w:rFonts w:cs="Arial"/>
          <w:lang w:val="en-GB" w:eastAsia="de-DE"/>
        </w:rPr>
        <w:t xml:space="preserve"> infusion, re-administration of dabigatran </w:t>
      </w:r>
      <w:proofErr w:type="spellStart"/>
      <w:r w:rsidRPr="00C32C49">
        <w:rPr>
          <w:rFonts w:cs="Arial"/>
          <w:lang w:val="en-GB" w:eastAsia="de-DE"/>
        </w:rPr>
        <w:t>etexilate</w:t>
      </w:r>
      <w:proofErr w:type="spellEnd"/>
      <w:r w:rsidRPr="00C32C49">
        <w:rPr>
          <w:rFonts w:cs="Arial"/>
          <w:lang w:val="en-GB" w:eastAsia="de-DE"/>
        </w:rPr>
        <w:t xml:space="preserve"> resulted in expected anticoagulant activity. </w:t>
      </w:r>
    </w:p>
    <w:p w:rsidR="00C32C49" w:rsidRPr="00C32C49" w:rsidRDefault="00C32C49" w:rsidP="00C32C49">
      <w:pPr>
        <w:pStyle w:val="TextPI"/>
        <w:rPr>
          <w:rFonts w:cs="Arial"/>
          <w:u w:val="single"/>
          <w:lang w:val="en-GB" w:eastAsia="de-DE"/>
        </w:rPr>
      </w:pPr>
      <w:r w:rsidRPr="00C32C49">
        <w:rPr>
          <w:rFonts w:cs="Arial"/>
          <w:u w:val="single"/>
          <w:lang w:val="en-GB" w:eastAsia="de-DE"/>
        </w:rPr>
        <w:t>Immunogenicity</w:t>
      </w:r>
    </w:p>
    <w:p w:rsidR="00C32C49" w:rsidRPr="00C32C49" w:rsidRDefault="00C32C49" w:rsidP="00C32C49">
      <w:pPr>
        <w:pStyle w:val="TextPI"/>
        <w:rPr>
          <w:rFonts w:cs="Arial"/>
          <w:lang w:val="en-GB" w:eastAsia="de-DE"/>
        </w:rPr>
      </w:pPr>
      <w:r w:rsidRPr="00C32C49">
        <w:rPr>
          <w:rFonts w:cs="Arial"/>
          <w:lang w:val="en-GB" w:eastAsia="de-DE"/>
        </w:rPr>
        <w:t xml:space="preserve">Serum samples from 283 subjects (224 treated with </w:t>
      </w:r>
      <w:proofErr w:type="spellStart"/>
      <w:r w:rsidRPr="00C32C49">
        <w:rPr>
          <w:rFonts w:cs="Arial"/>
          <w:lang w:val="en-GB" w:eastAsia="de-DE"/>
        </w:rPr>
        <w:t>idarucizumab</w:t>
      </w:r>
      <w:proofErr w:type="spellEnd"/>
      <w:r w:rsidRPr="00C32C49">
        <w:rPr>
          <w:rFonts w:cs="Arial"/>
          <w:lang w:val="en-GB" w:eastAsia="de-DE"/>
        </w:rPr>
        <w:t xml:space="preserve">) were tested for antibodies to </w:t>
      </w:r>
      <w:proofErr w:type="spellStart"/>
      <w:r w:rsidRPr="00C32C49">
        <w:rPr>
          <w:rFonts w:cs="Arial"/>
          <w:lang w:val="en-GB" w:eastAsia="de-DE"/>
        </w:rPr>
        <w:t>idarucizumab</w:t>
      </w:r>
      <w:proofErr w:type="spellEnd"/>
      <w:r w:rsidRPr="00C32C49">
        <w:rPr>
          <w:rFonts w:cs="Arial"/>
          <w:lang w:val="en-GB" w:eastAsia="de-DE"/>
        </w:rPr>
        <w:t xml:space="preserve"> before and after treatment. </w:t>
      </w:r>
    </w:p>
    <w:p w:rsidR="00C32C49" w:rsidRPr="00C32C49" w:rsidRDefault="00C32C49" w:rsidP="00C32C49">
      <w:pPr>
        <w:pStyle w:val="TextPI"/>
        <w:rPr>
          <w:rFonts w:cs="Arial"/>
          <w:lang w:val="en-GB" w:eastAsia="de-DE"/>
        </w:rPr>
      </w:pPr>
      <w:r w:rsidRPr="00C32C49">
        <w:rPr>
          <w:rFonts w:cs="Arial"/>
          <w:lang w:val="en-GB" w:eastAsia="de-DE"/>
        </w:rPr>
        <w:t xml:space="preserve">Pre-existing antibodies with cross-reactivity to </w:t>
      </w:r>
      <w:proofErr w:type="spellStart"/>
      <w:r w:rsidRPr="00C32C49">
        <w:rPr>
          <w:rFonts w:cs="Arial"/>
          <w:lang w:val="en-GB" w:eastAsia="de-DE"/>
        </w:rPr>
        <w:t>idarucizumab</w:t>
      </w:r>
      <w:proofErr w:type="spellEnd"/>
      <w:r w:rsidRPr="00C32C49">
        <w:rPr>
          <w:rFonts w:cs="Arial"/>
          <w:lang w:val="en-GB" w:eastAsia="de-DE"/>
        </w:rPr>
        <w:t xml:space="preserve"> were detected in approximately </w:t>
      </w:r>
      <w:r w:rsidR="003D7469">
        <w:rPr>
          <w:rFonts w:cs="Arial"/>
          <w:lang w:val="en-GB" w:eastAsia="de-DE"/>
        </w:rPr>
        <w:t>12</w:t>
      </w:r>
      <w:r w:rsidR="003D7469" w:rsidRPr="00C32C49">
        <w:rPr>
          <w:rFonts w:cs="Arial"/>
          <w:lang w:val="en-GB" w:eastAsia="de-DE"/>
        </w:rPr>
        <w:t xml:space="preserve"> </w:t>
      </w:r>
      <w:r w:rsidRPr="00C32C49">
        <w:rPr>
          <w:rFonts w:cs="Arial"/>
          <w:lang w:val="en-GB" w:eastAsia="de-DE"/>
        </w:rPr>
        <w:t>% (</w:t>
      </w:r>
      <w:r w:rsidR="003D7469">
        <w:rPr>
          <w:rFonts w:cs="Arial"/>
          <w:lang w:val="en-GB" w:eastAsia="de-DE"/>
        </w:rPr>
        <w:t>33</w:t>
      </w:r>
      <w:r w:rsidRPr="00C32C49">
        <w:rPr>
          <w:rFonts w:cs="Arial"/>
          <w:lang w:val="en-GB" w:eastAsia="de-DE"/>
        </w:rPr>
        <w:t xml:space="preserve">/283) of the subjects. No impact on the pharmacokinetics or the reversal effect of </w:t>
      </w:r>
      <w:proofErr w:type="spellStart"/>
      <w:r w:rsidRPr="00C32C49">
        <w:rPr>
          <w:rFonts w:cs="Arial"/>
          <w:lang w:val="en-GB" w:eastAsia="de-DE"/>
        </w:rPr>
        <w:t>idarucizumab</w:t>
      </w:r>
      <w:proofErr w:type="spellEnd"/>
      <w:r w:rsidRPr="00C32C49">
        <w:rPr>
          <w:rFonts w:cs="Arial"/>
          <w:lang w:val="en-GB" w:eastAsia="de-DE"/>
        </w:rPr>
        <w:t xml:space="preserve"> or hypersensitivity reactions were observed in these subjects. </w:t>
      </w:r>
    </w:p>
    <w:p w:rsidR="00C32C49" w:rsidRPr="00C32C49" w:rsidRDefault="00C32C49" w:rsidP="00C32C49">
      <w:pPr>
        <w:pStyle w:val="TextPI"/>
        <w:rPr>
          <w:rFonts w:cs="Arial"/>
          <w:lang w:val="en-GB" w:eastAsia="de-DE"/>
        </w:rPr>
      </w:pPr>
      <w:r w:rsidRPr="00C32C49">
        <w:rPr>
          <w:rFonts w:cs="Arial"/>
          <w:lang w:val="en-GB" w:eastAsia="de-DE"/>
        </w:rPr>
        <w:t xml:space="preserve">Treatment-emergent </w:t>
      </w:r>
      <w:r w:rsidR="000E7C8E">
        <w:rPr>
          <w:rFonts w:cs="Arial"/>
          <w:lang w:val="en-GB" w:eastAsia="de-DE"/>
        </w:rPr>
        <w:t xml:space="preserve">possibly persistent </w:t>
      </w:r>
      <w:r w:rsidRPr="00C32C49">
        <w:rPr>
          <w:rFonts w:cs="Arial"/>
          <w:lang w:val="en-GB" w:eastAsia="de-DE"/>
        </w:rPr>
        <w:t>anti-</w:t>
      </w:r>
      <w:proofErr w:type="spellStart"/>
      <w:r w:rsidRPr="00C32C49">
        <w:rPr>
          <w:rFonts w:cs="Arial"/>
          <w:lang w:val="en-GB" w:eastAsia="de-DE"/>
        </w:rPr>
        <w:t>idarucizumab</w:t>
      </w:r>
      <w:proofErr w:type="spellEnd"/>
      <w:r w:rsidRPr="00C32C49">
        <w:rPr>
          <w:rFonts w:cs="Arial"/>
          <w:lang w:val="en-GB" w:eastAsia="de-DE"/>
        </w:rPr>
        <w:t xml:space="preserve"> antibodies with low </w:t>
      </w:r>
      <w:r w:rsidR="00D409EF">
        <w:rPr>
          <w:rFonts w:cs="Arial"/>
          <w:lang w:val="en-GB" w:eastAsia="de-DE"/>
        </w:rPr>
        <w:t>titres</w:t>
      </w:r>
      <w:r w:rsidRPr="00C32C49">
        <w:rPr>
          <w:rFonts w:cs="Arial"/>
          <w:lang w:val="en-GB" w:eastAsia="de-DE"/>
        </w:rPr>
        <w:t xml:space="preserve"> were observed in 4 % (</w:t>
      </w:r>
      <w:r w:rsidR="000E7C8E">
        <w:rPr>
          <w:rFonts w:cs="Arial"/>
          <w:lang w:val="en-GB" w:eastAsia="de-DE"/>
        </w:rPr>
        <w:t>10</w:t>
      </w:r>
      <w:r w:rsidRPr="00C32C49">
        <w:rPr>
          <w:rFonts w:cs="Arial"/>
          <w:lang w:val="en-GB" w:eastAsia="de-DE"/>
        </w:rPr>
        <w:t xml:space="preserve">/224) of the subjects suggesting a low immunogenic potential of </w:t>
      </w:r>
      <w:proofErr w:type="spellStart"/>
      <w:r w:rsidRPr="00C32C49">
        <w:rPr>
          <w:rFonts w:cs="Arial"/>
          <w:lang w:val="en-GB" w:eastAsia="de-DE"/>
        </w:rPr>
        <w:t>idarucizumab</w:t>
      </w:r>
      <w:proofErr w:type="spellEnd"/>
      <w:r w:rsidRPr="00C32C49">
        <w:rPr>
          <w:rFonts w:cs="Arial"/>
          <w:lang w:val="en-GB" w:eastAsia="de-DE"/>
        </w:rPr>
        <w:t xml:space="preserve">. In a subgroup of 6 subjects, </w:t>
      </w:r>
      <w:proofErr w:type="spellStart"/>
      <w:r w:rsidRPr="00C32C49">
        <w:rPr>
          <w:rFonts w:cs="Arial"/>
          <w:lang w:val="en-GB" w:eastAsia="de-DE"/>
        </w:rPr>
        <w:t>idarucizumab</w:t>
      </w:r>
      <w:proofErr w:type="spellEnd"/>
      <w:r w:rsidRPr="00C32C49">
        <w:rPr>
          <w:rFonts w:cs="Arial"/>
          <w:lang w:val="en-GB" w:eastAsia="de-DE"/>
        </w:rPr>
        <w:t xml:space="preserve"> was administered a second time, two months after the first administration. No anti-</w:t>
      </w:r>
      <w:proofErr w:type="spellStart"/>
      <w:r w:rsidRPr="00C32C49">
        <w:rPr>
          <w:rFonts w:cs="Arial"/>
          <w:lang w:val="en-GB" w:eastAsia="de-DE"/>
        </w:rPr>
        <w:t>idarucizumab</w:t>
      </w:r>
      <w:proofErr w:type="spellEnd"/>
      <w:r w:rsidRPr="00C32C49">
        <w:rPr>
          <w:rFonts w:cs="Arial"/>
          <w:lang w:val="en-GB" w:eastAsia="de-DE"/>
        </w:rPr>
        <w:t xml:space="preserve"> antibodies were detected in these subjects prior to the second administration. In one subject, treatment-emergent anti-</w:t>
      </w:r>
      <w:proofErr w:type="spellStart"/>
      <w:r w:rsidRPr="00C32C49">
        <w:rPr>
          <w:rFonts w:cs="Arial"/>
          <w:lang w:val="en-GB" w:eastAsia="de-DE"/>
        </w:rPr>
        <w:t>idarucizumab</w:t>
      </w:r>
      <w:proofErr w:type="spellEnd"/>
      <w:r w:rsidRPr="00C32C49">
        <w:rPr>
          <w:rFonts w:cs="Arial"/>
          <w:lang w:val="en-GB" w:eastAsia="de-DE"/>
        </w:rPr>
        <w:t xml:space="preserve"> antibodies were detected after the second administration. </w:t>
      </w:r>
    </w:p>
    <w:p w:rsidR="00C32C49" w:rsidRPr="00C32C49" w:rsidRDefault="00C32C49" w:rsidP="00C32C49">
      <w:pPr>
        <w:pStyle w:val="TextPI"/>
        <w:rPr>
          <w:rFonts w:cs="Arial"/>
          <w:u w:val="single"/>
          <w:lang w:val="en-GB" w:eastAsia="de-DE"/>
        </w:rPr>
      </w:pPr>
      <w:r w:rsidRPr="00C32C49">
        <w:rPr>
          <w:rFonts w:cs="Arial"/>
          <w:u w:val="single"/>
          <w:lang w:val="en-GB" w:eastAsia="de-DE"/>
        </w:rPr>
        <w:t>Preclinical pharmacodynamics</w:t>
      </w:r>
    </w:p>
    <w:p w:rsidR="00C32C49" w:rsidRPr="00C32C49" w:rsidRDefault="00C32C49" w:rsidP="00C32C49">
      <w:pPr>
        <w:pStyle w:val="TextPI"/>
        <w:rPr>
          <w:rFonts w:cs="Arial"/>
          <w:lang w:val="en-GB" w:eastAsia="de-DE"/>
        </w:rPr>
      </w:pPr>
      <w:r w:rsidRPr="00C32C49">
        <w:rPr>
          <w:rFonts w:cs="Arial"/>
          <w:lang w:val="en-GB" w:eastAsia="de-DE"/>
        </w:rPr>
        <w:t xml:space="preserve">A trauma model in pigs was performed using a blunt liver injury after dosing with dabigatran to achieve </w:t>
      </w:r>
      <w:proofErr w:type="spellStart"/>
      <w:r w:rsidRPr="00C32C49">
        <w:rPr>
          <w:rFonts w:cs="Arial"/>
          <w:lang w:val="en-GB" w:eastAsia="de-DE"/>
        </w:rPr>
        <w:t>supratherapeutic</w:t>
      </w:r>
      <w:proofErr w:type="spellEnd"/>
      <w:r w:rsidRPr="00C32C49">
        <w:rPr>
          <w:rFonts w:cs="Arial"/>
          <w:lang w:val="en-GB" w:eastAsia="de-DE"/>
        </w:rPr>
        <w:t xml:space="preserve"> concentrations of about 10-fold of human plasma levels. </w:t>
      </w:r>
      <w:proofErr w:type="spellStart"/>
      <w:r w:rsidRPr="00C32C49">
        <w:rPr>
          <w:rFonts w:cs="Arial"/>
          <w:lang w:val="en-GB" w:eastAsia="de-DE"/>
        </w:rPr>
        <w:t>Idarucizumab</w:t>
      </w:r>
      <w:proofErr w:type="spellEnd"/>
      <w:r w:rsidRPr="00C32C49">
        <w:rPr>
          <w:rFonts w:cs="Arial"/>
          <w:lang w:val="en-GB" w:eastAsia="de-DE"/>
        </w:rPr>
        <w:t xml:space="preserve"> effectively and rapidly reversed the life-threatening bleeding within 15 min</w:t>
      </w:r>
      <w:r w:rsidR="004E6BA9">
        <w:rPr>
          <w:rFonts w:cs="Arial"/>
          <w:lang w:val="en-GB" w:eastAsia="de-DE"/>
        </w:rPr>
        <w:t>utes</w:t>
      </w:r>
      <w:r w:rsidRPr="00C32C49">
        <w:rPr>
          <w:rFonts w:cs="Arial"/>
          <w:lang w:val="en-GB" w:eastAsia="de-DE"/>
        </w:rPr>
        <w:t xml:space="preserve"> after the injection. All pigs survived at </w:t>
      </w:r>
      <w:proofErr w:type="spellStart"/>
      <w:r w:rsidRPr="00C32C49">
        <w:rPr>
          <w:rFonts w:cs="Arial"/>
          <w:lang w:val="en-GB" w:eastAsia="de-DE"/>
        </w:rPr>
        <w:t>idarucizumab</w:t>
      </w:r>
      <w:proofErr w:type="spellEnd"/>
      <w:r w:rsidRPr="00C32C49">
        <w:rPr>
          <w:rFonts w:cs="Arial"/>
          <w:lang w:val="en-GB" w:eastAsia="de-DE"/>
        </w:rPr>
        <w:t xml:space="preserve"> doses of approximately 2.5 and 5 g. Without </w:t>
      </w:r>
      <w:proofErr w:type="spellStart"/>
      <w:r w:rsidRPr="00C32C49">
        <w:rPr>
          <w:rFonts w:cs="Arial"/>
          <w:lang w:val="en-GB" w:eastAsia="de-DE"/>
        </w:rPr>
        <w:t>idarucizumab</w:t>
      </w:r>
      <w:proofErr w:type="spellEnd"/>
      <w:r w:rsidRPr="00C32C49">
        <w:rPr>
          <w:rFonts w:cs="Arial"/>
          <w:lang w:val="en-GB" w:eastAsia="de-DE"/>
        </w:rPr>
        <w:t>, the mortality in the anticoagulated group was 100%.</w:t>
      </w:r>
      <w:r w:rsidR="00B50AE3">
        <w:rPr>
          <w:rFonts w:cs="Arial"/>
          <w:lang w:val="en-GB" w:eastAsia="de-DE"/>
        </w:rPr>
        <w:t xml:space="preserve"> When </w:t>
      </w:r>
      <w:proofErr w:type="spellStart"/>
      <w:r w:rsidR="00B50AE3">
        <w:rPr>
          <w:rFonts w:cs="Arial"/>
          <w:lang w:val="en-GB" w:eastAsia="de-DE"/>
        </w:rPr>
        <w:t>idarucizumab</w:t>
      </w:r>
      <w:proofErr w:type="spellEnd"/>
      <w:r w:rsidR="00B50AE3">
        <w:rPr>
          <w:rFonts w:cs="Arial"/>
          <w:lang w:val="en-GB" w:eastAsia="de-DE"/>
        </w:rPr>
        <w:t xml:space="preserve"> is present in less than equimolar concentrations, some residual dabigatran activity can reappear if haemostasis has not been achieved.</w:t>
      </w:r>
    </w:p>
    <w:p w:rsidR="00C32C49" w:rsidRPr="00C32C49" w:rsidRDefault="00C32C49" w:rsidP="00C32C49">
      <w:pPr>
        <w:pStyle w:val="TextPI"/>
        <w:rPr>
          <w:rFonts w:cs="Arial"/>
          <w:lang w:val="en-GB" w:eastAsia="de-DE"/>
        </w:rPr>
      </w:pPr>
      <w:r w:rsidRPr="00C32C49">
        <w:rPr>
          <w:rFonts w:cs="Arial"/>
          <w:lang w:val="en-GB" w:eastAsia="de-DE"/>
        </w:rPr>
        <w:t xml:space="preserve">Preclinical investigations with </w:t>
      </w:r>
      <w:proofErr w:type="spellStart"/>
      <w:r w:rsidRPr="00C32C49">
        <w:rPr>
          <w:rFonts w:cs="Arial"/>
          <w:lang w:val="en-GB" w:eastAsia="de-DE"/>
        </w:rPr>
        <w:t>idarucizumab</w:t>
      </w:r>
      <w:proofErr w:type="spellEnd"/>
      <w:r w:rsidRPr="00C32C49">
        <w:rPr>
          <w:rFonts w:cs="Arial"/>
          <w:lang w:val="en-GB" w:eastAsia="de-DE"/>
        </w:rPr>
        <w:t xml:space="preserve"> have shown no interactions with</w:t>
      </w:r>
      <w:r>
        <w:rPr>
          <w:rFonts w:cs="Arial"/>
          <w:lang w:val="en-GB" w:eastAsia="de-DE"/>
        </w:rPr>
        <w:t>:</w:t>
      </w:r>
      <w:r w:rsidRPr="00C32C49">
        <w:rPr>
          <w:rFonts w:cs="Arial"/>
          <w:lang w:val="en-GB" w:eastAsia="de-DE"/>
        </w:rPr>
        <w:t xml:space="preserve"> </w:t>
      </w:r>
    </w:p>
    <w:p w:rsidR="00C32C49" w:rsidRPr="00C32C49" w:rsidRDefault="00B50AE3" w:rsidP="00C32C49">
      <w:pPr>
        <w:pStyle w:val="TextPI"/>
        <w:numPr>
          <w:ilvl w:val="0"/>
          <w:numId w:val="15"/>
        </w:numPr>
        <w:rPr>
          <w:rFonts w:cs="Arial"/>
          <w:lang w:val="en-GB" w:eastAsia="de-DE"/>
        </w:rPr>
      </w:pPr>
      <w:r>
        <w:rPr>
          <w:rFonts w:cs="Arial"/>
          <w:lang w:val="en-GB" w:eastAsia="de-DE"/>
        </w:rPr>
        <w:t xml:space="preserve">colloid and crystalloid </w:t>
      </w:r>
      <w:r w:rsidR="00C32C49">
        <w:rPr>
          <w:rFonts w:cs="Arial"/>
          <w:lang w:val="en-GB" w:eastAsia="de-DE"/>
        </w:rPr>
        <w:t>volume expanders</w:t>
      </w:r>
      <w:r w:rsidR="00C32C49" w:rsidRPr="00C32C49">
        <w:rPr>
          <w:rFonts w:cs="Arial"/>
          <w:lang w:val="en-GB" w:eastAsia="de-DE"/>
        </w:rPr>
        <w:t xml:space="preserve"> </w:t>
      </w:r>
      <w:r>
        <w:rPr>
          <w:rFonts w:cs="Arial"/>
          <w:lang w:val="en-GB" w:eastAsia="de-DE"/>
        </w:rPr>
        <w:t xml:space="preserve">(e.g. </w:t>
      </w:r>
      <w:proofErr w:type="spellStart"/>
      <w:r>
        <w:rPr>
          <w:rFonts w:cs="Arial"/>
          <w:lang w:val="en-GB" w:eastAsia="de-DE"/>
        </w:rPr>
        <w:t>gelatin</w:t>
      </w:r>
      <w:proofErr w:type="spellEnd"/>
      <w:r>
        <w:rPr>
          <w:rFonts w:cs="Arial"/>
          <w:lang w:val="en-GB" w:eastAsia="de-DE"/>
        </w:rPr>
        <w:t xml:space="preserve"> or hydroxyethyl starch)</w:t>
      </w:r>
    </w:p>
    <w:p w:rsidR="00C32C49" w:rsidRPr="00C32C49" w:rsidRDefault="00C32C49" w:rsidP="00C32C49">
      <w:pPr>
        <w:pStyle w:val="TextPI"/>
        <w:numPr>
          <w:ilvl w:val="0"/>
          <w:numId w:val="15"/>
        </w:numPr>
        <w:rPr>
          <w:rFonts w:cs="Arial"/>
          <w:lang w:val="en-GB" w:eastAsia="de-DE"/>
        </w:rPr>
      </w:pPr>
      <w:r w:rsidRPr="00C32C49">
        <w:rPr>
          <w:rFonts w:cs="Arial"/>
          <w:lang w:val="en-GB" w:eastAsia="de-DE"/>
        </w:rPr>
        <w:t>coagulation factor concentrates, such as prothrombin complex concentrates (PCCs, e.g. 3 factor and 4 factor), activated PCCs (</w:t>
      </w:r>
      <w:proofErr w:type="spellStart"/>
      <w:r w:rsidRPr="00C32C49">
        <w:rPr>
          <w:rFonts w:cs="Arial"/>
          <w:lang w:val="en-GB" w:eastAsia="de-DE"/>
        </w:rPr>
        <w:t>aPCCs</w:t>
      </w:r>
      <w:proofErr w:type="spellEnd"/>
      <w:r w:rsidRPr="00C32C49">
        <w:rPr>
          <w:rFonts w:cs="Arial"/>
          <w:lang w:val="en-GB" w:eastAsia="de-DE"/>
        </w:rPr>
        <w:t xml:space="preserve">) and recombinant factor </w:t>
      </w:r>
      <w:proofErr w:type="spellStart"/>
      <w:r w:rsidRPr="00C32C49">
        <w:rPr>
          <w:rFonts w:cs="Arial"/>
          <w:lang w:val="en-GB" w:eastAsia="de-DE"/>
        </w:rPr>
        <w:t>VIIa</w:t>
      </w:r>
      <w:proofErr w:type="spellEnd"/>
      <w:r w:rsidRPr="00C32C49">
        <w:rPr>
          <w:rFonts w:cs="Arial"/>
          <w:lang w:val="en-GB" w:eastAsia="de-DE"/>
        </w:rPr>
        <w:t xml:space="preserve"> </w:t>
      </w:r>
    </w:p>
    <w:p w:rsidR="00DB5E0C" w:rsidRDefault="00C32C49" w:rsidP="00C32C49">
      <w:pPr>
        <w:pStyle w:val="TextPI"/>
        <w:numPr>
          <w:ilvl w:val="0"/>
          <w:numId w:val="15"/>
        </w:numPr>
        <w:rPr>
          <w:rFonts w:cs="Arial"/>
          <w:lang w:val="en-GB" w:eastAsia="de-DE"/>
        </w:rPr>
      </w:pPr>
      <w:proofErr w:type="gramStart"/>
      <w:r w:rsidRPr="00C32C49">
        <w:rPr>
          <w:rFonts w:cs="Arial"/>
          <w:lang w:val="en-GB" w:eastAsia="de-DE"/>
        </w:rPr>
        <w:t>other</w:t>
      </w:r>
      <w:proofErr w:type="gramEnd"/>
      <w:r w:rsidRPr="00C32C49">
        <w:rPr>
          <w:rFonts w:cs="Arial"/>
          <w:lang w:val="en-GB" w:eastAsia="de-DE"/>
        </w:rPr>
        <w:t xml:space="preserve"> anticoagulants (e.g. thrombin inhibitors other than dabigatran, Factor </w:t>
      </w:r>
      <w:proofErr w:type="spellStart"/>
      <w:r w:rsidRPr="00C32C49">
        <w:rPr>
          <w:rFonts w:cs="Arial"/>
          <w:lang w:val="en-GB" w:eastAsia="de-DE"/>
        </w:rPr>
        <w:t>Xa</w:t>
      </w:r>
      <w:proofErr w:type="spellEnd"/>
      <w:r w:rsidRPr="00C32C49">
        <w:rPr>
          <w:rFonts w:cs="Arial"/>
          <w:lang w:val="en-GB" w:eastAsia="de-DE"/>
        </w:rPr>
        <w:t xml:space="preserve"> inhibitors including low-molecular weight heparin, vitamin K-antagonists, heparin). </w:t>
      </w:r>
    </w:p>
    <w:p w:rsidR="00C32C49" w:rsidRDefault="00C32C49" w:rsidP="00DB5E0C">
      <w:pPr>
        <w:pStyle w:val="TextPI"/>
        <w:rPr>
          <w:rFonts w:cs="Arial"/>
          <w:lang w:val="en-GB" w:eastAsia="de-DE"/>
        </w:rPr>
      </w:pPr>
      <w:r w:rsidRPr="00C32C49">
        <w:rPr>
          <w:rFonts w:cs="Arial"/>
          <w:lang w:val="en-GB" w:eastAsia="de-DE"/>
        </w:rPr>
        <w:t xml:space="preserve">Thus </w:t>
      </w:r>
      <w:proofErr w:type="spellStart"/>
      <w:r w:rsidRPr="00C32C49">
        <w:rPr>
          <w:rFonts w:cs="Arial"/>
          <w:lang w:val="en-GB" w:eastAsia="de-DE"/>
        </w:rPr>
        <w:t>idarucizumab</w:t>
      </w:r>
      <w:proofErr w:type="spellEnd"/>
      <w:r w:rsidRPr="00C32C49">
        <w:rPr>
          <w:rFonts w:cs="Arial"/>
          <w:lang w:val="en-GB" w:eastAsia="de-DE"/>
        </w:rPr>
        <w:t xml:space="preserve"> will not reverse the effects of other anticoagulants. </w:t>
      </w:r>
    </w:p>
    <w:p w:rsidR="00C32C49" w:rsidRPr="00C32C49" w:rsidRDefault="00C32C49" w:rsidP="00C32C49">
      <w:pPr>
        <w:pStyle w:val="PIheading2"/>
      </w:pPr>
      <w:r w:rsidRPr="00C32C49">
        <w:lastRenderedPageBreak/>
        <w:t>Pharmacokinetics</w:t>
      </w:r>
    </w:p>
    <w:p w:rsidR="00C32C49" w:rsidRPr="00C32C49" w:rsidRDefault="00C32C49" w:rsidP="00C32C49">
      <w:pPr>
        <w:pStyle w:val="TextPI"/>
        <w:rPr>
          <w:rFonts w:cs="Arial"/>
          <w:lang w:val="en-GB" w:eastAsia="de-DE"/>
        </w:rPr>
      </w:pPr>
      <w:r w:rsidRPr="00C32C49">
        <w:rPr>
          <w:rFonts w:cs="Arial"/>
          <w:lang w:val="en-GB" w:eastAsia="de-DE"/>
        </w:rPr>
        <w:t xml:space="preserve">The pharmacokinetics of </w:t>
      </w:r>
      <w:proofErr w:type="spellStart"/>
      <w:r w:rsidRPr="00C32C49">
        <w:rPr>
          <w:rFonts w:cs="Arial"/>
          <w:lang w:val="en-GB" w:eastAsia="de-DE"/>
        </w:rPr>
        <w:t>idarucizumab</w:t>
      </w:r>
      <w:proofErr w:type="spellEnd"/>
      <w:r w:rsidRPr="00C32C49">
        <w:rPr>
          <w:rFonts w:cs="Arial"/>
          <w:lang w:val="en-GB" w:eastAsia="de-DE"/>
        </w:rPr>
        <w:t xml:space="preserve"> were investigated in </w:t>
      </w:r>
      <w:r w:rsidR="00911AAF">
        <w:rPr>
          <w:rFonts w:cs="Arial"/>
          <w:lang w:val="en-GB" w:eastAsia="de-DE"/>
        </w:rPr>
        <w:t xml:space="preserve">224 subjects in Phase I studies, of which data for a representative subgroup of 6 </w:t>
      </w:r>
      <w:r w:rsidRPr="00C32C49">
        <w:rPr>
          <w:rFonts w:cs="Arial"/>
          <w:lang w:val="en-GB" w:eastAsia="de-DE"/>
        </w:rPr>
        <w:t xml:space="preserve">healthy subjects aged 45 to 64 years receiving a dose of 5 g </w:t>
      </w:r>
      <w:r w:rsidR="00E82FF9">
        <w:rPr>
          <w:rFonts w:cs="Arial"/>
          <w:lang w:val="en-GB" w:eastAsia="de-DE"/>
        </w:rPr>
        <w:t>via</w:t>
      </w:r>
      <w:r w:rsidR="00E82FF9" w:rsidRPr="00C32C49">
        <w:rPr>
          <w:rFonts w:cs="Arial"/>
          <w:lang w:val="en-GB" w:eastAsia="de-DE"/>
        </w:rPr>
        <w:t xml:space="preserve"> </w:t>
      </w:r>
      <w:r w:rsidRPr="00C32C49">
        <w:rPr>
          <w:rFonts w:cs="Arial"/>
          <w:lang w:val="en-GB" w:eastAsia="de-DE"/>
        </w:rPr>
        <w:t>intravenous infusion</w:t>
      </w:r>
      <w:r w:rsidR="00911AAF">
        <w:rPr>
          <w:rFonts w:cs="Arial"/>
          <w:lang w:val="en-GB" w:eastAsia="de-DE"/>
        </w:rPr>
        <w:t xml:space="preserve"> are presented</w:t>
      </w:r>
      <w:r w:rsidRPr="00C32C49">
        <w:rPr>
          <w:rFonts w:cs="Arial"/>
          <w:lang w:val="en-GB" w:eastAsia="de-DE"/>
        </w:rPr>
        <w:t>.</w:t>
      </w:r>
    </w:p>
    <w:p w:rsidR="00C32C49" w:rsidRPr="00C32C49" w:rsidRDefault="00C32C49" w:rsidP="00C32C49">
      <w:pPr>
        <w:pStyle w:val="TextPI"/>
        <w:rPr>
          <w:rFonts w:cs="Arial"/>
          <w:u w:val="single"/>
          <w:lang w:val="en-GB" w:eastAsia="de-DE"/>
        </w:rPr>
      </w:pPr>
      <w:r w:rsidRPr="00C32C49">
        <w:rPr>
          <w:rFonts w:cs="Arial"/>
          <w:u w:val="single"/>
          <w:lang w:val="en-GB" w:eastAsia="de-DE"/>
        </w:rPr>
        <w:t>Distribution</w:t>
      </w:r>
    </w:p>
    <w:p w:rsidR="00C32C49" w:rsidRPr="00C32C49" w:rsidRDefault="00C32C49" w:rsidP="00C32C49">
      <w:pPr>
        <w:pStyle w:val="TextPI"/>
        <w:rPr>
          <w:rFonts w:cs="Arial"/>
          <w:lang w:val="en-GB" w:eastAsia="de-DE"/>
        </w:rPr>
      </w:pPr>
      <w:proofErr w:type="spellStart"/>
      <w:r w:rsidRPr="00C32C49">
        <w:rPr>
          <w:rFonts w:cs="Arial"/>
          <w:lang w:val="en-GB" w:eastAsia="de-DE"/>
        </w:rPr>
        <w:t>Idarucizumab</w:t>
      </w:r>
      <w:proofErr w:type="spellEnd"/>
      <w:r w:rsidRPr="00C32C49">
        <w:rPr>
          <w:rFonts w:cs="Arial"/>
          <w:lang w:val="en-GB" w:eastAsia="de-DE"/>
        </w:rPr>
        <w:t xml:space="preserve"> exhibited </w:t>
      </w:r>
      <w:r w:rsidR="00850012">
        <w:rPr>
          <w:rFonts w:cs="Arial"/>
          <w:lang w:val="en-GB" w:eastAsia="de-DE"/>
        </w:rPr>
        <w:t xml:space="preserve">multiphasic </w:t>
      </w:r>
      <w:r w:rsidRPr="00C32C49">
        <w:rPr>
          <w:rFonts w:cs="Arial"/>
          <w:lang w:val="en-GB" w:eastAsia="de-DE"/>
        </w:rPr>
        <w:t>disposition kinetics</w:t>
      </w:r>
      <w:r w:rsidR="000E30C4">
        <w:rPr>
          <w:rFonts w:cs="Arial"/>
          <w:lang w:val="en-GB" w:eastAsia="de-DE"/>
        </w:rPr>
        <w:t xml:space="preserve"> and limited extravascular distribution</w:t>
      </w:r>
      <w:r w:rsidRPr="00C32C49">
        <w:rPr>
          <w:rFonts w:cs="Arial"/>
          <w:lang w:val="en-GB" w:eastAsia="de-DE"/>
        </w:rPr>
        <w:t>. Following the intravenous infusion of a 5 g dose, the geometric mean volume of distribution at steady state (</w:t>
      </w:r>
      <w:proofErr w:type="spellStart"/>
      <w:r w:rsidRPr="00C32C49">
        <w:rPr>
          <w:rFonts w:cs="Arial"/>
          <w:lang w:val="en-GB" w:eastAsia="de-DE"/>
        </w:rPr>
        <w:t>Vss</w:t>
      </w:r>
      <w:proofErr w:type="spellEnd"/>
      <w:r w:rsidRPr="00C32C49">
        <w:rPr>
          <w:rFonts w:cs="Arial"/>
          <w:lang w:val="en-GB" w:eastAsia="de-DE"/>
        </w:rPr>
        <w:t>) was 8.9 L (geometric coefficient of variation (</w:t>
      </w:r>
      <w:proofErr w:type="spellStart"/>
      <w:r w:rsidRPr="00C32C49">
        <w:rPr>
          <w:rFonts w:cs="Arial"/>
          <w:lang w:val="en-GB" w:eastAsia="de-DE"/>
        </w:rPr>
        <w:t>gCV</w:t>
      </w:r>
      <w:proofErr w:type="spellEnd"/>
      <w:r w:rsidRPr="00C32C49">
        <w:rPr>
          <w:rFonts w:cs="Arial"/>
          <w:lang w:val="en-GB" w:eastAsia="de-DE"/>
        </w:rPr>
        <w:t xml:space="preserve">) 24.8%).  </w:t>
      </w:r>
    </w:p>
    <w:p w:rsidR="00C32C49" w:rsidRPr="00C32C49" w:rsidRDefault="001F4E03" w:rsidP="00F303AD">
      <w:pPr>
        <w:pStyle w:val="TextPI"/>
        <w:keepNext/>
        <w:keepLines/>
        <w:rPr>
          <w:rFonts w:cs="Arial"/>
          <w:u w:val="single"/>
          <w:lang w:val="en-GB" w:eastAsia="de-DE"/>
        </w:rPr>
      </w:pPr>
      <w:r>
        <w:rPr>
          <w:rFonts w:cs="Arial"/>
          <w:u w:val="single"/>
          <w:lang w:val="en-GB" w:eastAsia="de-DE"/>
        </w:rPr>
        <w:t>Metabolism</w:t>
      </w:r>
    </w:p>
    <w:p w:rsidR="00C32C49" w:rsidRPr="00C32C49" w:rsidRDefault="00C32C49" w:rsidP="00F303AD">
      <w:pPr>
        <w:pStyle w:val="TextPI"/>
        <w:keepNext/>
        <w:keepLines/>
        <w:rPr>
          <w:rFonts w:cs="Arial"/>
          <w:lang w:val="en-GB" w:eastAsia="de-DE"/>
        </w:rPr>
      </w:pPr>
      <w:r w:rsidRPr="00C32C49">
        <w:rPr>
          <w:rFonts w:cs="Arial"/>
          <w:lang w:val="en-GB" w:eastAsia="de-DE"/>
        </w:rPr>
        <w:t xml:space="preserve">Several pathways have been described that may contribute to the metabolism of antibodies. All of these pathways involve biodegradation of the antibody to smaller molecules, i.e. small peptides or amino acids which are then reabsorbed and incorporated in the general protein synthesis. </w:t>
      </w:r>
    </w:p>
    <w:p w:rsidR="00C32C49" w:rsidRPr="00C32C49" w:rsidRDefault="001F4E03" w:rsidP="00C32C49">
      <w:pPr>
        <w:pStyle w:val="TextPI"/>
        <w:rPr>
          <w:rFonts w:cs="Arial"/>
          <w:u w:val="single"/>
          <w:lang w:val="en-GB" w:eastAsia="de-DE"/>
        </w:rPr>
      </w:pPr>
      <w:r>
        <w:rPr>
          <w:rFonts w:cs="Arial"/>
          <w:u w:val="single"/>
          <w:lang w:val="en-GB" w:eastAsia="de-DE"/>
        </w:rPr>
        <w:t>Excretion</w:t>
      </w:r>
    </w:p>
    <w:p w:rsidR="00C32C49" w:rsidRDefault="00C32C49" w:rsidP="00C32C49">
      <w:pPr>
        <w:pStyle w:val="TextPI"/>
        <w:rPr>
          <w:rFonts w:cs="Arial"/>
          <w:lang w:val="en-GB" w:eastAsia="de-DE"/>
        </w:rPr>
      </w:pPr>
      <w:proofErr w:type="spellStart"/>
      <w:r w:rsidRPr="00803C7E">
        <w:rPr>
          <w:rFonts w:cs="Arial"/>
          <w:lang w:val="en-GB" w:eastAsia="de-DE"/>
        </w:rPr>
        <w:t>Idarucizumab</w:t>
      </w:r>
      <w:proofErr w:type="spellEnd"/>
      <w:r w:rsidRPr="00C32C49">
        <w:rPr>
          <w:rFonts w:cs="Arial"/>
          <w:lang w:val="en-GB" w:eastAsia="de-DE"/>
        </w:rPr>
        <w:t xml:space="preserve"> was rapidly eliminated with a total clearance of 47.0 mL/min (</w:t>
      </w:r>
      <w:proofErr w:type="spellStart"/>
      <w:r w:rsidRPr="00C32C49">
        <w:rPr>
          <w:rFonts w:cs="Arial"/>
          <w:lang w:val="en-GB" w:eastAsia="de-DE"/>
        </w:rPr>
        <w:t>gCV</w:t>
      </w:r>
      <w:proofErr w:type="spellEnd"/>
      <w:r w:rsidRPr="00C32C49">
        <w:rPr>
          <w:rFonts w:cs="Arial"/>
          <w:lang w:val="en-GB" w:eastAsia="de-DE"/>
        </w:rPr>
        <w:t xml:space="preserve"> 18.4%), an initial half-life of 47 minutes (</w:t>
      </w:r>
      <w:proofErr w:type="spellStart"/>
      <w:r w:rsidRPr="00C32C49">
        <w:rPr>
          <w:rFonts w:cs="Arial"/>
          <w:lang w:val="en-GB" w:eastAsia="de-DE"/>
        </w:rPr>
        <w:t>gCV</w:t>
      </w:r>
      <w:proofErr w:type="spellEnd"/>
      <w:r w:rsidRPr="00C32C49">
        <w:rPr>
          <w:rFonts w:cs="Arial"/>
          <w:lang w:val="en-GB" w:eastAsia="de-DE"/>
        </w:rPr>
        <w:t xml:space="preserve"> 11.4%) and a terminal half-life of 10.3 h</w:t>
      </w:r>
      <w:r w:rsidR="00573D88">
        <w:rPr>
          <w:rFonts w:cs="Arial"/>
          <w:lang w:val="en-GB" w:eastAsia="de-DE"/>
        </w:rPr>
        <w:t>ours</w:t>
      </w:r>
      <w:r w:rsidRPr="00C32C49">
        <w:rPr>
          <w:rFonts w:cs="Arial"/>
          <w:lang w:val="en-GB" w:eastAsia="de-DE"/>
        </w:rPr>
        <w:t xml:space="preserve"> (</w:t>
      </w:r>
      <w:proofErr w:type="spellStart"/>
      <w:r w:rsidRPr="00C32C49">
        <w:rPr>
          <w:rFonts w:cs="Arial"/>
          <w:lang w:val="en-GB" w:eastAsia="de-DE"/>
        </w:rPr>
        <w:t>gCV</w:t>
      </w:r>
      <w:proofErr w:type="spellEnd"/>
      <w:r w:rsidRPr="00C32C49">
        <w:rPr>
          <w:rFonts w:cs="Arial"/>
          <w:lang w:val="en-GB" w:eastAsia="de-DE"/>
        </w:rPr>
        <w:t xml:space="preserve"> 18.9%). After intravenous administration of 5 g </w:t>
      </w:r>
      <w:proofErr w:type="spellStart"/>
      <w:r w:rsidRPr="00C32C49">
        <w:rPr>
          <w:rFonts w:cs="Arial"/>
          <w:lang w:val="en-GB" w:eastAsia="de-DE"/>
        </w:rPr>
        <w:t>idarucizumab</w:t>
      </w:r>
      <w:proofErr w:type="spellEnd"/>
      <w:r w:rsidRPr="00C32C49">
        <w:rPr>
          <w:rFonts w:cs="Arial"/>
          <w:lang w:val="en-GB" w:eastAsia="de-DE"/>
        </w:rPr>
        <w:t>, 32.1% (</w:t>
      </w:r>
      <w:proofErr w:type="spellStart"/>
      <w:r w:rsidRPr="00C32C49">
        <w:rPr>
          <w:rFonts w:cs="Arial"/>
          <w:lang w:val="en-GB" w:eastAsia="de-DE"/>
        </w:rPr>
        <w:t>gCV</w:t>
      </w:r>
      <w:proofErr w:type="spellEnd"/>
      <w:r w:rsidRPr="00C32C49">
        <w:rPr>
          <w:rFonts w:cs="Arial"/>
          <w:lang w:val="en-GB" w:eastAsia="de-DE"/>
        </w:rPr>
        <w:t xml:space="preserve"> 60.0%) of the dose was recovered </w:t>
      </w:r>
      <w:r w:rsidR="000E7C8E">
        <w:rPr>
          <w:rFonts w:cs="Arial"/>
          <w:lang w:val="en-GB" w:eastAsia="de-DE"/>
        </w:rPr>
        <w:t xml:space="preserve">in urine </w:t>
      </w:r>
      <w:r w:rsidRPr="00C32C49">
        <w:rPr>
          <w:rFonts w:cs="Arial"/>
          <w:lang w:val="en-GB" w:eastAsia="de-DE"/>
        </w:rPr>
        <w:t xml:space="preserve">within a collection period of 6 hours and less than 1% in the following 18 hours. The remaining part of the dose is assumed to be eliminated via protein catabolism, mainly in the kidney. </w:t>
      </w:r>
    </w:p>
    <w:p w:rsidR="000E7C8E" w:rsidRDefault="000E7C8E" w:rsidP="00C32C49">
      <w:pPr>
        <w:pStyle w:val="TextPI"/>
        <w:rPr>
          <w:rFonts w:cs="Arial"/>
          <w:lang w:val="en-GB" w:eastAsia="de-DE"/>
        </w:rPr>
      </w:pPr>
      <w:r w:rsidRPr="000E7C8E">
        <w:rPr>
          <w:rFonts w:cs="Arial"/>
          <w:lang w:val="en-GB" w:eastAsia="de-DE"/>
        </w:rPr>
        <w:t xml:space="preserve">After treatment with </w:t>
      </w:r>
      <w:proofErr w:type="spellStart"/>
      <w:r w:rsidRPr="000E7C8E">
        <w:rPr>
          <w:rFonts w:cs="Arial"/>
          <w:lang w:val="en-GB" w:eastAsia="de-DE"/>
        </w:rPr>
        <w:t>idarucizumab</w:t>
      </w:r>
      <w:proofErr w:type="spellEnd"/>
      <w:r w:rsidRPr="000E7C8E">
        <w:rPr>
          <w:rFonts w:cs="Arial"/>
          <w:lang w:val="en-GB" w:eastAsia="de-DE"/>
        </w:rPr>
        <w:t xml:space="preserve"> proteinuria has been observed. The transient proteinuria is a physiologic reaction to renal protein overflow after bolus/short term application of 5 g </w:t>
      </w:r>
      <w:proofErr w:type="spellStart"/>
      <w:r w:rsidRPr="000E7C8E">
        <w:rPr>
          <w:rFonts w:cs="Arial"/>
          <w:lang w:val="en-GB" w:eastAsia="de-DE"/>
        </w:rPr>
        <w:t>idarucizumab</w:t>
      </w:r>
      <w:proofErr w:type="spellEnd"/>
      <w:r w:rsidRPr="000E7C8E">
        <w:rPr>
          <w:rFonts w:cs="Arial"/>
          <w:lang w:val="en-GB" w:eastAsia="de-DE"/>
        </w:rPr>
        <w:t xml:space="preserve"> intravenously. The transient proteinuria usually peaked about 4 h</w:t>
      </w:r>
      <w:r w:rsidR="00823F35">
        <w:rPr>
          <w:rFonts w:cs="Arial"/>
          <w:lang w:val="en-GB" w:eastAsia="de-DE"/>
        </w:rPr>
        <w:t>ours</w:t>
      </w:r>
      <w:r w:rsidRPr="000E7C8E">
        <w:rPr>
          <w:rFonts w:cs="Arial"/>
          <w:lang w:val="en-GB" w:eastAsia="de-DE"/>
        </w:rPr>
        <w:t xml:space="preserve"> after </w:t>
      </w:r>
      <w:proofErr w:type="spellStart"/>
      <w:r w:rsidRPr="000E7C8E">
        <w:rPr>
          <w:rFonts w:cs="Arial"/>
          <w:lang w:val="en-GB" w:eastAsia="de-DE"/>
        </w:rPr>
        <w:t>idarucizumab</w:t>
      </w:r>
      <w:proofErr w:type="spellEnd"/>
      <w:r w:rsidRPr="000E7C8E">
        <w:rPr>
          <w:rFonts w:cs="Arial"/>
          <w:lang w:val="en-GB" w:eastAsia="de-DE"/>
        </w:rPr>
        <w:t xml:space="preserve"> administration and normalised within 12-24 hours. In single cases the transient proteinuria persisted for more than 24 hours.</w:t>
      </w:r>
    </w:p>
    <w:p w:rsidR="00644881" w:rsidRPr="00644881" w:rsidRDefault="00644881" w:rsidP="00644881">
      <w:pPr>
        <w:pStyle w:val="TextPI"/>
        <w:rPr>
          <w:rFonts w:cs="Arial"/>
          <w:u w:val="single"/>
          <w:lang w:val="en-GB" w:eastAsia="de-DE"/>
        </w:rPr>
      </w:pPr>
      <w:r w:rsidRPr="00644881">
        <w:rPr>
          <w:rFonts w:cs="Arial"/>
          <w:u w:val="single"/>
          <w:lang w:val="en-GB" w:eastAsia="de-DE"/>
        </w:rPr>
        <w:t xml:space="preserve">Renal impairment </w:t>
      </w:r>
    </w:p>
    <w:p w:rsidR="00644881" w:rsidRDefault="00644881" w:rsidP="00644881">
      <w:pPr>
        <w:pStyle w:val="TextPI"/>
        <w:rPr>
          <w:rFonts w:cs="Arial"/>
          <w:lang w:val="en-GB" w:eastAsia="de-DE"/>
        </w:rPr>
      </w:pPr>
      <w:r w:rsidRPr="00644881">
        <w:rPr>
          <w:rFonts w:cs="Arial"/>
          <w:lang w:val="en-GB" w:eastAsia="de-DE"/>
        </w:rPr>
        <w:t xml:space="preserve">Total </w:t>
      </w:r>
      <w:proofErr w:type="spellStart"/>
      <w:r w:rsidRPr="00644881">
        <w:rPr>
          <w:rFonts w:cs="Arial"/>
          <w:lang w:val="en-GB" w:eastAsia="de-DE"/>
        </w:rPr>
        <w:t>idarucizumab</w:t>
      </w:r>
      <w:proofErr w:type="spellEnd"/>
      <w:r w:rsidRPr="00644881">
        <w:rPr>
          <w:rFonts w:cs="Arial"/>
          <w:lang w:val="en-GB" w:eastAsia="de-DE"/>
        </w:rPr>
        <w:t xml:space="preserve"> clearance was reduced in subjects with renal impairment compared to healthy subjects, leading to an increased exposure of </w:t>
      </w:r>
      <w:proofErr w:type="spellStart"/>
      <w:r w:rsidRPr="00644881">
        <w:rPr>
          <w:rFonts w:cs="Arial"/>
          <w:lang w:val="en-GB" w:eastAsia="de-DE"/>
        </w:rPr>
        <w:t>idarucizumab</w:t>
      </w:r>
      <w:proofErr w:type="spellEnd"/>
      <w:r w:rsidR="008C379E">
        <w:rPr>
          <w:rFonts w:cs="Arial"/>
          <w:lang w:val="en-GB" w:eastAsia="de-DE"/>
        </w:rPr>
        <w:t>. These findings were consistent with the available data from 68 patients in the RE-VERSE AD trial</w:t>
      </w:r>
      <w:r w:rsidRPr="00644881">
        <w:rPr>
          <w:rFonts w:cs="Arial"/>
          <w:lang w:val="en-GB" w:eastAsia="de-DE"/>
        </w:rPr>
        <w:t xml:space="preserve"> (see PRECAUTIONS, Use in Specific Populations, Renal impairment).</w:t>
      </w:r>
    </w:p>
    <w:p w:rsidR="00241842" w:rsidRPr="001602C3" w:rsidRDefault="00241842" w:rsidP="00241842">
      <w:pPr>
        <w:pStyle w:val="TextPI"/>
        <w:keepNext/>
        <w:keepLines/>
        <w:rPr>
          <w:rFonts w:cs="Arial"/>
          <w:u w:val="single"/>
          <w:lang w:val="en-GB" w:eastAsia="de-DE"/>
        </w:rPr>
      </w:pPr>
      <w:r>
        <w:rPr>
          <w:rFonts w:cs="Arial"/>
          <w:u w:val="single"/>
          <w:lang w:val="en-GB" w:eastAsia="de-DE"/>
        </w:rPr>
        <w:t>Elderly</w:t>
      </w:r>
      <w:r w:rsidRPr="001602C3">
        <w:rPr>
          <w:rFonts w:cs="Arial"/>
          <w:u w:val="single"/>
          <w:lang w:val="en-GB" w:eastAsia="de-DE"/>
        </w:rPr>
        <w:t xml:space="preserve"> patients/sex/race</w:t>
      </w:r>
      <w:r>
        <w:rPr>
          <w:rFonts w:cs="Arial"/>
          <w:u w:val="single"/>
          <w:lang w:val="en-GB" w:eastAsia="de-DE"/>
        </w:rPr>
        <w:t>/body weight</w:t>
      </w:r>
    </w:p>
    <w:p w:rsidR="00241842" w:rsidRPr="00222DC2" w:rsidRDefault="00241842" w:rsidP="00241842">
      <w:pPr>
        <w:keepNext/>
        <w:keepLines/>
        <w:ind w:right="-29"/>
        <w:jc w:val="both"/>
        <w:rPr>
          <w:rFonts w:ascii="Arial" w:hAnsi="Arial" w:cs="Arial"/>
          <w:sz w:val="22"/>
          <w:szCs w:val="22"/>
          <w:lang w:val="en-GB" w:eastAsia="de-DE"/>
        </w:rPr>
      </w:pPr>
      <w:r w:rsidRPr="001602C3">
        <w:rPr>
          <w:rFonts w:ascii="Arial" w:hAnsi="Arial" w:cs="Arial"/>
          <w:sz w:val="22"/>
          <w:szCs w:val="22"/>
          <w:lang w:val="en-GB" w:eastAsia="de-DE"/>
        </w:rPr>
        <w:t>Based on population pharmacokinetic analyses</w:t>
      </w:r>
      <w:r>
        <w:rPr>
          <w:rFonts w:ascii="Arial" w:hAnsi="Arial" w:cs="Arial"/>
          <w:sz w:val="22"/>
          <w:szCs w:val="22"/>
          <w:lang w:val="en-GB" w:eastAsia="de-DE"/>
        </w:rPr>
        <w:t xml:space="preserve"> in healthy volunteers</w:t>
      </w:r>
      <w:r w:rsidRPr="001602C3">
        <w:rPr>
          <w:rFonts w:ascii="Arial" w:hAnsi="Arial" w:cs="Arial"/>
          <w:sz w:val="22"/>
          <w:szCs w:val="22"/>
          <w:lang w:val="en-GB" w:eastAsia="de-DE"/>
        </w:rPr>
        <w:t>, sex, age, race</w:t>
      </w:r>
      <w:r>
        <w:rPr>
          <w:rFonts w:ascii="Arial" w:hAnsi="Arial" w:cs="Arial"/>
          <w:sz w:val="22"/>
          <w:szCs w:val="22"/>
          <w:lang w:val="en-GB" w:eastAsia="de-DE"/>
        </w:rPr>
        <w:t xml:space="preserve"> and body weight</w:t>
      </w:r>
      <w:r w:rsidRPr="001602C3">
        <w:rPr>
          <w:rFonts w:ascii="Arial" w:hAnsi="Arial" w:cs="Arial"/>
          <w:sz w:val="22"/>
          <w:szCs w:val="22"/>
          <w:lang w:val="en-GB" w:eastAsia="de-DE"/>
        </w:rPr>
        <w:t xml:space="preserve"> do not have a clinically meaningful effect on the pharmacokinetics of </w:t>
      </w:r>
      <w:proofErr w:type="spellStart"/>
      <w:r w:rsidRPr="001602C3">
        <w:rPr>
          <w:rFonts w:ascii="Arial" w:hAnsi="Arial" w:cs="Arial"/>
          <w:sz w:val="22"/>
          <w:szCs w:val="22"/>
          <w:lang w:val="en-GB" w:eastAsia="de-DE"/>
        </w:rPr>
        <w:t>idarucizumab</w:t>
      </w:r>
      <w:proofErr w:type="spellEnd"/>
      <w:r w:rsidRPr="001602C3">
        <w:rPr>
          <w:rFonts w:ascii="Arial" w:hAnsi="Arial" w:cs="Arial"/>
          <w:sz w:val="22"/>
          <w:szCs w:val="22"/>
          <w:lang w:val="en-GB" w:eastAsia="de-DE"/>
        </w:rPr>
        <w:t>.</w:t>
      </w:r>
    </w:p>
    <w:p w:rsidR="00F12656" w:rsidRPr="003B2190" w:rsidRDefault="00F12656" w:rsidP="00644881">
      <w:pPr>
        <w:pStyle w:val="PIHeading1"/>
        <w:keepLines/>
      </w:pPr>
      <w:r>
        <w:t>clinical trials</w:t>
      </w:r>
    </w:p>
    <w:p w:rsidR="006E1E60" w:rsidRPr="006E1E60" w:rsidRDefault="006E1E60" w:rsidP="00644881">
      <w:pPr>
        <w:pStyle w:val="TextPI"/>
        <w:keepNext/>
        <w:keepLines/>
        <w:rPr>
          <w:rFonts w:cs="Arial"/>
          <w:lang w:val="en-GB" w:eastAsia="de-DE"/>
        </w:rPr>
      </w:pPr>
      <w:r w:rsidRPr="006E1E60">
        <w:rPr>
          <w:rFonts w:cs="Arial"/>
          <w:lang w:val="en-GB" w:eastAsia="de-DE"/>
        </w:rPr>
        <w:t>Three randomised, double-blind, placebo-controlled Phase I studies in 283 subjects</w:t>
      </w:r>
      <w:r>
        <w:rPr>
          <w:rFonts w:cs="Arial"/>
          <w:lang w:val="en-GB" w:eastAsia="de-DE"/>
        </w:rPr>
        <w:t xml:space="preserve"> </w:t>
      </w:r>
      <w:r w:rsidRPr="006E1E60">
        <w:rPr>
          <w:rFonts w:cs="Arial"/>
          <w:lang w:val="en-GB" w:eastAsia="de-DE"/>
        </w:rPr>
        <w:t xml:space="preserve">(224 treated with </w:t>
      </w:r>
      <w:proofErr w:type="spellStart"/>
      <w:r w:rsidRPr="006E1E60">
        <w:rPr>
          <w:rFonts w:cs="Arial"/>
          <w:lang w:val="en-GB" w:eastAsia="de-DE"/>
        </w:rPr>
        <w:t>idarucizumab</w:t>
      </w:r>
      <w:proofErr w:type="spellEnd"/>
      <w:r w:rsidRPr="006E1E60">
        <w:rPr>
          <w:rFonts w:cs="Arial"/>
          <w:lang w:val="en-GB" w:eastAsia="de-DE"/>
        </w:rPr>
        <w:t>) were conducted to assess the safety, efficacy, tolerability,</w:t>
      </w:r>
      <w:r>
        <w:rPr>
          <w:rFonts w:cs="Arial"/>
          <w:lang w:val="en-GB" w:eastAsia="de-DE"/>
        </w:rPr>
        <w:t xml:space="preserve"> </w:t>
      </w:r>
      <w:r w:rsidRPr="006E1E60">
        <w:rPr>
          <w:rFonts w:cs="Arial"/>
          <w:lang w:val="en-GB" w:eastAsia="de-DE"/>
        </w:rPr>
        <w:t xml:space="preserve">pharmacokinetics and pharmacodynamics of </w:t>
      </w:r>
      <w:proofErr w:type="spellStart"/>
      <w:r w:rsidRPr="006E1E60">
        <w:rPr>
          <w:rFonts w:cs="Arial"/>
          <w:lang w:val="en-GB" w:eastAsia="de-DE"/>
        </w:rPr>
        <w:t>idarucizumab</w:t>
      </w:r>
      <w:proofErr w:type="spellEnd"/>
      <w:r w:rsidRPr="006E1E60">
        <w:rPr>
          <w:rFonts w:cs="Arial"/>
          <w:lang w:val="en-GB" w:eastAsia="de-DE"/>
        </w:rPr>
        <w:t>, given alone or after</w:t>
      </w:r>
      <w:r>
        <w:rPr>
          <w:rFonts w:cs="Arial"/>
          <w:lang w:val="en-GB" w:eastAsia="de-DE"/>
        </w:rPr>
        <w:t xml:space="preserve"> </w:t>
      </w:r>
      <w:r w:rsidRPr="006E1E60">
        <w:rPr>
          <w:rFonts w:cs="Arial"/>
          <w:lang w:val="en-GB" w:eastAsia="de-DE"/>
        </w:rPr>
        <w:t xml:space="preserve">administration of dabigatran </w:t>
      </w:r>
      <w:proofErr w:type="spellStart"/>
      <w:r w:rsidRPr="006E1E60">
        <w:rPr>
          <w:rFonts w:cs="Arial"/>
          <w:lang w:val="en-GB" w:eastAsia="de-DE"/>
        </w:rPr>
        <w:t>etexilate</w:t>
      </w:r>
      <w:proofErr w:type="spellEnd"/>
      <w:r w:rsidRPr="006E1E60">
        <w:rPr>
          <w:rFonts w:cs="Arial"/>
          <w:lang w:val="en-GB" w:eastAsia="de-DE"/>
        </w:rPr>
        <w:t>. The investigated population consisted of healthy</w:t>
      </w:r>
      <w:r>
        <w:rPr>
          <w:rFonts w:cs="Arial"/>
          <w:lang w:val="en-GB" w:eastAsia="de-DE"/>
        </w:rPr>
        <w:t xml:space="preserve"> </w:t>
      </w:r>
      <w:r w:rsidRPr="006E1E60">
        <w:rPr>
          <w:rFonts w:cs="Arial"/>
          <w:lang w:val="en-GB" w:eastAsia="de-DE"/>
        </w:rPr>
        <w:t>subjects and subjects exhibiting specific population characteristics covering age, body weight,</w:t>
      </w:r>
      <w:r>
        <w:rPr>
          <w:rFonts w:cs="Arial"/>
          <w:lang w:val="en-GB" w:eastAsia="de-DE"/>
        </w:rPr>
        <w:t xml:space="preserve"> </w:t>
      </w:r>
      <w:r w:rsidRPr="006E1E60">
        <w:rPr>
          <w:rFonts w:cs="Arial"/>
          <w:lang w:val="en-GB" w:eastAsia="de-DE"/>
        </w:rPr>
        <w:t xml:space="preserve">race, sex and renal impairment. In these studies the doses of </w:t>
      </w:r>
      <w:proofErr w:type="spellStart"/>
      <w:r w:rsidRPr="006E1E60">
        <w:rPr>
          <w:rFonts w:cs="Arial"/>
          <w:lang w:val="en-GB" w:eastAsia="de-DE"/>
        </w:rPr>
        <w:t>idarucizumab</w:t>
      </w:r>
      <w:proofErr w:type="spellEnd"/>
      <w:r w:rsidRPr="006E1E60">
        <w:rPr>
          <w:rFonts w:cs="Arial"/>
          <w:lang w:val="en-GB" w:eastAsia="de-DE"/>
        </w:rPr>
        <w:t xml:space="preserve"> ranged from 20 mg</w:t>
      </w:r>
      <w:r>
        <w:rPr>
          <w:rFonts w:cs="Arial"/>
          <w:lang w:val="en-GB" w:eastAsia="de-DE"/>
        </w:rPr>
        <w:t xml:space="preserve"> </w:t>
      </w:r>
      <w:r w:rsidRPr="006E1E60">
        <w:rPr>
          <w:rFonts w:cs="Arial"/>
          <w:lang w:val="en-GB" w:eastAsia="de-DE"/>
        </w:rPr>
        <w:t>to 8 g and the infusion times ranged from 5 minutes to 1 hour.</w:t>
      </w:r>
    </w:p>
    <w:p w:rsidR="006E1E60" w:rsidRPr="00FC7EDC" w:rsidRDefault="006E1E60" w:rsidP="006E1E60">
      <w:pPr>
        <w:pStyle w:val="TextPI"/>
        <w:rPr>
          <w:rFonts w:cs="Arial"/>
          <w:lang w:val="en-GB"/>
        </w:rPr>
      </w:pPr>
      <w:r w:rsidRPr="006E1E60">
        <w:rPr>
          <w:rFonts w:cs="Arial"/>
          <w:lang w:val="en-GB"/>
        </w:rPr>
        <w:t>Representative values for pharmacokinetic and pharmacodynamics parameters were</w:t>
      </w:r>
      <w:r w:rsidR="00245E95">
        <w:rPr>
          <w:rFonts w:cs="Arial"/>
          <w:lang w:val="en-GB"/>
        </w:rPr>
        <w:t xml:space="preserve"> </w:t>
      </w:r>
      <w:r w:rsidRPr="006E1E60">
        <w:rPr>
          <w:rFonts w:cs="Arial"/>
          <w:lang w:val="en-GB"/>
        </w:rPr>
        <w:t xml:space="preserve">established on the basis of healthy subjects aged 45-64 years receiving 5 g </w:t>
      </w:r>
      <w:proofErr w:type="spellStart"/>
      <w:r w:rsidRPr="006E1E60">
        <w:rPr>
          <w:rFonts w:cs="Arial"/>
          <w:lang w:val="en-GB"/>
        </w:rPr>
        <w:t>idarucizumab</w:t>
      </w:r>
      <w:proofErr w:type="spellEnd"/>
      <w:r w:rsidRPr="006E1E60">
        <w:rPr>
          <w:rFonts w:cs="Arial"/>
          <w:lang w:val="en-GB"/>
        </w:rPr>
        <w:t xml:space="preserve"> (see</w:t>
      </w:r>
      <w:r w:rsidR="00245E95">
        <w:rPr>
          <w:rFonts w:cs="Arial"/>
          <w:lang w:val="en-GB"/>
        </w:rPr>
        <w:t xml:space="preserve"> </w:t>
      </w:r>
      <w:r w:rsidR="004B2142">
        <w:rPr>
          <w:rFonts w:cs="Arial"/>
          <w:lang w:val="en-GB"/>
        </w:rPr>
        <w:t xml:space="preserve">PHARMACOLOGY, </w:t>
      </w:r>
      <w:r w:rsidRPr="00FC7EDC">
        <w:rPr>
          <w:rFonts w:cs="Arial"/>
          <w:lang w:val="en-GB"/>
        </w:rPr>
        <w:t xml:space="preserve">Pharmacokinetics and Pharmacodynamics). </w:t>
      </w:r>
    </w:p>
    <w:p w:rsidR="00245E95" w:rsidRDefault="006E1E60" w:rsidP="006E1E60">
      <w:pPr>
        <w:pStyle w:val="TextPI"/>
        <w:rPr>
          <w:rFonts w:cs="Arial"/>
          <w:lang w:val="en-GB" w:eastAsia="de-DE"/>
        </w:rPr>
      </w:pPr>
      <w:r w:rsidRPr="00FC7EDC">
        <w:rPr>
          <w:rFonts w:cs="Arial"/>
          <w:lang w:val="en-GB" w:eastAsia="de-DE"/>
        </w:rPr>
        <w:lastRenderedPageBreak/>
        <w:t>A prospective, open-label, non-randomi</w:t>
      </w:r>
      <w:r w:rsidR="00245E95" w:rsidRPr="00FC7EDC">
        <w:rPr>
          <w:rFonts w:cs="Arial"/>
          <w:lang w:val="en-GB" w:eastAsia="de-DE"/>
        </w:rPr>
        <w:t>s</w:t>
      </w:r>
      <w:r w:rsidRPr="00FC7EDC">
        <w:rPr>
          <w:rFonts w:cs="Arial"/>
          <w:lang w:val="en-GB" w:eastAsia="de-DE"/>
        </w:rPr>
        <w:t>ed</w:t>
      </w:r>
      <w:r w:rsidRPr="00245E95">
        <w:rPr>
          <w:rFonts w:cs="Arial"/>
          <w:lang w:val="en-GB" w:eastAsia="de-DE"/>
        </w:rPr>
        <w:t>, uncontrolled study (RE-VERSE AD) is currently</w:t>
      </w:r>
      <w:r w:rsidR="00245E95">
        <w:rPr>
          <w:rFonts w:cs="Arial"/>
          <w:lang w:val="en-GB" w:eastAsia="de-DE"/>
        </w:rPr>
        <w:t xml:space="preserve"> </w:t>
      </w:r>
      <w:r w:rsidRPr="00245E95">
        <w:rPr>
          <w:rFonts w:cs="Arial"/>
          <w:lang w:val="en-GB" w:eastAsia="de-DE"/>
        </w:rPr>
        <w:t>ongoing to investigate the treatment of adult patients who present</w:t>
      </w:r>
      <w:r w:rsidR="00323B14">
        <w:rPr>
          <w:rFonts w:cs="Arial"/>
          <w:lang w:val="en-GB" w:eastAsia="de-DE"/>
        </w:rPr>
        <w:t>ed</w:t>
      </w:r>
      <w:r w:rsidRPr="00245E95">
        <w:rPr>
          <w:rFonts w:cs="Arial"/>
          <w:lang w:val="en-GB" w:eastAsia="de-DE"/>
        </w:rPr>
        <w:t xml:space="preserve"> with dabigatran-related life-threatening or uncontrolled bleeding </w:t>
      </w:r>
      <w:r w:rsidR="00323B14">
        <w:rPr>
          <w:rFonts w:cs="Arial"/>
          <w:lang w:val="en-GB" w:eastAsia="de-DE"/>
        </w:rPr>
        <w:t xml:space="preserve">(Group A) or who required emergency surgery or urgent procedures (Group B). The primary endpoint was the maximum percentage reversal of the anticoagulant effect of dabigatran within 4 hours </w:t>
      </w:r>
      <w:r w:rsidR="00487CCB">
        <w:rPr>
          <w:rFonts w:cs="Arial"/>
          <w:lang w:val="en-GB" w:eastAsia="de-DE"/>
        </w:rPr>
        <w:t xml:space="preserve">after the administration of </w:t>
      </w:r>
      <w:proofErr w:type="spellStart"/>
      <w:r w:rsidR="00487CCB">
        <w:rPr>
          <w:rFonts w:cs="Arial"/>
          <w:lang w:val="en-GB" w:eastAsia="de-DE"/>
        </w:rPr>
        <w:t>ida</w:t>
      </w:r>
      <w:r w:rsidR="00323B14">
        <w:rPr>
          <w:rFonts w:cs="Arial"/>
          <w:lang w:val="en-GB" w:eastAsia="de-DE"/>
        </w:rPr>
        <w:t>rucizumab</w:t>
      </w:r>
      <w:proofErr w:type="spellEnd"/>
      <w:r w:rsidR="00323B14">
        <w:rPr>
          <w:rFonts w:cs="Arial"/>
          <w:lang w:val="en-GB" w:eastAsia="de-DE"/>
        </w:rPr>
        <w:t>, based on central laboratory determination of diluted Thrombin Time (</w:t>
      </w:r>
      <w:proofErr w:type="spellStart"/>
      <w:r w:rsidR="00323B14">
        <w:rPr>
          <w:rFonts w:cs="Arial"/>
          <w:lang w:val="en-GB" w:eastAsia="de-DE"/>
        </w:rPr>
        <w:t>dTT</w:t>
      </w:r>
      <w:proofErr w:type="spellEnd"/>
      <w:r w:rsidR="00323B14">
        <w:rPr>
          <w:rFonts w:cs="Arial"/>
          <w:lang w:val="en-GB" w:eastAsia="de-DE"/>
        </w:rPr>
        <w:t xml:space="preserve">) or </w:t>
      </w:r>
      <w:proofErr w:type="spellStart"/>
      <w:r w:rsidR="00323B14">
        <w:rPr>
          <w:rFonts w:cs="Arial"/>
          <w:lang w:val="en-GB" w:eastAsia="de-DE"/>
        </w:rPr>
        <w:t>Ecarin</w:t>
      </w:r>
      <w:proofErr w:type="spellEnd"/>
      <w:r w:rsidR="00323B14">
        <w:rPr>
          <w:rFonts w:cs="Arial"/>
          <w:lang w:val="en-GB" w:eastAsia="de-DE"/>
        </w:rPr>
        <w:t xml:space="preserve"> Clotting Time (ECT). A key secondary endpoint is the restoration of haemostasis. </w:t>
      </w:r>
      <w:r w:rsidR="00245E95">
        <w:rPr>
          <w:rFonts w:cs="Arial"/>
          <w:lang w:val="en-GB" w:eastAsia="de-DE"/>
        </w:rPr>
        <w:t xml:space="preserve"> </w:t>
      </w:r>
    </w:p>
    <w:p w:rsidR="006E1E60" w:rsidRDefault="00323B14" w:rsidP="00323B14">
      <w:pPr>
        <w:pStyle w:val="TextPI"/>
        <w:rPr>
          <w:rFonts w:cs="Arial"/>
          <w:lang w:val="en-GB" w:eastAsia="de-DE"/>
        </w:rPr>
      </w:pPr>
      <w:r>
        <w:rPr>
          <w:rFonts w:cs="Arial"/>
          <w:lang w:val="en-GB" w:eastAsia="de-DE"/>
        </w:rPr>
        <w:t xml:space="preserve">An interim </w:t>
      </w:r>
      <w:r w:rsidRPr="00323B14">
        <w:rPr>
          <w:rFonts w:cs="Arial"/>
          <w:lang w:val="en-GB" w:eastAsia="de-DE"/>
        </w:rPr>
        <w:t>analysis of RE-VERSE AD included data for 123 patients: 66 patients with serious</w:t>
      </w:r>
      <w:r>
        <w:rPr>
          <w:rFonts w:cs="Arial"/>
          <w:lang w:val="en-GB" w:eastAsia="de-DE"/>
        </w:rPr>
        <w:t xml:space="preserve"> </w:t>
      </w:r>
      <w:r w:rsidRPr="00323B14">
        <w:rPr>
          <w:rFonts w:cs="Arial"/>
          <w:lang w:val="en-GB" w:eastAsia="de-DE"/>
        </w:rPr>
        <w:t>bleeding (Group A) and 57 requiring an urgent procedure (Group B). Approximately half of</w:t>
      </w:r>
      <w:r>
        <w:rPr>
          <w:rFonts w:cs="Arial"/>
          <w:lang w:val="en-GB" w:eastAsia="de-DE"/>
        </w:rPr>
        <w:t xml:space="preserve"> </w:t>
      </w:r>
      <w:r w:rsidRPr="00323B14">
        <w:rPr>
          <w:rFonts w:cs="Arial"/>
          <w:lang w:val="en-GB" w:eastAsia="de-DE"/>
        </w:rPr>
        <w:t>the patients in each group were male. The median age was 77 years and the median</w:t>
      </w:r>
      <w:r>
        <w:rPr>
          <w:rFonts w:cs="Arial"/>
          <w:lang w:val="en-GB" w:eastAsia="de-DE"/>
        </w:rPr>
        <w:t xml:space="preserve"> </w:t>
      </w:r>
      <w:r w:rsidRPr="00323B14">
        <w:rPr>
          <w:rFonts w:cs="Arial"/>
          <w:lang w:val="en-GB" w:eastAsia="de-DE"/>
        </w:rPr>
        <w:t xml:space="preserve">creatinine clearance was 61 mL/min. </w:t>
      </w:r>
      <w:proofErr w:type="gramStart"/>
      <w:r w:rsidRPr="00323B14">
        <w:rPr>
          <w:rFonts w:cs="Arial"/>
          <w:lang w:val="en-GB" w:eastAsia="de-DE"/>
        </w:rPr>
        <w:t>Approximately</w:t>
      </w:r>
      <w:proofErr w:type="gramEnd"/>
      <w:r w:rsidRPr="00323B14">
        <w:rPr>
          <w:rFonts w:cs="Arial"/>
          <w:lang w:val="en-GB" w:eastAsia="de-DE"/>
        </w:rPr>
        <w:t xml:space="preserve"> 68% of patients in Group A and 63% of</w:t>
      </w:r>
      <w:r>
        <w:rPr>
          <w:rFonts w:cs="Arial"/>
          <w:lang w:val="en-GB" w:eastAsia="de-DE"/>
        </w:rPr>
        <w:t xml:space="preserve"> </w:t>
      </w:r>
      <w:r w:rsidRPr="00323B14">
        <w:rPr>
          <w:rFonts w:cs="Arial"/>
          <w:lang w:val="en-GB" w:eastAsia="de-DE"/>
        </w:rPr>
        <w:t>patients in Group B had been treated with dabigatran 110 mg twice daily. Results of central</w:t>
      </w:r>
      <w:r>
        <w:rPr>
          <w:rFonts w:cs="Arial"/>
          <w:lang w:val="en-GB" w:eastAsia="de-DE"/>
        </w:rPr>
        <w:t xml:space="preserve"> </w:t>
      </w:r>
      <w:r w:rsidRPr="00323B14">
        <w:rPr>
          <w:rFonts w:cs="Arial"/>
          <w:lang w:val="en-GB" w:eastAsia="de-DE"/>
        </w:rPr>
        <w:t>laboratory evaluations were available for a subset of 90 patients (51 in Group A, 39 in</w:t>
      </w:r>
      <w:r>
        <w:rPr>
          <w:rFonts w:cs="Arial"/>
          <w:lang w:val="en-GB" w:eastAsia="de-DE"/>
        </w:rPr>
        <w:t xml:space="preserve"> </w:t>
      </w:r>
      <w:r w:rsidRPr="00323B14">
        <w:rPr>
          <w:rFonts w:cs="Arial"/>
          <w:lang w:val="en-GB" w:eastAsia="de-DE"/>
        </w:rPr>
        <w:t>Group B).</w:t>
      </w:r>
      <w:r w:rsidR="006E1E60" w:rsidRPr="00245E95">
        <w:rPr>
          <w:rFonts w:cs="Arial"/>
          <w:lang w:val="en-GB" w:eastAsia="de-DE"/>
        </w:rPr>
        <w:t xml:space="preserve"> </w:t>
      </w:r>
    </w:p>
    <w:p w:rsidR="00323B14" w:rsidRDefault="00323B14" w:rsidP="00323B14">
      <w:pPr>
        <w:pStyle w:val="TextPI"/>
        <w:rPr>
          <w:rFonts w:cs="Arial"/>
          <w:lang w:val="en-GB" w:eastAsia="de-DE"/>
        </w:rPr>
      </w:pPr>
      <w:r w:rsidRPr="00323B14">
        <w:rPr>
          <w:rFonts w:cs="Arial"/>
          <w:lang w:val="en-GB" w:eastAsia="de-DE"/>
        </w:rPr>
        <w:t>Most patients (&gt;89%), in both Groups A and B, achieved complete reversal of the</w:t>
      </w:r>
      <w:r>
        <w:rPr>
          <w:rFonts w:cs="Arial"/>
          <w:lang w:val="en-GB" w:eastAsia="de-DE"/>
        </w:rPr>
        <w:t xml:space="preserve"> </w:t>
      </w:r>
      <w:r w:rsidRPr="00323B14">
        <w:rPr>
          <w:rFonts w:cs="Arial"/>
          <w:lang w:val="en-GB" w:eastAsia="de-DE"/>
        </w:rPr>
        <w:t xml:space="preserve">anticoagulant effect of dabigatran as measured by </w:t>
      </w:r>
      <w:proofErr w:type="spellStart"/>
      <w:r w:rsidRPr="00323B14">
        <w:rPr>
          <w:rFonts w:cs="Arial"/>
          <w:lang w:val="en-GB" w:eastAsia="de-DE"/>
        </w:rPr>
        <w:t>dTT</w:t>
      </w:r>
      <w:proofErr w:type="spellEnd"/>
      <w:r w:rsidRPr="00323B14">
        <w:rPr>
          <w:rFonts w:cs="Arial"/>
          <w:lang w:val="en-GB" w:eastAsia="de-DE"/>
        </w:rPr>
        <w:t xml:space="preserve"> or ECT in the first 4 hours after</w:t>
      </w:r>
      <w:r>
        <w:rPr>
          <w:rFonts w:cs="Arial"/>
          <w:lang w:val="en-GB" w:eastAsia="de-DE"/>
        </w:rPr>
        <w:t xml:space="preserve"> </w:t>
      </w:r>
      <w:r w:rsidRPr="00323B14">
        <w:rPr>
          <w:rFonts w:cs="Arial"/>
          <w:lang w:val="en-GB" w:eastAsia="de-DE"/>
        </w:rPr>
        <w:t xml:space="preserve">administration of 5 g </w:t>
      </w:r>
      <w:proofErr w:type="spellStart"/>
      <w:r w:rsidRPr="00323B14">
        <w:rPr>
          <w:rFonts w:cs="Arial"/>
          <w:lang w:val="en-GB" w:eastAsia="de-DE"/>
        </w:rPr>
        <w:t>idarucizumab</w:t>
      </w:r>
      <w:proofErr w:type="spellEnd"/>
      <w:r w:rsidRPr="00323B14">
        <w:rPr>
          <w:rFonts w:cs="Arial"/>
          <w:lang w:val="en-GB" w:eastAsia="de-DE"/>
        </w:rPr>
        <w:t>. Reversal effects were evident immediately after</w:t>
      </w:r>
      <w:r>
        <w:rPr>
          <w:rFonts w:cs="Arial"/>
          <w:lang w:val="en-GB" w:eastAsia="de-DE"/>
        </w:rPr>
        <w:t xml:space="preserve"> </w:t>
      </w:r>
      <w:r w:rsidRPr="00323B14">
        <w:rPr>
          <w:rFonts w:cs="Arial"/>
          <w:lang w:val="en-GB" w:eastAsia="de-DE"/>
        </w:rPr>
        <w:t>administration.</w:t>
      </w:r>
    </w:p>
    <w:p w:rsidR="000A6A7D" w:rsidRDefault="000A6A7D" w:rsidP="000A6A7D">
      <w:pPr>
        <w:pStyle w:val="TextPI"/>
        <w:rPr>
          <w:rFonts w:cs="Arial"/>
          <w:lang w:val="en-GB" w:eastAsia="de-DE"/>
        </w:rPr>
      </w:pPr>
      <w:r w:rsidRPr="000A6A7D">
        <w:rPr>
          <w:rFonts w:cs="Arial"/>
          <w:lang w:val="en-GB" w:eastAsia="de-DE"/>
        </w:rPr>
        <w:t xml:space="preserve">Figures 3 and 4 </w:t>
      </w:r>
      <w:proofErr w:type="gramStart"/>
      <w:r w:rsidRPr="000A6A7D">
        <w:rPr>
          <w:rFonts w:cs="Arial"/>
          <w:lang w:val="en-GB" w:eastAsia="de-DE"/>
        </w:rPr>
        <w:t>show</w:t>
      </w:r>
      <w:proofErr w:type="gramEnd"/>
      <w:r w:rsidRPr="000A6A7D">
        <w:rPr>
          <w:rFonts w:cs="Arial"/>
          <w:lang w:val="en-GB" w:eastAsia="de-DE"/>
        </w:rPr>
        <w:t xml:space="preserve"> the reversal of dabigatran-induced clotting time prolongation determined by </w:t>
      </w:r>
      <w:proofErr w:type="spellStart"/>
      <w:r w:rsidRPr="000A6A7D">
        <w:rPr>
          <w:rFonts w:cs="Arial"/>
          <w:lang w:val="en-GB" w:eastAsia="de-DE"/>
        </w:rPr>
        <w:t>dTT</w:t>
      </w:r>
      <w:proofErr w:type="spellEnd"/>
      <w:r w:rsidRPr="000A6A7D">
        <w:rPr>
          <w:rFonts w:cs="Arial"/>
          <w:lang w:val="en-GB" w:eastAsia="de-DE"/>
        </w:rPr>
        <w:t xml:space="preserve"> or </w:t>
      </w:r>
      <w:proofErr w:type="spellStart"/>
      <w:r w:rsidRPr="000A6A7D">
        <w:rPr>
          <w:rFonts w:cs="Arial"/>
          <w:lang w:val="en-GB" w:eastAsia="de-DE"/>
        </w:rPr>
        <w:t>aPTT</w:t>
      </w:r>
      <w:proofErr w:type="spellEnd"/>
      <w:r w:rsidRPr="000A6A7D">
        <w:rPr>
          <w:rFonts w:cs="Arial"/>
          <w:lang w:val="en-GB" w:eastAsia="de-DE"/>
        </w:rPr>
        <w:t xml:space="preserve"> in 90 patients with available data from the RE-VERSE AD study.</w:t>
      </w:r>
    </w:p>
    <w:p w:rsidR="000A6A7D" w:rsidRDefault="000A6A7D" w:rsidP="000A6A7D">
      <w:pPr>
        <w:pStyle w:val="TextPI"/>
        <w:rPr>
          <w:rFonts w:cs="Arial"/>
          <w:lang w:val="en-GB" w:eastAsia="de-DE"/>
        </w:rPr>
      </w:pPr>
    </w:p>
    <w:p w:rsidR="000C6536" w:rsidRDefault="000C6536" w:rsidP="000C6536">
      <w:pPr>
        <w:pStyle w:val="TextPI"/>
        <w:keepNext/>
        <w:keepLines/>
        <w:rPr>
          <w:rFonts w:cs="Arial"/>
          <w:b/>
          <w:bCs/>
          <w:lang w:val="en-GB" w:eastAsia="de-DE"/>
        </w:rPr>
      </w:pPr>
      <w:r w:rsidRPr="000C6536">
        <w:rPr>
          <w:rFonts w:cs="Arial"/>
          <w:b/>
          <w:bCs/>
          <w:lang w:val="en-GB" w:eastAsia="de-DE"/>
        </w:rPr>
        <w:lastRenderedPageBreak/>
        <w:t xml:space="preserve">Figure 3: Reversal of dabigatran-induced clotting time prolongation determined by </w:t>
      </w:r>
      <w:proofErr w:type="spellStart"/>
      <w:r w:rsidRPr="000C6536">
        <w:rPr>
          <w:rFonts w:cs="Arial"/>
          <w:b/>
          <w:bCs/>
          <w:lang w:val="en-GB" w:eastAsia="de-DE"/>
        </w:rPr>
        <w:t>dTT</w:t>
      </w:r>
      <w:proofErr w:type="spellEnd"/>
      <w:r w:rsidRPr="000C6536">
        <w:rPr>
          <w:rFonts w:cs="Arial"/>
          <w:b/>
          <w:bCs/>
          <w:lang w:val="en-GB" w:eastAsia="de-DE"/>
        </w:rPr>
        <w:t xml:space="preserve"> in 90 patients from the RE-VERSE AD study</w:t>
      </w:r>
    </w:p>
    <w:p w:rsidR="000C6536" w:rsidRDefault="000C6536" w:rsidP="000C6536">
      <w:pPr>
        <w:pStyle w:val="TextPI"/>
        <w:rPr>
          <w:rFonts w:cs="Arial"/>
          <w:b/>
          <w:bCs/>
          <w:lang w:val="en-GB" w:eastAsia="de-DE"/>
        </w:rPr>
      </w:pPr>
      <w:r>
        <w:rPr>
          <w:noProof/>
          <w:color w:val="000000"/>
          <w:lang w:eastAsia="en-AU"/>
        </w:rPr>
        <w:drawing>
          <wp:inline distT="0" distB="0" distL="0" distR="0" wp14:anchorId="6FBEA396" wp14:editId="7F96AE18">
            <wp:extent cx="4285624" cy="5581650"/>
            <wp:effectExtent l="0" t="0" r="635" b="0"/>
            <wp:docPr id="8" name="Picture 8" descr="REVERSE-AD 90 patients_dTT_downsiz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ERSE-AD 90 patients_dTT_downsize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5624" cy="5581650"/>
                    </a:xfrm>
                    <a:prstGeom prst="rect">
                      <a:avLst/>
                    </a:prstGeom>
                    <a:noFill/>
                    <a:ln>
                      <a:noFill/>
                    </a:ln>
                  </pic:spPr>
                </pic:pic>
              </a:graphicData>
            </a:graphic>
          </wp:inline>
        </w:drawing>
      </w:r>
    </w:p>
    <w:p w:rsidR="000C6536" w:rsidRDefault="000C6536" w:rsidP="000C6536">
      <w:pPr>
        <w:pStyle w:val="TextPI"/>
        <w:rPr>
          <w:rFonts w:cs="Arial"/>
          <w:b/>
          <w:bCs/>
          <w:lang w:val="en-GB" w:eastAsia="de-DE"/>
        </w:rPr>
      </w:pPr>
    </w:p>
    <w:p w:rsidR="000C6536" w:rsidRDefault="000C6536" w:rsidP="000C6536">
      <w:pPr>
        <w:pStyle w:val="TextPI"/>
        <w:keepNext/>
        <w:keepLines/>
        <w:rPr>
          <w:rFonts w:cs="Arial"/>
          <w:b/>
          <w:bCs/>
          <w:lang w:val="en-GB" w:eastAsia="de-DE"/>
        </w:rPr>
      </w:pPr>
      <w:r w:rsidRPr="000C6536">
        <w:rPr>
          <w:rFonts w:cs="Arial"/>
          <w:b/>
          <w:bCs/>
          <w:lang w:val="en-GB" w:eastAsia="de-DE"/>
        </w:rPr>
        <w:lastRenderedPageBreak/>
        <w:t>Figure 4</w:t>
      </w:r>
      <w:r>
        <w:rPr>
          <w:rFonts w:cs="Arial"/>
          <w:b/>
          <w:bCs/>
          <w:lang w:val="en-GB" w:eastAsia="de-DE"/>
        </w:rPr>
        <w:t>:</w:t>
      </w:r>
      <w:r w:rsidRPr="000C6536">
        <w:rPr>
          <w:rFonts w:cs="Arial"/>
          <w:b/>
          <w:bCs/>
          <w:lang w:val="en-GB" w:eastAsia="de-DE"/>
        </w:rPr>
        <w:t xml:space="preserve"> Reversal of dabigatran-induced clotting time prolongation determined by </w:t>
      </w:r>
      <w:proofErr w:type="spellStart"/>
      <w:r w:rsidRPr="000C6536">
        <w:rPr>
          <w:rFonts w:cs="Arial"/>
          <w:b/>
          <w:bCs/>
          <w:lang w:val="en-GB" w:eastAsia="de-DE"/>
        </w:rPr>
        <w:t>aPTT</w:t>
      </w:r>
      <w:proofErr w:type="spellEnd"/>
      <w:r w:rsidRPr="000C6536">
        <w:rPr>
          <w:rFonts w:cs="Arial"/>
          <w:b/>
          <w:bCs/>
          <w:lang w:val="en-GB" w:eastAsia="de-DE"/>
        </w:rPr>
        <w:t xml:space="preserve"> in 90</w:t>
      </w:r>
      <w:r>
        <w:rPr>
          <w:rFonts w:cs="Arial"/>
          <w:b/>
          <w:bCs/>
          <w:lang w:val="en-GB" w:eastAsia="de-DE"/>
        </w:rPr>
        <w:t xml:space="preserve"> </w:t>
      </w:r>
      <w:r w:rsidRPr="000C6536">
        <w:rPr>
          <w:rFonts w:cs="Arial"/>
          <w:b/>
          <w:bCs/>
          <w:lang w:val="en-GB" w:eastAsia="de-DE"/>
        </w:rPr>
        <w:t>patients from the RE-VERSE AD study</w:t>
      </w:r>
    </w:p>
    <w:p w:rsidR="000C6536" w:rsidRDefault="000C6536" w:rsidP="000C6536">
      <w:pPr>
        <w:pStyle w:val="TextPI"/>
        <w:rPr>
          <w:rFonts w:cs="Arial"/>
          <w:b/>
          <w:bCs/>
          <w:lang w:val="en-GB" w:eastAsia="de-DE"/>
        </w:rPr>
      </w:pPr>
      <w:r>
        <w:rPr>
          <w:noProof/>
          <w:color w:val="000000"/>
          <w:lang w:eastAsia="en-AU"/>
        </w:rPr>
        <w:drawing>
          <wp:inline distT="0" distB="0" distL="0" distR="0" wp14:anchorId="52A1D19E" wp14:editId="24F380D4">
            <wp:extent cx="4145915" cy="5508625"/>
            <wp:effectExtent l="0" t="0" r="6985" b="0"/>
            <wp:docPr id="9" name="Picture 9" descr="REVERSE-AD 90 patients_aPTT_down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ERSE-AD 90 patients_aPTT_downsiz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5915" cy="5508625"/>
                    </a:xfrm>
                    <a:prstGeom prst="rect">
                      <a:avLst/>
                    </a:prstGeom>
                    <a:noFill/>
                    <a:ln>
                      <a:noFill/>
                    </a:ln>
                  </pic:spPr>
                </pic:pic>
              </a:graphicData>
            </a:graphic>
          </wp:inline>
        </w:drawing>
      </w:r>
    </w:p>
    <w:p w:rsidR="000C6536" w:rsidRDefault="000C6536" w:rsidP="000C6536">
      <w:pPr>
        <w:pStyle w:val="TextPI"/>
        <w:rPr>
          <w:rFonts w:cs="Arial"/>
          <w:b/>
          <w:bCs/>
          <w:lang w:val="en-GB" w:eastAsia="de-DE"/>
        </w:rPr>
      </w:pPr>
    </w:p>
    <w:p w:rsidR="000C6536" w:rsidRDefault="000C6536" w:rsidP="000C6536">
      <w:pPr>
        <w:pStyle w:val="TextPI"/>
        <w:rPr>
          <w:rFonts w:cs="Arial"/>
          <w:lang w:val="en-GB" w:eastAsia="de-DE"/>
        </w:rPr>
      </w:pPr>
      <w:r w:rsidRPr="000C6536">
        <w:rPr>
          <w:rFonts w:cs="Arial"/>
          <w:lang w:val="en-GB" w:eastAsia="de-DE"/>
        </w:rPr>
        <w:t>Restoration of haemostasis was achieved in 91% of evaluable patients who had serious</w:t>
      </w:r>
      <w:r>
        <w:rPr>
          <w:rFonts w:cs="Arial"/>
          <w:lang w:val="en-GB" w:eastAsia="de-DE"/>
        </w:rPr>
        <w:t xml:space="preserve"> </w:t>
      </w:r>
      <w:r w:rsidRPr="000C6536">
        <w:rPr>
          <w:rFonts w:cs="Arial"/>
          <w:lang w:val="en-GB" w:eastAsia="de-DE"/>
        </w:rPr>
        <w:t>bleeding and normal haemostasis was observed in 92% of patients who required an urgent</w:t>
      </w:r>
      <w:r>
        <w:rPr>
          <w:rFonts w:cs="Arial"/>
          <w:lang w:val="en-GB" w:eastAsia="de-DE"/>
        </w:rPr>
        <w:t xml:space="preserve"> </w:t>
      </w:r>
      <w:r w:rsidRPr="000C6536">
        <w:rPr>
          <w:rFonts w:cs="Arial"/>
          <w:lang w:val="en-GB" w:eastAsia="de-DE"/>
        </w:rPr>
        <w:t>procedure.</w:t>
      </w:r>
    </w:p>
    <w:p w:rsidR="000C6536" w:rsidRPr="000C6536" w:rsidRDefault="000C6536" w:rsidP="000C6536">
      <w:pPr>
        <w:pStyle w:val="TextPI"/>
        <w:rPr>
          <w:rFonts w:cs="Arial"/>
          <w:lang w:val="en-GB" w:eastAsia="de-DE"/>
        </w:rPr>
      </w:pPr>
      <w:r w:rsidRPr="000C6536">
        <w:rPr>
          <w:rFonts w:cs="Arial"/>
          <w:lang w:val="en-GB" w:eastAsia="de-DE"/>
        </w:rPr>
        <w:t>Of the total 123 patients, 26 patients died; each of these deaths could be attributed either as a</w:t>
      </w:r>
      <w:r>
        <w:rPr>
          <w:rFonts w:cs="Arial"/>
          <w:lang w:val="en-GB" w:eastAsia="de-DE"/>
        </w:rPr>
        <w:t xml:space="preserve"> </w:t>
      </w:r>
      <w:r w:rsidRPr="000C6536">
        <w:rPr>
          <w:rFonts w:cs="Arial"/>
          <w:lang w:val="en-GB" w:eastAsia="de-DE"/>
        </w:rPr>
        <w:t>complication of the index event or associated with co-morbidities. Thrombotic events were</w:t>
      </w:r>
      <w:r>
        <w:rPr>
          <w:rFonts w:cs="Arial"/>
          <w:lang w:val="en-GB" w:eastAsia="de-DE"/>
        </w:rPr>
        <w:t xml:space="preserve"> </w:t>
      </w:r>
      <w:r w:rsidRPr="000C6536">
        <w:rPr>
          <w:rFonts w:cs="Arial"/>
          <w:lang w:val="en-GB" w:eastAsia="de-DE"/>
        </w:rPr>
        <w:t>reported in 5 patients, none of which were on antithrombotic therapy at the time of the event,</w:t>
      </w:r>
      <w:r>
        <w:rPr>
          <w:rFonts w:cs="Arial"/>
          <w:lang w:val="en-GB" w:eastAsia="de-DE"/>
        </w:rPr>
        <w:t xml:space="preserve"> </w:t>
      </w:r>
      <w:r w:rsidRPr="000C6536">
        <w:rPr>
          <w:rFonts w:cs="Arial"/>
          <w:lang w:val="en-GB" w:eastAsia="de-DE"/>
        </w:rPr>
        <w:t>and in each of these cases, the thrombotic event could be attributed to the underlying medical</w:t>
      </w:r>
      <w:r>
        <w:rPr>
          <w:rFonts w:cs="Arial"/>
          <w:lang w:val="en-GB" w:eastAsia="de-DE"/>
        </w:rPr>
        <w:t xml:space="preserve"> </w:t>
      </w:r>
      <w:r w:rsidRPr="000C6536">
        <w:rPr>
          <w:rFonts w:cs="Arial"/>
          <w:lang w:val="en-GB" w:eastAsia="de-DE"/>
        </w:rPr>
        <w:t>condition of the patient. Mild symptoms of potential hypersensitivity (pyrexia, bronchospasm,</w:t>
      </w:r>
      <w:r>
        <w:rPr>
          <w:rFonts w:cs="Arial"/>
          <w:lang w:val="en-GB" w:eastAsia="de-DE"/>
        </w:rPr>
        <w:t xml:space="preserve"> </w:t>
      </w:r>
      <w:r w:rsidRPr="000C6536">
        <w:rPr>
          <w:rFonts w:cs="Arial"/>
          <w:lang w:val="en-GB" w:eastAsia="de-DE"/>
        </w:rPr>
        <w:t xml:space="preserve">hyperventilation, rash or pruritus) were reported. A causal relationship to </w:t>
      </w:r>
      <w:proofErr w:type="spellStart"/>
      <w:r w:rsidRPr="000C6536">
        <w:rPr>
          <w:rFonts w:cs="Arial"/>
          <w:lang w:val="en-GB" w:eastAsia="de-DE"/>
        </w:rPr>
        <w:t>idarucizumab</w:t>
      </w:r>
      <w:proofErr w:type="spellEnd"/>
      <w:r>
        <w:rPr>
          <w:rFonts w:cs="Arial"/>
          <w:lang w:val="en-GB" w:eastAsia="de-DE"/>
        </w:rPr>
        <w:t xml:space="preserve"> </w:t>
      </w:r>
      <w:r w:rsidRPr="000C6536">
        <w:rPr>
          <w:rFonts w:cs="Arial"/>
          <w:lang w:val="en-GB" w:eastAsia="de-DE"/>
        </w:rPr>
        <w:t>could not be established. Further adverse events, reported in greater than or equal to 5% of</w:t>
      </w:r>
      <w:r>
        <w:rPr>
          <w:rFonts w:cs="Arial"/>
          <w:lang w:val="en-GB" w:eastAsia="de-DE"/>
        </w:rPr>
        <w:t xml:space="preserve"> </w:t>
      </w:r>
      <w:r w:rsidRPr="000C6536">
        <w:rPr>
          <w:rFonts w:cs="Arial"/>
          <w:lang w:val="en-GB" w:eastAsia="de-DE"/>
        </w:rPr>
        <w:t xml:space="preserve">patients, were </w:t>
      </w:r>
      <w:proofErr w:type="spellStart"/>
      <w:r w:rsidRPr="000C6536">
        <w:rPr>
          <w:rFonts w:cs="Arial"/>
          <w:lang w:val="en-GB" w:eastAsia="de-DE"/>
        </w:rPr>
        <w:t>hypokalemia</w:t>
      </w:r>
      <w:proofErr w:type="spellEnd"/>
      <w:r w:rsidRPr="000C6536">
        <w:rPr>
          <w:rFonts w:cs="Arial"/>
          <w:lang w:val="en-GB" w:eastAsia="de-DE"/>
        </w:rPr>
        <w:t xml:space="preserve"> (9/123; 7%), delirium (9/123; 7%), constipation (8/123; 7%),</w:t>
      </w:r>
      <w:r>
        <w:rPr>
          <w:rFonts w:cs="Arial"/>
          <w:lang w:val="en-GB" w:eastAsia="de-DE"/>
        </w:rPr>
        <w:t xml:space="preserve"> </w:t>
      </w:r>
      <w:r w:rsidRPr="000C6536">
        <w:rPr>
          <w:rFonts w:cs="Arial"/>
          <w:lang w:val="en-GB" w:eastAsia="de-DE"/>
        </w:rPr>
        <w:t xml:space="preserve">pyrexia (7/123; 6%), </w:t>
      </w:r>
      <w:proofErr w:type="gramStart"/>
      <w:r w:rsidRPr="000C6536">
        <w:rPr>
          <w:rFonts w:cs="Arial"/>
          <w:lang w:val="en-GB" w:eastAsia="de-DE"/>
        </w:rPr>
        <w:t>pneumonia</w:t>
      </w:r>
      <w:proofErr w:type="gramEnd"/>
      <w:r w:rsidRPr="000C6536">
        <w:rPr>
          <w:rFonts w:cs="Arial"/>
          <w:lang w:val="en-GB" w:eastAsia="de-DE"/>
        </w:rPr>
        <w:t xml:space="preserve"> (7/123; 6%).</w:t>
      </w:r>
    </w:p>
    <w:p w:rsidR="00014579" w:rsidRPr="0042370A" w:rsidRDefault="00014579" w:rsidP="001A7050">
      <w:pPr>
        <w:pStyle w:val="PIHeading1"/>
      </w:pPr>
      <w:r w:rsidRPr="0042370A">
        <w:lastRenderedPageBreak/>
        <w:t>INDICATIONS</w:t>
      </w:r>
    </w:p>
    <w:p w:rsidR="002B636E" w:rsidRPr="002B636E" w:rsidRDefault="00762F30" w:rsidP="002B636E">
      <w:pPr>
        <w:pStyle w:val="TextPI"/>
        <w:rPr>
          <w:rFonts w:cs="Arial"/>
          <w:lang w:val="en-GB" w:eastAsia="de-DE"/>
        </w:rPr>
      </w:pPr>
      <w:r>
        <w:rPr>
          <w:rFonts w:cs="Arial"/>
          <w:lang w:val="en-GB" w:eastAsia="de-DE"/>
        </w:rPr>
        <w:t>PRAXBIND</w:t>
      </w:r>
      <w:r w:rsidR="002B636E" w:rsidRPr="002B636E">
        <w:rPr>
          <w:rFonts w:cs="Arial"/>
          <w:lang w:val="en-GB" w:eastAsia="de-DE"/>
        </w:rPr>
        <w:t xml:space="preserve"> is a specific reversal agent for dabigatran and is indicated in patients treated with dabigatran </w:t>
      </w:r>
      <w:proofErr w:type="spellStart"/>
      <w:r w:rsidR="002B636E" w:rsidRPr="002B636E">
        <w:rPr>
          <w:rFonts w:cs="Arial"/>
          <w:lang w:val="en-GB" w:eastAsia="de-DE"/>
        </w:rPr>
        <w:t>etexilate</w:t>
      </w:r>
      <w:proofErr w:type="spellEnd"/>
      <w:r w:rsidR="002B636E" w:rsidRPr="002B636E">
        <w:rPr>
          <w:rFonts w:cs="Arial"/>
          <w:lang w:val="en-GB" w:eastAsia="de-DE"/>
        </w:rPr>
        <w:t xml:space="preserve"> </w:t>
      </w:r>
      <w:r w:rsidR="00EA231A">
        <w:rPr>
          <w:rFonts w:cs="Arial"/>
          <w:lang w:val="en-GB" w:eastAsia="de-DE"/>
        </w:rPr>
        <w:t>(</w:t>
      </w:r>
      <w:r w:rsidR="00936F9E">
        <w:rPr>
          <w:rFonts w:cs="Arial"/>
          <w:lang w:val="en-GB" w:eastAsia="de-DE"/>
        </w:rPr>
        <w:t>PRADAXA</w:t>
      </w:r>
      <w:r w:rsidR="00EA231A">
        <w:rPr>
          <w:rFonts w:cs="Arial"/>
          <w:lang w:val="en-GB" w:eastAsia="de-DE"/>
        </w:rPr>
        <w:t>)</w:t>
      </w:r>
      <w:r w:rsidR="00936F9E" w:rsidRPr="002B636E">
        <w:rPr>
          <w:rFonts w:cs="Arial"/>
          <w:lang w:val="en-GB" w:eastAsia="de-DE"/>
        </w:rPr>
        <w:t xml:space="preserve"> </w:t>
      </w:r>
      <w:r w:rsidR="002B636E" w:rsidRPr="002B636E">
        <w:rPr>
          <w:rFonts w:cs="Arial"/>
          <w:lang w:val="en-GB" w:eastAsia="de-DE"/>
        </w:rPr>
        <w:t>when rapid reversal of the anticoagulant effects of dabigatran is required:</w:t>
      </w:r>
    </w:p>
    <w:p w:rsidR="002B636E" w:rsidRPr="002B636E" w:rsidRDefault="002B636E" w:rsidP="002B636E">
      <w:pPr>
        <w:pStyle w:val="TextPI"/>
        <w:numPr>
          <w:ilvl w:val="0"/>
          <w:numId w:val="17"/>
        </w:numPr>
        <w:rPr>
          <w:rFonts w:cs="Arial"/>
          <w:lang w:val="en-GB" w:eastAsia="de-DE"/>
        </w:rPr>
      </w:pPr>
      <w:r>
        <w:rPr>
          <w:rFonts w:cs="Arial"/>
          <w:lang w:val="en-GB" w:eastAsia="de-DE"/>
        </w:rPr>
        <w:t>f</w:t>
      </w:r>
      <w:r w:rsidRPr="002B636E">
        <w:rPr>
          <w:rFonts w:cs="Arial"/>
          <w:lang w:val="en-GB" w:eastAsia="de-DE"/>
        </w:rPr>
        <w:t>or emergency surgery/urgent procedures</w:t>
      </w:r>
    </w:p>
    <w:p w:rsidR="002B636E" w:rsidRPr="002B636E" w:rsidRDefault="002B636E" w:rsidP="002B636E">
      <w:pPr>
        <w:pStyle w:val="TextPI"/>
        <w:numPr>
          <w:ilvl w:val="0"/>
          <w:numId w:val="17"/>
        </w:numPr>
        <w:rPr>
          <w:rFonts w:cs="Arial"/>
          <w:lang w:val="en-GB" w:eastAsia="de-DE"/>
        </w:rPr>
      </w:pPr>
      <w:proofErr w:type="gramStart"/>
      <w:r>
        <w:rPr>
          <w:rFonts w:cs="Arial"/>
          <w:lang w:val="en-GB" w:eastAsia="de-DE"/>
        </w:rPr>
        <w:t>i</w:t>
      </w:r>
      <w:r w:rsidRPr="002B636E">
        <w:rPr>
          <w:rFonts w:cs="Arial"/>
          <w:lang w:val="en-GB" w:eastAsia="de-DE"/>
        </w:rPr>
        <w:t>n</w:t>
      </w:r>
      <w:proofErr w:type="gramEnd"/>
      <w:r w:rsidRPr="002B636E">
        <w:rPr>
          <w:rFonts w:cs="Arial"/>
          <w:lang w:val="en-GB" w:eastAsia="de-DE"/>
        </w:rPr>
        <w:t xml:space="preserve"> life-threatening or uncontrolled bleeding</w:t>
      </w:r>
      <w:r>
        <w:rPr>
          <w:rFonts w:cs="Arial"/>
          <w:lang w:val="en-GB" w:eastAsia="de-DE"/>
        </w:rPr>
        <w:t>.</w:t>
      </w:r>
      <w:r w:rsidRPr="002B636E">
        <w:rPr>
          <w:rFonts w:cs="Arial"/>
          <w:lang w:val="en-GB" w:eastAsia="de-DE"/>
        </w:rPr>
        <w:t xml:space="preserve"> </w:t>
      </w:r>
    </w:p>
    <w:p w:rsidR="00014579" w:rsidRPr="00CF07F6" w:rsidRDefault="00014579" w:rsidP="00CF07F6">
      <w:pPr>
        <w:pStyle w:val="PIHeading1"/>
      </w:pPr>
      <w:r w:rsidRPr="00CF07F6">
        <w:t>CONTRAINDICATIONS</w:t>
      </w:r>
    </w:p>
    <w:p w:rsidR="00913BD8" w:rsidRPr="002B636E" w:rsidRDefault="00E82FF9" w:rsidP="00CF07F6">
      <w:pPr>
        <w:pStyle w:val="TextPI"/>
        <w:rPr>
          <w:rFonts w:cs="Arial"/>
          <w:lang w:val="en-GB" w:eastAsia="de-DE"/>
        </w:rPr>
      </w:pPr>
      <w:proofErr w:type="gramStart"/>
      <w:r>
        <w:rPr>
          <w:rFonts w:cs="Arial"/>
          <w:lang w:val="en-GB" w:eastAsia="de-DE"/>
        </w:rPr>
        <w:t>None.</w:t>
      </w:r>
      <w:proofErr w:type="gramEnd"/>
    </w:p>
    <w:p w:rsidR="00014579" w:rsidRDefault="00014579" w:rsidP="00CF07F6">
      <w:pPr>
        <w:pStyle w:val="PIHeading1"/>
      </w:pPr>
      <w:r w:rsidRPr="00CF07F6">
        <w:t>PRECAUTIONS</w:t>
      </w:r>
    </w:p>
    <w:p w:rsidR="0084791F" w:rsidRPr="0084791F" w:rsidRDefault="0084791F" w:rsidP="0084791F">
      <w:pPr>
        <w:pStyle w:val="TextPI"/>
        <w:rPr>
          <w:rFonts w:cs="Arial"/>
          <w:lang w:val="en-GB" w:eastAsia="de-DE"/>
        </w:rPr>
      </w:pPr>
      <w:r w:rsidRPr="0084791F">
        <w:rPr>
          <w:rFonts w:cs="Arial"/>
          <w:lang w:val="en-GB" w:eastAsia="de-DE"/>
        </w:rPr>
        <w:t>Safety and efficacy in patients has been evaluated in an interim analysis of 123 patients in a prospective, open-label, non-randomised, uncontrolled study (RE-VERSE AD), which is planned for up to 500 patients (see CLINICAL TRIALS).</w:t>
      </w:r>
    </w:p>
    <w:p w:rsidR="00985BDD" w:rsidRPr="00985BDD" w:rsidRDefault="00985BDD" w:rsidP="00985BDD">
      <w:pPr>
        <w:pStyle w:val="TextPI"/>
        <w:rPr>
          <w:rFonts w:cs="Arial"/>
          <w:lang w:val="en-GB" w:eastAsia="de-DE"/>
        </w:rPr>
      </w:pPr>
      <w:proofErr w:type="spellStart"/>
      <w:r w:rsidRPr="00985BDD">
        <w:rPr>
          <w:rFonts w:cs="Arial"/>
          <w:lang w:val="en-GB" w:eastAsia="de-DE"/>
        </w:rPr>
        <w:t>Idarucizumab</w:t>
      </w:r>
      <w:proofErr w:type="spellEnd"/>
      <w:r w:rsidRPr="00985BDD">
        <w:rPr>
          <w:rFonts w:cs="Arial"/>
          <w:lang w:val="en-GB" w:eastAsia="de-DE"/>
        </w:rPr>
        <w:t xml:space="preserve"> binds specifically to dabigatran and reverses its anticoagulant effect. It will not reverse the effects of other anticoagulants (see </w:t>
      </w:r>
      <w:r w:rsidR="004B2142">
        <w:rPr>
          <w:rFonts w:cs="Arial"/>
          <w:lang w:val="en-GB" w:eastAsia="de-DE"/>
        </w:rPr>
        <w:t>PHARMACOLOGY</w:t>
      </w:r>
      <w:r w:rsidR="004B2142" w:rsidRPr="004B2142">
        <w:rPr>
          <w:rFonts w:cs="Arial"/>
          <w:lang w:val="en-GB" w:eastAsia="de-DE"/>
        </w:rPr>
        <w:t xml:space="preserve">, </w:t>
      </w:r>
      <w:r w:rsidRPr="004B2142">
        <w:rPr>
          <w:rFonts w:cs="Arial"/>
          <w:lang w:val="en-GB" w:eastAsia="de-DE"/>
        </w:rPr>
        <w:t>Pharmacodynamics).</w:t>
      </w:r>
      <w:r w:rsidRPr="00985BDD">
        <w:rPr>
          <w:rFonts w:cs="Arial"/>
          <w:lang w:val="en-GB" w:eastAsia="de-DE"/>
        </w:rPr>
        <w:t xml:space="preserve"> </w:t>
      </w:r>
    </w:p>
    <w:p w:rsidR="00985BDD" w:rsidRPr="00985BDD" w:rsidRDefault="00762F30" w:rsidP="00985BDD">
      <w:pPr>
        <w:pStyle w:val="TextPI"/>
        <w:rPr>
          <w:rFonts w:cs="Arial"/>
          <w:lang w:val="en-GB" w:eastAsia="de-DE"/>
        </w:rPr>
      </w:pPr>
      <w:r>
        <w:rPr>
          <w:rFonts w:cs="Arial"/>
          <w:lang w:val="en-GB" w:eastAsia="de-DE"/>
        </w:rPr>
        <w:t>PRAXBIND</w:t>
      </w:r>
      <w:r w:rsidR="00985BDD" w:rsidRPr="00985BDD">
        <w:rPr>
          <w:rFonts w:cs="Arial"/>
          <w:lang w:val="en-GB" w:eastAsia="de-DE"/>
        </w:rPr>
        <w:t xml:space="preserve"> treatment can be used in conjunction with standard supportive measures, which should be considered as medically appropriate.</w:t>
      </w:r>
    </w:p>
    <w:p w:rsidR="00337C4D" w:rsidRDefault="00337C4D" w:rsidP="00337C4D">
      <w:pPr>
        <w:pStyle w:val="PIheading2"/>
      </w:pPr>
      <w:r>
        <w:t>Thromboembolic events</w:t>
      </w:r>
    </w:p>
    <w:p w:rsidR="00337C4D" w:rsidRPr="00337C4D" w:rsidRDefault="00337C4D" w:rsidP="00337C4D">
      <w:pPr>
        <w:pStyle w:val="TextPI"/>
        <w:rPr>
          <w:rFonts w:cs="Arial"/>
          <w:lang w:val="en-GB" w:eastAsia="de-DE"/>
        </w:rPr>
      </w:pPr>
      <w:r w:rsidRPr="00337C4D">
        <w:rPr>
          <w:rFonts w:cs="Arial"/>
          <w:lang w:val="en-GB" w:eastAsia="de-DE"/>
        </w:rPr>
        <w:t>Patients being treated with dabigatran have underlying disease states that predispose them to</w:t>
      </w:r>
      <w:r>
        <w:rPr>
          <w:rFonts w:cs="Arial"/>
          <w:lang w:val="en-GB" w:eastAsia="de-DE"/>
        </w:rPr>
        <w:t xml:space="preserve"> </w:t>
      </w:r>
      <w:r w:rsidRPr="00337C4D">
        <w:rPr>
          <w:rFonts w:cs="Arial"/>
          <w:lang w:val="en-GB" w:eastAsia="de-DE"/>
        </w:rPr>
        <w:t xml:space="preserve">thromboembolic events. Reversal of dabigatran </w:t>
      </w:r>
      <w:r w:rsidR="00D86B92">
        <w:rPr>
          <w:rFonts w:cs="Arial"/>
          <w:lang w:val="en-GB" w:eastAsia="de-DE"/>
        </w:rPr>
        <w:t xml:space="preserve">therapy </w:t>
      </w:r>
      <w:r w:rsidRPr="00337C4D">
        <w:rPr>
          <w:rFonts w:cs="Arial"/>
          <w:lang w:val="en-GB" w:eastAsia="de-DE"/>
        </w:rPr>
        <w:t xml:space="preserve">exposes patients to </w:t>
      </w:r>
      <w:r w:rsidR="00D86B92">
        <w:rPr>
          <w:rFonts w:cs="Arial"/>
          <w:lang w:val="en-GB" w:eastAsia="de-DE"/>
        </w:rPr>
        <w:t>the</w:t>
      </w:r>
      <w:r>
        <w:rPr>
          <w:rFonts w:cs="Arial"/>
          <w:lang w:val="en-GB" w:eastAsia="de-DE"/>
        </w:rPr>
        <w:t xml:space="preserve"> </w:t>
      </w:r>
      <w:r w:rsidRPr="00337C4D">
        <w:rPr>
          <w:rFonts w:cs="Arial"/>
          <w:lang w:val="en-GB" w:eastAsia="de-DE"/>
        </w:rPr>
        <w:t>thrombotic risk</w:t>
      </w:r>
      <w:r w:rsidR="00D86B92">
        <w:rPr>
          <w:rFonts w:cs="Arial"/>
          <w:lang w:val="en-GB" w:eastAsia="de-DE"/>
        </w:rPr>
        <w:t xml:space="preserve"> of their underlying disease</w:t>
      </w:r>
      <w:r w:rsidRPr="00337C4D">
        <w:rPr>
          <w:rFonts w:cs="Arial"/>
          <w:lang w:val="en-GB" w:eastAsia="de-DE"/>
        </w:rPr>
        <w:t xml:space="preserve">. </w:t>
      </w:r>
      <w:r w:rsidR="00D86B92">
        <w:rPr>
          <w:rFonts w:cs="Arial"/>
          <w:lang w:val="en-GB" w:eastAsia="de-DE"/>
        </w:rPr>
        <w:t>To reduce this risk</w:t>
      </w:r>
      <w:r w:rsidRPr="00337C4D">
        <w:rPr>
          <w:rFonts w:cs="Arial"/>
          <w:lang w:val="en-GB" w:eastAsia="de-DE"/>
        </w:rPr>
        <w:t>, resumption of anticoagulant therapy should be considered as</w:t>
      </w:r>
      <w:r>
        <w:rPr>
          <w:rFonts w:cs="Arial"/>
          <w:lang w:val="en-GB" w:eastAsia="de-DE"/>
        </w:rPr>
        <w:t xml:space="preserve"> </w:t>
      </w:r>
      <w:r w:rsidRPr="00337C4D">
        <w:rPr>
          <w:rFonts w:cs="Arial"/>
          <w:lang w:val="en-GB" w:eastAsia="de-DE"/>
        </w:rPr>
        <w:t>soon as medically appropriate</w:t>
      </w:r>
      <w:r w:rsidR="00D86B92">
        <w:rPr>
          <w:rFonts w:cs="Arial"/>
          <w:lang w:val="en-GB" w:eastAsia="de-DE"/>
        </w:rPr>
        <w:t xml:space="preserve"> (see DOSAGE AND ADMINISTRATION)</w:t>
      </w:r>
      <w:r w:rsidRPr="00337C4D">
        <w:rPr>
          <w:rFonts w:cs="Arial"/>
          <w:lang w:val="en-GB" w:eastAsia="de-DE"/>
        </w:rPr>
        <w:t>.</w:t>
      </w:r>
    </w:p>
    <w:p w:rsidR="00985BDD" w:rsidRPr="00985BDD" w:rsidRDefault="00985BDD" w:rsidP="00985BDD">
      <w:pPr>
        <w:pStyle w:val="PIheading2"/>
      </w:pPr>
      <w:r w:rsidRPr="00985BDD">
        <w:t>Hypersensitivity</w:t>
      </w:r>
    </w:p>
    <w:p w:rsidR="00985BDD" w:rsidRPr="00985BDD" w:rsidRDefault="00985BDD" w:rsidP="00985BDD">
      <w:pPr>
        <w:pStyle w:val="TextPI"/>
        <w:rPr>
          <w:rFonts w:cs="Arial"/>
          <w:lang w:val="en-GB" w:eastAsia="de-DE"/>
        </w:rPr>
      </w:pPr>
      <w:r w:rsidRPr="00985BDD">
        <w:rPr>
          <w:rFonts w:cs="Arial"/>
          <w:lang w:val="en-GB" w:eastAsia="de-DE"/>
        </w:rPr>
        <w:t xml:space="preserve">The risk of using </w:t>
      </w:r>
      <w:r w:rsidR="00762F30">
        <w:rPr>
          <w:rFonts w:cs="Arial"/>
          <w:lang w:val="en-GB" w:eastAsia="de-DE"/>
        </w:rPr>
        <w:t>PRAXBIND</w:t>
      </w:r>
      <w:r w:rsidRPr="00985BDD">
        <w:rPr>
          <w:rFonts w:cs="Arial"/>
          <w:lang w:val="en-GB" w:eastAsia="de-DE"/>
        </w:rPr>
        <w:t xml:space="preserve"> in patients with known hypersensitivity (e.g. </w:t>
      </w:r>
      <w:proofErr w:type="spellStart"/>
      <w:r w:rsidRPr="00985BDD">
        <w:rPr>
          <w:rFonts w:cs="Arial"/>
          <w:lang w:val="en-GB" w:eastAsia="de-DE"/>
        </w:rPr>
        <w:t>anaphylactoid</w:t>
      </w:r>
      <w:proofErr w:type="spellEnd"/>
      <w:r w:rsidRPr="00985BDD">
        <w:rPr>
          <w:rFonts w:cs="Arial"/>
          <w:lang w:val="en-GB" w:eastAsia="de-DE"/>
        </w:rPr>
        <w:t xml:space="preserve"> reaction) to </w:t>
      </w:r>
      <w:proofErr w:type="spellStart"/>
      <w:r w:rsidRPr="00985BDD">
        <w:rPr>
          <w:rFonts w:cs="Arial"/>
          <w:lang w:val="en-GB" w:eastAsia="de-DE"/>
        </w:rPr>
        <w:t>idarucizumab</w:t>
      </w:r>
      <w:proofErr w:type="spellEnd"/>
      <w:r w:rsidRPr="00985BDD">
        <w:rPr>
          <w:rFonts w:cs="Arial"/>
          <w:lang w:val="en-GB" w:eastAsia="de-DE"/>
        </w:rPr>
        <w:t xml:space="preserve"> or to any of the excipients needs to be weighed cautiously against the potential benefit of such an emergency treatment. If an anaphylactic reaction or other serious allergic reaction occurs, administration of </w:t>
      </w:r>
      <w:r w:rsidR="00762F30">
        <w:rPr>
          <w:rFonts w:cs="Arial"/>
          <w:lang w:val="en-GB" w:eastAsia="de-DE"/>
        </w:rPr>
        <w:t>PRAXBIND</w:t>
      </w:r>
      <w:r w:rsidRPr="00985BDD">
        <w:rPr>
          <w:rFonts w:cs="Arial"/>
          <w:lang w:val="en-GB" w:eastAsia="de-DE"/>
        </w:rPr>
        <w:t xml:space="preserve"> should be discontinued immediately and appropriate therapy initiated. </w:t>
      </w:r>
    </w:p>
    <w:p w:rsidR="00985BDD" w:rsidRPr="00985BDD" w:rsidRDefault="00985BDD" w:rsidP="00985BDD">
      <w:pPr>
        <w:pStyle w:val="PIheading2"/>
      </w:pPr>
      <w:r w:rsidRPr="00985BDD">
        <w:t>Hereditary fructose intolerance</w:t>
      </w:r>
    </w:p>
    <w:p w:rsidR="00985BDD" w:rsidRDefault="00985BDD" w:rsidP="00A4067A">
      <w:pPr>
        <w:keepLines/>
        <w:ind w:right="-29"/>
        <w:jc w:val="both"/>
        <w:rPr>
          <w:rFonts w:ascii="Arial" w:hAnsi="Arial" w:cs="Arial"/>
          <w:sz w:val="22"/>
          <w:szCs w:val="22"/>
          <w:lang w:val="en-GB" w:eastAsia="de-DE"/>
        </w:rPr>
      </w:pPr>
      <w:r w:rsidRPr="00AB2934">
        <w:rPr>
          <w:rFonts w:ascii="Arial" w:hAnsi="Arial" w:cs="Arial"/>
          <w:sz w:val="22"/>
          <w:szCs w:val="22"/>
          <w:lang w:val="en-GB" w:eastAsia="de-DE"/>
        </w:rPr>
        <w:t xml:space="preserve">The recommended dose of </w:t>
      </w:r>
      <w:r w:rsidR="00762F30">
        <w:rPr>
          <w:rFonts w:ascii="Arial" w:hAnsi="Arial" w:cs="Arial"/>
          <w:sz w:val="22"/>
          <w:szCs w:val="22"/>
          <w:lang w:val="en-GB" w:eastAsia="de-DE"/>
        </w:rPr>
        <w:t>PRAXBIND</w:t>
      </w:r>
      <w:r w:rsidR="00AB2934" w:rsidRPr="00AB2934">
        <w:rPr>
          <w:rFonts w:ascii="Arial" w:hAnsi="Arial" w:cs="Arial"/>
          <w:sz w:val="22"/>
          <w:szCs w:val="22"/>
          <w:lang w:val="en-GB" w:eastAsia="de-DE"/>
        </w:rPr>
        <w:t xml:space="preserve"> </w:t>
      </w:r>
      <w:r w:rsidRPr="00AB2934">
        <w:rPr>
          <w:rFonts w:ascii="Arial" w:hAnsi="Arial" w:cs="Arial"/>
          <w:sz w:val="22"/>
          <w:szCs w:val="22"/>
          <w:lang w:val="en-GB" w:eastAsia="de-DE"/>
        </w:rPr>
        <w:t>contains 4 g sorbitol as an excipient.  In patients with hereditary fructose intolerance, parenteral administration of sorbitol has been associated with reports of hypoglyc</w:t>
      </w:r>
      <w:r w:rsidR="00AB2934">
        <w:rPr>
          <w:rFonts w:ascii="Arial" w:hAnsi="Arial" w:cs="Arial"/>
          <w:sz w:val="22"/>
          <w:szCs w:val="22"/>
          <w:lang w:val="en-GB" w:eastAsia="de-DE"/>
        </w:rPr>
        <w:t>a</w:t>
      </w:r>
      <w:r w:rsidRPr="00AB2934">
        <w:rPr>
          <w:rFonts w:ascii="Arial" w:hAnsi="Arial" w:cs="Arial"/>
          <w:sz w:val="22"/>
          <w:szCs w:val="22"/>
          <w:lang w:val="en-GB" w:eastAsia="de-DE"/>
        </w:rPr>
        <w:t xml:space="preserve">emia, hypophosphatemia, metabolic acidosis, increase in uric acid, acute liver failure with breakdown of excretory and synthetic function, and death. Therefore, in patients with hereditary fructose intolerance the risk of treatment with </w:t>
      </w:r>
      <w:r w:rsidR="00762F30">
        <w:rPr>
          <w:rFonts w:ascii="Arial" w:hAnsi="Arial" w:cs="Arial"/>
          <w:sz w:val="22"/>
          <w:szCs w:val="22"/>
          <w:lang w:val="en-GB" w:eastAsia="de-DE"/>
        </w:rPr>
        <w:t>PRAXBIND</w:t>
      </w:r>
      <w:r w:rsidR="00AB2934" w:rsidRPr="00AB2934">
        <w:rPr>
          <w:rFonts w:ascii="Arial" w:hAnsi="Arial" w:cs="Arial"/>
          <w:sz w:val="22"/>
          <w:szCs w:val="22"/>
          <w:lang w:val="en-GB" w:eastAsia="de-DE"/>
        </w:rPr>
        <w:t xml:space="preserve"> </w:t>
      </w:r>
      <w:r w:rsidRPr="00AB2934">
        <w:rPr>
          <w:rFonts w:ascii="Arial" w:hAnsi="Arial" w:cs="Arial"/>
          <w:sz w:val="22"/>
          <w:szCs w:val="22"/>
          <w:lang w:val="en-GB" w:eastAsia="de-DE"/>
        </w:rPr>
        <w:t xml:space="preserve">must be weighed against the potential benefit of such an emergency treatment. </w:t>
      </w:r>
    </w:p>
    <w:p w:rsidR="00E03E0D" w:rsidRPr="00E03E0D" w:rsidRDefault="00E03E0D" w:rsidP="00E03E0D">
      <w:pPr>
        <w:pStyle w:val="PIheading2"/>
      </w:pPr>
      <w:r w:rsidRPr="00E03E0D">
        <w:t xml:space="preserve">Urinary protein testing </w:t>
      </w:r>
    </w:p>
    <w:p w:rsidR="00E03E0D" w:rsidRDefault="00E03E0D" w:rsidP="00E03E0D">
      <w:pPr>
        <w:keepLines/>
        <w:ind w:right="-29"/>
        <w:jc w:val="both"/>
        <w:rPr>
          <w:rFonts w:ascii="Arial" w:hAnsi="Arial" w:cs="Arial"/>
          <w:sz w:val="22"/>
          <w:szCs w:val="22"/>
          <w:lang w:val="en-GB" w:eastAsia="de-DE"/>
        </w:rPr>
      </w:pPr>
      <w:r w:rsidRPr="00E03E0D">
        <w:rPr>
          <w:rFonts w:ascii="Arial" w:hAnsi="Arial" w:cs="Arial"/>
          <w:sz w:val="22"/>
          <w:szCs w:val="22"/>
          <w:lang w:val="en-GB" w:eastAsia="de-DE"/>
        </w:rPr>
        <w:t xml:space="preserve">PRAXBIND causes transient proteinuria as a physiologic reaction to renal protein overflow after bolus/short term application of 5g </w:t>
      </w:r>
      <w:proofErr w:type="spellStart"/>
      <w:r w:rsidRPr="00E03E0D">
        <w:rPr>
          <w:rFonts w:ascii="Arial" w:hAnsi="Arial" w:cs="Arial"/>
          <w:sz w:val="22"/>
          <w:szCs w:val="22"/>
          <w:lang w:val="en-GB" w:eastAsia="de-DE"/>
        </w:rPr>
        <w:t>idarucizumab</w:t>
      </w:r>
      <w:proofErr w:type="spellEnd"/>
      <w:r w:rsidRPr="00E03E0D">
        <w:rPr>
          <w:rFonts w:ascii="Arial" w:hAnsi="Arial" w:cs="Arial"/>
          <w:sz w:val="22"/>
          <w:szCs w:val="22"/>
          <w:lang w:val="en-GB" w:eastAsia="de-DE"/>
        </w:rPr>
        <w:t xml:space="preserve"> intravenously (see</w:t>
      </w:r>
      <w:r w:rsidR="004E72E6">
        <w:rPr>
          <w:rFonts w:ascii="Arial" w:hAnsi="Arial" w:cs="Arial"/>
          <w:sz w:val="22"/>
          <w:szCs w:val="22"/>
          <w:lang w:val="en-GB" w:eastAsia="de-DE"/>
        </w:rPr>
        <w:t xml:space="preserve"> PHARMACOLOGY,</w:t>
      </w:r>
      <w:r w:rsidRPr="00E03E0D">
        <w:rPr>
          <w:rFonts w:ascii="Arial" w:hAnsi="Arial" w:cs="Arial"/>
          <w:sz w:val="22"/>
          <w:szCs w:val="22"/>
          <w:lang w:val="en-GB" w:eastAsia="de-DE"/>
        </w:rPr>
        <w:t xml:space="preserve"> Pharmacokinetics). The transient proteinuria is not indicative of renal damage, which should be taken into account for urine testing.</w:t>
      </w:r>
    </w:p>
    <w:p w:rsidR="00DD753D" w:rsidRPr="00DD753D" w:rsidRDefault="00DD753D" w:rsidP="00DD753D">
      <w:pPr>
        <w:pStyle w:val="PIheading2"/>
      </w:pPr>
      <w:r w:rsidRPr="00DD753D">
        <w:lastRenderedPageBreak/>
        <w:t xml:space="preserve">Re-elevation of Coagulation Parameters </w:t>
      </w:r>
    </w:p>
    <w:p w:rsidR="00DD753D" w:rsidRDefault="00DD753D" w:rsidP="00DD753D">
      <w:pPr>
        <w:keepLines/>
        <w:ind w:right="-29"/>
        <w:jc w:val="both"/>
        <w:rPr>
          <w:rFonts w:ascii="Arial" w:hAnsi="Arial" w:cs="Arial"/>
          <w:sz w:val="22"/>
          <w:szCs w:val="22"/>
          <w:lang w:val="en-GB" w:eastAsia="de-DE"/>
        </w:rPr>
      </w:pPr>
      <w:r w:rsidRPr="00DD753D">
        <w:rPr>
          <w:rFonts w:ascii="Arial" w:hAnsi="Arial" w:cs="Arial"/>
          <w:sz w:val="22"/>
          <w:szCs w:val="22"/>
          <w:lang w:val="en-GB" w:eastAsia="de-DE"/>
        </w:rPr>
        <w:t xml:space="preserve">In a limited number of patients, recurrence of plasma concentrations of unbound dabigatran and concomitant elevated coagulation parameters have occurred up to 24 hours after administration of </w:t>
      </w:r>
      <w:proofErr w:type="spellStart"/>
      <w:r w:rsidRPr="00DD753D">
        <w:rPr>
          <w:rFonts w:ascii="Arial" w:hAnsi="Arial" w:cs="Arial"/>
          <w:sz w:val="22"/>
          <w:szCs w:val="22"/>
          <w:lang w:val="en-GB" w:eastAsia="de-DE"/>
        </w:rPr>
        <w:t>idarucizumab</w:t>
      </w:r>
      <w:proofErr w:type="spellEnd"/>
      <w:r w:rsidRPr="00DD753D">
        <w:rPr>
          <w:rFonts w:ascii="Arial" w:hAnsi="Arial" w:cs="Arial"/>
          <w:sz w:val="22"/>
          <w:szCs w:val="22"/>
          <w:lang w:val="en-GB" w:eastAsia="de-DE"/>
        </w:rPr>
        <w:t xml:space="preserve"> (see PHARMACOLOGY, Pharmacodynamics). </w:t>
      </w:r>
    </w:p>
    <w:p w:rsidR="00DD753D" w:rsidRPr="00DD753D" w:rsidRDefault="00DD753D" w:rsidP="00DD753D">
      <w:pPr>
        <w:keepLines/>
        <w:ind w:right="-29"/>
        <w:jc w:val="both"/>
        <w:rPr>
          <w:rFonts w:ascii="Arial" w:hAnsi="Arial" w:cs="Arial"/>
          <w:sz w:val="22"/>
          <w:szCs w:val="22"/>
          <w:lang w:val="en-GB" w:eastAsia="de-DE"/>
        </w:rPr>
      </w:pPr>
    </w:p>
    <w:p w:rsidR="00DD753D" w:rsidRDefault="00DD753D" w:rsidP="00DD753D">
      <w:pPr>
        <w:keepLines/>
        <w:ind w:right="-29"/>
        <w:jc w:val="both"/>
        <w:rPr>
          <w:rFonts w:ascii="Arial" w:hAnsi="Arial" w:cs="Arial"/>
          <w:sz w:val="22"/>
          <w:szCs w:val="22"/>
          <w:lang w:val="en-GB" w:eastAsia="de-DE"/>
        </w:rPr>
      </w:pPr>
      <w:r w:rsidRPr="00DD753D">
        <w:rPr>
          <w:rFonts w:ascii="Arial" w:hAnsi="Arial" w:cs="Arial"/>
          <w:sz w:val="22"/>
          <w:szCs w:val="22"/>
          <w:lang w:val="en-GB" w:eastAsia="de-DE"/>
        </w:rPr>
        <w:t>If reappearance of clinically relevant bleeding together with elevated coagulation parameters is observed after administration of 5 g PRAXBIND, administration of an additional 5 g dose of PRAXBIND may be considered. Similarly, patients who require a second emergency surgery/urgent procedure and have elevated coagulation parameters may receive an additional 5 g dose of PRAXBIND (see DOSAGE AND ADMINISTRATION).</w:t>
      </w:r>
    </w:p>
    <w:p w:rsidR="009022E8" w:rsidRPr="009022E8" w:rsidRDefault="009022E8" w:rsidP="009022E8">
      <w:pPr>
        <w:pStyle w:val="PIheading2"/>
      </w:pPr>
      <w:r w:rsidRPr="009022E8">
        <w:t>Sodium</w:t>
      </w:r>
    </w:p>
    <w:p w:rsidR="009022E8" w:rsidRPr="009022E8" w:rsidRDefault="009022E8" w:rsidP="009022E8">
      <w:pPr>
        <w:keepLines/>
        <w:ind w:right="-29"/>
        <w:jc w:val="both"/>
        <w:rPr>
          <w:rFonts w:ascii="Arial" w:hAnsi="Arial" w:cs="Arial"/>
          <w:sz w:val="22"/>
          <w:szCs w:val="22"/>
          <w:lang w:val="en-GB" w:eastAsia="de-DE"/>
        </w:rPr>
      </w:pPr>
      <w:r w:rsidRPr="009022E8">
        <w:rPr>
          <w:rFonts w:ascii="Arial" w:hAnsi="Arial" w:cs="Arial"/>
          <w:sz w:val="22"/>
          <w:szCs w:val="22"/>
          <w:lang w:val="en-GB" w:eastAsia="de-DE"/>
        </w:rPr>
        <w:t xml:space="preserve">This medicinal product contains 2.2 </w:t>
      </w:r>
      <w:proofErr w:type="spellStart"/>
      <w:r w:rsidRPr="009022E8">
        <w:rPr>
          <w:rFonts w:ascii="Arial" w:hAnsi="Arial" w:cs="Arial"/>
          <w:sz w:val="22"/>
          <w:szCs w:val="22"/>
          <w:lang w:val="en-GB" w:eastAsia="de-DE"/>
        </w:rPr>
        <w:t>mmol</w:t>
      </w:r>
      <w:proofErr w:type="spellEnd"/>
      <w:r w:rsidRPr="009022E8">
        <w:rPr>
          <w:rFonts w:ascii="Arial" w:hAnsi="Arial" w:cs="Arial"/>
          <w:sz w:val="22"/>
          <w:szCs w:val="22"/>
          <w:lang w:val="en-GB" w:eastAsia="de-DE"/>
        </w:rPr>
        <w:t xml:space="preserve"> (or 50 mg) sodium per dose.  This should be taken into consideration by patients on a controlled sodium diet.</w:t>
      </w:r>
    </w:p>
    <w:p w:rsidR="00985BDD" w:rsidRPr="00985BDD" w:rsidRDefault="00985BDD" w:rsidP="00985BDD">
      <w:pPr>
        <w:pStyle w:val="PIheading2"/>
      </w:pPr>
      <w:r w:rsidRPr="00985BDD">
        <w:t xml:space="preserve">Use in Specific </w:t>
      </w:r>
      <w:r w:rsidR="00410744">
        <w:t>P</w:t>
      </w:r>
      <w:r w:rsidRPr="00985BDD">
        <w:t>opulations</w:t>
      </w:r>
    </w:p>
    <w:p w:rsidR="00184DCF" w:rsidRPr="00184DCF" w:rsidRDefault="00184DCF" w:rsidP="00184DCF">
      <w:pPr>
        <w:pStyle w:val="TextPI"/>
        <w:rPr>
          <w:rFonts w:cs="Arial"/>
          <w:u w:val="single"/>
          <w:lang w:val="en-GB" w:eastAsia="de-DE"/>
        </w:rPr>
      </w:pPr>
      <w:r w:rsidRPr="00184DCF">
        <w:rPr>
          <w:rFonts w:cs="Arial"/>
          <w:u w:val="single"/>
          <w:lang w:val="en-GB" w:eastAsia="de-DE"/>
        </w:rPr>
        <w:t>Effects on fertility</w:t>
      </w:r>
    </w:p>
    <w:p w:rsidR="0058173F" w:rsidRPr="0058173F" w:rsidRDefault="0058173F" w:rsidP="0058173F">
      <w:pPr>
        <w:pStyle w:val="TextPI"/>
        <w:rPr>
          <w:rFonts w:cs="Arial"/>
          <w:lang w:val="en-GB" w:eastAsia="de-DE"/>
        </w:rPr>
      </w:pPr>
      <w:r w:rsidRPr="0058173F">
        <w:rPr>
          <w:rFonts w:cs="Arial"/>
          <w:lang w:val="en-GB" w:eastAsia="de-DE"/>
        </w:rPr>
        <w:t xml:space="preserve">Studies to assess the potential effects of </w:t>
      </w:r>
      <w:proofErr w:type="spellStart"/>
      <w:r w:rsidRPr="0058173F">
        <w:rPr>
          <w:rFonts w:cs="Arial"/>
          <w:lang w:val="en-GB" w:eastAsia="de-DE"/>
        </w:rPr>
        <w:t>idarucizumab</w:t>
      </w:r>
      <w:proofErr w:type="spellEnd"/>
      <w:r w:rsidRPr="0058173F">
        <w:rPr>
          <w:rFonts w:cs="Arial"/>
          <w:lang w:val="en-GB" w:eastAsia="de-DE"/>
        </w:rPr>
        <w:t xml:space="preserve"> </w:t>
      </w:r>
      <w:r w:rsidR="00442013">
        <w:rPr>
          <w:rFonts w:cs="Arial"/>
          <w:lang w:val="en-GB" w:eastAsia="de-DE"/>
        </w:rPr>
        <w:t xml:space="preserve">on fertility </w:t>
      </w:r>
      <w:r w:rsidRPr="0058173F">
        <w:rPr>
          <w:rFonts w:cs="Arial"/>
          <w:lang w:val="en-GB" w:eastAsia="de-DE"/>
        </w:rPr>
        <w:t xml:space="preserve">have not been performed. </w:t>
      </w:r>
      <w:r w:rsidR="00442013">
        <w:rPr>
          <w:rFonts w:cs="Arial"/>
          <w:lang w:val="en-GB" w:eastAsia="de-DE"/>
        </w:rPr>
        <w:t>T</w:t>
      </w:r>
      <w:r w:rsidRPr="0058173F">
        <w:rPr>
          <w:rFonts w:cs="Arial"/>
          <w:lang w:val="en-GB" w:eastAsia="de-DE"/>
        </w:rPr>
        <w:t xml:space="preserve">reatment-related </w:t>
      </w:r>
      <w:r w:rsidR="00442013">
        <w:rPr>
          <w:rFonts w:cs="Arial"/>
          <w:lang w:val="en-GB" w:eastAsia="de-DE"/>
        </w:rPr>
        <w:t>changes to</w:t>
      </w:r>
      <w:r w:rsidRPr="0058173F">
        <w:rPr>
          <w:rFonts w:cs="Arial"/>
          <w:lang w:val="en-GB" w:eastAsia="de-DE"/>
        </w:rPr>
        <w:t xml:space="preserve"> reproductive tissues of either sex </w:t>
      </w:r>
      <w:r w:rsidR="00442013">
        <w:rPr>
          <w:rFonts w:cs="Arial"/>
          <w:lang w:val="en-GB" w:eastAsia="de-DE"/>
        </w:rPr>
        <w:t xml:space="preserve">were not seen </w:t>
      </w:r>
      <w:r w:rsidRPr="0058173F">
        <w:rPr>
          <w:rFonts w:cs="Arial"/>
          <w:lang w:val="en-GB" w:eastAsia="de-DE"/>
        </w:rPr>
        <w:t xml:space="preserve">during repeat dose intravenous toxicity studies of up to four weeks in the rat and two weeks in monkeys. Additionally, no </w:t>
      </w:r>
      <w:proofErr w:type="spellStart"/>
      <w:r w:rsidRPr="0058173F">
        <w:rPr>
          <w:rFonts w:cs="Arial"/>
          <w:lang w:val="en-GB" w:eastAsia="de-DE"/>
        </w:rPr>
        <w:t>idarucizumab</w:t>
      </w:r>
      <w:proofErr w:type="spellEnd"/>
      <w:r w:rsidRPr="0058173F">
        <w:rPr>
          <w:rFonts w:cs="Arial"/>
          <w:lang w:val="en-GB" w:eastAsia="de-DE"/>
        </w:rPr>
        <w:t xml:space="preserve"> binding to human reproductive tissues was observed in a tissue cross-reactivity study. Therefore, preclinical results do not suggest a risk to fertility or embryo-</w:t>
      </w:r>
      <w:proofErr w:type="spellStart"/>
      <w:r w:rsidRPr="0058173F">
        <w:rPr>
          <w:rFonts w:cs="Arial"/>
          <w:lang w:val="en-GB" w:eastAsia="de-DE"/>
        </w:rPr>
        <w:t>fetal</w:t>
      </w:r>
      <w:proofErr w:type="spellEnd"/>
      <w:r w:rsidRPr="0058173F">
        <w:rPr>
          <w:rFonts w:cs="Arial"/>
          <w:lang w:val="en-GB" w:eastAsia="de-DE"/>
        </w:rPr>
        <w:t xml:space="preserve"> development. </w:t>
      </w:r>
    </w:p>
    <w:p w:rsidR="00A4067A" w:rsidRPr="00A4067A" w:rsidRDefault="00A4067A" w:rsidP="00A4067A">
      <w:pPr>
        <w:pStyle w:val="TextPI"/>
        <w:rPr>
          <w:rFonts w:cs="Arial"/>
          <w:u w:val="single"/>
          <w:lang w:val="en-GB" w:eastAsia="de-DE"/>
        </w:rPr>
      </w:pPr>
      <w:r w:rsidRPr="00A4067A">
        <w:rPr>
          <w:rFonts w:cs="Arial"/>
          <w:u w:val="single"/>
          <w:lang w:val="en-GB" w:eastAsia="de-DE"/>
        </w:rPr>
        <w:t>Use in pregnancy (Category</w:t>
      </w:r>
      <w:r w:rsidR="00A16C4B">
        <w:rPr>
          <w:rFonts w:cs="Arial"/>
          <w:u w:val="single"/>
          <w:lang w:val="en-GB" w:eastAsia="de-DE"/>
        </w:rPr>
        <w:t xml:space="preserve"> B2</w:t>
      </w:r>
      <w:r w:rsidRPr="00A4067A">
        <w:rPr>
          <w:rFonts w:cs="Arial"/>
          <w:u w:val="single"/>
          <w:lang w:val="en-GB" w:eastAsia="de-DE"/>
        </w:rPr>
        <w:t>)</w:t>
      </w:r>
    </w:p>
    <w:p w:rsidR="00985BDD" w:rsidRPr="00A4067A" w:rsidRDefault="00985BDD" w:rsidP="00A4067A">
      <w:pPr>
        <w:keepLines/>
        <w:ind w:right="-29"/>
        <w:jc w:val="both"/>
        <w:rPr>
          <w:rFonts w:ascii="Arial" w:hAnsi="Arial" w:cs="Arial"/>
          <w:sz w:val="22"/>
          <w:szCs w:val="22"/>
          <w:lang w:val="en-GB" w:eastAsia="de-DE"/>
        </w:rPr>
      </w:pPr>
      <w:r w:rsidRPr="00A4067A">
        <w:rPr>
          <w:rFonts w:ascii="Arial" w:hAnsi="Arial" w:cs="Arial"/>
          <w:sz w:val="22"/>
          <w:szCs w:val="22"/>
          <w:lang w:val="en-GB" w:eastAsia="de-DE"/>
        </w:rPr>
        <w:t xml:space="preserve">There are no data for the use of </w:t>
      </w:r>
      <w:proofErr w:type="spellStart"/>
      <w:r w:rsidR="00565C28">
        <w:rPr>
          <w:rFonts w:ascii="Arial" w:hAnsi="Arial" w:cs="Arial"/>
          <w:sz w:val="22"/>
          <w:szCs w:val="22"/>
          <w:lang w:val="en-GB" w:eastAsia="de-DE"/>
        </w:rPr>
        <w:t>idarucizumab</w:t>
      </w:r>
      <w:proofErr w:type="spellEnd"/>
      <w:r w:rsidRPr="00A4067A">
        <w:rPr>
          <w:rFonts w:ascii="Arial" w:hAnsi="Arial" w:cs="Arial"/>
          <w:sz w:val="22"/>
          <w:szCs w:val="22"/>
          <w:lang w:val="en-GB" w:eastAsia="de-DE"/>
        </w:rPr>
        <w:t xml:space="preserve"> in pregnant women. Reproductive and developmental toxicity studies have not been performed, given the nature and the intended clinical use of the medicinal product. </w:t>
      </w:r>
      <w:proofErr w:type="spellStart"/>
      <w:r w:rsidR="00F7401B">
        <w:rPr>
          <w:rFonts w:ascii="Arial" w:hAnsi="Arial" w:cs="Arial"/>
          <w:sz w:val="22"/>
          <w:szCs w:val="22"/>
          <w:lang w:val="en-GB" w:eastAsia="de-DE"/>
        </w:rPr>
        <w:t>I</w:t>
      </w:r>
      <w:r w:rsidR="00565C28">
        <w:rPr>
          <w:rFonts w:ascii="Arial" w:hAnsi="Arial" w:cs="Arial"/>
          <w:sz w:val="22"/>
          <w:szCs w:val="22"/>
          <w:lang w:val="en-GB" w:eastAsia="de-DE"/>
        </w:rPr>
        <w:t>darucizumab</w:t>
      </w:r>
      <w:proofErr w:type="spellEnd"/>
      <w:r w:rsidR="00A4067A" w:rsidRPr="00A4067A">
        <w:rPr>
          <w:rFonts w:ascii="Arial" w:hAnsi="Arial" w:cs="Arial"/>
          <w:sz w:val="22"/>
          <w:szCs w:val="22"/>
          <w:lang w:val="en-GB" w:eastAsia="de-DE"/>
        </w:rPr>
        <w:t xml:space="preserve"> </w:t>
      </w:r>
      <w:r w:rsidRPr="00A4067A">
        <w:rPr>
          <w:rFonts w:ascii="Arial" w:hAnsi="Arial" w:cs="Arial"/>
          <w:sz w:val="22"/>
          <w:szCs w:val="22"/>
          <w:lang w:val="en-GB" w:eastAsia="de-DE"/>
        </w:rPr>
        <w:t>may be used during pregnancy, if the expected clinical benefit outweighs the potential risks.</w:t>
      </w:r>
    </w:p>
    <w:p w:rsidR="00184DCF" w:rsidRPr="00184DCF" w:rsidRDefault="00184DCF" w:rsidP="00184DCF">
      <w:pPr>
        <w:pStyle w:val="TextPI"/>
        <w:rPr>
          <w:rFonts w:cs="Arial"/>
          <w:u w:val="single"/>
          <w:lang w:val="en-GB" w:eastAsia="de-DE"/>
        </w:rPr>
      </w:pPr>
      <w:r w:rsidRPr="00184DCF">
        <w:rPr>
          <w:rFonts w:cs="Arial"/>
          <w:u w:val="single"/>
          <w:lang w:val="en-GB" w:eastAsia="de-DE"/>
        </w:rPr>
        <w:t>Use in lactation</w:t>
      </w:r>
    </w:p>
    <w:p w:rsidR="00985BDD" w:rsidRPr="00184DCF" w:rsidRDefault="00985BDD" w:rsidP="00985BDD">
      <w:pPr>
        <w:keepLines/>
        <w:ind w:right="352"/>
        <w:rPr>
          <w:rFonts w:ascii="Arial" w:hAnsi="Arial" w:cs="Arial"/>
          <w:sz w:val="22"/>
          <w:szCs w:val="22"/>
          <w:lang w:val="en-GB" w:eastAsia="de-DE"/>
        </w:rPr>
      </w:pPr>
      <w:r w:rsidRPr="00184DCF">
        <w:rPr>
          <w:rFonts w:ascii="Arial" w:hAnsi="Arial" w:cs="Arial"/>
          <w:sz w:val="22"/>
          <w:szCs w:val="22"/>
          <w:lang w:val="en-GB" w:eastAsia="de-DE"/>
        </w:rPr>
        <w:t xml:space="preserve">It is unknown whether </w:t>
      </w:r>
      <w:proofErr w:type="spellStart"/>
      <w:r w:rsidR="00825839">
        <w:rPr>
          <w:rFonts w:ascii="Arial" w:hAnsi="Arial" w:cs="Arial"/>
          <w:sz w:val="22"/>
          <w:szCs w:val="22"/>
          <w:lang w:val="en-GB" w:eastAsia="de-DE"/>
        </w:rPr>
        <w:t>idarucizumab</w:t>
      </w:r>
      <w:proofErr w:type="spellEnd"/>
      <w:r w:rsidRPr="00184DCF">
        <w:rPr>
          <w:rFonts w:ascii="Arial" w:hAnsi="Arial" w:cs="Arial"/>
          <w:sz w:val="22"/>
          <w:szCs w:val="22"/>
          <w:lang w:val="en-GB" w:eastAsia="de-DE"/>
        </w:rPr>
        <w:t xml:space="preserve"> is excreted in human milk.</w:t>
      </w:r>
    </w:p>
    <w:p w:rsidR="00184DCF" w:rsidRPr="00184DCF" w:rsidRDefault="00184DCF" w:rsidP="00A16C4B">
      <w:pPr>
        <w:pStyle w:val="TextPI"/>
        <w:keepNext/>
        <w:keepLines/>
        <w:rPr>
          <w:rFonts w:cs="Arial"/>
          <w:u w:val="single"/>
          <w:lang w:val="en-GB" w:eastAsia="de-DE"/>
        </w:rPr>
      </w:pPr>
      <w:r w:rsidRPr="00184DCF">
        <w:rPr>
          <w:rFonts w:cs="Arial"/>
          <w:u w:val="single"/>
          <w:lang w:val="en-GB" w:eastAsia="de-DE"/>
        </w:rPr>
        <w:t>Paediatric use</w:t>
      </w:r>
    </w:p>
    <w:p w:rsidR="00184DCF" w:rsidRPr="00222DC2" w:rsidRDefault="00184DCF" w:rsidP="00A16C4B">
      <w:pPr>
        <w:keepNext/>
        <w:keepLines/>
        <w:ind w:right="-29"/>
        <w:jc w:val="both"/>
        <w:rPr>
          <w:rFonts w:ascii="Arial" w:hAnsi="Arial" w:cs="Arial"/>
          <w:sz w:val="22"/>
          <w:szCs w:val="22"/>
          <w:lang w:val="en-GB" w:eastAsia="de-DE"/>
        </w:rPr>
      </w:pPr>
      <w:r w:rsidRPr="00222DC2">
        <w:rPr>
          <w:rFonts w:ascii="Arial" w:hAnsi="Arial" w:cs="Arial"/>
          <w:sz w:val="22"/>
          <w:szCs w:val="22"/>
          <w:lang w:val="en-GB" w:eastAsia="de-DE"/>
        </w:rPr>
        <w:t xml:space="preserve">The safety and efficacy of </w:t>
      </w:r>
      <w:r w:rsidR="00762F30">
        <w:rPr>
          <w:rFonts w:ascii="Arial" w:hAnsi="Arial" w:cs="Arial"/>
          <w:sz w:val="22"/>
          <w:szCs w:val="22"/>
          <w:lang w:val="en-GB" w:eastAsia="de-DE"/>
        </w:rPr>
        <w:t>PRAXBIND</w:t>
      </w:r>
      <w:r w:rsidRPr="00222DC2">
        <w:rPr>
          <w:rFonts w:ascii="Arial" w:hAnsi="Arial" w:cs="Arial"/>
          <w:sz w:val="22"/>
          <w:szCs w:val="22"/>
          <w:lang w:val="en-GB" w:eastAsia="de-DE"/>
        </w:rPr>
        <w:t xml:space="preserve"> in the paediatric population has not been established. </w:t>
      </w:r>
    </w:p>
    <w:p w:rsidR="00184DCF" w:rsidRPr="001602C3" w:rsidRDefault="001602C3" w:rsidP="00A16C4B">
      <w:pPr>
        <w:pStyle w:val="TextPI"/>
        <w:keepNext/>
        <w:keepLines/>
        <w:rPr>
          <w:rFonts w:cs="Arial"/>
          <w:u w:val="single"/>
          <w:lang w:val="en-GB" w:eastAsia="de-DE"/>
        </w:rPr>
      </w:pPr>
      <w:r>
        <w:rPr>
          <w:rFonts w:cs="Arial"/>
          <w:u w:val="single"/>
          <w:lang w:val="en-GB" w:eastAsia="de-DE"/>
        </w:rPr>
        <w:t>Elderly</w:t>
      </w:r>
      <w:r w:rsidRPr="001602C3">
        <w:rPr>
          <w:rFonts w:cs="Arial"/>
          <w:u w:val="single"/>
          <w:lang w:val="en-GB" w:eastAsia="de-DE"/>
        </w:rPr>
        <w:t xml:space="preserve"> </w:t>
      </w:r>
      <w:r w:rsidR="000571A3" w:rsidRPr="001602C3">
        <w:rPr>
          <w:rFonts w:cs="Arial"/>
          <w:u w:val="single"/>
          <w:lang w:val="en-GB" w:eastAsia="de-DE"/>
        </w:rPr>
        <w:t>patients/sex/race</w:t>
      </w:r>
      <w:r w:rsidR="00F372AB">
        <w:rPr>
          <w:rFonts w:cs="Arial"/>
          <w:u w:val="single"/>
          <w:lang w:val="en-GB" w:eastAsia="de-DE"/>
        </w:rPr>
        <w:t>/body weight</w:t>
      </w:r>
    </w:p>
    <w:p w:rsidR="00184DCF" w:rsidRPr="00222DC2" w:rsidRDefault="00184DCF" w:rsidP="00A16C4B">
      <w:pPr>
        <w:keepNext/>
        <w:keepLines/>
        <w:ind w:right="-29"/>
        <w:jc w:val="both"/>
        <w:rPr>
          <w:rFonts w:ascii="Arial" w:hAnsi="Arial" w:cs="Arial"/>
          <w:sz w:val="22"/>
          <w:szCs w:val="22"/>
          <w:lang w:val="en-GB" w:eastAsia="de-DE"/>
        </w:rPr>
      </w:pPr>
      <w:r w:rsidRPr="001602C3">
        <w:rPr>
          <w:rFonts w:ascii="Arial" w:hAnsi="Arial" w:cs="Arial"/>
          <w:sz w:val="22"/>
          <w:szCs w:val="22"/>
          <w:lang w:val="en-GB" w:eastAsia="de-DE"/>
        </w:rPr>
        <w:t>Based on population pharmacokinetic analyses</w:t>
      </w:r>
      <w:r w:rsidR="00F372AB">
        <w:rPr>
          <w:rFonts w:ascii="Arial" w:hAnsi="Arial" w:cs="Arial"/>
          <w:sz w:val="22"/>
          <w:szCs w:val="22"/>
          <w:lang w:val="en-GB" w:eastAsia="de-DE"/>
        </w:rPr>
        <w:t xml:space="preserve"> in healthy volunteers</w:t>
      </w:r>
      <w:r w:rsidRPr="001602C3">
        <w:rPr>
          <w:rFonts w:ascii="Arial" w:hAnsi="Arial" w:cs="Arial"/>
          <w:sz w:val="22"/>
          <w:szCs w:val="22"/>
          <w:lang w:val="en-GB" w:eastAsia="de-DE"/>
        </w:rPr>
        <w:t>, sex, age, race</w:t>
      </w:r>
      <w:r w:rsidR="00F372AB">
        <w:rPr>
          <w:rFonts w:ascii="Arial" w:hAnsi="Arial" w:cs="Arial"/>
          <w:sz w:val="22"/>
          <w:szCs w:val="22"/>
          <w:lang w:val="en-GB" w:eastAsia="de-DE"/>
        </w:rPr>
        <w:t xml:space="preserve"> and body weight</w:t>
      </w:r>
      <w:r w:rsidRPr="001602C3">
        <w:rPr>
          <w:rFonts w:ascii="Arial" w:hAnsi="Arial" w:cs="Arial"/>
          <w:sz w:val="22"/>
          <w:szCs w:val="22"/>
          <w:lang w:val="en-GB" w:eastAsia="de-DE"/>
        </w:rPr>
        <w:t xml:space="preserve"> do not have a clinically meaningful effect on the pharmacokinetics of </w:t>
      </w:r>
      <w:proofErr w:type="spellStart"/>
      <w:r w:rsidRPr="001602C3">
        <w:rPr>
          <w:rFonts w:ascii="Arial" w:hAnsi="Arial" w:cs="Arial"/>
          <w:sz w:val="22"/>
          <w:szCs w:val="22"/>
          <w:lang w:val="en-GB" w:eastAsia="de-DE"/>
        </w:rPr>
        <w:t>idarucizumab</w:t>
      </w:r>
      <w:proofErr w:type="spellEnd"/>
      <w:r w:rsidRPr="001602C3">
        <w:rPr>
          <w:rFonts w:ascii="Arial" w:hAnsi="Arial" w:cs="Arial"/>
          <w:sz w:val="22"/>
          <w:szCs w:val="22"/>
          <w:lang w:val="en-GB" w:eastAsia="de-DE"/>
        </w:rPr>
        <w:t>.</w:t>
      </w:r>
    </w:p>
    <w:p w:rsidR="00A61E60" w:rsidRPr="0058173F" w:rsidRDefault="008C5199" w:rsidP="0058173F">
      <w:pPr>
        <w:pStyle w:val="TextPI"/>
        <w:rPr>
          <w:rFonts w:cs="Arial"/>
          <w:u w:val="single"/>
          <w:lang w:val="en-GB" w:eastAsia="de-DE"/>
        </w:rPr>
      </w:pPr>
      <w:r w:rsidRPr="0058173F">
        <w:rPr>
          <w:rFonts w:cs="Arial"/>
          <w:u w:val="single"/>
          <w:lang w:val="en-GB" w:eastAsia="de-DE"/>
        </w:rPr>
        <w:t>Genotoxicity</w:t>
      </w:r>
    </w:p>
    <w:p w:rsidR="0058173F" w:rsidRDefault="0058173F" w:rsidP="0058173F">
      <w:pPr>
        <w:pStyle w:val="TextPI"/>
        <w:rPr>
          <w:rFonts w:cs="Arial"/>
          <w:lang w:val="en-GB" w:eastAsia="de-DE"/>
        </w:rPr>
      </w:pPr>
      <w:r w:rsidRPr="0058173F">
        <w:rPr>
          <w:rFonts w:cs="Arial"/>
          <w:lang w:val="en-GB" w:eastAsia="de-DE"/>
        </w:rPr>
        <w:t xml:space="preserve">Studies to evaluate the </w:t>
      </w:r>
      <w:r w:rsidR="00010D6F">
        <w:rPr>
          <w:rFonts w:cs="Arial"/>
          <w:lang w:val="en-GB" w:eastAsia="de-DE"/>
        </w:rPr>
        <w:t>genotoxic</w:t>
      </w:r>
      <w:r w:rsidRPr="0058173F">
        <w:rPr>
          <w:rFonts w:cs="Arial"/>
          <w:lang w:val="en-GB" w:eastAsia="de-DE"/>
        </w:rPr>
        <w:t xml:space="preserve"> potential of </w:t>
      </w:r>
      <w:proofErr w:type="spellStart"/>
      <w:r w:rsidRPr="0058173F">
        <w:rPr>
          <w:rFonts w:cs="Arial"/>
          <w:lang w:val="en-GB" w:eastAsia="de-DE"/>
        </w:rPr>
        <w:t>idarucizumab</w:t>
      </w:r>
      <w:proofErr w:type="spellEnd"/>
      <w:r w:rsidRPr="0058173F">
        <w:rPr>
          <w:rFonts w:cs="Arial"/>
          <w:lang w:val="en-GB" w:eastAsia="de-DE"/>
        </w:rPr>
        <w:t xml:space="preserve"> have not been performed. Based on its mechanism of action and the characteristics of proteins no genotoxic effects are anticipated. </w:t>
      </w:r>
    </w:p>
    <w:p w:rsidR="00CF27FE" w:rsidRDefault="00CF27FE" w:rsidP="000571A3">
      <w:pPr>
        <w:pStyle w:val="TextPI"/>
        <w:rPr>
          <w:rFonts w:cs="Arial"/>
          <w:u w:val="single"/>
          <w:lang w:val="en-GB" w:eastAsia="de-DE"/>
        </w:rPr>
      </w:pPr>
      <w:r>
        <w:rPr>
          <w:rFonts w:cs="Arial"/>
          <w:u w:val="single"/>
          <w:lang w:val="en-GB" w:eastAsia="de-DE"/>
        </w:rPr>
        <w:t>Carcinogenicity</w:t>
      </w:r>
    </w:p>
    <w:p w:rsidR="00CF27FE" w:rsidRDefault="00CF27FE" w:rsidP="000571A3">
      <w:pPr>
        <w:pStyle w:val="TextPI"/>
        <w:rPr>
          <w:rFonts w:cs="Arial"/>
          <w:lang w:val="en-GB" w:eastAsia="de-DE"/>
        </w:rPr>
      </w:pPr>
      <w:r w:rsidRPr="00CF27FE">
        <w:rPr>
          <w:rFonts w:cs="Arial"/>
          <w:lang w:val="en-GB" w:eastAsia="de-DE"/>
        </w:rPr>
        <w:t xml:space="preserve">The carcinogenic potential of </w:t>
      </w:r>
      <w:proofErr w:type="spellStart"/>
      <w:r w:rsidRPr="00CF27FE">
        <w:rPr>
          <w:rFonts w:cs="Arial"/>
          <w:lang w:val="en-GB" w:eastAsia="de-DE"/>
        </w:rPr>
        <w:t>idarucizumab</w:t>
      </w:r>
      <w:proofErr w:type="spellEnd"/>
      <w:r w:rsidRPr="00CF27FE">
        <w:rPr>
          <w:rFonts w:cs="Arial"/>
          <w:lang w:val="en-GB" w:eastAsia="de-DE"/>
        </w:rPr>
        <w:t xml:space="preserve"> has not been investigated in animal studies.</w:t>
      </w:r>
      <w:r>
        <w:rPr>
          <w:rFonts w:cs="Arial"/>
          <w:u w:val="single"/>
          <w:lang w:val="en-GB" w:eastAsia="de-DE"/>
        </w:rPr>
        <w:t xml:space="preserve"> </w:t>
      </w:r>
      <w:r w:rsidRPr="00CF27FE">
        <w:rPr>
          <w:rFonts w:cs="Arial"/>
          <w:lang w:val="en-GB" w:eastAsia="de-DE"/>
        </w:rPr>
        <w:t>Based on its mechanism of action and the characteristics of proteins no carcinogenic effects are anticipated.</w:t>
      </w:r>
    </w:p>
    <w:p w:rsidR="00803C7E" w:rsidRPr="00803C7E" w:rsidRDefault="00803C7E" w:rsidP="00803C7E">
      <w:pPr>
        <w:pStyle w:val="TextPI"/>
        <w:keepNext/>
        <w:keepLines/>
        <w:rPr>
          <w:rFonts w:cs="Arial"/>
          <w:u w:val="single"/>
          <w:lang w:val="en-GB" w:eastAsia="de-DE"/>
        </w:rPr>
      </w:pPr>
      <w:r w:rsidRPr="00803C7E">
        <w:rPr>
          <w:rFonts w:cs="Arial"/>
          <w:u w:val="single"/>
          <w:lang w:val="en-GB" w:eastAsia="de-DE"/>
        </w:rPr>
        <w:lastRenderedPageBreak/>
        <w:t xml:space="preserve">Effects on Laboratory Tests </w:t>
      </w:r>
    </w:p>
    <w:p w:rsidR="00803C7E" w:rsidRPr="00B061C5" w:rsidRDefault="00803C7E" w:rsidP="00803C7E">
      <w:pPr>
        <w:autoSpaceDE w:val="0"/>
        <w:autoSpaceDN w:val="0"/>
        <w:adjustRightInd w:val="0"/>
        <w:spacing w:after="120"/>
        <w:ind w:firstLine="3"/>
        <w:jc w:val="both"/>
        <w:rPr>
          <w:rFonts w:ascii="Arial" w:hAnsi="Arial" w:cs="Arial"/>
          <w:sz w:val="22"/>
          <w:szCs w:val="22"/>
          <w:lang w:val="en-GB" w:eastAsia="de-DE"/>
        </w:rPr>
      </w:pPr>
      <w:proofErr w:type="spellStart"/>
      <w:r w:rsidRPr="00B061C5">
        <w:rPr>
          <w:rFonts w:ascii="Arial" w:hAnsi="Arial" w:cs="Arial"/>
          <w:sz w:val="22"/>
          <w:szCs w:val="22"/>
          <w:lang w:val="en-GB" w:eastAsia="de-DE"/>
        </w:rPr>
        <w:t>Idarucizumab</w:t>
      </w:r>
      <w:proofErr w:type="spellEnd"/>
      <w:r w:rsidRPr="00B061C5">
        <w:rPr>
          <w:rFonts w:ascii="Arial" w:hAnsi="Arial" w:cs="Arial"/>
          <w:sz w:val="22"/>
          <w:szCs w:val="22"/>
          <w:lang w:val="en-GB" w:eastAsia="de-DE"/>
        </w:rPr>
        <w:t xml:space="preserve"> showed no non-specific binding to blood cells or to other thrombin substrates and did not exhibit thrombin-like, </w:t>
      </w:r>
      <w:proofErr w:type="spellStart"/>
      <w:r w:rsidRPr="00B061C5">
        <w:rPr>
          <w:rFonts w:ascii="Arial" w:hAnsi="Arial" w:cs="Arial"/>
          <w:sz w:val="22"/>
          <w:szCs w:val="22"/>
          <w:lang w:val="en-GB" w:eastAsia="de-DE"/>
        </w:rPr>
        <w:t>prothombotic</w:t>
      </w:r>
      <w:proofErr w:type="spellEnd"/>
      <w:r w:rsidRPr="00B061C5">
        <w:rPr>
          <w:rFonts w:ascii="Arial" w:hAnsi="Arial" w:cs="Arial"/>
          <w:sz w:val="22"/>
          <w:szCs w:val="22"/>
          <w:lang w:val="en-GB" w:eastAsia="de-DE"/>
        </w:rPr>
        <w:t xml:space="preserve"> effects in several in vitro assays. Coagulation test results (</w:t>
      </w:r>
      <w:proofErr w:type="spellStart"/>
      <w:r w:rsidRPr="00B061C5">
        <w:rPr>
          <w:rFonts w:ascii="Arial" w:hAnsi="Arial" w:cs="Arial"/>
          <w:sz w:val="22"/>
          <w:szCs w:val="22"/>
          <w:lang w:val="en-GB" w:eastAsia="de-DE"/>
        </w:rPr>
        <w:t>dTT</w:t>
      </w:r>
      <w:proofErr w:type="spellEnd"/>
      <w:r w:rsidRPr="00B061C5">
        <w:rPr>
          <w:rFonts w:ascii="Arial" w:hAnsi="Arial" w:cs="Arial"/>
          <w:sz w:val="22"/>
          <w:szCs w:val="22"/>
          <w:lang w:val="en-GB" w:eastAsia="de-DE"/>
        </w:rPr>
        <w:t xml:space="preserve">, </w:t>
      </w:r>
      <w:proofErr w:type="spellStart"/>
      <w:r w:rsidRPr="00B061C5">
        <w:rPr>
          <w:rFonts w:ascii="Arial" w:hAnsi="Arial" w:cs="Arial"/>
          <w:sz w:val="22"/>
          <w:szCs w:val="22"/>
          <w:lang w:val="en-GB" w:eastAsia="de-DE"/>
        </w:rPr>
        <w:t>aPTT</w:t>
      </w:r>
      <w:proofErr w:type="spellEnd"/>
      <w:r w:rsidRPr="00B061C5">
        <w:rPr>
          <w:rFonts w:ascii="Arial" w:hAnsi="Arial" w:cs="Arial"/>
          <w:sz w:val="22"/>
          <w:szCs w:val="22"/>
          <w:lang w:val="en-GB" w:eastAsia="de-DE"/>
        </w:rPr>
        <w:t xml:space="preserve">, ECT, </w:t>
      </w:r>
      <w:r w:rsidR="009406F3">
        <w:rPr>
          <w:rFonts w:ascii="Arial" w:hAnsi="Arial" w:cs="Arial"/>
          <w:sz w:val="22"/>
          <w:szCs w:val="22"/>
          <w:lang w:val="en-GB" w:eastAsia="de-DE"/>
        </w:rPr>
        <w:t>thrombin time (</w:t>
      </w:r>
      <w:r w:rsidRPr="00B061C5">
        <w:rPr>
          <w:rFonts w:ascii="Arial" w:hAnsi="Arial" w:cs="Arial"/>
          <w:sz w:val="22"/>
          <w:szCs w:val="22"/>
          <w:lang w:val="en-GB" w:eastAsia="de-DE"/>
        </w:rPr>
        <w:t>TT</w:t>
      </w:r>
      <w:r w:rsidR="009406F3">
        <w:rPr>
          <w:rFonts w:ascii="Arial" w:hAnsi="Arial" w:cs="Arial"/>
          <w:sz w:val="22"/>
          <w:szCs w:val="22"/>
          <w:lang w:val="en-GB" w:eastAsia="de-DE"/>
        </w:rPr>
        <w:t>)</w:t>
      </w:r>
      <w:r w:rsidRPr="00B061C5">
        <w:rPr>
          <w:rFonts w:ascii="Arial" w:hAnsi="Arial" w:cs="Arial"/>
          <w:sz w:val="22"/>
          <w:szCs w:val="22"/>
          <w:lang w:val="en-GB" w:eastAsia="de-DE"/>
        </w:rPr>
        <w:t xml:space="preserve">, </w:t>
      </w:r>
      <w:r w:rsidR="009406F3">
        <w:rPr>
          <w:rFonts w:ascii="Arial" w:hAnsi="Arial" w:cs="Arial"/>
          <w:sz w:val="22"/>
          <w:szCs w:val="22"/>
          <w:lang w:val="en-GB" w:eastAsia="de-DE"/>
        </w:rPr>
        <w:t>activated clotting time (</w:t>
      </w:r>
      <w:r w:rsidRPr="00B061C5">
        <w:rPr>
          <w:rFonts w:ascii="Arial" w:hAnsi="Arial" w:cs="Arial"/>
          <w:sz w:val="22"/>
          <w:szCs w:val="22"/>
          <w:lang w:val="en-GB" w:eastAsia="de-DE"/>
        </w:rPr>
        <w:t>ACT</w:t>
      </w:r>
      <w:r w:rsidR="009406F3">
        <w:rPr>
          <w:rFonts w:ascii="Arial" w:hAnsi="Arial" w:cs="Arial"/>
          <w:sz w:val="22"/>
          <w:szCs w:val="22"/>
          <w:lang w:val="en-GB" w:eastAsia="de-DE"/>
        </w:rPr>
        <w:t>)</w:t>
      </w:r>
      <w:r w:rsidRPr="00B061C5">
        <w:rPr>
          <w:rFonts w:ascii="Arial" w:hAnsi="Arial" w:cs="Arial"/>
          <w:sz w:val="22"/>
          <w:szCs w:val="22"/>
          <w:lang w:val="en-GB" w:eastAsia="de-DE"/>
        </w:rPr>
        <w:t xml:space="preserve">) were comparable in the presence and absence of </w:t>
      </w:r>
      <w:proofErr w:type="spellStart"/>
      <w:r w:rsidRPr="00B061C5">
        <w:rPr>
          <w:rFonts w:ascii="Arial" w:hAnsi="Arial" w:cs="Arial"/>
          <w:sz w:val="22"/>
          <w:szCs w:val="22"/>
          <w:lang w:val="en-GB" w:eastAsia="de-DE"/>
        </w:rPr>
        <w:t>idarucizumab</w:t>
      </w:r>
      <w:proofErr w:type="spellEnd"/>
      <w:r w:rsidRPr="00B061C5">
        <w:rPr>
          <w:rFonts w:ascii="Arial" w:hAnsi="Arial" w:cs="Arial"/>
          <w:sz w:val="22"/>
          <w:szCs w:val="22"/>
          <w:lang w:val="en-GB" w:eastAsia="de-DE"/>
        </w:rPr>
        <w:t>.</w:t>
      </w:r>
    </w:p>
    <w:p w:rsidR="000571A3" w:rsidRPr="00184DCF" w:rsidRDefault="000571A3" w:rsidP="00A35629">
      <w:pPr>
        <w:pStyle w:val="TextPI"/>
        <w:keepNext/>
        <w:keepLines/>
        <w:rPr>
          <w:rFonts w:cs="Arial"/>
          <w:u w:val="single"/>
          <w:lang w:val="en-GB" w:eastAsia="de-DE"/>
        </w:rPr>
      </w:pPr>
      <w:r w:rsidRPr="00184DCF">
        <w:rPr>
          <w:rFonts w:cs="Arial"/>
          <w:u w:val="single"/>
          <w:lang w:val="en-GB" w:eastAsia="de-DE"/>
        </w:rPr>
        <w:t>Renal impairment</w:t>
      </w:r>
    </w:p>
    <w:p w:rsidR="000571A3" w:rsidRPr="002F3E1C" w:rsidRDefault="000571A3" w:rsidP="000571A3">
      <w:pPr>
        <w:pStyle w:val="TextPI"/>
        <w:rPr>
          <w:rFonts w:cs="Arial"/>
          <w:lang w:val="en-GB" w:eastAsia="de-DE"/>
        </w:rPr>
      </w:pPr>
      <w:r w:rsidRPr="002F3E1C">
        <w:rPr>
          <w:rFonts w:cs="Arial"/>
          <w:lang w:val="en-GB" w:eastAsia="de-DE"/>
        </w:rPr>
        <w:t xml:space="preserve">No dose adjustment is required in </w:t>
      </w:r>
      <w:proofErr w:type="spellStart"/>
      <w:r w:rsidRPr="002F3E1C">
        <w:rPr>
          <w:rFonts w:cs="Arial"/>
          <w:lang w:val="en-GB" w:eastAsia="de-DE"/>
        </w:rPr>
        <w:t>renally</w:t>
      </w:r>
      <w:proofErr w:type="spellEnd"/>
      <w:r w:rsidRPr="002F3E1C">
        <w:rPr>
          <w:rFonts w:cs="Arial"/>
          <w:lang w:val="en-GB" w:eastAsia="de-DE"/>
        </w:rPr>
        <w:t xml:space="preserve"> impaired patients. Renal impairment did not impact the reversal effect of </w:t>
      </w:r>
      <w:proofErr w:type="spellStart"/>
      <w:r w:rsidRPr="002F3E1C">
        <w:rPr>
          <w:rFonts w:cs="Arial"/>
          <w:lang w:val="en-GB" w:eastAsia="de-DE"/>
        </w:rPr>
        <w:t>idarucizumab</w:t>
      </w:r>
      <w:proofErr w:type="spellEnd"/>
      <w:r w:rsidRPr="002F3E1C">
        <w:rPr>
          <w:rFonts w:cs="Arial"/>
          <w:lang w:val="en-GB" w:eastAsia="de-DE"/>
        </w:rPr>
        <w:t>.</w:t>
      </w:r>
    </w:p>
    <w:p w:rsidR="000571A3" w:rsidRPr="002F3E1C" w:rsidRDefault="000571A3" w:rsidP="000571A3">
      <w:pPr>
        <w:pStyle w:val="TextPI"/>
        <w:rPr>
          <w:rFonts w:cs="Arial"/>
          <w:lang w:val="en-GB" w:eastAsia="de-DE"/>
        </w:rPr>
      </w:pPr>
      <w:r w:rsidRPr="002F3E1C">
        <w:rPr>
          <w:rFonts w:cs="Arial"/>
          <w:lang w:val="en-GB" w:eastAsia="de-DE"/>
        </w:rPr>
        <w:t xml:space="preserve">In Phase I studies </w:t>
      </w:r>
      <w:r w:rsidR="00762F30">
        <w:rPr>
          <w:rFonts w:cs="Arial"/>
          <w:lang w:val="en-GB" w:eastAsia="de-DE"/>
        </w:rPr>
        <w:t>PRAXBIND</w:t>
      </w:r>
      <w:r w:rsidRPr="002F3E1C">
        <w:rPr>
          <w:rFonts w:cs="Arial"/>
          <w:lang w:val="en-GB" w:eastAsia="de-DE"/>
        </w:rPr>
        <w:t xml:space="preserve"> has been investigated in subjects with a creatinine clearance ranging from 44 to 213 mL/min. Subjects with a creatinine clearance below 44 mL/min have not been studied in Phase I. </w:t>
      </w:r>
    </w:p>
    <w:p w:rsidR="000571A3" w:rsidRDefault="000571A3" w:rsidP="000571A3">
      <w:pPr>
        <w:pStyle w:val="TextPI"/>
        <w:rPr>
          <w:rFonts w:cs="Arial"/>
          <w:lang w:val="en-GB" w:eastAsia="de-DE"/>
        </w:rPr>
      </w:pPr>
      <w:r w:rsidRPr="002F3E1C">
        <w:rPr>
          <w:rFonts w:cs="Arial"/>
          <w:lang w:val="en-GB" w:eastAsia="de-DE"/>
        </w:rPr>
        <w:t xml:space="preserve">Depending on the degree of renal impairment the total clearance was reduced compared to healthy subjects, leading to an increased exposure of </w:t>
      </w:r>
      <w:proofErr w:type="spellStart"/>
      <w:r w:rsidRPr="002F3E1C">
        <w:rPr>
          <w:rFonts w:cs="Arial"/>
          <w:lang w:val="en-GB" w:eastAsia="de-DE"/>
        </w:rPr>
        <w:t>idarucizumab</w:t>
      </w:r>
      <w:proofErr w:type="spellEnd"/>
      <w:r w:rsidRPr="002F3E1C">
        <w:rPr>
          <w:rFonts w:cs="Arial"/>
          <w:lang w:val="en-GB" w:eastAsia="de-DE"/>
        </w:rPr>
        <w:t xml:space="preserve">. </w:t>
      </w:r>
    </w:p>
    <w:p w:rsidR="00465470" w:rsidRPr="00465470" w:rsidRDefault="00465470" w:rsidP="00465470">
      <w:pPr>
        <w:pStyle w:val="TextPI"/>
        <w:rPr>
          <w:rFonts w:cs="Arial"/>
          <w:lang w:val="en-GB" w:eastAsia="de-DE"/>
        </w:rPr>
      </w:pPr>
      <w:r w:rsidRPr="00465470">
        <w:rPr>
          <w:rFonts w:cs="Arial"/>
          <w:lang w:val="en-GB" w:eastAsia="de-DE"/>
        </w:rPr>
        <w:t>The method used to estimate renal function (</w:t>
      </w:r>
      <w:proofErr w:type="spellStart"/>
      <w:r w:rsidRPr="00465470">
        <w:rPr>
          <w:rFonts w:cs="Arial"/>
          <w:lang w:val="en-GB" w:eastAsia="de-DE"/>
        </w:rPr>
        <w:t>CrCL</w:t>
      </w:r>
      <w:proofErr w:type="spellEnd"/>
      <w:r w:rsidRPr="00465470">
        <w:rPr>
          <w:rFonts w:cs="Arial"/>
          <w:lang w:val="en-GB" w:eastAsia="de-DE"/>
        </w:rPr>
        <w:t xml:space="preserve"> in mL/min) during the clinical development of PRAXBIND was the Cockcroft-Gault method. </w:t>
      </w:r>
    </w:p>
    <w:p w:rsidR="00465470" w:rsidRPr="00465470" w:rsidRDefault="00465470" w:rsidP="00465470">
      <w:pPr>
        <w:pStyle w:val="TextPI"/>
        <w:ind w:left="1122" w:hanging="1122"/>
        <w:rPr>
          <w:rFonts w:cs="Arial"/>
          <w:b/>
          <w:bCs/>
          <w:lang w:val="en-GB" w:eastAsia="de-DE"/>
        </w:rPr>
      </w:pPr>
      <w:r w:rsidRPr="00465470">
        <w:rPr>
          <w:rFonts w:cs="Arial"/>
          <w:b/>
          <w:bCs/>
          <w:lang w:val="en-GB" w:eastAsia="de-DE"/>
        </w:rPr>
        <w:t xml:space="preserve">Table </w:t>
      </w:r>
      <w:r w:rsidR="005134BC">
        <w:rPr>
          <w:rFonts w:cs="Arial"/>
          <w:b/>
          <w:bCs/>
          <w:lang w:val="en-GB" w:eastAsia="de-DE"/>
        </w:rPr>
        <w:t>3</w:t>
      </w:r>
      <w:r w:rsidRPr="00465470">
        <w:rPr>
          <w:rFonts w:cs="Arial"/>
          <w:b/>
          <w:bCs/>
          <w:lang w:val="en-GB" w:eastAsia="de-DE"/>
        </w:rPr>
        <w:t xml:space="preserve">: </w:t>
      </w:r>
      <w:r w:rsidRPr="00465470">
        <w:rPr>
          <w:rFonts w:cs="Arial"/>
          <w:b/>
          <w:bCs/>
          <w:lang w:val="en-GB" w:eastAsia="de-DE"/>
        </w:rPr>
        <w:tab/>
        <w:t xml:space="preserve">Classification of </w:t>
      </w:r>
      <w:r w:rsidR="00BE487A">
        <w:rPr>
          <w:rFonts w:cs="Arial"/>
          <w:b/>
          <w:bCs/>
          <w:lang w:val="en-GB" w:eastAsia="de-DE"/>
        </w:rPr>
        <w:t>r</w:t>
      </w:r>
      <w:r w:rsidRPr="00465470">
        <w:rPr>
          <w:rFonts w:cs="Arial"/>
          <w:b/>
          <w:bCs/>
          <w:lang w:val="en-GB" w:eastAsia="de-DE"/>
        </w:rPr>
        <w:t xml:space="preserve">enal </w:t>
      </w:r>
      <w:r w:rsidR="00BE487A">
        <w:rPr>
          <w:rFonts w:cs="Arial"/>
          <w:b/>
          <w:bCs/>
          <w:lang w:val="en-GB" w:eastAsia="de-DE"/>
        </w:rPr>
        <w:t>f</w:t>
      </w:r>
      <w:r w:rsidRPr="00465470">
        <w:rPr>
          <w:rFonts w:cs="Arial"/>
          <w:b/>
          <w:bCs/>
          <w:lang w:val="en-GB" w:eastAsia="de-DE"/>
        </w:rPr>
        <w:t xml:space="preserve">unction </w:t>
      </w:r>
      <w:r w:rsidR="00BE487A">
        <w:rPr>
          <w:rFonts w:cs="Arial"/>
          <w:b/>
          <w:bCs/>
          <w:lang w:val="en-GB" w:eastAsia="de-DE"/>
        </w:rPr>
        <w:t>b</w:t>
      </w:r>
      <w:r w:rsidRPr="00465470">
        <w:rPr>
          <w:rFonts w:cs="Arial"/>
          <w:b/>
          <w:bCs/>
          <w:lang w:val="en-GB" w:eastAsia="de-DE"/>
        </w:rPr>
        <w:t xml:space="preserve">ased on </w:t>
      </w:r>
      <w:r w:rsidR="00BE487A">
        <w:rPr>
          <w:rFonts w:cs="Arial"/>
          <w:b/>
          <w:bCs/>
          <w:lang w:val="en-GB" w:eastAsia="de-DE"/>
        </w:rPr>
        <w:t>e</w:t>
      </w:r>
      <w:r w:rsidRPr="00465470">
        <w:rPr>
          <w:rFonts w:cs="Arial"/>
          <w:b/>
          <w:bCs/>
          <w:lang w:val="en-GB" w:eastAsia="de-DE"/>
        </w:rPr>
        <w:t>stimated GFR (</w:t>
      </w:r>
      <w:proofErr w:type="spellStart"/>
      <w:r w:rsidRPr="00465470">
        <w:rPr>
          <w:rFonts w:cs="Arial"/>
          <w:b/>
          <w:bCs/>
          <w:lang w:val="en-GB" w:eastAsia="de-DE"/>
        </w:rPr>
        <w:t>eGFR</w:t>
      </w:r>
      <w:proofErr w:type="spellEnd"/>
      <w:r w:rsidRPr="00465470">
        <w:rPr>
          <w:rFonts w:cs="Arial"/>
          <w:b/>
          <w:bCs/>
          <w:lang w:val="en-GB" w:eastAsia="de-DE"/>
        </w:rPr>
        <w:t xml:space="preserve">) or </w:t>
      </w:r>
      <w:r w:rsidR="00BE487A">
        <w:rPr>
          <w:rFonts w:cs="Arial"/>
          <w:b/>
          <w:bCs/>
          <w:lang w:val="en-GB" w:eastAsia="de-DE"/>
        </w:rPr>
        <w:t>e</w:t>
      </w:r>
      <w:r w:rsidRPr="00465470">
        <w:rPr>
          <w:rFonts w:cs="Arial"/>
          <w:b/>
          <w:bCs/>
          <w:lang w:val="en-GB" w:eastAsia="de-DE"/>
        </w:rPr>
        <w:t xml:space="preserve">stimated </w:t>
      </w:r>
      <w:r w:rsidR="00BE487A">
        <w:rPr>
          <w:rFonts w:cs="Arial"/>
          <w:b/>
          <w:bCs/>
          <w:lang w:val="en-GB" w:eastAsia="de-DE"/>
        </w:rPr>
        <w:t>c</w:t>
      </w:r>
      <w:r w:rsidRPr="00465470">
        <w:rPr>
          <w:rFonts w:cs="Arial"/>
          <w:b/>
          <w:bCs/>
          <w:lang w:val="en-GB" w:eastAsia="de-DE"/>
        </w:rPr>
        <w:t xml:space="preserve">reatinine </w:t>
      </w:r>
      <w:r w:rsidR="00BE487A">
        <w:rPr>
          <w:rFonts w:cs="Arial"/>
          <w:b/>
          <w:bCs/>
          <w:lang w:val="en-GB" w:eastAsia="de-DE"/>
        </w:rPr>
        <w:t>c</w:t>
      </w:r>
      <w:r w:rsidRPr="00465470">
        <w:rPr>
          <w:rFonts w:cs="Arial"/>
          <w:b/>
          <w:bCs/>
          <w:lang w:val="en-GB" w:eastAsia="de-DE"/>
        </w:rPr>
        <w:t>learance (</w:t>
      </w:r>
      <w:proofErr w:type="spellStart"/>
      <w:r w:rsidRPr="00465470">
        <w:rPr>
          <w:rFonts w:cs="Arial"/>
          <w:b/>
          <w:bCs/>
          <w:lang w:val="en-GB" w:eastAsia="de-DE"/>
        </w:rPr>
        <w:t>CrCL</w:t>
      </w:r>
      <w:proofErr w:type="spellEnd"/>
      <w:r w:rsidRPr="00465470">
        <w:rPr>
          <w:rFonts w:cs="Arial"/>
          <w:b/>
          <w:bCs/>
          <w:lang w:val="en-GB" w:eastAsia="de-DE"/>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1276"/>
        <w:gridCol w:w="1275"/>
        <w:gridCol w:w="2835"/>
      </w:tblGrid>
      <w:tr w:rsidR="00465470" w:rsidRPr="005059DC" w:rsidTr="00465470">
        <w:tc>
          <w:tcPr>
            <w:tcW w:w="851" w:type="dxa"/>
            <w:shd w:val="clear" w:color="auto" w:fill="auto"/>
          </w:tcPr>
          <w:p w:rsidR="00465470" w:rsidRPr="00465470" w:rsidRDefault="00465470" w:rsidP="00465470">
            <w:pPr>
              <w:autoSpaceDE w:val="0"/>
              <w:autoSpaceDN w:val="0"/>
              <w:adjustRightInd w:val="0"/>
              <w:rPr>
                <w:rFonts w:ascii="Arial" w:hAnsi="Arial" w:cs="Arial"/>
                <w:b/>
                <w:bCs/>
                <w:color w:val="000000"/>
                <w:sz w:val="22"/>
                <w:szCs w:val="22"/>
                <w:lang w:eastAsia="zh-CN" w:bidi="th-TH"/>
              </w:rPr>
            </w:pPr>
            <w:r w:rsidRPr="00465470">
              <w:rPr>
                <w:rFonts w:ascii="Arial" w:hAnsi="Arial" w:cs="Arial"/>
                <w:b/>
                <w:bCs/>
                <w:color w:val="000000"/>
                <w:sz w:val="22"/>
                <w:szCs w:val="22"/>
                <w:lang w:eastAsia="zh-CN" w:bidi="th-TH"/>
              </w:rPr>
              <w:t>Stage</w:t>
            </w:r>
          </w:p>
        </w:tc>
        <w:tc>
          <w:tcPr>
            <w:tcW w:w="2835" w:type="dxa"/>
            <w:shd w:val="clear" w:color="auto" w:fill="auto"/>
          </w:tcPr>
          <w:p w:rsidR="00465470" w:rsidRPr="00465470" w:rsidRDefault="00465470" w:rsidP="000D4079">
            <w:pPr>
              <w:autoSpaceDE w:val="0"/>
              <w:autoSpaceDN w:val="0"/>
              <w:adjustRightInd w:val="0"/>
              <w:jc w:val="both"/>
              <w:rPr>
                <w:rFonts w:ascii="Arial" w:hAnsi="Arial" w:cs="Arial"/>
                <w:b/>
                <w:bCs/>
                <w:color w:val="000000"/>
                <w:sz w:val="22"/>
                <w:szCs w:val="22"/>
                <w:lang w:eastAsia="zh-CN" w:bidi="th-TH"/>
              </w:rPr>
            </w:pPr>
            <w:proofErr w:type="spellStart"/>
            <w:r w:rsidRPr="00465470">
              <w:rPr>
                <w:rFonts w:ascii="Arial" w:hAnsi="Arial" w:cs="Arial"/>
                <w:b/>
                <w:bCs/>
                <w:color w:val="000000"/>
                <w:sz w:val="22"/>
                <w:szCs w:val="22"/>
                <w:lang w:eastAsia="zh-CN" w:bidi="th-TH"/>
              </w:rPr>
              <w:t>Description</w:t>
            </w:r>
            <w:r w:rsidRPr="00465470">
              <w:rPr>
                <w:rFonts w:ascii="Arial" w:hAnsi="Arial" w:cs="Arial"/>
                <w:b/>
                <w:bCs/>
                <w:color w:val="000000"/>
                <w:sz w:val="22"/>
                <w:szCs w:val="22"/>
                <w:vertAlign w:val="superscript"/>
                <w:lang w:eastAsia="zh-CN" w:bidi="th-TH"/>
              </w:rPr>
              <w:t>a</w:t>
            </w:r>
            <w:proofErr w:type="spellEnd"/>
          </w:p>
        </w:tc>
        <w:tc>
          <w:tcPr>
            <w:tcW w:w="1276" w:type="dxa"/>
            <w:shd w:val="clear" w:color="auto" w:fill="auto"/>
          </w:tcPr>
          <w:p w:rsidR="00465470" w:rsidRPr="00465470" w:rsidRDefault="00465470" w:rsidP="000D4079">
            <w:pPr>
              <w:autoSpaceDE w:val="0"/>
              <w:autoSpaceDN w:val="0"/>
              <w:adjustRightInd w:val="0"/>
              <w:jc w:val="both"/>
              <w:rPr>
                <w:rFonts w:ascii="Arial" w:hAnsi="Arial" w:cs="Arial"/>
                <w:b/>
                <w:bCs/>
                <w:color w:val="000000"/>
                <w:sz w:val="22"/>
                <w:szCs w:val="22"/>
                <w:lang w:eastAsia="zh-CN" w:bidi="th-TH"/>
              </w:rPr>
            </w:pPr>
            <w:proofErr w:type="spellStart"/>
            <w:r w:rsidRPr="00465470">
              <w:rPr>
                <w:rFonts w:ascii="Arial" w:hAnsi="Arial" w:cs="Arial"/>
                <w:b/>
                <w:bCs/>
                <w:color w:val="000000"/>
                <w:sz w:val="22"/>
                <w:szCs w:val="22"/>
                <w:lang w:eastAsia="zh-CN" w:bidi="th-TH"/>
              </w:rPr>
              <w:t>eGFR</w:t>
            </w:r>
            <w:r w:rsidRPr="00465470">
              <w:rPr>
                <w:rFonts w:ascii="Arial" w:hAnsi="Arial" w:cs="Arial"/>
                <w:b/>
                <w:bCs/>
                <w:color w:val="000000"/>
                <w:sz w:val="22"/>
                <w:szCs w:val="22"/>
                <w:vertAlign w:val="superscript"/>
                <w:lang w:eastAsia="zh-CN" w:bidi="th-TH"/>
              </w:rPr>
              <w:t>b</w:t>
            </w:r>
            <w:proofErr w:type="spellEnd"/>
          </w:p>
        </w:tc>
        <w:tc>
          <w:tcPr>
            <w:tcW w:w="1275" w:type="dxa"/>
            <w:shd w:val="clear" w:color="auto" w:fill="auto"/>
          </w:tcPr>
          <w:p w:rsidR="00465470" w:rsidRPr="00465470" w:rsidRDefault="00465470" w:rsidP="000D4079">
            <w:pPr>
              <w:autoSpaceDE w:val="0"/>
              <w:autoSpaceDN w:val="0"/>
              <w:adjustRightInd w:val="0"/>
              <w:jc w:val="both"/>
              <w:rPr>
                <w:rFonts w:ascii="Arial" w:hAnsi="Arial" w:cs="Arial"/>
                <w:b/>
                <w:bCs/>
                <w:color w:val="000000"/>
                <w:sz w:val="22"/>
                <w:szCs w:val="22"/>
                <w:lang w:eastAsia="zh-CN" w:bidi="th-TH"/>
              </w:rPr>
            </w:pPr>
            <w:proofErr w:type="spellStart"/>
            <w:r w:rsidRPr="00465470">
              <w:rPr>
                <w:rFonts w:ascii="Arial" w:hAnsi="Arial" w:cs="Arial"/>
                <w:b/>
                <w:bCs/>
                <w:color w:val="000000"/>
                <w:sz w:val="22"/>
                <w:szCs w:val="22"/>
                <w:lang w:eastAsia="zh-CN" w:bidi="th-TH"/>
              </w:rPr>
              <w:t>CrCL</w:t>
            </w:r>
            <w:r w:rsidRPr="00465470">
              <w:rPr>
                <w:rFonts w:ascii="Arial" w:hAnsi="Arial" w:cs="Arial"/>
                <w:b/>
                <w:bCs/>
                <w:color w:val="000000"/>
                <w:sz w:val="22"/>
                <w:szCs w:val="22"/>
                <w:vertAlign w:val="superscript"/>
                <w:lang w:eastAsia="zh-CN" w:bidi="th-TH"/>
              </w:rPr>
              <w:t>c</w:t>
            </w:r>
            <w:proofErr w:type="spellEnd"/>
            <w:r w:rsidRPr="00465470">
              <w:rPr>
                <w:rFonts w:ascii="Arial" w:hAnsi="Arial" w:cs="Arial"/>
                <w:b/>
                <w:bCs/>
                <w:color w:val="000000"/>
                <w:sz w:val="22"/>
                <w:szCs w:val="22"/>
                <w:lang w:eastAsia="zh-CN" w:bidi="th-TH"/>
              </w:rPr>
              <w:br/>
              <w:t>(mL/min)</w:t>
            </w:r>
          </w:p>
        </w:tc>
        <w:tc>
          <w:tcPr>
            <w:tcW w:w="2835" w:type="dxa"/>
            <w:shd w:val="clear" w:color="auto" w:fill="auto"/>
          </w:tcPr>
          <w:p w:rsidR="00465470" w:rsidRPr="00465470" w:rsidRDefault="00465470" w:rsidP="000D4079">
            <w:pPr>
              <w:autoSpaceDE w:val="0"/>
              <w:autoSpaceDN w:val="0"/>
              <w:adjustRightInd w:val="0"/>
              <w:rPr>
                <w:rFonts w:ascii="Arial" w:hAnsi="Arial" w:cs="Arial"/>
                <w:b/>
                <w:bCs/>
                <w:color w:val="000000"/>
                <w:sz w:val="22"/>
                <w:szCs w:val="22"/>
                <w:lang w:eastAsia="zh-CN" w:bidi="th-TH"/>
              </w:rPr>
            </w:pPr>
            <w:proofErr w:type="spellStart"/>
            <w:r w:rsidRPr="00465470">
              <w:rPr>
                <w:rFonts w:ascii="Arial" w:hAnsi="Arial" w:cs="Arial"/>
                <w:b/>
                <w:bCs/>
                <w:color w:val="000000"/>
                <w:sz w:val="22"/>
                <w:szCs w:val="22"/>
                <w:lang w:eastAsia="zh-CN" w:bidi="th-TH"/>
              </w:rPr>
              <w:t>Praxbind</w:t>
            </w:r>
            <w:proofErr w:type="spellEnd"/>
            <w:r w:rsidRPr="00465470">
              <w:rPr>
                <w:rFonts w:ascii="Arial" w:hAnsi="Arial" w:cs="Arial"/>
                <w:b/>
                <w:bCs/>
                <w:color w:val="000000"/>
                <w:sz w:val="22"/>
                <w:szCs w:val="22"/>
                <w:lang w:eastAsia="zh-CN" w:bidi="th-TH"/>
              </w:rPr>
              <w:t xml:space="preserve"> development program description</w:t>
            </w:r>
          </w:p>
        </w:tc>
      </w:tr>
      <w:tr w:rsidR="00465470" w:rsidRPr="005059DC" w:rsidTr="00465470">
        <w:tc>
          <w:tcPr>
            <w:tcW w:w="851" w:type="dxa"/>
            <w:shd w:val="clear" w:color="auto" w:fill="auto"/>
          </w:tcPr>
          <w:p w:rsidR="00465470" w:rsidRPr="00465470" w:rsidRDefault="00465470" w:rsidP="000D4079">
            <w:pPr>
              <w:autoSpaceDE w:val="0"/>
              <w:autoSpaceDN w:val="0"/>
              <w:adjustRightInd w:val="0"/>
              <w:jc w:val="both"/>
              <w:rPr>
                <w:rFonts w:ascii="Arial" w:hAnsi="Arial" w:cs="Arial"/>
                <w:color w:val="000000"/>
                <w:sz w:val="22"/>
                <w:szCs w:val="22"/>
                <w:lang w:eastAsia="zh-CN" w:bidi="th-TH"/>
              </w:rPr>
            </w:pPr>
            <w:r w:rsidRPr="00465470">
              <w:rPr>
                <w:rFonts w:ascii="Arial" w:hAnsi="Arial" w:cs="Arial"/>
                <w:color w:val="000000"/>
                <w:sz w:val="22"/>
                <w:szCs w:val="22"/>
                <w:lang w:eastAsia="zh-CN" w:bidi="th-TH"/>
              </w:rPr>
              <w:t>1</w:t>
            </w:r>
          </w:p>
        </w:tc>
        <w:tc>
          <w:tcPr>
            <w:tcW w:w="2835"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Control (normal) GFR</w:t>
            </w:r>
          </w:p>
        </w:tc>
        <w:tc>
          <w:tcPr>
            <w:tcW w:w="1276" w:type="dxa"/>
            <w:shd w:val="clear" w:color="auto" w:fill="auto"/>
          </w:tcPr>
          <w:p w:rsidR="00465470" w:rsidRPr="00465470" w:rsidRDefault="00465470" w:rsidP="000D4079">
            <w:pPr>
              <w:autoSpaceDE w:val="0"/>
              <w:autoSpaceDN w:val="0"/>
              <w:adjustRightInd w:val="0"/>
              <w:jc w:val="both"/>
              <w:rPr>
                <w:rFonts w:ascii="Arial" w:hAnsi="Arial" w:cs="Arial"/>
                <w:color w:val="000000"/>
                <w:sz w:val="22"/>
                <w:szCs w:val="22"/>
                <w:lang w:eastAsia="zh-CN" w:bidi="th-TH"/>
              </w:rPr>
            </w:pPr>
            <w:r w:rsidRPr="00465470">
              <w:rPr>
                <w:rFonts w:ascii="Arial" w:hAnsi="Arial" w:cs="Arial"/>
                <w:color w:val="000000"/>
                <w:sz w:val="22"/>
                <w:szCs w:val="22"/>
                <w:lang w:eastAsia="zh-CN" w:bidi="th-TH"/>
              </w:rPr>
              <w:t>≥ 90</w:t>
            </w:r>
          </w:p>
        </w:tc>
        <w:tc>
          <w:tcPr>
            <w:tcW w:w="1275" w:type="dxa"/>
            <w:shd w:val="clear" w:color="auto" w:fill="auto"/>
          </w:tcPr>
          <w:p w:rsidR="00465470" w:rsidRPr="00465470" w:rsidRDefault="00465470" w:rsidP="000D4079">
            <w:pPr>
              <w:autoSpaceDE w:val="0"/>
              <w:autoSpaceDN w:val="0"/>
              <w:adjustRightInd w:val="0"/>
              <w:jc w:val="both"/>
              <w:rPr>
                <w:rFonts w:ascii="Arial" w:hAnsi="Arial" w:cs="Arial"/>
                <w:color w:val="000000"/>
                <w:sz w:val="22"/>
                <w:szCs w:val="22"/>
                <w:lang w:eastAsia="zh-CN" w:bidi="th-TH"/>
              </w:rPr>
            </w:pPr>
            <w:r w:rsidRPr="00465470">
              <w:rPr>
                <w:rFonts w:ascii="Arial" w:hAnsi="Arial" w:cs="Arial"/>
                <w:color w:val="000000"/>
                <w:sz w:val="22"/>
                <w:szCs w:val="22"/>
                <w:lang w:eastAsia="zh-CN" w:bidi="th-TH"/>
              </w:rPr>
              <w:t>≥ 90</w:t>
            </w:r>
          </w:p>
        </w:tc>
        <w:tc>
          <w:tcPr>
            <w:tcW w:w="2835"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Normal renal function</w:t>
            </w:r>
          </w:p>
        </w:tc>
      </w:tr>
      <w:tr w:rsidR="00465470" w:rsidRPr="005059DC" w:rsidTr="00465470">
        <w:tc>
          <w:tcPr>
            <w:tcW w:w="851" w:type="dxa"/>
            <w:shd w:val="clear" w:color="auto" w:fill="auto"/>
          </w:tcPr>
          <w:p w:rsidR="00465470" w:rsidRPr="00465470" w:rsidRDefault="00465470" w:rsidP="000D4079">
            <w:pPr>
              <w:autoSpaceDE w:val="0"/>
              <w:autoSpaceDN w:val="0"/>
              <w:adjustRightInd w:val="0"/>
              <w:jc w:val="both"/>
              <w:rPr>
                <w:rFonts w:ascii="Arial" w:hAnsi="Arial" w:cs="Arial"/>
                <w:color w:val="000000"/>
                <w:sz w:val="22"/>
                <w:szCs w:val="22"/>
                <w:lang w:eastAsia="zh-CN" w:bidi="th-TH"/>
              </w:rPr>
            </w:pPr>
            <w:r w:rsidRPr="00465470">
              <w:rPr>
                <w:rFonts w:ascii="Arial" w:hAnsi="Arial" w:cs="Arial"/>
                <w:color w:val="000000"/>
                <w:sz w:val="22"/>
                <w:szCs w:val="22"/>
                <w:lang w:eastAsia="zh-CN" w:bidi="th-TH"/>
              </w:rPr>
              <w:t>2</w:t>
            </w:r>
          </w:p>
        </w:tc>
        <w:tc>
          <w:tcPr>
            <w:tcW w:w="2835"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Mild decrease in GFR</w:t>
            </w:r>
          </w:p>
        </w:tc>
        <w:tc>
          <w:tcPr>
            <w:tcW w:w="1276"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60-89</w:t>
            </w:r>
          </w:p>
        </w:tc>
        <w:tc>
          <w:tcPr>
            <w:tcW w:w="1275"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60-89</w:t>
            </w:r>
          </w:p>
        </w:tc>
        <w:tc>
          <w:tcPr>
            <w:tcW w:w="2835"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Mild renal impairment</w:t>
            </w:r>
          </w:p>
        </w:tc>
      </w:tr>
      <w:tr w:rsidR="00465470" w:rsidRPr="005059DC" w:rsidTr="00465470">
        <w:tc>
          <w:tcPr>
            <w:tcW w:w="851" w:type="dxa"/>
            <w:shd w:val="clear" w:color="auto" w:fill="auto"/>
          </w:tcPr>
          <w:p w:rsidR="00465470" w:rsidRPr="00465470" w:rsidRDefault="00465470" w:rsidP="000D4079">
            <w:pPr>
              <w:autoSpaceDE w:val="0"/>
              <w:autoSpaceDN w:val="0"/>
              <w:adjustRightInd w:val="0"/>
              <w:jc w:val="both"/>
              <w:rPr>
                <w:rFonts w:ascii="Arial" w:hAnsi="Arial" w:cs="Arial"/>
                <w:color w:val="000000"/>
                <w:sz w:val="22"/>
                <w:szCs w:val="22"/>
                <w:lang w:eastAsia="zh-CN" w:bidi="th-TH"/>
              </w:rPr>
            </w:pPr>
            <w:r w:rsidRPr="00465470">
              <w:rPr>
                <w:rFonts w:ascii="Arial" w:hAnsi="Arial" w:cs="Arial"/>
                <w:color w:val="000000"/>
                <w:sz w:val="22"/>
                <w:szCs w:val="22"/>
                <w:lang w:eastAsia="zh-CN" w:bidi="th-TH"/>
              </w:rPr>
              <w:t>3</w:t>
            </w:r>
          </w:p>
        </w:tc>
        <w:tc>
          <w:tcPr>
            <w:tcW w:w="2835" w:type="dxa"/>
            <w:shd w:val="clear" w:color="auto" w:fill="auto"/>
          </w:tcPr>
          <w:p w:rsidR="00465470" w:rsidRPr="00465470" w:rsidRDefault="00465470" w:rsidP="000D4079">
            <w:pPr>
              <w:autoSpaceDE w:val="0"/>
              <w:autoSpaceDN w:val="0"/>
              <w:adjustRightInd w:val="0"/>
              <w:ind w:right="-108"/>
              <w:rPr>
                <w:rFonts w:ascii="Arial" w:hAnsi="Arial" w:cs="Arial"/>
                <w:color w:val="000000"/>
                <w:sz w:val="22"/>
                <w:szCs w:val="22"/>
                <w:lang w:eastAsia="zh-CN" w:bidi="th-TH"/>
              </w:rPr>
            </w:pPr>
            <w:r w:rsidRPr="00465470">
              <w:rPr>
                <w:rFonts w:ascii="Arial" w:hAnsi="Arial" w:cs="Arial"/>
                <w:color w:val="000000"/>
                <w:sz w:val="22"/>
                <w:szCs w:val="22"/>
                <w:lang w:eastAsia="zh-CN" w:bidi="th-TH"/>
              </w:rPr>
              <w:t>Moderate decrease in GFR</w:t>
            </w:r>
          </w:p>
        </w:tc>
        <w:tc>
          <w:tcPr>
            <w:tcW w:w="1276"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30-59</w:t>
            </w:r>
          </w:p>
        </w:tc>
        <w:tc>
          <w:tcPr>
            <w:tcW w:w="1275"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30-59</w:t>
            </w:r>
          </w:p>
        </w:tc>
        <w:tc>
          <w:tcPr>
            <w:tcW w:w="2835" w:type="dxa"/>
            <w:shd w:val="clear" w:color="auto" w:fill="auto"/>
          </w:tcPr>
          <w:p w:rsidR="00465470" w:rsidRPr="00465470" w:rsidRDefault="00465470" w:rsidP="000D4079">
            <w:pPr>
              <w:autoSpaceDE w:val="0"/>
              <w:autoSpaceDN w:val="0"/>
              <w:adjustRightInd w:val="0"/>
              <w:ind w:right="-108"/>
              <w:rPr>
                <w:rFonts w:ascii="Arial" w:hAnsi="Arial" w:cs="Arial"/>
                <w:color w:val="000000"/>
                <w:sz w:val="22"/>
                <w:szCs w:val="22"/>
                <w:lang w:eastAsia="zh-CN" w:bidi="th-TH"/>
              </w:rPr>
            </w:pPr>
            <w:r w:rsidRPr="00465470">
              <w:rPr>
                <w:rFonts w:ascii="Arial" w:hAnsi="Arial" w:cs="Arial"/>
                <w:color w:val="000000"/>
                <w:sz w:val="22"/>
                <w:szCs w:val="22"/>
                <w:lang w:eastAsia="zh-CN" w:bidi="th-TH"/>
              </w:rPr>
              <w:t>Moderate renal impairment</w:t>
            </w:r>
          </w:p>
        </w:tc>
      </w:tr>
      <w:tr w:rsidR="00465470" w:rsidRPr="005059DC" w:rsidTr="00465470">
        <w:tc>
          <w:tcPr>
            <w:tcW w:w="851" w:type="dxa"/>
            <w:shd w:val="clear" w:color="auto" w:fill="auto"/>
          </w:tcPr>
          <w:p w:rsidR="00465470" w:rsidRPr="00465470" w:rsidRDefault="00465470" w:rsidP="000D4079">
            <w:pPr>
              <w:autoSpaceDE w:val="0"/>
              <w:autoSpaceDN w:val="0"/>
              <w:adjustRightInd w:val="0"/>
              <w:jc w:val="both"/>
              <w:rPr>
                <w:rFonts w:ascii="Arial" w:hAnsi="Arial" w:cs="Arial"/>
                <w:color w:val="000000"/>
                <w:sz w:val="22"/>
                <w:szCs w:val="22"/>
                <w:lang w:eastAsia="zh-CN" w:bidi="th-TH"/>
              </w:rPr>
            </w:pPr>
            <w:r w:rsidRPr="00465470">
              <w:rPr>
                <w:rFonts w:ascii="Arial" w:hAnsi="Arial" w:cs="Arial"/>
                <w:color w:val="000000"/>
                <w:sz w:val="22"/>
                <w:szCs w:val="22"/>
                <w:lang w:eastAsia="zh-CN" w:bidi="th-TH"/>
              </w:rPr>
              <w:t>4</w:t>
            </w:r>
          </w:p>
        </w:tc>
        <w:tc>
          <w:tcPr>
            <w:tcW w:w="2835"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Severe decrease in GFR</w:t>
            </w:r>
          </w:p>
        </w:tc>
        <w:tc>
          <w:tcPr>
            <w:tcW w:w="1276"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15-29</w:t>
            </w:r>
          </w:p>
        </w:tc>
        <w:tc>
          <w:tcPr>
            <w:tcW w:w="1275"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15-29</w:t>
            </w:r>
          </w:p>
        </w:tc>
        <w:tc>
          <w:tcPr>
            <w:tcW w:w="2835"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Severe renal impairment</w:t>
            </w:r>
          </w:p>
        </w:tc>
      </w:tr>
      <w:tr w:rsidR="00465470" w:rsidRPr="005059DC" w:rsidTr="00465470">
        <w:tc>
          <w:tcPr>
            <w:tcW w:w="851" w:type="dxa"/>
            <w:shd w:val="clear" w:color="auto" w:fill="auto"/>
          </w:tcPr>
          <w:p w:rsidR="00465470" w:rsidRPr="00465470" w:rsidRDefault="00465470" w:rsidP="000D4079">
            <w:pPr>
              <w:autoSpaceDE w:val="0"/>
              <w:autoSpaceDN w:val="0"/>
              <w:adjustRightInd w:val="0"/>
              <w:jc w:val="both"/>
              <w:rPr>
                <w:rFonts w:ascii="Arial" w:hAnsi="Arial" w:cs="Arial"/>
                <w:color w:val="000000"/>
                <w:sz w:val="22"/>
                <w:szCs w:val="22"/>
                <w:lang w:eastAsia="zh-CN" w:bidi="th-TH"/>
              </w:rPr>
            </w:pPr>
            <w:r w:rsidRPr="00465470">
              <w:rPr>
                <w:rFonts w:ascii="Arial" w:hAnsi="Arial" w:cs="Arial"/>
                <w:color w:val="000000"/>
                <w:sz w:val="22"/>
                <w:szCs w:val="22"/>
                <w:lang w:eastAsia="zh-CN" w:bidi="th-TH"/>
              </w:rPr>
              <w:t>5</w:t>
            </w:r>
          </w:p>
        </w:tc>
        <w:tc>
          <w:tcPr>
            <w:tcW w:w="2835"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End Stage Renal Disease (ESRD)</w:t>
            </w:r>
          </w:p>
        </w:tc>
        <w:tc>
          <w:tcPr>
            <w:tcW w:w="1276" w:type="dxa"/>
            <w:shd w:val="clear" w:color="auto" w:fill="auto"/>
          </w:tcPr>
          <w:p w:rsidR="00465470" w:rsidRPr="00465470" w:rsidRDefault="00465470" w:rsidP="000D4079">
            <w:pPr>
              <w:autoSpaceDE w:val="0"/>
              <w:autoSpaceDN w:val="0"/>
              <w:adjustRightInd w:val="0"/>
              <w:ind w:right="-108"/>
              <w:rPr>
                <w:rFonts w:ascii="Arial" w:hAnsi="Arial" w:cs="Arial"/>
                <w:color w:val="000000"/>
                <w:sz w:val="22"/>
                <w:szCs w:val="22"/>
                <w:lang w:eastAsia="zh-CN" w:bidi="th-TH"/>
              </w:rPr>
            </w:pPr>
            <w:r w:rsidRPr="00465470">
              <w:rPr>
                <w:rFonts w:ascii="Arial" w:hAnsi="Arial" w:cs="Arial"/>
                <w:color w:val="000000"/>
                <w:sz w:val="22"/>
                <w:szCs w:val="22"/>
                <w:lang w:eastAsia="zh-CN" w:bidi="th-TH"/>
              </w:rPr>
              <w:t>&lt; 15 not on dialysis/ requiring dialysis</w:t>
            </w:r>
          </w:p>
        </w:tc>
        <w:tc>
          <w:tcPr>
            <w:tcW w:w="1275" w:type="dxa"/>
            <w:shd w:val="clear" w:color="auto" w:fill="auto"/>
          </w:tcPr>
          <w:p w:rsidR="00465470" w:rsidRPr="00465470" w:rsidRDefault="00465470" w:rsidP="000D4079">
            <w:pPr>
              <w:autoSpaceDE w:val="0"/>
              <w:autoSpaceDN w:val="0"/>
              <w:adjustRightInd w:val="0"/>
              <w:ind w:right="-108"/>
              <w:rPr>
                <w:rFonts w:ascii="Arial" w:hAnsi="Arial" w:cs="Arial"/>
                <w:color w:val="000000"/>
                <w:sz w:val="22"/>
                <w:szCs w:val="22"/>
                <w:lang w:eastAsia="zh-CN" w:bidi="th-TH"/>
              </w:rPr>
            </w:pPr>
            <w:r w:rsidRPr="00465470">
              <w:rPr>
                <w:rFonts w:ascii="Arial" w:hAnsi="Arial" w:cs="Arial"/>
                <w:color w:val="000000"/>
                <w:sz w:val="22"/>
                <w:szCs w:val="22"/>
                <w:lang w:eastAsia="zh-CN" w:bidi="th-TH"/>
              </w:rPr>
              <w:t>&lt; 15 not on dialysis/ requiring dialysis</w:t>
            </w:r>
          </w:p>
        </w:tc>
        <w:tc>
          <w:tcPr>
            <w:tcW w:w="2835" w:type="dxa"/>
            <w:shd w:val="clear" w:color="auto" w:fill="auto"/>
          </w:tcPr>
          <w:p w:rsidR="00465470" w:rsidRPr="00465470" w:rsidRDefault="00465470" w:rsidP="000D4079">
            <w:pPr>
              <w:autoSpaceDE w:val="0"/>
              <w:autoSpaceDN w:val="0"/>
              <w:adjustRightInd w:val="0"/>
              <w:rPr>
                <w:rFonts w:ascii="Arial" w:hAnsi="Arial" w:cs="Arial"/>
                <w:color w:val="000000"/>
                <w:sz w:val="22"/>
                <w:szCs w:val="22"/>
                <w:lang w:eastAsia="zh-CN" w:bidi="th-TH"/>
              </w:rPr>
            </w:pPr>
            <w:r w:rsidRPr="00465470">
              <w:rPr>
                <w:rFonts w:ascii="Arial" w:hAnsi="Arial" w:cs="Arial"/>
                <w:color w:val="000000"/>
                <w:sz w:val="22"/>
                <w:szCs w:val="22"/>
                <w:lang w:eastAsia="zh-CN" w:bidi="th-TH"/>
              </w:rPr>
              <w:t xml:space="preserve">Severe renal impairment/ </w:t>
            </w:r>
            <w:r w:rsidRPr="00465470">
              <w:rPr>
                <w:rFonts w:ascii="Arial" w:hAnsi="Arial" w:cs="Arial"/>
                <w:color w:val="000000"/>
                <w:sz w:val="22"/>
                <w:szCs w:val="22"/>
                <w:lang w:eastAsia="zh-CN" w:bidi="th-TH"/>
              </w:rPr>
              <w:br/>
              <w:t>End Stage Renal Disease (ESRD)</w:t>
            </w:r>
          </w:p>
        </w:tc>
      </w:tr>
    </w:tbl>
    <w:p w:rsidR="00465470" w:rsidRPr="00465470" w:rsidRDefault="00465470" w:rsidP="00465470">
      <w:pPr>
        <w:autoSpaceDE w:val="0"/>
        <w:autoSpaceDN w:val="0"/>
        <w:adjustRightInd w:val="0"/>
        <w:ind w:left="142" w:hanging="142"/>
        <w:jc w:val="both"/>
        <w:rPr>
          <w:rFonts w:ascii="Arial" w:hAnsi="Arial" w:cs="Arial"/>
          <w:color w:val="000000"/>
          <w:sz w:val="20"/>
          <w:lang w:eastAsia="zh-CN" w:bidi="th-TH"/>
        </w:rPr>
      </w:pPr>
      <w:r w:rsidRPr="00465470">
        <w:rPr>
          <w:rFonts w:ascii="Arial" w:hAnsi="Arial" w:cs="Arial"/>
          <w:color w:val="000000"/>
          <w:sz w:val="20"/>
          <w:vertAlign w:val="superscript"/>
          <w:lang w:eastAsia="zh-CN" w:bidi="th-TH"/>
        </w:rPr>
        <w:t>a</w:t>
      </w:r>
      <w:r w:rsidRPr="00465470">
        <w:rPr>
          <w:rFonts w:ascii="Arial" w:hAnsi="Arial" w:cs="Arial"/>
          <w:color w:val="000000"/>
          <w:sz w:val="20"/>
          <w:vertAlign w:val="superscript"/>
          <w:lang w:eastAsia="zh-CN" w:bidi="th-TH"/>
        </w:rPr>
        <w:tab/>
      </w:r>
      <w:r w:rsidRPr="00465470">
        <w:rPr>
          <w:rFonts w:ascii="Arial" w:hAnsi="Arial" w:cs="Arial"/>
          <w:color w:val="000000"/>
          <w:sz w:val="20"/>
          <w:lang w:eastAsia="zh-CN" w:bidi="th-TH"/>
        </w:rPr>
        <w:t>Stages of renal impairment are based on K/DOQI Clinical Practice Guidelines for Chronic Kidney Disease (CKD) from the National Kidney Foundation in 2002</w:t>
      </w:r>
    </w:p>
    <w:p w:rsidR="00465470" w:rsidRPr="00465470" w:rsidRDefault="00465470" w:rsidP="006B3EC3">
      <w:pPr>
        <w:autoSpaceDE w:val="0"/>
        <w:autoSpaceDN w:val="0"/>
        <w:adjustRightInd w:val="0"/>
        <w:ind w:left="992" w:hanging="850"/>
        <w:jc w:val="both"/>
        <w:rPr>
          <w:rFonts w:ascii="Arial" w:hAnsi="Arial" w:cs="Arial"/>
          <w:color w:val="000000"/>
          <w:sz w:val="20"/>
          <w:lang w:eastAsia="zh-CN" w:bidi="th-TH"/>
        </w:rPr>
      </w:pPr>
      <w:r w:rsidRPr="00465470">
        <w:rPr>
          <w:rFonts w:ascii="Arial" w:hAnsi="Arial" w:cs="Arial"/>
          <w:color w:val="000000"/>
          <w:sz w:val="20"/>
          <w:lang w:eastAsia="zh-CN" w:bidi="th-TH"/>
        </w:rPr>
        <w:t>GFR: glomerular filtration rate</w:t>
      </w:r>
    </w:p>
    <w:p w:rsidR="00465470" w:rsidRPr="00465470" w:rsidRDefault="00465470" w:rsidP="00465470">
      <w:pPr>
        <w:tabs>
          <w:tab w:val="left" w:pos="142"/>
          <w:tab w:val="left" w:pos="993"/>
        </w:tabs>
        <w:autoSpaceDE w:val="0"/>
        <w:autoSpaceDN w:val="0"/>
        <w:adjustRightInd w:val="0"/>
        <w:ind w:left="992" w:hanging="992"/>
        <w:jc w:val="both"/>
        <w:rPr>
          <w:rFonts w:ascii="Arial" w:hAnsi="Arial" w:cs="Arial"/>
          <w:color w:val="000000"/>
          <w:sz w:val="20"/>
          <w:lang w:eastAsia="zh-CN" w:bidi="th-TH"/>
        </w:rPr>
      </w:pPr>
      <w:proofErr w:type="gramStart"/>
      <w:r w:rsidRPr="00465470">
        <w:rPr>
          <w:rFonts w:ascii="Arial" w:hAnsi="Arial" w:cs="Arial"/>
          <w:color w:val="000000"/>
          <w:sz w:val="20"/>
          <w:vertAlign w:val="superscript"/>
          <w:lang w:eastAsia="zh-CN" w:bidi="th-TH"/>
        </w:rPr>
        <w:t>b</w:t>
      </w:r>
      <w:proofErr w:type="gramEnd"/>
      <w:r>
        <w:rPr>
          <w:rFonts w:ascii="Arial" w:hAnsi="Arial" w:cs="Arial"/>
          <w:color w:val="000000"/>
          <w:sz w:val="20"/>
          <w:vertAlign w:val="superscript"/>
          <w:lang w:eastAsia="zh-CN" w:bidi="th-TH"/>
        </w:rPr>
        <w:tab/>
      </w:r>
      <w:proofErr w:type="spellStart"/>
      <w:r w:rsidRPr="00465470">
        <w:rPr>
          <w:rFonts w:ascii="Arial" w:hAnsi="Arial" w:cs="Arial"/>
          <w:color w:val="000000"/>
          <w:sz w:val="20"/>
          <w:lang w:eastAsia="zh-CN" w:bidi="th-TH"/>
        </w:rPr>
        <w:t>eGFR</w:t>
      </w:r>
      <w:proofErr w:type="spellEnd"/>
      <w:r w:rsidRPr="00465470">
        <w:rPr>
          <w:rFonts w:ascii="Arial" w:hAnsi="Arial" w:cs="Arial"/>
          <w:color w:val="000000"/>
          <w:sz w:val="20"/>
          <w:lang w:eastAsia="zh-CN" w:bidi="th-TH"/>
        </w:rPr>
        <w:t>: estimate of GFR based on an MDRD equation</w:t>
      </w:r>
    </w:p>
    <w:p w:rsidR="00465470" w:rsidRPr="00465470" w:rsidRDefault="00465470" w:rsidP="00465470">
      <w:pPr>
        <w:tabs>
          <w:tab w:val="left" w:pos="142"/>
          <w:tab w:val="left" w:pos="993"/>
        </w:tabs>
        <w:autoSpaceDE w:val="0"/>
        <w:autoSpaceDN w:val="0"/>
        <w:adjustRightInd w:val="0"/>
        <w:ind w:left="992" w:hanging="992"/>
        <w:jc w:val="both"/>
        <w:rPr>
          <w:rFonts w:ascii="Arial" w:hAnsi="Arial" w:cs="Arial"/>
          <w:color w:val="000000"/>
          <w:szCs w:val="22"/>
          <w:lang w:eastAsia="zh-CN" w:bidi="th-TH"/>
        </w:rPr>
      </w:pPr>
      <w:proofErr w:type="gramStart"/>
      <w:r w:rsidRPr="00465470">
        <w:rPr>
          <w:rFonts w:ascii="Arial" w:hAnsi="Arial" w:cs="Arial"/>
          <w:color w:val="000000"/>
          <w:sz w:val="20"/>
          <w:vertAlign w:val="superscript"/>
          <w:lang w:eastAsia="zh-CN" w:bidi="th-TH"/>
        </w:rPr>
        <w:t>c</w:t>
      </w:r>
      <w:proofErr w:type="gramEnd"/>
      <w:r>
        <w:rPr>
          <w:rFonts w:ascii="Arial" w:hAnsi="Arial" w:cs="Arial"/>
          <w:color w:val="000000"/>
          <w:sz w:val="20"/>
          <w:vertAlign w:val="superscript"/>
          <w:lang w:eastAsia="zh-CN" w:bidi="th-TH"/>
        </w:rPr>
        <w:tab/>
      </w:r>
      <w:proofErr w:type="spellStart"/>
      <w:r w:rsidRPr="00465470">
        <w:rPr>
          <w:rFonts w:ascii="Arial" w:hAnsi="Arial" w:cs="Arial"/>
          <w:color w:val="000000"/>
          <w:sz w:val="20"/>
          <w:lang w:eastAsia="zh-CN" w:bidi="th-TH"/>
        </w:rPr>
        <w:t>CrCL</w:t>
      </w:r>
      <w:proofErr w:type="spellEnd"/>
      <w:r w:rsidRPr="00465470">
        <w:rPr>
          <w:rFonts w:ascii="Arial" w:hAnsi="Arial" w:cs="Arial"/>
          <w:color w:val="000000"/>
          <w:sz w:val="20"/>
          <w:lang w:eastAsia="zh-CN" w:bidi="th-TH"/>
        </w:rPr>
        <w:t>: estimated creatinine clearance based on the C-G equation</w:t>
      </w:r>
    </w:p>
    <w:p w:rsidR="00D52CDF" w:rsidRPr="00D52CDF" w:rsidRDefault="00D52CDF" w:rsidP="00D52CDF">
      <w:pPr>
        <w:pStyle w:val="TextPI"/>
        <w:rPr>
          <w:rFonts w:cs="Arial"/>
          <w:lang w:val="en-GB" w:eastAsia="de-DE"/>
        </w:rPr>
      </w:pPr>
      <w:r w:rsidRPr="00D52CDF">
        <w:rPr>
          <w:rFonts w:cs="Arial"/>
          <w:lang w:val="en-GB" w:eastAsia="de-DE"/>
        </w:rPr>
        <w:t xml:space="preserve">Based on pharmacokinetic data from 68 patients with different degrees of renal function (median creatinine clearance 19.2-126 mL/min) it is estimated that mean </w:t>
      </w:r>
      <w:proofErr w:type="spellStart"/>
      <w:r w:rsidRPr="00D52CDF">
        <w:rPr>
          <w:rFonts w:cs="Arial"/>
          <w:lang w:val="en-GB" w:eastAsia="de-DE"/>
        </w:rPr>
        <w:t>idarucizumab</w:t>
      </w:r>
      <w:proofErr w:type="spellEnd"/>
      <w:r w:rsidRPr="00D52CDF">
        <w:rPr>
          <w:rFonts w:cs="Arial"/>
          <w:lang w:val="en-GB" w:eastAsia="de-DE"/>
        </w:rPr>
        <w:t xml:space="preserve"> exposure (AUC</w:t>
      </w:r>
      <w:r w:rsidRPr="00D52CDF">
        <w:rPr>
          <w:rFonts w:cs="Arial"/>
          <w:vertAlign w:val="subscript"/>
          <w:lang w:val="en-GB" w:eastAsia="de-DE"/>
        </w:rPr>
        <w:t>0–24h</w:t>
      </w:r>
      <w:r w:rsidRPr="00D52CDF">
        <w:rPr>
          <w:rFonts w:cs="Arial"/>
          <w:lang w:val="en-GB" w:eastAsia="de-DE"/>
        </w:rPr>
        <w:t>) increases by 26% in patients with mild (</w:t>
      </w:r>
      <w:proofErr w:type="spellStart"/>
      <w:r w:rsidRPr="00D52CDF">
        <w:rPr>
          <w:rFonts w:cs="Arial"/>
          <w:lang w:val="en-GB" w:eastAsia="de-DE"/>
        </w:rPr>
        <w:t>CrCl</w:t>
      </w:r>
      <w:proofErr w:type="spellEnd"/>
      <w:r w:rsidRPr="00D52CDF">
        <w:rPr>
          <w:rFonts w:cs="Arial"/>
          <w:lang w:val="en-GB" w:eastAsia="de-DE"/>
        </w:rPr>
        <w:t xml:space="preserve"> 60-90 mL/min), by 78% in moderate (30-60 mL/min) and by 199% in severe (0-30 mL/min) renal impairment. Since dabigatran is also excreted primarily via the kidneys, increases in the exposure to dabigatran are also seen with worsening renal function.</w:t>
      </w:r>
    </w:p>
    <w:p w:rsidR="00D52CDF" w:rsidRPr="002F3E1C" w:rsidRDefault="00D52CDF" w:rsidP="00D52CDF">
      <w:pPr>
        <w:pStyle w:val="TextPI"/>
        <w:rPr>
          <w:rFonts w:cs="Arial"/>
          <w:lang w:val="en-GB" w:eastAsia="de-DE"/>
        </w:rPr>
      </w:pPr>
      <w:r w:rsidRPr="00D52CDF">
        <w:rPr>
          <w:rFonts w:cs="Arial"/>
          <w:lang w:val="en-GB" w:eastAsia="de-DE"/>
        </w:rPr>
        <w:t xml:space="preserve">Based on these data and the extent of reversal of the anticoagulant effect of dabigatran in patients, renal impairment does not appear to impact the reversal effect of </w:t>
      </w:r>
      <w:proofErr w:type="spellStart"/>
      <w:r w:rsidRPr="00D52CDF">
        <w:rPr>
          <w:rFonts w:cs="Arial"/>
          <w:lang w:val="en-GB" w:eastAsia="de-DE"/>
        </w:rPr>
        <w:t>idarucizumab</w:t>
      </w:r>
      <w:proofErr w:type="spellEnd"/>
      <w:r w:rsidRPr="00D52CDF">
        <w:rPr>
          <w:rFonts w:cs="Arial"/>
          <w:lang w:val="en-GB" w:eastAsia="de-DE"/>
        </w:rPr>
        <w:t>.</w:t>
      </w:r>
    </w:p>
    <w:p w:rsidR="000571A3" w:rsidRPr="00184DCF" w:rsidRDefault="000571A3" w:rsidP="000571A3">
      <w:pPr>
        <w:pStyle w:val="TextPI"/>
        <w:rPr>
          <w:rFonts w:cs="Arial"/>
          <w:u w:val="single"/>
          <w:lang w:val="en-GB" w:eastAsia="de-DE"/>
        </w:rPr>
      </w:pPr>
      <w:r w:rsidRPr="00184DCF">
        <w:rPr>
          <w:rFonts w:cs="Arial"/>
          <w:u w:val="single"/>
          <w:lang w:val="en-GB" w:eastAsia="de-DE"/>
        </w:rPr>
        <w:t>Hepatic impairment</w:t>
      </w:r>
    </w:p>
    <w:p w:rsidR="000571A3" w:rsidRPr="0058173F" w:rsidRDefault="000571A3" w:rsidP="000571A3">
      <w:pPr>
        <w:pStyle w:val="TextPI"/>
        <w:rPr>
          <w:rFonts w:cs="Arial"/>
          <w:lang w:val="en-GB" w:eastAsia="de-DE"/>
        </w:rPr>
      </w:pPr>
      <w:r w:rsidRPr="0058173F">
        <w:rPr>
          <w:rFonts w:cs="Arial"/>
          <w:lang w:val="en-GB" w:eastAsia="de-DE"/>
        </w:rPr>
        <w:t xml:space="preserve">An impact of hepatic impairment on the pharmacokinetics of </w:t>
      </w:r>
      <w:proofErr w:type="spellStart"/>
      <w:r w:rsidRPr="0058173F">
        <w:rPr>
          <w:rFonts w:cs="Arial"/>
          <w:lang w:val="en-GB" w:eastAsia="de-DE"/>
        </w:rPr>
        <w:t>idarucizumab</w:t>
      </w:r>
      <w:proofErr w:type="spellEnd"/>
      <w:r w:rsidRPr="0058173F">
        <w:rPr>
          <w:rFonts w:cs="Arial"/>
          <w:lang w:val="en-GB" w:eastAsia="de-DE"/>
        </w:rPr>
        <w:t xml:space="preserve"> is not expected.</w:t>
      </w:r>
    </w:p>
    <w:p w:rsidR="000571A3" w:rsidRPr="0058173F" w:rsidRDefault="00762F30" w:rsidP="000571A3">
      <w:pPr>
        <w:pStyle w:val="TextPI"/>
        <w:rPr>
          <w:rFonts w:cs="Arial"/>
          <w:lang w:val="en-GB" w:eastAsia="de-DE"/>
        </w:rPr>
      </w:pPr>
      <w:r>
        <w:rPr>
          <w:rFonts w:cs="Arial"/>
          <w:lang w:val="en-GB" w:eastAsia="de-DE"/>
        </w:rPr>
        <w:t>PRAXBIND</w:t>
      </w:r>
      <w:r w:rsidR="000571A3" w:rsidRPr="0058173F">
        <w:rPr>
          <w:rFonts w:cs="Arial"/>
          <w:lang w:val="en-GB" w:eastAsia="de-DE"/>
        </w:rPr>
        <w:t xml:space="preserve"> has not been studied in patients with hepatic impairment. Antibody fragments are known to be eliminated mainly by proteolytic catabolism in the kidney.</w:t>
      </w:r>
    </w:p>
    <w:p w:rsidR="0032121C" w:rsidRPr="0042370A" w:rsidRDefault="0032121C" w:rsidP="0086166F">
      <w:pPr>
        <w:pStyle w:val="PIHeading1"/>
        <w:keepLines/>
      </w:pPr>
      <w:r w:rsidRPr="0042370A">
        <w:lastRenderedPageBreak/>
        <w:t>Interactions with other medicines</w:t>
      </w:r>
    </w:p>
    <w:p w:rsidR="00647BEA" w:rsidRPr="00647BEA" w:rsidRDefault="00647BEA" w:rsidP="0086166F">
      <w:pPr>
        <w:pStyle w:val="TextPI"/>
        <w:keepNext/>
        <w:keepLines/>
        <w:rPr>
          <w:rFonts w:cs="Arial"/>
          <w:lang w:val="en-GB" w:eastAsia="de-DE"/>
        </w:rPr>
      </w:pPr>
      <w:r w:rsidRPr="00647BEA">
        <w:rPr>
          <w:rFonts w:cs="Arial"/>
          <w:lang w:val="en-GB" w:eastAsia="de-DE"/>
        </w:rPr>
        <w:t xml:space="preserve">No formal interaction studies with </w:t>
      </w:r>
      <w:r w:rsidR="00762F30">
        <w:rPr>
          <w:rFonts w:cs="Arial"/>
          <w:lang w:val="en-GB" w:eastAsia="de-DE"/>
        </w:rPr>
        <w:t>PRAXBIND</w:t>
      </w:r>
      <w:r w:rsidRPr="00647BEA">
        <w:rPr>
          <w:rFonts w:cs="Arial"/>
          <w:lang w:val="en-GB" w:eastAsia="de-DE"/>
        </w:rPr>
        <w:t xml:space="preserve"> and other medicinal products have been performed. Based on the pharmacokinetic properties and the high specificity in binding to dabigatran, clinically relevant interactions with other medicinal produ</w:t>
      </w:r>
      <w:r>
        <w:rPr>
          <w:rFonts w:cs="Arial"/>
          <w:lang w:val="en-GB" w:eastAsia="de-DE"/>
        </w:rPr>
        <w:t>cts are considered unlikely.</w:t>
      </w:r>
    </w:p>
    <w:p w:rsidR="00647BEA" w:rsidRDefault="00647BEA" w:rsidP="00647BEA">
      <w:pPr>
        <w:pStyle w:val="TextPI"/>
        <w:rPr>
          <w:rFonts w:cs="Arial"/>
          <w:lang w:val="en-GB" w:eastAsia="de-DE"/>
        </w:rPr>
      </w:pPr>
      <w:r w:rsidRPr="00647BEA">
        <w:rPr>
          <w:rFonts w:cs="Arial"/>
          <w:lang w:val="en-GB" w:eastAsia="de-DE"/>
        </w:rPr>
        <w:t>Preclinical investigations have shown no interactions with volume expanders, coagulation factor concentrates and anticoagulants other than dabiga</w:t>
      </w:r>
      <w:r>
        <w:rPr>
          <w:rFonts w:cs="Arial"/>
          <w:lang w:val="en-GB" w:eastAsia="de-DE"/>
        </w:rPr>
        <w:t>tran (see</w:t>
      </w:r>
      <w:r w:rsidR="004B2142">
        <w:rPr>
          <w:rFonts w:cs="Arial"/>
          <w:lang w:val="en-GB" w:eastAsia="de-DE"/>
        </w:rPr>
        <w:t xml:space="preserve"> PHARMACOLOGY,</w:t>
      </w:r>
      <w:r>
        <w:rPr>
          <w:rFonts w:cs="Arial"/>
          <w:lang w:val="en-GB" w:eastAsia="de-DE"/>
        </w:rPr>
        <w:t xml:space="preserve"> </w:t>
      </w:r>
      <w:r w:rsidRPr="00E90CB6">
        <w:rPr>
          <w:rFonts w:cs="Arial"/>
          <w:lang w:val="en-GB" w:eastAsia="de-DE"/>
        </w:rPr>
        <w:t>Pharmacodynamics).</w:t>
      </w:r>
    </w:p>
    <w:p w:rsidR="00014579" w:rsidRPr="0040531A" w:rsidRDefault="00014579" w:rsidP="00647BEA">
      <w:pPr>
        <w:pStyle w:val="PIHeading1"/>
      </w:pPr>
      <w:r w:rsidRPr="0040531A">
        <w:t xml:space="preserve">ADVERSE </w:t>
      </w:r>
      <w:r w:rsidR="00301B0F" w:rsidRPr="0040531A">
        <w:t>EFFECTS</w:t>
      </w:r>
    </w:p>
    <w:p w:rsidR="00996CA8" w:rsidRPr="0040531A" w:rsidRDefault="00996CA8" w:rsidP="00996CA8">
      <w:pPr>
        <w:pStyle w:val="TextPI"/>
        <w:rPr>
          <w:rFonts w:cs="Arial"/>
          <w:lang w:val="en-GB" w:eastAsia="de-DE"/>
        </w:rPr>
      </w:pPr>
      <w:r w:rsidRPr="0040531A">
        <w:rPr>
          <w:rFonts w:cs="Arial"/>
          <w:lang w:val="en-GB" w:eastAsia="de-DE"/>
        </w:rPr>
        <w:t xml:space="preserve">The safety of </w:t>
      </w:r>
      <w:r w:rsidR="00762F30">
        <w:rPr>
          <w:rFonts w:cs="Arial"/>
          <w:lang w:val="en-GB" w:eastAsia="de-DE"/>
        </w:rPr>
        <w:t>PRAXBIND</w:t>
      </w:r>
      <w:r w:rsidRPr="0040531A">
        <w:rPr>
          <w:rFonts w:cs="Arial"/>
          <w:lang w:val="en-GB" w:eastAsia="de-DE"/>
        </w:rPr>
        <w:t xml:space="preserve"> has been evaluated in 224 healthy subjects as well as </w:t>
      </w:r>
      <w:r w:rsidR="00870A28">
        <w:rPr>
          <w:rFonts w:cs="Arial"/>
          <w:lang w:val="en-GB" w:eastAsia="de-DE"/>
        </w:rPr>
        <w:t xml:space="preserve">in 123 </w:t>
      </w:r>
      <w:r w:rsidRPr="0040531A">
        <w:rPr>
          <w:rFonts w:cs="Arial"/>
          <w:lang w:val="en-GB" w:eastAsia="de-DE"/>
        </w:rPr>
        <w:t>patients in an ongoing phase III trial</w:t>
      </w:r>
      <w:r w:rsidR="00870A28">
        <w:rPr>
          <w:rFonts w:cs="Arial"/>
          <w:lang w:val="en-GB" w:eastAsia="de-DE"/>
        </w:rPr>
        <w:t xml:space="preserve"> (RE-VERSE AD)</w:t>
      </w:r>
      <w:r w:rsidRPr="0040531A">
        <w:rPr>
          <w:rFonts w:cs="Arial"/>
          <w:lang w:val="en-GB" w:eastAsia="de-DE"/>
        </w:rPr>
        <w:t xml:space="preserve">, who had uncontrolled </w:t>
      </w:r>
      <w:r w:rsidR="00870A28">
        <w:rPr>
          <w:rFonts w:cs="Arial"/>
          <w:lang w:val="en-GB" w:eastAsia="de-DE"/>
        </w:rPr>
        <w:t xml:space="preserve">or life-threatening </w:t>
      </w:r>
      <w:r w:rsidRPr="0040531A">
        <w:rPr>
          <w:rFonts w:cs="Arial"/>
          <w:lang w:val="en-GB" w:eastAsia="de-DE"/>
        </w:rPr>
        <w:t xml:space="preserve">bleeding or required emergency surgery or procedures and were under treatment with dabigatran </w:t>
      </w:r>
      <w:proofErr w:type="spellStart"/>
      <w:r w:rsidRPr="0040531A">
        <w:rPr>
          <w:rFonts w:cs="Arial"/>
          <w:lang w:val="en-GB" w:eastAsia="de-DE"/>
        </w:rPr>
        <w:t>etexilate</w:t>
      </w:r>
      <w:proofErr w:type="spellEnd"/>
      <w:r w:rsidRPr="0040531A">
        <w:rPr>
          <w:rFonts w:cs="Arial"/>
          <w:lang w:val="en-GB" w:eastAsia="de-DE"/>
        </w:rPr>
        <w:t xml:space="preserve">. </w:t>
      </w:r>
    </w:p>
    <w:p w:rsidR="00870A28" w:rsidRDefault="00996CA8" w:rsidP="00996CA8">
      <w:pPr>
        <w:pStyle w:val="TextPI"/>
        <w:rPr>
          <w:rFonts w:cs="Arial"/>
          <w:lang w:val="en-GB" w:eastAsia="de-DE"/>
        </w:rPr>
      </w:pPr>
      <w:r w:rsidRPr="0040531A">
        <w:rPr>
          <w:rFonts w:cs="Arial"/>
          <w:lang w:val="en-GB" w:eastAsia="de-DE"/>
        </w:rPr>
        <w:t>No adverse reactions have been identified.</w:t>
      </w:r>
    </w:p>
    <w:p w:rsidR="00870A28" w:rsidRPr="00870A28" w:rsidRDefault="00870A28" w:rsidP="00996CA8">
      <w:pPr>
        <w:pStyle w:val="TextPI"/>
        <w:rPr>
          <w:rFonts w:cs="Arial"/>
          <w:u w:val="single"/>
          <w:lang w:val="en-GB" w:eastAsia="de-DE"/>
        </w:rPr>
      </w:pPr>
      <w:r w:rsidRPr="00870A28">
        <w:rPr>
          <w:rFonts w:cs="Arial"/>
          <w:u w:val="single"/>
          <w:lang w:val="en-GB" w:eastAsia="de-DE"/>
        </w:rPr>
        <w:t>Clinical trial experience</w:t>
      </w:r>
    </w:p>
    <w:p w:rsidR="005D7FA7" w:rsidRPr="005D7FA7" w:rsidRDefault="005D7FA7" w:rsidP="005D7FA7">
      <w:pPr>
        <w:pStyle w:val="TextPI"/>
        <w:rPr>
          <w:rFonts w:cs="Arial"/>
          <w:lang w:val="en-GB" w:eastAsia="de-DE"/>
        </w:rPr>
      </w:pPr>
      <w:r w:rsidRPr="005D7FA7">
        <w:rPr>
          <w:rFonts w:cs="Arial"/>
          <w:lang w:val="en-GB" w:eastAsia="de-DE"/>
        </w:rPr>
        <w:t>Three clinical trials in healthy volunteers have been completed, in which 224 subjects were</w:t>
      </w:r>
      <w:r>
        <w:rPr>
          <w:rFonts w:cs="Arial"/>
          <w:lang w:val="en-GB" w:eastAsia="de-DE"/>
        </w:rPr>
        <w:t xml:space="preserve"> </w:t>
      </w:r>
      <w:r w:rsidRPr="005D7FA7">
        <w:rPr>
          <w:rFonts w:cs="Arial"/>
          <w:lang w:val="en-GB" w:eastAsia="de-DE"/>
        </w:rPr>
        <w:t xml:space="preserve">treated with </w:t>
      </w:r>
      <w:proofErr w:type="spellStart"/>
      <w:r w:rsidRPr="005D7FA7">
        <w:rPr>
          <w:rFonts w:cs="Arial"/>
          <w:lang w:val="en-GB" w:eastAsia="de-DE"/>
        </w:rPr>
        <w:t>idarucizumab</w:t>
      </w:r>
      <w:proofErr w:type="spellEnd"/>
      <w:r w:rsidRPr="005D7FA7">
        <w:rPr>
          <w:rFonts w:cs="Arial"/>
          <w:lang w:val="en-GB" w:eastAsia="de-DE"/>
        </w:rPr>
        <w:t>. In these trials during the treatment period the overall frequency of</w:t>
      </w:r>
      <w:r>
        <w:rPr>
          <w:rFonts w:cs="Arial"/>
          <w:lang w:val="en-GB" w:eastAsia="de-DE"/>
        </w:rPr>
        <w:t xml:space="preserve"> </w:t>
      </w:r>
      <w:r w:rsidRPr="005D7FA7">
        <w:rPr>
          <w:rFonts w:cs="Arial"/>
          <w:lang w:val="en-GB" w:eastAsia="de-DE"/>
        </w:rPr>
        <w:t xml:space="preserve">adverse events was similar between </w:t>
      </w:r>
      <w:proofErr w:type="spellStart"/>
      <w:r w:rsidRPr="005D7FA7">
        <w:rPr>
          <w:rFonts w:cs="Arial"/>
          <w:lang w:val="en-GB" w:eastAsia="de-DE"/>
        </w:rPr>
        <w:t>idarucizumab</w:t>
      </w:r>
      <w:proofErr w:type="spellEnd"/>
      <w:r w:rsidRPr="005D7FA7">
        <w:rPr>
          <w:rFonts w:cs="Arial"/>
          <w:lang w:val="en-GB" w:eastAsia="de-DE"/>
        </w:rPr>
        <w:t>-treated subjects (55/224, 25%) and</w:t>
      </w:r>
      <w:r>
        <w:rPr>
          <w:rFonts w:cs="Arial"/>
          <w:lang w:val="en-GB" w:eastAsia="de-DE"/>
        </w:rPr>
        <w:t xml:space="preserve"> </w:t>
      </w:r>
      <w:r w:rsidRPr="005D7FA7">
        <w:rPr>
          <w:rFonts w:cs="Arial"/>
          <w:lang w:val="en-GB" w:eastAsia="de-DE"/>
        </w:rPr>
        <w:t>placebo-treated subjects (26/105, 25%).</w:t>
      </w:r>
    </w:p>
    <w:p w:rsidR="00996CA8" w:rsidRDefault="005D7FA7" w:rsidP="005D7FA7">
      <w:pPr>
        <w:pStyle w:val="TextPI"/>
        <w:rPr>
          <w:rFonts w:cs="Arial"/>
          <w:lang w:val="en-GB" w:eastAsia="de-DE"/>
        </w:rPr>
      </w:pPr>
      <w:r w:rsidRPr="005D7FA7">
        <w:rPr>
          <w:rFonts w:cs="Arial"/>
          <w:lang w:val="en-GB" w:eastAsia="de-DE"/>
        </w:rPr>
        <w:t xml:space="preserve">Table </w:t>
      </w:r>
      <w:r w:rsidR="005134BC">
        <w:rPr>
          <w:rFonts w:cs="Arial"/>
          <w:lang w:val="en-GB" w:eastAsia="de-DE"/>
        </w:rPr>
        <w:t>4</w:t>
      </w:r>
      <w:r w:rsidRPr="005D7FA7">
        <w:rPr>
          <w:rFonts w:cs="Arial"/>
          <w:lang w:val="en-GB" w:eastAsia="de-DE"/>
        </w:rPr>
        <w:t xml:space="preserve"> informs about adverse events reported in healthy volunteers treated with placebo</w:t>
      </w:r>
      <w:r>
        <w:rPr>
          <w:rFonts w:cs="Arial"/>
          <w:lang w:val="en-GB" w:eastAsia="de-DE"/>
        </w:rPr>
        <w:t xml:space="preserve"> </w:t>
      </w:r>
      <w:r w:rsidRPr="005D7FA7">
        <w:rPr>
          <w:rFonts w:cs="Arial"/>
          <w:lang w:val="en-GB" w:eastAsia="de-DE"/>
        </w:rPr>
        <w:t xml:space="preserve">alone, </w:t>
      </w:r>
      <w:r w:rsidR="006953D2">
        <w:rPr>
          <w:rFonts w:cs="Arial"/>
          <w:lang w:val="en-GB" w:eastAsia="de-DE"/>
        </w:rPr>
        <w:t>PRAXBIND</w:t>
      </w:r>
      <w:r w:rsidRPr="005D7FA7">
        <w:rPr>
          <w:rFonts w:cs="Arial"/>
          <w:lang w:val="en-GB" w:eastAsia="de-DE"/>
        </w:rPr>
        <w:t xml:space="preserve"> alone and those treated either </w:t>
      </w:r>
      <w:r w:rsidR="006953D2">
        <w:rPr>
          <w:rFonts w:cs="Arial"/>
          <w:lang w:val="en-GB" w:eastAsia="de-DE"/>
        </w:rPr>
        <w:t>PRAXBIND</w:t>
      </w:r>
      <w:r w:rsidRPr="005D7FA7">
        <w:rPr>
          <w:rFonts w:cs="Arial"/>
          <w:lang w:val="en-GB" w:eastAsia="de-DE"/>
        </w:rPr>
        <w:t xml:space="preserve"> alone or treated with </w:t>
      </w:r>
      <w:r w:rsidR="006953D2">
        <w:rPr>
          <w:rFonts w:cs="Arial"/>
          <w:lang w:val="en-GB" w:eastAsia="de-DE"/>
        </w:rPr>
        <w:t>PRAXBIND</w:t>
      </w:r>
      <w:r w:rsidRPr="005D7FA7">
        <w:rPr>
          <w:rFonts w:cs="Arial"/>
          <w:lang w:val="en-GB" w:eastAsia="de-DE"/>
        </w:rPr>
        <w:t xml:space="preserve"> after</w:t>
      </w:r>
      <w:r>
        <w:rPr>
          <w:rFonts w:cs="Arial"/>
          <w:lang w:val="en-GB" w:eastAsia="de-DE"/>
        </w:rPr>
        <w:t xml:space="preserve"> </w:t>
      </w:r>
      <w:r w:rsidRPr="005D7FA7">
        <w:rPr>
          <w:rFonts w:cs="Arial"/>
          <w:lang w:val="en-GB" w:eastAsia="de-DE"/>
        </w:rPr>
        <w:t xml:space="preserve">pre-treatment with dabigatran </w:t>
      </w:r>
      <w:proofErr w:type="spellStart"/>
      <w:r w:rsidRPr="005D7FA7">
        <w:rPr>
          <w:rFonts w:cs="Arial"/>
          <w:lang w:val="en-GB" w:eastAsia="de-DE"/>
        </w:rPr>
        <w:t>etexilate</w:t>
      </w:r>
      <w:proofErr w:type="spellEnd"/>
      <w:r w:rsidRPr="005D7FA7">
        <w:rPr>
          <w:rFonts w:cs="Arial"/>
          <w:lang w:val="en-GB" w:eastAsia="de-DE"/>
        </w:rPr>
        <w:t>.</w:t>
      </w:r>
      <w:r w:rsidR="00996CA8" w:rsidRPr="00996CA8">
        <w:rPr>
          <w:rFonts w:cs="Arial"/>
          <w:lang w:val="en-GB" w:eastAsia="de-DE"/>
        </w:rPr>
        <w:t xml:space="preserve"> </w:t>
      </w:r>
    </w:p>
    <w:p w:rsidR="00E320B0" w:rsidRDefault="00E320B0" w:rsidP="005D7FA7">
      <w:pPr>
        <w:pStyle w:val="TextPI"/>
        <w:rPr>
          <w:rFonts w:cs="Arial"/>
          <w:lang w:val="en-GB" w:eastAsia="de-DE"/>
        </w:rPr>
      </w:pPr>
    </w:p>
    <w:p w:rsidR="00E320B0" w:rsidRDefault="00E320B0">
      <w:pPr>
        <w:rPr>
          <w:rFonts w:ascii="Arial" w:hAnsi="Arial" w:cs="Arial"/>
          <w:b/>
          <w:bCs/>
          <w:sz w:val="22"/>
          <w:szCs w:val="22"/>
          <w:lang w:val="en-GB" w:eastAsia="de-DE"/>
        </w:rPr>
      </w:pPr>
      <w:r>
        <w:rPr>
          <w:rFonts w:cs="Arial"/>
          <w:b/>
          <w:bCs/>
          <w:lang w:val="en-GB" w:eastAsia="de-DE"/>
        </w:rPr>
        <w:br w:type="page"/>
      </w:r>
    </w:p>
    <w:p w:rsidR="00B91761" w:rsidRPr="00B91761" w:rsidRDefault="00B91761" w:rsidP="00B91761">
      <w:pPr>
        <w:pStyle w:val="TextPI"/>
        <w:ind w:left="1122" w:hanging="1122"/>
        <w:rPr>
          <w:rFonts w:cs="Arial"/>
          <w:b/>
          <w:bCs/>
          <w:lang w:val="en-GB" w:eastAsia="de-DE"/>
        </w:rPr>
      </w:pPr>
      <w:r w:rsidRPr="00B91761">
        <w:rPr>
          <w:rFonts w:cs="Arial"/>
          <w:b/>
          <w:bCs/>
          <w:lang w:val="en-GB" w:eastAsia="de-DE"/>
        </w:rPr>
        <w:lastRenderedPageBreak/>
        <w:t xml:space="preserve">Table </w:t>
      </w:r>
      <w:r w:rsidR="005134BC">
        <w:rPr>
          <w:rFonts w:cs="Arial"/>
          <w:b/>
          <w:bCs/>
          <w:lang w:val="en-GB" w:eastAsia="de-DE"/>
        </w:rPr>
        <w:t>4</w:t>
      </w:r>
      <w:r w:rsidRPr="00B91761">
        <w:rPr>
          <w:rFonts w:cs="Arial"/>
          <w:b/>
          <w:bCs/>
          <w:lang w:val="en-GB" w:eastAsia="de-DE"/>
        </w:rPr>
        <w:tab/>
        <w:t xml:space="preserve">Adverse events (N/%) reported in healthy volunteers treated with placebo alone, </w:t>
      </w:r>
      <w:r>
        <w:rPr>
          <w:rFonts w:cs="Arial"/>
          <w:b/>
          <w:bCs/>
          <w:lang w:val="en-GB" w:eastAsia="de-DE"/>
        </w:rPr>
        <w:t>PRAXBIND</w:t>
      </w:r>
      <w:r w:rsidRPr="00B91761">
        <w:rPr>
          <w:rFonts w:cs="Arial"/>
          <w:b/>
          <w:bCs/>
          <w:lang w:val="en-GB" w:eastAsia="de-DE"/>
        </w:rPr>
        <w:t xml:space="preserve"> alone and those treated either </w:t>
      </w:r>
      <w:r>
        <w:rPr>
          <w:rFonts w:cs="Arial"/>
          <w:b/>
          <w:bCs/>
          <w:lang w:val="en-GB" w:eastAsia="de-DE"/>
        </w:rPr>
        <w:t>PRAXBIND</w:t>
      </w:r>
      <w:r w:rsidRPr="00B91761">
        <w:rPr>
          <w:rFonts w:cs="Arial"/>
          <w:b/>
          <w:bCs/>
          <w:lang w:val="en-GB" w:eastAsia="de-DE"/>
        </w:rPr>
        <w:t xml:space="preserve"> alone or treated with </w:t>
      </w:r>
      <w:r>
        <w:rPr>
          <w:rFonts w:cs="Arial"/>
          <w:b/>
          <w:bCs/>
          <w:lang w:val="en-GB" w:eastAsia="de-DE"/>
        </w:rPr>
        <w:t>PRAXBIND</w:t>
      </w:r>
      <w:r w:rsidRPr="00B91761">
        <w:rPr>
          <w:rFonts w:cs="Arial"/>
          <w:b/>
          <w:bCs/>
          <w:lang w:val="en-GB" w:eastAsia="de-DE"/>
        </w:rPr>
        <w:t xml:space="preserve"> after pre-treatment with dabigatran </w:t>
      </w:r>
      <w:proofErr w:type="spellStart"/>
      <w:r w:rsidRPr="00B91761">
        <w:rPr>
          <w:rFonts w:cs="Arial"/>
          <w:b/>
          <w:bCs/>
          <w:lang w:val="en-GB" w:eastAsia="de-DE"/>
        </w:rPr>
        <w:t>etexilate</w:t>
      </w:r>
      <w:proofErr w:type="spellEnd"/>
      <w:r w:rsidRPr="00B91761">
        <w:rPr>
          <w:rFonts w:cs="Arial"/>
          <w:b/>
          <w:bCs/>
          <w:lang w:val="en-GB" w:eastAsia="de-DE"/>
        </w:rPr>
        <w:t xml:space="preserve"> in Phase I trials (data cut-off 1%)</w:t>
      </w:r>
    </w:p>
    <w:tbl>
      <w:tblPr>
        <w:tblStyle w:val="TableGrid"/>
        <w:tblW w:w="0" w:type="auto"/>
        <w:tblLook w:val="04A0" w:firstRow="1" w:lastRow="0" w:firstColumn="1" w:lastColumn="0" w:noHBand="0" w:noVBand="1"/>
      </w:tblPr>
      <w:tblGrid>
        <w:gridCol w:w="2660"/>
        <w:gridCol w:w="2551"/>
        <w:gridCol w:w="1276"/>
        <w:gridCol w:w="1418"/>
        <w:gridCol w:w="1354"/>
      </w:tblGrid>
      <w:tr w:rsidR="00E320B0" w:rsidRPr="008D2F0D" w:rsidTr="00E320B0">
        <w:tc>
          <w:tcPr>
            <w:tcW w:w="2660" w:type="dxa"/>
          </w:tcPr>
          <w:p w:rsidR="00B91761" w:rsidRPr="00E320B0" w:rsidRDefault="00B91761" w:rsidP="00E320B0">
            <w:pPr>
              <w:pStyle w:val="TextPI"/>
              <w:spacing w:before="40" w:after="40"/>
              <w:jc w:val="left"/>
              <w:rPr>
                <w:rFonts w:cs="Arial"/>
                <w:b/>
                <w:bCs/>
                <w:sz w:val="21"/>
                <w:szCs w:val="21"/>
                <w:lang w:val="en-GB" w:eastAsia="de-DE"/>
              </w:rPr>
            </w:pPr>
            <w:proofErr w:type="spellStart"/>
            <w:r w:rsidRPr="00E320B0">
              <w:rPr>
                <w:rFonts w:cs="Arial"/>
                <w:b/>
                <w:bCs/>
                <w:sz w:val="21"/>
                <w:szCs w:val="21"/>
                <w:lang w:val="en-GB" w:eastAsia="de-DE"/>
              </w:rPr>
              <w:t>MedDRA</w:t>
            </w:r>
            <w:proofErr w:type="spellEnd"/>
            <w:r w:rsidRPr="00E320B0">
              <w:rPr>
                <w:rFonts w:cs="Arial"/>
                <w:b/>
                <w:bCs/>
                <w:sz w:val="21"/>
                <w:szCs w:val="21"/>
                <w:lang w:val="en-GB" w:eastAsia="de-DE"/>
              </w:rPr>
              <w:t xml:space="preserve"> SOC</w:t>
            </w:r>
          </w:p>
        </w:tc>
        <w:tc>
          <w:tcPr>
            <w:tcW w:w="2551" w:type="dxa"/>
          </w:tcPr>
          <w:p w:rsidR="00B91761" w:rsidRPr="00E320B0" w:rsidRDefault="00B91761" w:rsidP="00E320B0">
            <w:pPr>
              <w:pStyle w:val="TextPI"/>
              <w:spacing w:before="40" w:after="40"/>
              <w:jc w:val="left"/>
              <w:rPr>
                <w:rFonts w:cs="Arial"/>
                <w:b/>
                <w:bCs/>
                <w:sz w:val="21"/>
                <w:szCs w:val="21"/>
                <w:lang w:val="en-GB" w:eastAsia="de-DE"/>
              </w:rPr>
            </w:pPr>
            <w:r w:rsidRPr="00E320B0">
              <w:rPr>
                <w:rFonts w:cs="Arial"/>
                <w:b/>
                <w:bCs/>
                <w:sz w:val="21"/>
                <w:szCs w:val="21"/>
                <w:lang w:val="en-GB" w:eastAsia="de-DE"/>
              </w:rPr>
              <w:t>Adverse event</w:t>
            </w:r>
            <w:r w:rsidRPr="00E320B0">
              <w:rPr>
                <w:rFonts w:cs="Arial"/>
                <w:b/>
                <w:bCs/>
                <w:sz w:val="21"/>
                <w:szCs w:val="21"/>
                <w:lang w:val="en-GB" w:eastAsia="de-DE"/>
              </w:rPr>
              <w:br/>
            </w:r>
            <w:proofErr w:type="spellStart"/>
            <w:r w:rsidRPr="00E320B0">
              <w:rPr>
                <w:rFonts w:cs="Arial"/>
                <w:b/>
                <w:bCs/>
                <w:sz w:val="21"/>
                <w:szCs w:val="21"/>
                <w:lang w:val="en-GB" w:eastAsia="de-DE"/>
              </w:rPr>
              <w:t>MedDRA</w:t>
            </w:r>
            <w:proofErr w:type="spellEnd"/>
            <w:r w:rsidRPr="00E320B0">
              <w:rPr>
                <w:rFonts w:cs="Arial"/>
                <w:b/>
                <w:bCs/>
                <w:sz w:val="21"/>
                <w:szCs w:val="21"/>
                <w:lang w:val="en-GB" w:eastAsia="de-DE"/>
              </w:rPr>
              <w:t xml:space="preserve"> PT</w:t>
            </w:r>
          </w:p>
        </w:tc>
        <w:tc>
          <w:tcPr>
            <w:tcW w:w="1276" w:type="dxa"/>
          </w:tcPr>
          <w:p w:rsidR="00B91761" w:rsidRPr="00E320B0" w:rsidRDefault="00B91761" w:rsidP="00E320B0">
            <w:pPr>
              <w:pStyle w:val="TextPI"/>
              <w:spacing w:before="40" w:after="40"/>
              <w:jc w:val="center"/>
              <w:rPr>
                <w:rFonts w:cs="Arial"/>
                <w:b/>
                <w:bCs/>
                <w:sz w:val="21"/>
                <w:szCs w:val="21"/>
                <w:lang w:val="en-GB" w:eastAsia="de-DE"/>
              </w:rPr>
            </w:pPr>
            <w:r w:rsidRPr="00E320B0">
              <w:rPr>
                <w:rFonts w:cs="Arial"/>
                <w:b/>
                <w:bCs/>
                <w:sz w:val="21"/>
                <w:szCs w:val="21"/>
                <w:lang w:val="en-GB" w:eastAsia="de-DE"/>
              </w:rPr>
              <w:t>Placebo alone</w:t>
            </w:r>
            <w:r w:rsidRPr="00E320B0">
              <w:rPr>
                <w:rFonts w:cs="Arial"/>
                <w:b/>
                <w:bCs/>
                <w:sz w:val="21"/>
                <w:szCs w:val="21"/>
                <w:lang w:val="en-GB" w:eastAsia="de-DE"/>
              </w:rPr>
              <w:br/>
              <w:t>N (%)</w:t>
            </w:r>
          </w:p>
        </w:tc>
        <w:tc>
          <w:tcPr>
            <w:tcW w:w="1418" w:type="dxa"/>
          </w:tcPr>
          <w:p w:rsidR="00B91761" w:rsidRPr="00E320B0" w:rsidRDefault="00B91761" w:rsidP="00E320B0">
            <w:pPr>
              <w:pStyle w:val="TextPI"/>
              <w:spacing w:before="40" w:after="40"/>
              <w:jc w:val="center"/>
              <w:rPr>
                <w:rFonts w:cs="Arial"/>
                <w:b/>
                <w:bCs/>
                <w:sz w:val="21"/>
                <w:szCs w:val="21"/>
                <w:lang w:val="en-GB" w:eastAsia="de-DE"/>
              </w:rPr>
            </w:pPr>
            <w:r w:rsidRPr="00E320B0">
              <w:rPr>
                <w:rFonts w:cs="Arial"/>
                <w:b/>
                <w:bCs/>
                <w:sz w:val="21"/>
                <w:szCs w:val="21"/>
                <w:lang w:val="en-GB" w:eastAsia="de-DE"/>
              </w:rPr>
              <w:t>IDA alone</w:t>
            </w:r>
            <w:r w:rsidRPr="00E320B0">
              <w:rPr>
                <w:rFonts w:cs="Arial"/>
                <w:b/>
                <w:bCs/>
                <w:sz w:val="21"/>
                <w:szCs w:val="21"/>
                <w:lang w:val="en-GB" w:eastAsia="de-DE"/>
              </w:rPr>
              <w:br/>
              <w:t>N (%)</w:t>
            </w:r>
          </w:p>
        </w:tc>
        <w:tc>
          <w:tcPr>
            <w:tcW w:w="1354" w:type="dxa"/>
          </w:tcPr>
          <w:p w:rsidR="00B91761" w:rsidRPr="00E320B0" w:rsidRDefault="00B91761" w:rsidP="00E320B0">
            <w:pPr>
              <w:pStyle w:val="TextPI"/>
              <w:spacing w:before="40" w:after="40"/>
              <w:jc w:val="center"/>
              <w:rPr>
                <w:rFonts w:cs="Arial"/>
                <w:b/>
                <w:bCs/>
                <w:sz w:val="21"/>
                <w:szCs w:val="21"/>
                <w:lang w:val="pt-PT" w:eastAsia="de-DE"/>
              </w:rPr>
            </w:pPr>
            <w:r w:rsidRPr="00E320B0">
              <w:rPr>
                <w:rFonts w:cs="Arial"/>
                <w:b/>
                <w:bCs/>
                <w:sz w:val="21"/>
                <w:szCs w:val="21"/>
                <w:lang w:val="pt-PT" w:eastAsia="de-DE"/>
              </w:rPr>
              <w:t>IDA or IDA + DE</w:t>
            </w:r>
            <w:r w:rsidRPr="00E320B0">
              <w:rPr>
                <w:rFonts w:cs="Arial"/>
                <w:b/>
                <w:bCs/>
                <w:sz w:val="21"/>
                <w:szCs w:val="21"/>
                <w:lang w:val="pt-PT" w:eastAsia="de-DE"/>
              </w:rPr>
              <w:br/>
              <w:t>N (%)</w:t>
            </w:r>
          </w:p>
        </w:tc>
      </w:tr>
      <w:tr w:rsidR="00E320B0" w:rsidRPr="00E320B0" w:rsidTr="00E320B0">
        <w:tc>
          <w:tcPr>
            <w:tcW w:w="2660" w:type="dxa"/>
          </w:tcPr>
          <w:p w:rsidR="00B91761" w:rsidRPr="00E320B0" w:rsidRDefault="00B91761" w:rsidP="00E320B0">
            <w:pPr>
              <w:pStyle w:val="TextPI"/>
              <w:spacing w:before="40" w:after="40"/>
              <w:jc w:val="left"/>
              <w:rPr>
                <w:rFonts w:cs="Arial"/>
                <w:b/>
                <w:bCs/>
                <w:sz w:val="21"/>
                <w:szCs w:val="21"/>
                <w:lang w:val="pt-PT" w:eastAsia="de-DE"/>
              </w:rPr>
            </w:pPr>
            <w:r w:rsidRPr="00E320B0">
              <w:rPr>
                <w:rFonts w:cs="Arial"/>
                <w:b/>
                <w:bCs/>
                <w:sz w:val="21"/>
                <w:szCs w:val="21"/>
                <w:lang w:val="pt-PT" w:eastAsia="de-DE"/>
              </w:rPr>
              <w:t>Number of patients</w:t>
            </w:r>
          </w:p>
        </w:tc>
        <w:tc>
          <w:tcPr>
            <w:tcW w:w="2551" w:type="dxa"/>
          </w:tcPr>
          <w:p w:rsidR="00B91761" w:rsidRPr="00E320B0" w:rsidRDefault="00B91761" w:rsidP="00E320B0">
            <w:pPr>
              <w:pStyle w:val="TextPI"/>
              <w:spacing w:before="40" w:after="40"/>
              <w:jc w:val="left"/>
              <w:rPr>
                <w:rFonts w:cs="Arial"/>
                <w:sz w:val="21"/>
                <w:szCs w:val="21"/>
                <w:lang w:val="pt-PT" w:eastAsia="de-DE"/>
              </w:rPr>
            </w:pPr>
          </w:p>
        </w:tc>
        <w:tc>
          <w:tcPr>
            <w:tcW w:w="1276" w:type="dxa"/>
          </w:tcPr>
          <w:p w:rsidR="00B91761" w:rsidRPr="00E320B0" w:rsidRDefault="00B91761" w:rsidP="00E320B0">
            <w:pPr>
              <w:pStyle w:val="TextPI"/>
              <w:spacing w:before="40" w:after="40"/>
              <w:jc w:val="center"/>
              <w:rPr>
                <w:rFonts w:cs="Arial"/>
                <w:sz w:val="21"/>
                <w:szCs w:val="21"/>
                <w:lang w:val="pt-PT" w:eastAsia="de-DE"/>
              </w:rPr>
            </w:pPr>
            <w:r w:rsidRPr="00E320B0">
              <w:rPr>
                <w:rFonts w:cs="Arial"/>
                <w:sz w:val="21"/>
                <w:szCs w:val="21"/>
                <w:lang w:val="pt-PT" w:eastAsia="de-DE"/>
              </w:rPr>
              <w:t>35 (100.0)</w:t>
            </w:r>
          </w:p>
        </w:tc>
        <w:tc>
          <w:tcPr>
            <w:tcW w:w="1418" w:type="dxa"/>
          </w:tcPr>
          <w:p w:rsidR="00B91761" w:rsidRPr="00E320B0" w:rsidRDefault="00B91761" w:rsidP="00E320B0">
            <w:pPr>
              <w:pStyle w:val="TextPI"/>
              <w:spacing w:before="40" w:after="40"/>
              <w:jc w:val="center"/>
              <w:rPr>
                <w:rFonts w:cs="Arial"/>
                <w:sz w:val="21"/>
                <w:szCs w:val="21"/>
                <w:lang w:val="pt-PT" w:eastAsia="de-DE"/>
              </w:rPr>
            </w:pPr>
            <w:r w:rsidRPr="00E320B0">
              <w:rPr>
                <w:rFonts w:cs="Arial"/>
                <w:sz w:val="21"/>
                <w:szCs w:val="21"/>
                <w:lang w:val="pt-PT" w:eastAsia="de-DE"/>
              </w:rPr>
              <w:t>107 (100.0)</w:t>
            </w:r>
          </w:p>
        </w:tc>
        <w:tc>
          <w:tcPr>
            <w:tcW w:w="1354" w:type="dxa"/>
          </w:tcPr>
          <w:p w:rsidR="00B91761" w:rsidRPr="00E320B0" w:rsidRDefault="00B91761" w:rsidP="00E320B0">
            <w:pPr>
              <w:pStyle w:val="TextPI"/>
              <w:spacing w:before="40" w:after="40"/>
              <w:jc w:val="center"/>
              <w:rPr>
                <w:rFonts w:cs="Arial"/>
                <w:sz w:val="21"/>
                <w:szCs w:val="21"/>
                <w:lang w:val="pt-PT" w:eastAsia="de-DE"/>
              </w:rPr>
            </w:pPr>
            <w:r w:rsidRPr="00E320B0">
              <w:rPr>
                <w:rFonts w:cs="Arial"/>
                <w:sz w:val="21"/>
                <w:szCs w:val="21"/>
                <w:lang w:val="pt-PT" w:eastAsia="de-DE"/>
              </w:rPr>
              <w:t>224 (100.0)</w:t>
            </w:r>
          </w:p>
        </w:tc>
      </w:tr>
      <w:tr w:rsidR="00E320B0" w:rsidRPr="00E320B0" w:rsidTr="00E320B0">
        <w:tc>
          <w:tcPr>
            <w:tcW w:w="2660" w:type="dxa"/>
          </w:tcPr>
          <w:p w:rsidR="00B91761" w:rsidRPr="00E320B0" w:rsidRDefault="00B91761" w:rsidP="00E320B0">
            <w:pPr>
              <w:pStyle w:val="TextPI"/>
              <w:spacing w:before="40" w:after="40"/>
              <w:jc w:val="left"/>
              <w:rPr>
                <w:rFonts w:cs="Arial"/>
                <w:b/>
                <w:bCs/>
                <w:sz w:val="21"/>
                <w:szCs w:val="21"/>
                <w:lang w:val="pt-PT" w:eastAsia="de-DE"/>
              </w:rPr>
            </w:pPr>
            <w:r w:rsidRPr="00E320B0">
              <w:rPr>
                <w:rFonts w:cs="Arial"/>
                <w:b/>
                <w:bCs/>
                <w:sz w:val="21"/>
                <w:szCs w:val="21"/>
                <w:lang w:val="pt-PT" w:eastAsia="de-DE"/>
              </w:rPr>
              <w:t>Infections and infestations</w:t>
            </w:r>
          </w:p>
        </w:tc>
        <w:tc>
          <w:tcPr>
            <w:tcW w:w="2551" w:type="dxa"/>
          </w:tcPr>
          <w:p w:rsidR="00B91761" w:rsidRPr="00E320B0" w:rsidRDefault="00B91761" w:rsidP="00E320B0">
            <w:pPr>
              <w:pStyle w:val="TextPI"/>
              <w:spacing w:before="40" w:after="40"/>
              <w:jc w:val="left"/>
              <w:rPr>
                <w:rFonts w:cs="Arial"/>
                <w:sz w:val="21"/>
                <w:szCs w:val="21"/>
                <w:lang w:val="pt-PT" w:eastAsia="de-DE"/>
              </w:rPr>
            </w:pPr>
            <w:r w:rsidRPr="00E320B0">
              <w:rPr>
                <w:rFonts w:cs="Arial"/>
                <w:sz w:val="21"/>
                <w:szCs w:val="21"/>
                <w:lang w:val="pt-PT" w:eastAsia="de-DE"/>
              </w:rPr>
              <w:t>Nasopharyngitis</w:t>
            </w:r>
          </w:p>
        </w:tc>
        <w:tc>
          <w:tcPr>
            <w:tcW w:w="1276" w:type="dxa"/>
          </w:tcPr>
          <w:p w:rsidR="00B91761" w:rsidRPr="00E320B0" w:rsidRDefault="00E320B0" w:rsidP="00E320B0">
            <w:pPr>
              <w:pStyle w:val="TextPI"/>
              <w:spacing w:before="40" w:after="40"/>
              <w:jc w:val="center"/>
              <w:rPr>
                <w:rFonts w:cs="Arial"/>
                <w:sz w:val="21"/>
                <w:szCs w:val="21"/>
                <w:lang w:val="pt-PT" w:eastAsia="de-DE"/>
              </w:rPr>
            </w:pPr>
            <w:r w:rsidRPr="00E320B0">
              <w:rPr>
                <w:rFonts w:cs="Arial"/>
                <w:sz w:val="21"/>
                <w:szCs w:val="21"/>
                <w:lang w:val="pt-PT" w:eastAsia="de-DE"/>
              </w:rPr>
              <w:t>1 (2.9)</w:t>
            </w:r>
          </w:p>
        </w:tc>
        <w:tc>
          <w:tcPr>
            <w:tcW w:w="1418" w:type="dxa"/>
          </w:tcPr>
          <w:p w:rsidR="00B91761" w:rsidRPr="00E320B0" w:rsidRDefault="00E320B0" w:rsidP="00E320B0">
            <w:pPr>
              <w:pStyle w:val="TextPI"/>
              <w:spacing w:before="40" w:after="40"/>
              <w:jc w:val="center"/>
              <w:rPr>
                <w:rFonts w:cs="Arial"/>
                <w:sz w:val="21"/>
                <w:szCs w:val="21"/>
                <w:lang w:val="pt-PT" w:eastAsia="de-DE"/>
              </w:rPr>
            </w:pPr>
            <w:r w:rsidRPr="00E320B0">
              <w:rPr>
                <w:rFonts w:cs="Arial"/>
                <w:sz w:val="21"/>
                <w:szCs w:val="21"/>
                <w:lang w:val="pt-PT" w:eastAsia="de-DE"/>
              </w:rPr>
              <w:t>2 (1.9)</w:t>
            </w:r>
          </w:p>
        </w:tc>
        <w:tc>
          <w:tcPr>
            <w:tcW w:w="1354" w:type="dxa"/>
          </w:tcPr>
          <w:p w:rsidR="00B91761" w:rsidRPr="00E320B0" w:rsidRDefault="00E320B0" w:rsidP="00E320B0">
            <w:pPr>
              <w:pStyle w:val="TextPI"/>
              <w:spacing w:before="40" w:after="40"/>
              <w:jc w:val="center"/>
              <w:rPr>
                <w:rFonts w:cs="Arial"/>
                <w:sz w:val="21"/>
                <w:szCs w:val="21"/>
                <w:lang w:val="pt-PT" w:eastAsia="de-DE"/>
              </w:rPr>
            </w:pPr>
            <w:r w:rsidRPr="00E320B0">
              <w:rPr>
                <w:rFonts w:cs="Arial"/>
                <w:sz w:val="21"/>
                <w:szCs w:val="21"/>
                <w:lang w:val="pt-PT" w:eastAsia="de-DE"/>
              </w:rPr>
              <w:t>3 (1.3)</w:t>
            </w:r>
          </w:p>
        </w:tc>
      </w:tr>
      <w:tr w:rsidR="00E320B0" w:rsidRPr="00E320B0" w:rsidTr="00E320B0">
        <w:tc>
          <w:tcPr>
            <w:tcW w:w="2660" w:type="dxa"/>
          </w:tcPr>
          <w:p w:rsidR="00B91761" w:rsidRPr="00E320B0" w:rsidRDefault="00B91761" w:rsidP="00E320B0">
            <w:pPr>
              <w:pStyle w:val="TextPI"/>
              <w:spacing w:before="40" w:after="40"/>
              <w:jc w:val="left"/>
              <w:rPr>
                <w:rFonts w:cs="Arial"/>
                <w:b/>
                <w:bCs/>
                <w:sz w:val="21"/>
                <w:szCs w:val="21"/>
                <w:lang w:val="pt-PT" w:eastAsia="de-DE"/>
              </w:rPr>
            </w:pPr>
            <w:r w:rsidRPr="00E320B0">
              <w:rPr>
                <w:rFonts w:cs="Arial"/>
                <w:b/>
                <w:bCs/>
                <w:sz w:val="21"/>
                <w:szCs w:val="21"/>
                <w:lang w:val="pt-PT" w:eastAsia="de-DE"/>
              </w:rPr>
              <w:t>Nervous system disorders</w:t>
            </w:r>
          </w:p>
        </w:tc>
        <w:tc>
          <w:tcPr>
            <w:tcW w:w="2551" w:type="dxa"/>
          </w:tcPr>
          <w:p w:rsidR="00B91761" w:rsidRPr="00E320B0" w:rsidRDefault="00B91761" w:rsidP="00E320B0">
            <w:pPr>
              <w:pStyle w:val="TextPI"/>
              <w:spacing w:before="40" w:after="40"/>
              <w:jc w:val="left"/>
              <w:rPr>
                <w:rFonts w:cs="Arial"/>
                <w:sz w:val="21"/>
                <w:szCs w:val="21"/>
                <w:lang w:eastAsia="de-DE"/>
              </w:rPr>
            </w:pPr>
            <w:r w:rsidRPr="00E320B0">
              <w:rPr>
                <w:rFonts w:cs="Arial"/>
                <w:sz w:val="21"/>
                <w:szCs w:val="21"/>
                <w:lang w:eastAsia="de-DE"/>
              </w:rPr>
              <w:t>Headache</w:t>
            </w:r>
            <w:r w:rsidRPr="00E320B0">
              <w:rPr>
                <w:rFonts w:cs="Arial"/>
                <w:sz w:val="21"/>
                <w:szCs w:val="21"/>
                <w:lang w:eastAsia="de-DE"/>
              </w:rPr>
              <w:br/>
              <w:t>Dizziness</w:t>
            </w:r>
          </w:p>
        </w:tc>
        <w:tc>
          <w:tcPr>
            <w:tcW w:w="1276"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2 (5.7)</w:t>
            </w:r>
            <w:r w:rsidRPr="00E320B0">
              <w:rPr>
                <w:rFonts w:cs="Arial"/>
                <w:sz w:val="21"/>
                <w:szCs w:val="21"/>
                <w:lang w:eastAsia="de-DE"/>
              </w:rPr>
              <w:br/>
              <w:t>1 (2.9)</w:t>
            </w:r>
          </w:p>
        </w:tc>
        <w:tc>
          <w:tcPr>
            <w:tcW w:w="1418"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9 (8.4)</w:t>
            </w:r>
            <w:r w:rsidRPr="00E320B0">
              <w:rPr>
                <w:rFonts w:cs="Arial"/>
                <w:sz w:val="21"/>
                <w:szCs w:val="21"/>
                <w:lang w:eastAsia="de-DE"/>
              </w:rPr>
              <w:br/>
              <w:t>1 (0.9)</w:t>
            </w:r>
          </w:p>
        </w:tc>
        <w:tc>
          <w:tcPr>
            <w:tcW w:w="1354"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12 (5.4)</w:t>
            </w:r>
            <w:r w:rsidRPr="00E320B0">
              <w:rPr>
                <w:rFonts w:cs="Arial"/>
                <w:sz w:val="21"/>
                <w:szCs w:val="21"/>
                <w:lang w:eastAsia="de-DE"/>
              </w:rPr>
              <w:br/>
              <w:t>5 (2.2)</w:t>
            </w:r>
          </w:p>
        </w:tc>
      </w:tr>
      <w:tr w:rsidR="00E320B0" w:rsidRPr="00E320B0" w:rsidTr="00E320B0">
        <w:tc>
          <w:tcPr>
            <w:tcW w:w="2660" w:type="dxa"/>
          </w:tcPr>
          <w:p w:rsidR="00B91761" w:rsidRPr="00E320B0" w:rsidRDefault="00B91761" w:rsidP="00E320B0">
            <w:pPr>
              <w:pStyle w:val="TextPI"/>
              <w:spacing w:before="40" w:after="40"/>
              <w:jc w:val="left"/>
              <w:rPr>
                <w:rFonts w:cs="Arial"/>
                <w:b/>
                <w:bCs/>
                <w:sz w:val="21"/>
                <w:szCs w:val="21"/>
                <w:lang w:val="pt-PT" w:eastAsia="de-DE"/>
              </w:rPr>
            </w:pPr>
            <w:r w:rsidRPr="00E320B0">
              <w:rPr>
                <w:rFonts w:cs="Arial"/>
                <w:b/>
                <w:bCs/>
                <w:sz w:val="21"/>
                <w:szCs w:val="21"/>
                <w:lang w:val="pt-PT" w:eastAsia="de-DE"/>
              </w:rPr>
              <w:t>Gastrointestinal disorders</w:t>
            </w:r>
          </w:p>
        </w:tc>
        <w:tc>
          <w:tcPr>
            <w:tcW w:w="2551" w:type="dxa"/>
          </w:tcPr>
          <w:p w:rsidR="00B91761" w:rsidRPr="00E320B0" w:rsidRDefault="00B91761" w:rsidP="00E320B0">
            <w:pPr>
              <w:pStyle w:val="TextPI"/>
              <w:spacing w:before="40" w:after="40"/>
              <w:jc w:val="left"/>
              <w:rPr>
                <w:rFonts w:cs="Arial"/>
                <w:sz w:val="21"/>
                <w:szCs w:val="21"/>
                <w:lang w:eastAsia="de-DE"/>
              </w:rPr>
            </w:pPr>
            <w:r w:rsidRPr="00E320B0">
              <w:rPr>
                <w:rFonts w:cs="Arial"/>
                <w:sz w:val="21"/>
                <w:szCs w:val="21"/>
                <w:lang w:eastAsia="de-DE"/>
              </w:rPr>
              <w:t>Diarrhoea</w:t>
            </w:r>
            <w:r w:rsidRPr="00E320B0">
              <w:rPr>
                <w:rFonts w:cs="Arial"/>
                <w:sz w:val="21"/>
                <w:szCs w:val="21"/>
                <w:lang w:eastAsia="de-DE"/>
              </w:rPr>
              <w:br/>
              <w:t>Constipation</w:t>
            </w:r>
          </w:p>
        </w:tc>
        <w:tc>
          <w:tcPr>
            <w:tcW w:w="1276"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0 (0.0)</w:t>
            </w:r>
            <w:r w:rsidRPr="00E320B0">
              <w:rPr>
                <w:rFonts w:cs="Arial"/>
                <w:sz w:val="21"/>
                <w:szCs w:val="21"/>
                <w:lang w:eastAsia="de-DE"/>
              </w:rPr>
              <w:br/>
              <w:t>0 (0.0)</w:t>
            </w:r>
          </w:p>
        </w:tc>
        <w:tc>
          <w:tcPr>
            <w:tcW w:w="1418"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2 (1.9)</w:t>
            </w:r>
            <w:r w:rsidRPr="00E320B0">
              <w:rPr>
                <w:rFonts w:cs="Arial"/>
                <w:sz w:val="21"/>
                <w:szCs w:val="21"/>
                <w:lang w:eastAsia="de-DE"/>
              </w:rPr>
              <w:br/>
              <w:t>1 (0.9)</w:t>
            </w:r>
          </w:p>
        </w:tc>
        <w:tc>
          <w:tcPr>
            <w:tcW w:w="1354"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3 (1.3)</w:t>
            </w:r>
            <w:r w:rsidRPr="00E320B0">
              <w:rPr>
                <w:rFonts w:cs="Arial"/>
                <w:sz w:val="21"/>
                <w:szCs w:val="21"/>
                <w:lang w:eastAsia="de-DE"/>
              </w:rPr>
              <w:br/>
              <w:t>3 (1.3)</w:t>
            </w:r>
          </w:p>
        </w:tc>
      </w:tr>
      <w:tr w:rsidR="00E320B0" w:rsidRPr="00E320B0" w:rsidTr="00E320B0">
        <w:tc>
          <w:tcPr>
            <w:tcW w:w="2660" w:type="dxa"/>
          </w:tcPr>
          <w:p w:rsidR="00B91761" w:rsidRPr="00E320B0" w:rsidRDefault="00B91761" w:rsidP="00E320B0">
            <w:pPr>
              <w:pStyle w:val="TextPI"/>
              <w:spacing w:before="40" w:after="40"/>
              <w:jc w:val="left"/>
              <w:rPr>
                <w:rFonts w:cs="Arial"/>
                <w:b/>
                <w:bCs/>
                <w:sz w:val="21"/>
                <w:szCs w:val="21"/>
                <w:lang w:eastAsia="de-DE"/>
              </w:rPr>
            </w:pPr>
            <w:r w:rsidRPr="00E320B0">
              <w:rPr>
                <w:rFonts w:cs="Arial"/>
                <w:b/>
                <w:bCs/>
                <w:sz w:val="21"/>
                <w:szCs w:val="21"/>
                <w:lang w:eastAsia="de-DE"/>
              </w:rPr>
              <w:t>General disorders and administration site condition</w:t>
            </w:r>
          </w:p>
        </w:tc>
        <w:tc>
          <w:tcPr>
            <w:tcW w:w="2551" w:type="dxa"/>
          </w:tcPr>
          <w:p w:rsidR="00B91761" w:rsidRPr="00E320B0" w:rsidRDefault="00B91761" w:rsidP="00E320B0">
            <w:pPr>
              <w:pStyle w:val="TextPI"/>
              <w:spacing w:before="40" w:after="40"/>
              <w:jc w:val="left"/>
              <w:rPr>
                <w:rFonts w:cs="Arial"/>
                <w:sz w:val="21"/>
                <w:szCs w:val="21"/>
                <w:lang w:eastAsia="de-DE"/>
              </w:rPr>
            </w:pPr>
            <w:r w:rsidRPr="00E320B0">
              <w:rPr>
                <w:rFonts w:cs="Arial"/>
                <w:sz w:val="21"/>
                <w:szCs w:val="21"/>
                <w:lang w:eastAsia="de-DE"/>
              </w:rPr>
              <w:t>Catheter site pain</w:t>
            </w:r>
          </w:p>
        </w:tc>
        <w:tc>
          <w:tcPr>
            <w:tcW w:w="1276"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1 (2.9)</w:t>
            </w:r>
          </w:p>
        </w:tc>
        <w:tc>
          <w:tcPr>
            <w:tcW w:w="1418"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2 (1.9)</w:t>
            </w:r>
          </w:p>
        </w:tc>
        <w:tc>
          <w:tcPr>
            <w:tcW w:w="1354"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3 (1.3)</w:t>
            </w:r>
          </w:p>
        </w:tc>
      </w:tr>
      <w:tr w:rsidR="00E320B0" w:rsidRPr="00E320B0" w:rsidTr="00E320B0">
        <w:tc>
          <w:tcPr>
            <w:tcW w:w="2660" w:type="dxa"/>
          </w:tcPr>
          <w:p w:rsidR="00B91761" w:rsidRPr="00E320B0" w:rsidRDefault="00B91761" w:rsidP="00E320B0">
            <w:pPr>
              <w:pStyle w:val="TextPI"/>
              <w:spacing w:before="40" w:after="40"/>
              <w:jc w:val="left"/>
              <w:rPr>
                <w:rFonts w:cs="Arial"/>
                <w:b/>
                <w:bCs/>
                <w:sz w:val="21"/>
                <w:szCs w:val="21"/>
                <w:lang w:eastAsia="de-DE"/>
              </w:rPr>
            </w:pPr>
            <w:r w:rsidRPr="00E320B0">
              <w:rPr>
                <w:rFonts w:cs="Arial"/>
                <w:b/>
                <w:bCs/>
                <w:sz w:val="21"/>
                <w:szCs w:val="21"/>
                <w:lang w:eastAsia="de-DE"/>
              </w:rPr>
              <w:t>Musculoskeletal and connective tissue disorders</w:t>
            </w:r>
          </w:p>
        </w:tc>
        <w:tc>
          <w:tcPr>
            <w:tcW w:w="2551" w:type="dxa"/>
          </w:tcPr>
          <w:p w:rsidR="00B91761" w:rsidRPr="00E320B0" w:rsidRDefault="00B91761" w:rsidP="00E320B0">
            <w:pPr>
              <w:pStyle w:val="TextPI"/>
              <w:spacing w:before="40" w:after="40"/>
              <w:jc w:val="left"/>
              <w:rPr>
                <w:rFonts w:cs="Arial"/>
                <w:sz w:val="21"/>
                <w:szCs w:val="21"/>
                <w:lang w:eastAsia="de-DE"/>
              </w:rPr>
            </w:pPr>
            <w:r w:rsidRPr="00E320B0">
              <w:rPr>
                <w:rFonts w:cs="Arial"/>
                <w:sz w:val="21"/>
                <w:szCs w:val="21"/>
                <w:lang w:eastAsia="de-DE"/>
              </w:rPr>
              <w:t>Back pain</w:t>
            </w:r>
            <w:r w:rsidRPr="00E320B0">
              <w:rPr>
                <w:rFonts w:cs="Arial"/>
                <w:sz w:val="21"/>
                <w:szCs w:val="21"/>
                <w:lang w:eastAsia="de-DE"/>
              </w:rPr>
              <w:br/>
              <w:t>Musculoskeletal stiffness</w:t>
            </w:r>
          </w:p>
        </w:tc>
        <w:tc>
          <w:tcPr>
            <w:tcW w:w="1276"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1 (2.9)</w:t>
            </w:r>
            <w:r w:rsidRPr="00E320B0">
              <w:rPr>
                <w:rFonts w:cs="Arial"/>
                <w:sz w:val="21"/>
                <w:szCs w:val="21"/>
                <w:lang w:eastAsia="de-DE"/>
              </w:rPr>
              <w:br/>
              <w:t>0 (0.0)</w:t>
            </w:r>
          </w:p>
        </w:tc>
        <w:tc>
          <w:tcPr>
            <w:tcW w:w="1418"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4 (3.7)</w:t>
            </w:r>
            <w:r w:rsidRPr="00E320B0">
              <w:rPr>
                <w:rFonts w:cs="Arial"/>
                <w:sz w:val="21"/>
                <w:szCs w:val="21"/>
                <w:lang w:eastAsia="de-DE"/>
              </w:rPr>
              <w:br/>
              <w:t>2 (1.9)</w:t>
            </w:r>
          </w:p>
        </w:tc>
        <w:tc>
          <w:tcPr>
            <w:tcW w:w="1354"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4 (1.8)</w:t>
            </w:r>
            <w:r w:rsidRPr="00E320B0">
              <w:rPr>
                <w:rFonts w:cs="Arial"/>
                <w:sz w:val="21"/>
                <w:szCs w:val="21"/>
                <w:lang w:eastAsia="de-DE"/>
              </w:rPr>
              <w:br/>
              <w:t>2 (0.9)</w:t>
            </w:r>
          </w:p>
        </w:tc>
      </w:tr>
      <w:tr w:rsidR="00E320B0" w:rsidRPr="00E320B0" w:rsidTr="00E320B0">
        <w:tc>
          <w:tcPr>
            <w:tcW w:w="2660" w:type="dxa"/>
          </w:tcPr>
          <w:p w:rsidR="00B91761" w:rsidRPr="00E320B0" w:rsidRDefault="00B91761" w:rsidP="00E320B0">
            <w:pPr>
              <w:pStyle w:val="TextPI"/>
              <w:spacing w:before="40" w:after="40"/>
              <w:jc w:val="left"/>
              <w:rPr>
                <w:rFonts w:cs="Arial"/>
                <w:b/>
                <w:bCs/>
                <w:sz w:val="21"/>
                <w:szCs w:val="21"/>
                <w:lang w:eastAsia="de-DE"/>
              </w:rPr>
            </w:pPr>
            <w:r w:rsidRPr="00E320B0">
              <w:rPr>
                <w:rFonts w:cs="Arial"/>
                <w:b/>
                <w:bCs/>
                <w:sz w:val="21"/>
                <w:szCs w:val="21"/>
                <w:lang w:eastAsia="de-DE"/>
              </w:rPr>
              <w:t>Skin and</w:t>
            </w:r>
            <w:r w:rsidR="00E320B0" w:rsidRPr="00E320B0">
              <w:rPr>
                <w:rFonts w:cs="Arial"/>
                <w:b/>
                <w:bCs/>
                <w:sz w:val="21"/>
                <w:szCs w:val="21"/>
                <w:lang w:eastAsia="de-DE"/>
              </w:rPr>
              <w:t xml:space="preserve"> </w:t>
            </w:r>
            <w:r w:rsidRPr="00E320B0">
              <w:rPr>
                <w:rFonts w:cs="Arial"/>
                <w:b/>
                <w:bCs/>
                <w:sz w:val="21"/>
                <w:szCs w:val="21"/>
                <w:lang w:eastAsia="de-DE"/>
              </w:rPr>
              <w:t>subcutaneous tissue disorders</w:t>
            </w:r>
          </w:p>
        </w:tc>
        <w:tc>
          <w:tcPr>
            <w:tcW w:w="2551" w:type="dxa"/>
          </w:tcPr>
          <w:p w:rsidR="00B91761" w:rsidRPr="00E320B0" w:rsidRDefault="00B91761" w:rsidP="00E320B0">
            <w:pPr>
              <w:pStyle w:val="TextPI"/>
              <w:spacing w:before="40" w:after="40"/>
              <w:jc w:val="left"/>
              <w:rPr>
                <w:rFonts w:cs="Arial"/>
                <w:sz w:val="21"/>
                <w:szCs w:val="21"/>
                <w:lang w:eastAsia="de-DE"/>
              </w:rPr>
            </w:pPr>
            <w:r w:rsidRPr="00E320B0">
              <w:rPr>
                <w:rFonts w:cs="Arial"/>
                <w:sz w:val="21"/>
                <w:szCs w:val="21"/>
                <w:lang w:eastAsia="de-DE"/>
              </w:rPr>
              <w:t>Skin irritation</w:t>
            </w:r>
          </w:p>
        </w:tc>
        <w:tc>
          <w:tcPr>
            <w:tcW w:w="1276"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2 (5.7)</w:t>
            </w:r>
          </w:p>
        </w:tc>
        <w:tc>
          <w:tcPr>
            <w:tcW w:w="1418"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3 (2.8)</w:t>
            </w:r>
          </w:p>
        </w:tc>
        <w:tc>
          <w:tcPr>
            <w:tcW w:w="1354" w:type="dxa"/>
          </w:tcPr>
          <w:p w:rsidR="00B91761" w:rsidRPr="00E320B0" w:rsidRDefault="00E320B0" w:rsidP="00E320B0">
            <w:pPr>
              <w:pStyle w:val="TextPI"/>
              <w:spacing w:before="40" w:after="40"/>
              <w:jc w:val="center"/>
              <w:rPr>
                <w:rFonts w:cs="Arial"/>
                <w:sz w:val="21"/>
                <w:szCs w:val="21"/>
                <w:lang w:eastAsia="de-DE"/>
              </w:rPr>
            </w:pPr>
            <w:r w:rsidRPr="00E320B0">
              <w:rPr>
                <w:rFonts w:cs="Arial"/>
                <w:sz w:val="21"/>
                <w:szCs w:val="21"/>
                <w:lang w:eastAsia="de-DE"/>
              </w:rPr>
              <w:t>6 (2.7)</w:t>
            </w:r>
          </w:p>
        </w:tc>
      </w:tr>
    </w:tbl>
    <w:p w:rsidR="005D7FA7" w:rsidRPr="00E320B0" w:rsidRDefault="00E320B0" w:rsidP="00E320B0">
      <w:pPr>
        <w:pStyle w:val="TextPI"/>
        <w:spacing w:before="0"/>
        <w:rPr>
          <w:rFonts w:cs="Arial"/>
          <w:sz w:val="20"/>
          <w:szCs w:val="20"/>
          <w:lang w:eastAsia="de-DE"/>
        </w:rPr>
      </w:pPr>
      <w:r w:rsidRPr="00E320B0">
        <w:rPr>
          <w:rFonts w:cs="Arial"/>
          <w:sz w:val="20"/>
          <w:szCs w:val="20"/>
          <w:lang w:eastAsia="de-DE"/>
        </w:rPr>
        <w:t xml:space="preserve">IDA – </w:t>
      </w:r>
      <w:proofErr w:type="spellStart"/>
      <w:r w:rsidRPr="00E320B0">
        <w:rPr>
          <w:rFonts w:cs="Arial"/>
          <w:sz w:val="20"/>
          <w:szCs w:val="20"/>
          <w:lang w:eastAsia="de-DE"/>
        </w:rPr>
        <w:t>idarucizumab</w:t>
      </w:r>
      <w:proofErr w:type="spellEnd"/>
      <w:r w:rsidRPr="00E320B0">
        <w:rPr>
          <w:rFonts w:cs="Arial"/>
          <w:sz w:val="20"/>
          <w:szCs w:val="20"/>
          <w:lang w:eastAsia="de-DE"/>
        </w:rPr>
        <w:t xml:space="preserve"> (PRAXBIND), DE – dabigatran </w:t>
      </w:r>
      <w:proofErr w:type="spellStart"/>
      <w:r w:rsidRPr="00E320B0">
        <w:rPr>
          <w:rFonts w:cs="Arial"/>
          <w:sz w:val="20"/>
          <w:szCs w:val="20"/>
          <w:lang w:eastAsia="de-DE"/>
        </w:rPr>
        <w:t>etexilate</w:t>
      </w:r>
      <w:proofErr w:type="spellEnd"/>
      <w:r w:rsidRPr="00E320B0">
        <w:rPr>
          <w:rFonts w:cs="Arial"/>
          <w:sz w:val="20"/>
          <w:szCs w:val="20"/>
          <w:lang w:eastAsia="de-DE"/>
        </w:rPr>
        <w:t xml:space="preserve"> (PRADAXA)</w:t>
      </w:r>
    </w:p>
    <w:p w:rsidR="00E320B0" w:rsidRDefault="00E320B0" w:rsidP="00E320B0">
      <w:pPr>
        <w:pStyle w:val="TextPI"/>
        <w:spacing w:before="0" w:after="0"/>
        <w:rPr>
          <w:rFonts w:cs="Arial"/>
          <w:lang w:val="en-GB" w:eastAsia="de-DE"/>
        </w:rPr>
      </w:pPr>
    </w:p>
    <w:p w:rsidR="00E320B0" w:rsidRDefault="00E320B0" w:rsidP="00E320B0">
      <w:pPr>
        <w:pStyle w:val="TextPI"/>
        <w:spacing w:before="0" w:after="0"/>
        <w:rPr>
          <w:rFonts w:cs="Arial"/>
          <w:lang w:val="en-GB" w:eastAsia="de-DE"/>
        </w:rPr>
      </w:pPr>
      <w:r w:rsidRPr="00E320B0">
        <w:rPr>
          <w:rFonts w:cs="Arial"/>
          <w:lang w:val="en-GB" w:eastAsia="de-DE"/>
        </w:rPr>
        <w:t>In the interim analysis of the RE-VERSE AD</w:t>
      </w:r>
      <w:r w:rsidR="007D3145">
        <w:rPr>
          <w:rFonts w:cs="Arial"/>
          <w:lang w:val="en-GB" w:eastAsia="de-DE"/>
        </w:rPr>
        <w:t xml:space="preserve"> </w:t>
      </w:r>
      <w:r w:rsidRPr="00E320B0">
        <w:rPr>
          <w:rFonts w:cs="Arial"/>
          <w:lang w:val="en-GB" w:eastAsia="de-DE"/>
        </w:rPr>
        <w:t>(RE-</w:t>
      </w:r>
      <w:proofErr w:type="spellStart"/>
      <w:r w:rsidRPr="00E320B0">
        <w:rPr>
          <w:rFonts w:cs="Arial"/>
          <w:lang w:val="en-GB" w:eastAsia="de-DE"/>
        </w:rPr>
        <w:t>VERSal</w:t>
      </w:r>
      <w:proofErr w:type="spellEnd"/>
      <w:r w:rsidRPr="00E320B0">
        <w:rPr>
          <w:rFonts w:cs="Arial"/>
          <w:lang w:val="en-GB" w:eastAsia="de-DE"/>
        </w:rPr>
        <w:t xml:space="preserve"> Effects of </w:t>
      </w:r>
      <w:proofErr w:type="spellStart"/>
      <w:r w:rsidRPr="00E320B0">
        <w:rPr>
          <w:rFonts w:cs="Arial"/>
          <w:lang w:val="en-GB" w:eastAsia="de-DE"/>
        </w:rPr>
        <w:t>idarucizumab</w:t>
      </w:r>
      <w:proofErr w:type="spellEnd"/>
      <w:r w:rsidRPr="00E320B0">
        <w:rPr>
          <w:rFonts w:cs="Arial"/>
          <w:lang w:val="en-GB" w:eastAsia="de-DE"/>
        </w:rPr>
        <w:t xml:space="preserve"> on</w:t>
      </w:r>
      <w:r>
        <w:rPr>
          <w:rFonts w:cs="Arial"/>
          <w:lang w:val="en-GB" w:eastAsia="de-DE"/>
        </w:rPr>
        <w:t xml:space="preserve"> </w:t>
      </w:r>
      <w:r w:rsidRPr="00E320B0">
        <w:rPr>
          <w:rFonts w:cs="Arial"/>
          <w:lang w:val="en-GB" w:eastAsia="de-DE"/>
        </w:rPr>
        <w:t>Active Dabigatran) trial, a total of 123 dabigatran-treated patients were administered</w:t>
      </w:r>
      <w:r>
        <w:rPr>
          <w:rFonts w:cs="Arial"/>
          <w:lang w:val="en-GB" w:eastAsia="de-DE"/>
        </w:rPr>
        <w:t xml:space="preserve"> </w:t>
      </w:r>
      <w:proofErr w:type="spellStart"/>
      <w:r w:rsidRPr="00E320B0">
        <w:rPr>
          <w:rFonts w:cs="Arial"/>
          <w:lang w:val="en-GB" w:eastAsia="de-DE"/>
        </w:rPr>
        <w:t>idarucizumab</w:t>
      </w:r>
      <w:proofErr w:type="spellEnd"/>
      <w:r w:rsidRPr="00E320B0">
        <w:rPr>
          <w:rFonts w:cs="Arial"/>
          <w:lang w:val="en-GB" w:eastAsia="de-DE"/>
        </w:rPr>
        <w:t xml:space="preserve"> either because they required an emergency surgery or urgent procedure, or</w:t>
      </w:r>
      <w:r>
        <w:rPr>
          <w:rFonts w:cs="Arial"/>
          <w:lang w:val="en-GB" w:eastAsia="de-DE"/>
        </w:rPr>
        <w:t xml:space="preserve"> </w:t>
      </w:r>
      <w:r w:rsidRPr="00E320B0">
        <w:rPr>
          <w:rFonts w:cs="Arial"/>
          <w:lang w:val="en-GB" w:eastAsia="de-DE"/>
        </w:rPr>
        <w:t>because they presented with life-threatening or uncontrolled bleeding. Of the total, 26</w:t>
      </w:r>
      <w:r>
        <w:rPr>
          <w:rFonts w:cs="Arial"/>
          <w:lang w:val="en-GB" w:eastAsia="de-DE"/>
        </w:rPr>
        <w:t xml:space="preserve"> </w:t>
      </w:r>
      <w:r w:rsidRPr="00E320B0">
        <w:rPr>
          <w:rFonts w:cs="Arial"/>
          <w:lang w:val="en-GB" w:eastAsia="de-DE"/>
        </w:rPr>
        <w:t xml:space="preserve">patients died, 11 within the first day after </w:t>
      </w:r>
      <w:proofErr w:type="spellStart"/>
      <w:r w:rsidRPr="00E320B0">
        <w:rPr>
          <w:rFonts w:cs="Arial"/>
          <w:lang w:val="en-GB" w:eastAsia="de-DE"/>
        </w:rPr>
        <w:t>idarucizumab</w:t>
      </w:r>
      <w:proofErr w:type="spellEnd"/>
      <w:r w:rsidRPr="00E320B0">
        <w:rPr>
          <w:rFonts w:cs="Arial"/>
          <w:lang w:val="en-GB" w:eastAsia="de-DE"/>
        </w:rPr>
        <w:t xml:space="preserve"> dosing; each of these deaths could be</w:t>
      </w:r>
      <w:r>
        <w:rPr>
          <w:rFonts w:cs="Arial"/>
          <w:lang w:val="en-GB" w:eastAsia="de-DE"/>
        </w:rPr>
        <w:t xml:space="preserve"> </w:t>
      </w:r>
      <w:r w:rsidRPr="00E320B0">
        <w:rPr>
          <w:rFonts w:cs="Arial"/>
          <w:lang w:val="en-GB" w:eastAsia="de-DE"/>
        </w:rPr>
        <w:t>attributed either as a complication of the index event or associated with co-morbidities.</w:t>
      </w:r>
    </w:p>
    <w:p w:rsidR="009D3D55" w:rsidRPr="009D3D55" w:rsidRDefault="009D3D55" w:rsidP="009D3D55">
      <w:pPr>
        <w:pStyle w:val="TextPI"/>
        <w:rPr>
          <w:rFonts w:cs="Arial"/>
          <w:u w:val="single"/>
          <w:lang w:val="en-GB" w:eastAsia="de-DE"/>
        </w:rPr>
      </w:pPr>
      <w:r w:rsidRPr="009D3D55">
        <w:rPr>
          <w:rFonts w:cs="Arial"/>
          <w:u w:val="single"/>
          <w:lang w:val="en-GB" w:eastAsia="de-DE"/>
        </w:rPr>
        <w:t xml:space="preserve">Thrombotic events </w:t>
      </w:r>
    </w:p>
    <w:p w:rsidR="009D3D55" w:rsidRPr="009D3D55" w:rsidRDefault="009D3D55" w:rsidP="009D3D55">
      <w:pPr>
        <w:pStyle w:val="TextPI"/>
        <w:rPr>
          <w:rFonts w:cs="Arial"/>
          <w:lang w:val="en-GB" w:eastAsia="de-DE"/>
        </w:rPr>
      </w:pPr>
      <w:r w:rsidRPr="009D3D55">
        <w:rPr>
          <w:rFonts w:cs="Arial"/>
          <w:lang w:val="en-GB" w:eastAsia="de-DE"/>
        </w:rPr>
        <w:t xml:space="preserve">Thrombotic events were reported in 5 patients, none of which were on antithrombotic therapy at the time of the event, and in each of these cases, the thrombotic event could be attributed to the underlying medical condition of the patient. </w:t>
      </w:r>
    </w:p>
    <w:p w:rsidR="009D3D55" w:rsidRPr="009D3D55" w:rsidRDefault="009D3D55" w:rsidP="009D3D55">
      <w:pPr>
        <w:pStyle w:val="TextPI"/>
        <w:rPr>
          <w:rFonts w:cs="Arial"/>
          <w:u w:val="single"/>
          <w:lang w:val="en-GB" w:eastAsia="de-DE"/>
        </w:rPr>
      </w:pPr>
      <w:r w:rsidRPr="009D3D55">
        <w:rPr>
          <w:rFonts w:cs="Arial"/>
          <w:u w:val="single"/>
          <w:lang w:val="en-GB" w:eastAsia="de-DE"/>
        </w:rPr>
        <w:t xml:space="preserve">Mild symptoms of potential hypersensitivity </w:t>
      </w:r>
    </w:p>
    <w:p w:rsidR="009D3D55" w:rsidRPr="009D3D55" w:rsidRDefault="009D3D55" w:rsidP="009D3D55">
      <w:pPr>
        <w:pStyle w:val="TextPI"/>
        <w:rPr>
          <w:rFonts w:cs="Arial"/>
          <w:lang w:val="en-GB" w:eastAsia="de-DE"/>
        </w:rPr>
      </w:pPr>
      <w:r w:rsidRPr="009D3D55">
        <w:rPr>
          <w:rFonts w:cs="Arial"/>
          <w:lang w:val="en-GB" w:eastAsia="de-DE"/>
        </w:rPr>
        <w:t>Mild symptoms of potential hypersensitivity (pyrexia</w:t>
      </w:r>
      <w:r w:rsidR="00737EB2">
        <w:rPr>
          <w:rFonts w:cs="Arial"/>
          <w:lang w:val="en-GB" w:eastAsia="de-DE"/>
        </w:rPr>
        <w:t xml:space="preserve"> 5.7%</w:t>
      </w:r>
      <w:r w:rsidRPr="009D3D55">
        <w:rPr>
          <w:rFonts w:cs="Arial"/>
          <w:lang w:val="en-GB" w:eastAsia="de-DE"/>
        </w:rPr>
        <w:t>, bronchospasm</w:t>
      </w:r>
      <w:r w:rsidR="00737EB2">
        <w:rPr>
          <w:rFonts w:cs="Arial"/>
          <w:lang w:val="en-GB" w:eastAsia="de-DE"/>
        </w:rPr>
        <w:t xml:space="preserve"> 0.8%</w:t>
      </w:r>
      <w:r w:rsidRPr="009D3D55">
        <w:rPr>
          <w:rFonts w:cs="Arial"/>
          <w:lang w:val="en-GB" w:eastAsia="de-DE"/>
        </w:rPr>
        <w:t>, hyperventilation</w:t>
      </w:r>
      <w:r w:rsidR="00737EB2">
        <w:rPr>
          <w:rFonts w:cs="Arial"/>
          <w:lang w:val="en-GB" w:eastAsia="de-DE"/>
        </w:rPr>
        <w:t xml:space="preserve"> 2.4%</w:t>
      </w:r>
      <w:r w:rsidRPr="009D3D55">
        <w:rPr>
          <w:rFonts w:cs="Arial"/>
          <w:lang w:val="en-GB" w:eastAsia="de-DE"/>
        </w:rPr>
        <w:t>, rash</w:t>
      </w:r>
      <w:r w:rsidR="00737EB2">
        <w:rPr>
          <w:rFonts w:cs="Arial"/>
          <w:lang w:val="en-GB" w:eastAsia="de-DE"/>
        </w:rPr>
        <w:t xml:space="preserve"> 0.8%</w:t>
      </w:r>
      <w:r w:rsidRPr="009D3D55">
        <w:rPr>
          <w:rFonts w:cs="Arial"/>
          <w:lang w:val="en-GB" w:eastAsia="de-DE"/>
        </w:rPr>
        <w:t xml:space="preserve"> or pruritus</w:t>
      </w:r>
      <w:r w:rsidR="00737EB2">
        <w:rPr>
          <w:rFonts w:cs="Arial"/>
          <w:lang w:val="en-GB" w:eastAsia="de-DE"/>
        </w:rPr>
        <w:t xml:space="preserve"> 0.8%</w:t>
      </w:r>
      <w:r w:rsidRPr="009D3D55">
        <w:rPr>
          <w:rFonts w:cs="Arial"/>
          <w:lang w:val="en-GB" w:eastAsia="de-DE"/>
        </w:rPr>
        <w:t xml:space="preserve">) were reported. A causal relationship to </w:t>
      </w:r>
      <w:proofErr w:type="spellStart"/>
      <w:r w:rsidRPr="009D3D55">
        <w:rPr>
          <w:rFonts w:cs="Arial"/>
          <w:lang w:val="en-GB" w:eastAsia="de-DE"/>
        </w:rPr>
        <w:t>idarucizumab</w:t>
      </w:r>
      <w:proofErr w:type="spellEnd"/>
      <w:r w:rsidRPr="009D3D55">
        <w:rPr>
          <w:rFonts w:cs="Arial"/>
          <w:lang w:val="en-GB" w:eastAsia="de-DE"/>
        </w:rPr>
        <w:t xml:space="preserve"> could not be established.</w:t>
      </w:r>
    </w:p>
    <w:p w:rsidR="00E320B0" w:rsidRDefault="00E320B0" w:rsidP="00E320B0">
      <w:pPr>
        <w:pStyle w:val="TextPI"/>
        <w:rPr>
          <w:rFonts w:cs="Arial"/>
          <w:lang w:val="en-GB" w:eastAsia="de-DE"/>
        </w:rPr>
      </w:pPr>
      <w:r w:rsidRPr="00E320B0">
        <w:rPr>
          <w:rFonts w:cs="Arial"/>
          <w:lang w:val="en-GB" w:eastAsia="de-DE"/>
        </w:rPr>
        <w:t xml:space="preserve">Table </w:t>
      </w:r>
      <w:r w:rsidR="005134BC">
        <w:rPr>
          <w:rFonts w:cs="Arial"/>
          <w:lang w:val="en-GB" w:eastAsia="de-DE"/>
        </w:rPr>
        <w:t>5</w:t>
      </w:r>
      <w:r w:rsidRPr="00E320B0">
        <w:rPr>
          <w:rFonts w:cs="Arial"/>
          <w:lang w:val="en-GB" w:eastAsia="de-DE"/>
        </w:rPr>
        <w:t xml:space="preserve"> informs about adverse events in patients treated with dabigatran </w:t>
      </w:r>
      <w:proofErr w:type="spellStart"/>
      <w:r w:rsidRPr="00E320B0">
        <w:rPr>
          <w:rFonts w:cs="Arial"/>
          <w:lang w:val="en-GB" w:eastAsia="de-DE"/>
        </w:rPr>
        <w:t>etexilate</w:t>
      </w:r>
      <w:proofErr w:type="spellEnd"/>
      <w:r w:rsidRPr="00E320B0">
        <w:rPr>
          <w:rFonts w:cs="Arial"/>
          <w:lang w:val="en-GB" w:eastAsia="de-DE"/>
        </w:rPr>
        <w:t xml:space="preserve"> and</w:t>
      </w:r>
      <w:r>
        <w:rPr>
          <w:rFonts w:cs="Arial"/>
          <w:lang w:val="en-GB" w:eastAsia="de-DE"/>
        </w:rPr>
        <w:t xml:space="preserve"> </w:t>
      </w:r>
      <w:r w:rsidRPr="00E320B0">
        <w:rPr>
          <w:rFonts w:cs="Arial"/>
          <w:lang w:val="en-GB" w:eastAsia="de-DE"/>
        </w:rPr>
        <w:t>experiencing uncontrolled bleeding (group A) or required emergency surgery or procedures</w:t>
      </w:r>
      <w:r>
        <w:rPr>
          <w:rFonts w:cs="Arial"/>
          <w:lang w:val="en-GB" w:eastAsia="de-DE"/>
        </w:rPr>
        <w:t xml:space="preserve"> </w:t>
      </w:r>
      <w:r w:rsidRPr="00E320B0">
        <w:rPr>
          <w:rFonts w:cs="Arial"/>
          <w:lang w:val="en-GB" w:eastAsia="de-DE"/>
        </w:rPr>
        <w:t>(group B).</w:t>
      </w:r>
    </w:p>
    <w:p w:rsidR="007D3145" w:rsidRDefault="007D3145">
      <w:pPr>
        <w:rPr>
          <w:rFonts w:ascii="Arial" w:hAnsi="Arial" w:cs="Arial"/>
          <w:sz w:val="22"/>
          <w:szCs w:val="22"/>
          <w:lang w:val="en-GB" w:eastAsia="de-DE"/>
        </w:rPr>
      </w:pPr>
      <w:r>
        <w:rPr>
          <w:rFonts w:cs="Arial"/>
          <w:lang w:val="en-GB" w:eastAsia="de-DE"/>
        </w:rPr>
        <w:br w:type="page"/>
      </w:r>
    </w:p>
    <w:p w:rsidR="007D3145" w:rsidRDefault="007D3145" w:rsidP="007D3145">
      <w:pPr>
        <w:pStyle w:val="TextPI"/>
        <w:ind w:left="1122" w:hanging="1122"/>
        <w:rPr>
          <w:rFonts w:cs="Arial"/>
          <w:b/>
          <w:bCs/>
          <w:lang w:val="en-GB" w:eastAsia="de-DE"/>
        </w:rPr>
      </w:pPr>
      <w:r w:rsidRPr="007D3145">
        <w:rPr>
          <w:rFonts w:cs="Arial"/>
          <w:b/>
          <w:bCs/>
          <w:lang w:val="en-GB" w:eastAsia="de-DE"/>
        </w:rPr>
        <w:lastRenderedPageBreak/>
        <w:t xml:space="preserve">Table </w:t>
      </w:r>
      <w:r w:rsidR="005134BC">
        <w:rPr>
          <w:rFonts w:cs="Arial"/>
          <w:b/>
          <w:bCs/>
          <w:lang w:val="en-GB" w:eastAsia="de-DE"/>
        </w:rPr>
        <w:t>5</w:t>
      </w:r>
      <w:r w:rsidRPr="007D3145">
        <w:rPr>
          <w:rFonts w:cs="Arial"/>
          <w:b/>
          <w:bCs/>
          <w:lang w:val="en-GB" w:eastAsia="de-DE"/>
        </w:rPr>
        <w:t xml:space="preserve"> </w:t>
      </w:r>
      <w:r w:rsidRPr="007D3145">
        <w:rPr>
          <w:rFonts w:cs="Arial"/>
          <w:b/>
          <w:bCs/>
          <w:lang w:val="en-GB" w:eastAsia="de-DE"/>
        </w:rPr>
        <w:tab/>
        <w:t xml:space="preserve">Adverse events (N/%) in patients with uncontrolled bleeding or required emergency surgery or procedures (data cut-off </w:t>
      </w:r>
      <w:r w:rsidR="009F036F">
        <w:rPr>
          <w:rFonts w:cs="Arial"/>
          <w:b/>
          <w:bCs/>
          <w:lang w:val="en-GB" w:eastAsia="de-DE"/>
        </w:rPr>
        <w:t xml:space="preserve">≥ </w:t>
      </w:r>
      <w:r w:rsidR="00861FA0">
        <w:rPr>
          <w:rFonts w:cs="Arial"/>
          <w:b/>
          <w:bCs/>
          <w:lang w:val="en-GB" w:eastAsia="de-DE"/>
        </w:rPr>
        <w:t>1</w:t>
      </w:r>
      <w:r w:rsidR="00EB743F">
        <w:rPr>
          <w:rFonts w:cs="Arial"/>
          <w:b/>
          <w:bCs/>
          <w:lang w:val="en-GB" w:eastAsia="de-DE"/>
        </w:rPr>
        <w:t>.5</w:t>
      </w:r>
      <w:r w:rsidRPr="007D3145">
        <w:rPr>
          <w:rFonts w:cs="Arial"/>
          <w:b/>
          <w:bCs/>
          <w:lang w:val="en-GB" w:eastAsia="de-DE"/>
        </w:rPr>
        <w:t>%</w:t>
      </w:r>
      <w:r w:rsidR="00EB743F">
        <w:rPr>
          <w:rFonts w:cs="Arial"/>
          <w:b/>
          <w:bCs/>
          <w:lang w:val="en-GB" w:eastAsia="de-DE"/>
        </w:rPr>
        <w:t xml:space="preserve"> Total</w:t>
      </w:r>
      <w:r w:rsidRPr="007D3145">
        <w:rPr>
          <w:rFonts w:cs="Arial"/>
          <w:b/>
          <w:bCs/>
          <w:lang w:val="en-GB" w:eastAsia="de-DE"/>
        </w:rPr>
        <w:t>)</w:t>
      </w:r>
    </w:p>
    <w:tbl>
      <w:tblPr>
        <w:tblStyle w:val="TableGrid"/>
        <w:tblW w:w="0" w:type="auto"/>
        <w:tblInd w:w="108" w:type="dxa"/>
        <w:tblLook w:val="04A0" w:firstRow="1" w:lastRow="0" w:firstColumn="1" w:lastColumn="0" w:noHBand="0" w:noVBand="1"/>
      </w:tblPr>
      <w:tblGrid>
        <w:gridCol w:w="2552"/>
        <w:gridCol w:w="2410"/>
        <w:gridCol w:w="1134"/>
        <w:gridCol w:w="1134"/>
        <w:gridCol w:w="1289"/>
      </w:tblGrid>
      <w:tr w:rsidR="007D3145" w:rsidRPr="0042304E" w:rsidTr="00011B62">
        <w:trPr>
          <w:tblHeader/>
        </w:trPr>
        <w:tc>
          <w:tcPr>
            <w:tcW w:w="2552" w:type="dxa"/>
          </w:tcPr>
          <w:p w:rsidR="007D3145" w:rsidRPr="0042304E" w:rsidRDefault="007D3145" w:rsidP="0027538F">
            <w:pPr>
              <w:pStyle w:val="TextPI"/>
              <w:spacing w:before="40" w:after="40"/>
              <w:jc w:val="left"/>
              <w:rPr>
                <w:rFonts w:cs="Arial"/>
                <w:b/>
                <w:bCs/>
                <w:sz w:val="20"/>
                <w:szCs w:val="20"/>
                <w:lang w:val="en-GB" w:eastAsia="de-DE"/>
              </w:rPr>
            </w:pPr>
          </w:p>
        </w:tc>
        <w:tc>
          <w:tcPr>
            <w:tcW w:w="2410" w:type="dxa"/>
          </w:tcPr>
          <w:p w:rsidR="007D3145" w:rsidRPr="0042304E" w:rsidRDefault="007D3145" w:rsidP="0027538F">
            <w:pPr>
              <w:pStyle w:val="TextPI"/>
              <w:spacing w:before="40" w:after="40"/>
              <w:jc w:val="left"/>
              <w:rPr>
                <w:rFonts w:cs="Arial"/>
                <w:b/>
                <w:bCs/>
                <w:sz w:val="20"/>
                <w:szCs w:val="20"/>
                <w:lang w:val="en-GB" w:eastAsia="de-DE"/>
              </w:rPr>
            </w:pPr>
            <w:r w:rsidRPr="0042304E">
              <w:rPr>
                <w:rFonts w:cs="Arial"/>
                <w:b/>
                <w:bCs/>
                <w:sz w:val="20"/>
                <w:szCs w:val="20"/>
                <w:lang w:val="en-GB" w:eastAsia="de-DE"/>
              </w:rPr>
              <w:t>Adverse event</w:t>
            </w:r>
            <w:r w:rsidR="0042304E" w:rsidRPr="0042304E">
              <w:rPr>
                <w:rFonts w:cs="Arial"/>
                <w:b/>
                <w:bCs/>
                <w:sz w:val="20"/>
                <w:szCs w:val="20"/>
                <w:lang w:val="en-GB" w:eastAsia="de-DE"/>
              </w:rPr>
              <w:br/>
            </w:r>
            <w:proofErr w:type="spellStart"/>
            <w:r w:rsidR="0042304E" w:rsidRPr="0042304E">
              <w:rPr>
                <w:rFonts w:cs="Arial"/>
                <w:b/>
                <w:bCs/>
                <w:sz w:val="20"/>
                <w:szCs w:val="20"/>
                <w:lang w:val="en-GB" w:eastAsia="de-DE"/>
              </w:rPr>
              <w:t>MedDRA</w:t>
            </w:r>
            <w:proofErr w:type="spellEnd"/>
            <w:r w:rsidR="0042304E" w:rsidRPr="0042304E">
              <w:rPr>
                <w:rFonts w:cs="Arial"/>
                <w:b/>
                <w:bCs/>
                <w:sz w:val="20"/>
                <w:szCs w:val="20"/>
                <w:lang w:val="en-GB" w:eastAsia="de-DE"/>
              </w:rPr>
              <w:t xml:space="preserve"> PT</w:t>
            </w:r>
          </w:p>
        </w:tc>
        <w:tc>
          <w:tcPr>
            <w:tcW w:w="1134" w:type="dxa"/>
          </w:tcPr>
          <w:p w:rsidR="007D3145" w:rsidRPr="0042304E" w:rsidRDefault="007D3145" w:rsidP="0027538F">
            <w:pPr>
              <w:pStyle w:val="TextPI"/>
              <w:spacing w:before="40" w:after="40"/>
              <w:jc w:val="center"/>
              <w:rPr>
                <w:rFonts w:cs="Arial"/>
                <w:b/>
                <w:bCs/>
                <w:sz w:val="20"/>
                <w:szCs w:val="20"/>
                <w:lang w:val="en-GB" w:eastAsia="de-DE"/>
              </w:rPr>
            </w:pPr>
            <w:r w:rsidRPr="0042304E">
              <w:rPr>
                <w:rFonts w:cs="Arial"/>
                <w:b/>
                <w:bCs/>
                <w:sz w:val="20"/>
                <w:szCs w:val="20"/>
                <w:lang w:val="en-GB" w:eastAsia="de-DE"/>
              </w:rPr>
              <w:t>Group* A</w:t>
            </w:r>
            <w:r w:rsidRPr="0042304E">
              <w:rPr>
                <w:rFonts w:cs="Arial"/>
                <w:b/>
                <w:bCs/>
                <w:sz w:val="20"/>
                <w:szCs w:val="20"/>
                <w:lang w:val="en-GB" w:eastAsia="de-DE"/>
              </w:rPr>
              <w:br/>
              <w:t>Bleeding</w:t>
            </w:r>
            <w:r w:rsidRPr="0042304E">
              <w:rPr>
                <w:rFonts w:cs="Arial"/>
                <w:b/>
                <w:bCs/>
                <w:sz w:val="20"/>
                <w:szCs w:val="20"/>
                <w:lang w:val="en-GB" w:eastAsia="de-DE"/>
              </w:rPr>
              <w:br/>
              <w:t>N (%)</w:t>
            </w:r>
          </w:p>
        </w:tc>
        <w:tc>
          <w:tcPr>
            <w:tcW w:w="1134" w:type="dxa"/>
          </w:tcPr>
          <w:p w:rsidR="007D3145" w:rsidRPr="0042304E" w:rsidRDefault="007D3145" w:rsidP="0027538F">
            <w:pPr>
              <w:pStyle w:val="TextPI"/>
              <w:spacing w:before="40" w:after="40"/>
              <w:jc w:val="center"/>
              <w:rPr>
                <w:rFonts w:cs="Arial"/>
                <w:b/>
                <w:bCs/>
                <w:sz w:val="20"/>
                <w:szCs w:val="20"/>
                <w:lang w:val="en-GB" w:eastAsia="de-DE"/>
              </w:rPr>
            </w:pPr>
            <w:r w:rsidRPr="0042304E">
              <w:rPr>
                <w:rFonts w:cs="Arial"/>
                <w:b/>
                <w:bCs/>
                <w:sz w:val="20"/>
                <w:szCs w:val="20"/>
                <w:lang w:val="en-GB" w:eastAsia="de-DE"/>
              </w:rPr>
              <w:t>Group* B</w:t>
            </w:r>
            <w:r w:rsidRPr="0042304E">
              <w:rPr>
                <w:rFonts w:cs="Arial"/>
                <w:b/>
                <w:bCs/>
                <w:sz w:val="20"/>
                <w:szCs w:val="20"/>
                <w:lang w:val="en-GB" w:eastAsia="de-DE"/>
              </w:rPr>
              <w:br/>
              <w:t>Surgery</w:t>
            </w:r>
            <w:r w:rsidRPr="0042304E">
              <w:rPr>
                <w:rFonts w:cs="Arial"/>
                <w:b/>
                <w:bCs/>
                <w:sz w:val="20"/>
                <w:szCs w:val="20"/>
                <w:lang w:val="en-GB" w:eastAsia="de-DE"/>
              </w:rPr>
              <w:br/>
              <w:t>N (%)</w:t>
            </w:r>
          </w:p>
        </w:tc>
        <w:tc>
          <w:tcPr>
            <w:tcW w:w="1289" w:type="dxa"/>
          </w:tcPr>
          <w:p w:rsidR="007D3145" w:rsidRPr="0042304E" w:rsidRDefault="007D3145" w:rsidP="0027538F">
            <w:pPr>
              <w:pStyle w:val="TextPI"/>
              <w:spacing w:before="40" w:after="40"/>
              <w:jc w:val="center"/>
              <w:rPr>
                <w:rFonts w:cs="Arial"/>
                <w:b/>
                <w:bCs/>
                <w:sz w:val="20"/>
                <w:szCs w:val="20"/>
                <w:lang w:val="en-GB" w:eastAsia="de-DE"/>
              </w:rPr>
            </w:pPr>
            <w:r w:rsidRPr="0042304E">
              <w:rPr>
                <w:rFonts w:cs="Arial"/>
                <w:b/>
                <w:bCs/>
                <w:sz w:val="20"/>
                <w:szCs w:val="20"/>
                <w:lang w:val="en-GB" w:eastAsia="de-DE"/>
              </w:rPr>
              <w:t>Total</w:t>
            </w:r>
            <w:r w:rsidRPr="0042304E">
              <w:rPr>
                <w:rFonts w:cs="Arial"/>
                <w:b/>
                <w:bCs/>
                <w:sz w:val="20"/>
                <w:szCs w:val="20"/>
                <w:lang w:val="en-GB" w:eastAsia="de-DE"/>
              </w:rPr>
              <w:br/>
              <w:t>N (%)</w:t>
            </w:r>
          </w:p>
        </w:tc>
      </w:tr>
      <w:tr w:rsidR="007D3145" w:rsidRPr="0042304E" w:rsidTr="00011B62">
        <w:tc>
          <w:tcPr>
            <w:tcW w:w="2552" w:type="dxa"/>
          </w:tcPr>
          <w:p w:rsidR="007D3145" w:rsidRPr="0042304E" w:rsidRDefault="0042304E" w:rsidP="0027538F">
            <w:pPr>
              <w:pStyle w:val="TextPI"/>
              <w:spacing w:before="40" w:after="40"/>
              <w:jc w:val="left"/>
              <w:rPr>
                <w:rFonts w:cs="Arial"/>
                <w:b/>
                <w:bCs/>
                <w:sz w:val="20"/>
                <w:szCs w:val="20"/>
                <w:lang w:val="en-GB" w:eastAsia="de-DE"/>
              </w:rPr>
            </w:pPr>
            <w:r w:rsidRPr="0042304E">
              <w:rPr>
                <w:rFonts w:cs="Arial"/>
                <w:b/>
                <w:bCs/>
                <w:sz w:val="20"/>
                <w:szCs w:val="20"/>
                <w:lang w:val="en-GB" w:eastAsia="de-DE"/>
              </w:rPr>
              <w:t>Number of patients</w:t>
            </w:r>
            <w:r>
              <w:rPr>
                <w:rFonts w:cs="Arial"/>
                <w:b/>
                <w:bCs/>
                <w:sz w:val="20"/>
                <w:szCs w:val="20"/>
                <w:lang w:val="en-GB" w:eastAsia="de-DE"/>
              </w:rPr>
              <w:br/>
              <w:t>Patients with adverse events</w:t>
            </w:r>
          </w:p>
        </w:tc>
        <w:tc>
          <w:tcPr>
            <w:tcW w:w="2410" w:type="dxa"/>
          </w:tcPr>
          <w:p w:rsidR="007D3145" w:rsidRPr="0042304E" w:rsidRDefault="007D3145" w:rsidP="0027538F">
            <w:pPr>
              <w:pStyle w:val="TextPI"/>
              <w:spacing w:before="40" w:after="40"/>
              <w:jc w:val="left"/>
              <w:rPr>
                <w:rFonts w:cs="Arial"/>
                <w:b/>
                <w:bCs/>
                <w:sz w:val="20"/>
                <w:szCs w:val="20"/>
                <w:lang w:val="en-GB" w:eastAsia="de-DE"/>
              </w:rPr>
            </w:pPr>
          </w:p>
        </w:tc>
        <w:tc>
          <w:tcPr>
            <w:tcW w:w="1134" w:type="dxa"/>
          </w:tcPr>
          <w:p w:rsidR="007D3145" w:rsidRPr="0042304E" w:rsidRDefault="0042304E" w:rsidP="0027538F">
            <w:pPr>
              <w:pStyle w:val="TextPI"/>
              <w:spacing w:before="40" w:after="40"/>
              <w:jc w:val="center"/>
              <w:rPr>
                <w:rFonts w:cs="Arial"/>
                <w:sz w:val="20"/>
                <w:szCs w:val="20"/>
                <w:lang w:val="en-GB" w:eastAsia="de-DE"/>
              </w:rPr>
            </w:pPr>
            <w:r w:rsidRPr="0042304E">
              <w:rPr>
                <w:rFonts w:cs="Arial"/>
                <w:sz w:val="20"/>
                <w:szCs w:val="20"/>
                <w:lang w:val="en-GB" w:eastAsia="de-DE"/>
              </w:rPr>
              <w:t>66 (</w:t>
            </w:r>
            <w:r>
              <w:rPr>
                <w:rFonts w:cs="Arial"/>
                <w:sz w:val="20"/>
                <w:szCs w:val="20"/>
                <w:lang w:val="en-GB" w:eastAsia="de-DE"/>
              </w:rPr>
              <w:t>100.0)</w:t>
            </w:r>
            <w:r>
              <w:rPr>
                <w:rFonts w:cs="Arial"/>
                <w:sz w:val="20"/>
                <w:szCs w:val="20"/>
                <w:lang w:val="en-GB" w:eastAsia="de-DE"/>
              </w:rPr>
              <w:br/>
              <w:t>53 (80.3)</w:t>
            </w:r>
          </w:p>
        </w:tc>
        <w:tc>
          <w:tcPr>
            <w:tcW w:w="1134" w:type="dxa"/>
          </w:tcPr>
          <w:p w:rsidR="007D3145" w:rsidRPr="0042304E" w:rsidRDefault="0042304E" w:rsidP="0027538F">
            <w:pPr>
              <w:pStyle w:val="TextPI"/>
              <w:spacing w:before="40" w:after="40"/>
              <w:jc w:val="center"/>
              <w:rPr>
                <w:rFonts w:cs="Arial"/>
                <w:sz w:val="20"/>
                <w:szCs w:val="20"/>
                <w:lang w:val="en-GB" w:eastAsia="de-DE"/>
              </w:rPr>
            </w:pPr>
            <w:r>
              <w:rPr>
                <w:rFonts w:cs="Arial"/>
                <w:sz w:val="20"/>
                <w:szCs w:val="20"/>
                <w:lang w:val="en-GB" w:eastAsia="de-DE"/>
              </w:rPr>
              <w:t>57 (100.0)</w:t>
            </w:r>
            <w:r>
              <w:rPr>
                <w:rFonts w:cs="Arial"/>
                <w:sz w:val="20"/>
                <w:szCs w:val="20"/>
                <w:lang w:val="en-GB" w:eastAsia="de-DE"/>
              </w:rPr>
              <w:br/>
              <w:t>38 (66.7)</w:t>
            </w:r>
          </w:p>
        </w:tc>
        <w:tc>
          <w:tcPr>
            <w:tcW w:w="1289" w:type="dxa"/>
          </w:tcPr>
          <w:p w:rsidR="007D3145" w:rsidRPr="0042304E" w:rsidRDefault="0042304E" w:rsidP="0027538F">
            <w:pPr>
              <w:pStyle w:val="TextPI"/>
              <w:spacing w:before="40" w:after="40"/>
              <w:jc w:val="center"/>
              <w:rPr>
                <w:rFonts w:cs="Arial"/>
                <w:sz w:val="20"/>
                <w:szCs w:val="20"/>
                <w:lang w:val="en-GB" w:eastAsia="de-DE"/>
              </w:rPr>
            </w:pPr>
            <w:r>
              <w:rPr>
                <w:rFonts w:cs="Arial"/>
                <w:sz w:val="20"/>
                <w:szCs w:val="20"/>
                <w:lang w:val="en-GB" w:eastAsia="de-DE"/>
              </w:rPr>
              <w:t>123 (100.0)</w:t>
            </w:r>
            <w:r>
              <w:rPr>
                <w:rFonts w:cs="Arial"/>
                <w:sz w:val="20"/>
                <w:szCs w:val="20"/>
                <w:lang w:val="en-GB" w:eastAsia="de-DE"/>
              </w:rPr>
              <w:br/>
              <w:t>91 (74.4)</w:t>
            </w:r>
          </w:p>
        </w:tc>
      </w:tr>
      <w:tr w:rsidR="007D3145" w:rsidRPr="0042304E" w:rsidTr="00011B62">
        <w:tc>
          <w:tcPr>
            <w:tcW w:w="2552" w:type="dxa"/>
          </w:tcPr>
          <w:p w:rsidR="007D3145"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Infections and infestations</w:t>
            </w:r>
          </w:p>
        </w:tc>
        <w:tc>
          <w:tcPr>
            <w:tcW w:w="2410" w:type="dxa"/>
          </w:tcPr>
          <w:p w:rsidR="00A15A34" w:rsidRPr="0042304E" w:rsidRDefault="0042304E" w:rsidP="007939D5">
            <w:pPr>
              <w:pStyle w:val="TextPI"/>
              <w:spacing w:before="0" w:after="0"/>
              <w:jc w:val="left"/>
              <w:rPr>
                <w:rFonts w:cs="Arial"/>
                <w:sz w:val="20"/>
                <w:szCs w:val="20"/>
                <w:lang w:val="en-GB" w:eastAsia="de-DE"/>
              </w:rPr>
            </w:pPr>
            <w:r w:rsidRPr="0042304E">
              <w:rPr>
                <w:rFonts w:cs="Arial"/>
                <w:sz w:val="20"/>
                <w:szCs w:val="20"/>
                <w:lang w:val="en-GB" w:eastAsia="de-DE"/>
              </w:rPr>
              <w:t>Urinary tract infection</w:t>
            </w:r>
            <w:r w:rsidRPr="0042304E">
              <w:rPr>
                <w:rFonts w:cs="Arial"/>
                <w:sz w:val="20"/>
                <w:szCs w:val="20"/>
                <w:lang w:val="en-GB" w:eastAsia="de-DE"/>
              </w:rPr>
              <w:br/>
              <w:t>Pneumonia</w:t>
            </w:r>
          </w:p>
        </w:tc>
        <w:tc>
          <w:tcPr>
            <w:tcW w:w="1134" w:type="dxa"/>
          </w:tcPr>
          <w:p w:rsidR="007939D5" w:rsidRPr="0042304E" w:rsidRDefault="0042304E" w:rsidP="007939D5">
            <w:pPr>
              <w:pStyle w:val="TextPI"/>
              <w:spacing w:before="0" w:after="0"/>
              <w:jc w:val="center"/>
              <w:rPr>
                <w:rFonts w:cs="Arial"/>
                <w:sz w:val="20"/>
                <w:szCs w:val="20"/>
                <w:lang w:val="en-GB" w:eastAsia="de-DE"/>
              </w:rPr>
            </w:pPr>
            <w:r>
              <w:rPr>
                <w:rFonts w:cs="Arial"/>
                <w:sz w:val="20"/>
                <w:szCs w:val="20"/>
                <w:lang w:val="en-GB" w:eastAsia="de-DE"/>
              </w:rPr>
              <w:t>5 (7.6)</w:t>
            </w:r>
            <w:r>
              <w:rPr>
                <w:rFonts w:cs="Arial"/>
                <w:sz w:val="20"/>
                <w:szCs w:val="20"/>
                <w:lang w:val="en-GB" w:eastAsia="de-DE"/>
              </w:rPr>
              <w:br/>
              <w:t>3 (4.5)</w:t>
            </w:r>
          </w:p>
        </w:tc>
        <w:tc>
          <w:tcPr>
            <w:tcW w:w="1134" w:type="dxa"/>
          </w:tcPr>
          <w:p w:rsidR="007939D5" w:rsidRPr="0042304E" w:rsidRDefault="0042304E" w:rsidP="007939D5">
            <w:pPr>
              <w:pStyle w:val="TextPI"/>
              <w:spacing w:before="0" w:after="0"/>
              <w:jc w:val="center"/>
              <w:rPr>
                <w:rFonts w:cs="Arial"/>
                <w:sz w:val="20"/>
                <w:szCs w:val="20"/>
                <w:lang w:val="en-GB" w:eastAsia="de-DE"/>
              </w:rPr>
            </w:pPr>
            <w:r>
              <w:rPr>
                <w:rFonts w:cs="Arial"/>
                <w:sz w:val="20"/>
                <w:szCs w:val="20"/>
                <w:lang w:val="en-GB" w:eastAsia="de-DE"/>
              </w:rPr>
              <w:t>0 (0.0)</w:t>
            </w:r>
            <w:r>
              <w:rPr>
                <w:rFonts w:cs="Arial"/>
                <w:sz w:val="20"/>
                <w:szCs w:val="20"/>
                <w:lang w:val="en-GB" w:eastAsia="de-DE"/>
              </w:rPr>
              <w:br/>
              <w:t>4 (7.0)</w:t>
            </w:r>
          </w:p>
        </w:tc>
        <w:tc>
          <w:tcPr>
            <w:tcW w:w="1289" w:type="dxa"/>
          </w:tcPr>
          <w:p w:rsidR="007939D5" w:rsidRPr="0042304E" w:rsidRDefault="0042304E" w:rsidP="007939D5">
            <w:pPr>
              <w:pStyle w:val="TextPI"/>
              <w:spacing w:before="0" w:after="0"/>
              <w:jc w:val="center"/>
              <w:rPr>
                <w:rFonts w:cs="Arial"/>
                <w:sz w:val="20"/>
                <w:szCs w:val="20"/>
                <w:lang w:val="en-GB" w:eastAsia="de-DE"/>
              </w:rPr>
            </w:pPr>
            <w:r>
              <w:rPr>
                <w:rFonts w:cs="Arial"/>
                <w:sz w:val="20"/>
                <w:szCs w:val="20"/>
                <w:lang w:val="en-GB" w:eastAsia="de-DE"/>
              </w:rPr>
              <w:t>5 (4.1)</w:t>
            </w:r>
            <w:r>
              <w:rPr>
                <w:rFonts w:cs="Arial"/>
                <w:sz w:val="20"/>
                <w:szCs w:val="20"/>
                <w:lang w:val="en-GB" w:eastAsia="de-DE"/>
              </w:rPr>
              <w:br/>
              <w:t>7 (5.7)</w:t>
            </w:r>
          </w:p>
        </w:tc>
      </w:tr>
      <w:tr w:rsidR="007D3145" w:rsidRPr="0042304E" w:rsidTr="00011B62">
        <w:tc>
          <w:tcPr>
            <w:tcW w:w="2552" w:type="dxa"/>
          </w:tcPr>
          <w:p w:rsidR="007D3145"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Blood and lymphatic system disorders</w:t>
            </w:r>
          </w:p>
        </w:tc>
        <w:tc>
          <w:tcPr>
            <w:tcW w:w="2410" w:type="dxa"/>
          </w:tcPr>
          <w:p w:rsidR="00D63263" w:rsidRPr="0042304E" w:rsidRDefault="0042304E" w:rsidP="006A22A3">
            <w:pPr>
              <w:pStyle w:val="TextPI"/>
              <w:spacing w:before="0" w:after="0"/>
              <w:jc w:val="left"/>
              <w:rPr>
                <w:rFonts w:cs="Arial"/>
                <w:sz w:val="20"/>
                <w:szCs w:val="20"/>
                <w:lang w:val="en-GB" w:eastAsia="de-DE"/>
              </w:rPr>
            </w:pPr>
            <w:r w:rsidRPr="0042304E">
              <w:rPr>
                <w:rFonts w:cs="Arial"/>
                <w:sz w:val="20"/>
                <w:szCs w:val="20"/>
                <w:lang w:val="en-GB" w:eastAsia="de-DE"/>
              </w:rPr>
              <w:t>Thrombocytopenia</w:t>
            </w:r>
            <w:r w:rsidRPr="0042304E">
              <w:rPr>
                <w:rFonts w:cs="Arial"/>
                <w:sz w:val="20"/>
                <w:szCs w:val="20"/>
                <w:lang w:val="en-GB" w:eastAsia="de-DE"/>
              </w:rPr>
              <w:br/>
              <w:t>Anaemia</w:t>
            </w:r>
          </w:p>
        </w:tc>
        <w:tc>
          <w:tcPr>
            <w:tcW w:w="1134" w:type="dxa"/>
          </w:tcPr>
          <w:p w:rsidR="00D63263" w:rsidRPr="0042304E" w:rsidRDefault="00D16BD6" w:rsidP="006A22A3">
            <w:pPr>
              <w:pStyle w:val="TextPI"/>
              <w:spacing w:before="0" w:after="0"/>
              <w:jc w:val="center"/>
              <w:rPr>
                <w:rFonts w:cs="Arial"/>
                <w:sz w:val="20"/>
                <w:szCs w:val="20"/>
                <w:lang w:val="en-GB" w:eastAsia="de-DE"/>
              </w:rPr>
            </w:pPr>
            <w:r>
              <w:rPr>
                <w:rFonts w:cs="Arial"/>
                <w:sz w:val="20"/>
                <w:szCs w:val="20"/>
                <w:lang w:val="en-GB" w:eastAsia="de-DE"/>
              </w:rPr>
              <w:t>4 (6.1)</w:t>
            </w:r>
            <w:r>
              <w:rPr>
                <w:rFonts w:cs="Arial"/>
                <w:sz w:val="20"/>
                <w:szCs w:val="20"/>
                <w:lang w:val="en-GB" w:eastAsia="de-DE"/>
              </w:rPr>
              <w:br/>
              <w:t>3 (4.5)</w:t>
            </w:r>
          </w:p>
        </w:tc>
        <w:tc>
          <w:tcPr>
            <w:tcW w:w="1134" w:type="dxa"/>
          </w:tcPr>
          <w:p w:rsidR="00D63263" w:rsidRPr="0042304E" w:rsidRDefault="00D16BD6" w:rsidP="006A22A3">
            <w:pPr>
              <w:pStyle w:val="TextPI"/>
              <w:spacing w:before="0" w:after="0"/>
              <w:jc w:val="center"/>
              <w:rPr>
                <w:rFonts w:cs="Arial"/>
                <w:sz w:val="20"/>
                <w:szCs w:val="20"/>
                <w:lang w:val="en-GB" w:eastAsia="de-DE"/>
              </w:rPr>
            </w:pPr>
            <w:r>
              <w:rPr>
                <w:rFonts w:cs="Arial"/>
                <w:sz w:val="20"/>
                <w:szCs w:val="20"/>
                <w:lang w:val="en-GB" w:eastAsia="de-DE"/>
              </w:rPr>
              <w:t>0 (0.0)</w:t>
            </w:r>
            <w:r>
              <w:rPr>
                <w:rFonts w:cs="Arial"/>
                <w:sz w:val="20"/>
                <w:szCs w:val="20"/>
                <w:lang w:val="en-GB" w:eastAsia="de-DE"/>
              </w:rPr>
              <w:br/>
              <w:t>3 (5.3)</w:t>
            </w:r>
          </w:p>
        </w:tc>
        <w:tc>
          <w:tcPr>
            <w:tcW w:w="1289" w:type="dxa"/>
          </w:tcPr>
          <w:p w:rsidR="00D63263" w:rsidRPr="0042304E" w:rsidRDefault="00D16BD6" w:rsidP="006A22A3">
            <w:pPr>
              <w:pStyle w:val="TextPI"/>
              <w:spacing w:before="0" w:after="0"/>
              <w:jc w:val="center"/>
              <w:rPr>
                <w:rFonts w:cs="Arial"/>
                <w:sz w:val="20"/>
                <w:szCs w:val="20"/>
                <w:lang w:val="en-GB" w:eastAsia="de-DE"/>
              </w:rPr>
            </w:pPr>
            <w:r>
              <w:rPr>
                <w:rFonts w:cs="Arial"/>
                <w:sz w:val="20"/>
                <w:szCs w:val="20"/>
                <w:lang w:val="en-GB" w:eastAsia="de-DE"/>
              </w:rPr>
              <w:t>4 (3.3)</w:t>
            </w:r>
            <w:r>
              <w:rPr>
                <w:rFonts w:cs="Arial"/>
                <w:sz w:val="20"/>
                <w:szCs w:val="20"/>
                <w:lang w:val="en-GB" w:eastAsia="de-DE"/>
              </w:rPr>
              <w:br/>
              <w:t>6 (4.9)</w:t>
            </w:r>
          </w:p>
        </w:tc>
      </w:tr>
      <w:tr w:rsidR="007D3145" w:rsidRPr="0042304E" w:rsidTr="00011B62">
        <w:tc>
          <w:tcPr>
            <w:tcW w:w="2552" w:type="dxa"/>
          </w:tcPr>
          <w:p w:rsidR="007D3145"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Metabolism and nutrition</w:t>
            </w:r>
          </w:p>
        </w:tc>
        <w:tc>
          <w:tcPr>
            <w:tcW w:w="2410" w:type="dxa"/>
          </w:tcPr>
          <w:p w:rsidR="007D3145" w:rsidRDefault="0042304E" w:rsidP="006A22A3">
            <w:pPr>
              <w:pStyle w:val="TextPI"/>
              <w:spacing w:before="0" w:after="0"/>
              <w:jc w:val="left"/>
              <w:rPr>
                <w:rFonts w:cs="Arial"/>
                <w:sz w:val="20"/>
                <w:szCs w:val="20"/>
                <w:lang w:val="en-GB" w:eastAsia="de-DE"/>
              </w:rPr>
            </w:pPr>
            <w:r w:rsidRPr="0042304E">
              <w:rPr>
                <w:rFonts w:cs="Arial"/>
                <w:sz w:val="20"/>
                <w:szCs w:val="20"/>
                <w:lang w:val="en-GB" w:eastAsia="de-DE"/>
              </w:rPr>
              <w:t>Hypokalaemia</w:t>
            </w:r>
          </w:p>
          <w:p w:rsidR="000D4079" w:rsidRPr="0042304E" w:rsidRDefault="000D4079" w:rsidP="006A22A3">
            <w:pPr>
              <w:pStyle w:val="TextPI"/>
              <w:spacing w:before="0" w:after="0"/>
              <w:jc w:val="left"/>
              <w:rPr>
                <w:rFonts w:cs="Arial"/>
                <w:sz w:val="20"/>
                <w:szCs w:val="20"/>
                <w:lang w:val="en-GB" w:eastAsia="de-DE"/>
              </w:rPr>
            </w:pPr>
            <w:proofErr w:type="spellStart"/>
            <w:r>
              <w:rPr>
                <w:rFonts w:cs="Arial"/>
                <w:sz w:val="20"/>
                <w:szCs w:val="20"/>
                <w:lang w:val="en-GB" w:eastAsia="de-DE"/>
              </w:rPr>
              <w:t>Hypoalbuminaemia</w:t>
            </w:r>
            <w:proofErr w:type="spellEnd"/>
          </w:p>
        </w:tc>
        <w:tc>
          <w:tcPr>
            <w:tcW w:w="1134" w:type="dxa"/>
          </w:tcPr>
          <w:p w:rsidR="007D3145" w:rsidRDefault="00D16BD6" w:rsidP="006A22A3">
            <w:pPr>
              <w:pStyle w:val="TextPI"/>
              <w:spacing w:before="0" w:after="0"/>
              <w:jc w:val="center"/>
              <w:rPr>
                <w:rFonts w:cs="Arial"/>
                <w:sz w:val="20"/>
                <w:szCs w:val="20"/>
                <w:lang w:val="en-GB" w:eastAsia="de-DE"/>
              </w:rPr>
            </w:pPr>
            <w:r>
              <w:rPr>
                <w:rFonts w:cs="Arial"/>
                <w:sz w:val="20"/>
                <w:szCs w:val="20"/>
                <w:lang w:val="en-GB" w:eastAsia="de-DE"/>
              </w:rPr>
              <w:t>6 (9.1)</w:t>
            </w:r>
          </w:p>
          <w:p w:rsidR="000D4079" w:rsidRPr="0042304E" w:rsidRDefault="000D4079" w:rsidP="005D10E1">
            <w:pPr>
              <w:pStyle w:val="TextPI"/>
              <w:spacing w:before="0" w:after="0"/>
              <w:jc w:val="center"/>
              <w:rPr>
                <w:rFonts w:cs="Arial"/>
                <w:sz w:val="20"/>
                <w:szCs w:val="20"/>
                <w:lang w:val="en-GB" w:eastAsia="de-DE"/>
              </w:rPr>
            </w:pPr>
            <w:r>
              <w:rPr>
                <w:rFonts w:cs="Arial"/>
                <w:sz w:val="20"/>
                <w:szCs w:val="20"/>
                <w:lang w:val="en-GB" w:eastAsia="de-DE"/>
              </w:rPr>
              <w:t>1 (1.5)</w:t>
            </w:r>
          </w:p>
        </w:tc>
        <w:tc>
          <w:tcPr>
            <w:tcW w:w="1134" w:type="dxa"/>
          </w:tcPr>
          <w:p w:rsidR="007D3145" w:rsidRDefault="00D16BD6" w:rsidP="006A22A3">
            <w:pPr>
              <w:pStyle w:val="TextPI"/>
              <w:spacing w:before="0" w:after="0"/>
              <w:jc w:val="center"/>
              <w:rPr>
                <w:rFonts w:cs="Arial"/>
                <w:sz w:val="20"/>
                <w:szCs w:val="20"/>
                <w:lang w:val="en-GB" w:eastAsia="de-DE"/>
              </w:rPr>
            </w:pPr>
            <w:r>
              <w:rPr>
                <w:rFonts w:cs="Arial"/>
                <w:sz w:val="20"/>
                <w:szCs w:val="20"/>
                <w:lang w:val="en-GB" w:eastAsia="de-DE"/>
              </w:rPr>
              <w:t>3 (5.3)</w:t>
            </w:r>
          </w:p>
          <w:p w:rsidR="00052B62" w:rsidRPr="0042304E" w:rsidRDefault="00052B62" w:rsidP="005D10E1">
            <w:pPr>
              <w:pStyle w:val="TextPI"/>
              <w:spacing w:before="0" w:after="0"/>
              <w:jc w:val="center"/>
              <w:rPr>
                <w:rFonts w:cs="Arial"/>
                <w:sz w:val="20"/>
                <w:szCs w:val="20"/>
                <w:lang w:val="en-GB" w:eastAsia="de-DE"/>
              </w:rPr>
            </w:pPr>
            <w:r>
              <w:rPr>
                <w:rFonts w:cs="Arial"/>
                <w:sz w:val="20"/>
                <w:szCs w:val="20"/>
                <w:lang w:val="en-GB" w:eastAsia="de-DE"/>
              </w:rPr>
              <w:t>1 (1.8)</w:t>
            </w:r>
          </w:p>
        </w:tc>
        <w:tc>
          <w:tcPr>
            <w:tcW w:w="1289" w:type="dxa"/>
          </w:tcPr>
          <w:p w:rsidR="007D3145" w:rsidRDefault="00D16BD6" w:rsidP="006A22A3">
            <w:pPr>
              <w:pStyle w:val="TextPI"/>
              <w:spacing w:before="0" w:after="0"/>
              <w:jc w:val="center"/>
              <w:rPr>
                <w:rFonts w:cs="Arial"/>
                <w:sz w:val="20"/>
                <w:szCs w:val="20"/>
                <w:lang w:val="en-GB" w:eastAsia="de-DE"/>
              </w:rPr>
            </w:pPr>
            <w:r>
              <w:rPr>
                <w:rFonts w:cs="Arial"/>
                <w:sz w:val="20"/>
                <w:szCs w:val="20"/>
                <w:lang w:val="en-GB" w:eastAsia="de-DE"/>
              </w:rPr>
              <w:t>9 (7.3)</w:t>
            </w:r>
          </w:p>
          <w:p w:rsidR="00052B62" w:rsidRPr="0042304E" w:rsidRDefault="00052B62" w:rsidP="005D10E1">
            <w:pPr>
              <w:pStyle w:val="TextPI"/>
              <w:spacing w:before="0" w:after="0"/>
              <w:jc w:val="center"/>
              <w:rPr>
                <w:rFonts w:cs="Arial"/>
                <w:sz w:val="20"/>
                <w:szCs w:val="20"/>
                <w:lang w:val="en-GB" w:eastAsia="de-DE"/>
              </w:rPr>
            </w:pPr>
            <w:r w:rsidRPr="005D10E1">
              <w:rPr>
                <w:rFonts w:cs="Arial"/>
                <w:sz w:val="20"/>
                <w:szCs w:val="20"/>
                <w:lang w:val="en-GB" w:eastAsia="de-DE"/>
              </w:rPr>
              <w:t>2 (1.6)</w:t>
            </w:r>
          </w:p>
        </w:tc>
      </w:tr>
      <w:tr w:rsidR="007D3145" w:rsidRPr="0042304E" w:rsidTr="00011B62">
        <w:tc>
          <w:tcPr>
            <w:tcW w:w="2552" w:type="dxa"/>
          </w:tcPr>
          <w:p w:rsidR="007D3145"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Psychiatric disorders</w:t>
            </w:r>
          </w:p>
        </w:tc>
        <w:tc>
          <w:tcPr>
            <w:tcW w:w="2410" w:type="dxa"/>
          </w:tcPr>
          <w:p w:rsidR="007D3145" w:rsidRDefault="0042304E" w:rsidP="006A22A3">
            <w:pPr>
              <w:pStyle w:val="TextPI"/>
              <w:spacing w:before="0" w:after="0"/>
              <w:jc w:val="left"/>
              <w:rPr>
                <w:rFonts w:cs="Arial"/>
                <w:sz w:val="20"/>
                <w:szCs w:val="20"/>
                <w:lang w:val="en-GB" w:eastAsia="de-DE"/>
              </w:rPr>
            </w:pPr>
            <w:r w:rsidRPr="0042304E">
              <w:rPr>
                <w:rFonts w:cs="Arial"/>
                <w:sz w:val="20"/>
                <w:szCs w:val="20"/>
                <w:lang w:val="en-GB" w:eastAsia="de-DE"/>
              </w:rPr>
              <w:t>Delirium</w:t>
            </w:r>
            <w:r w:rsidRPr="0042304E">
              <w:rPr>
                <w:rFonts w:cs="Arial"/>
                <w:sz w:val="20"/>
                <w:szCs w:val="20"/>
                <w:lang w:val="en-GB" w:eastAsia="de-DE"/>
              </w:rPr>
              <w:br/>
              <w:t>Anxiety</w:t>
            </w:r>
            <w:r w:rsidRPr="0042304E">
              <w:rPr>
                <w:rFonts w:cs="Arial"/>
                <w:sz w:val="20"/>
                <w:szCs w:val="20"/>
                <w:lang w:val="en-GB" w:eastAsia="de-DE"/>
              </w:rPr>
              <w:br/>
            </w:r>
            <w:proofErr w:type="spellStart"/>
            <w:r w:rsidRPr="0042304E">
              <w:rPr>
                <w:rFonts w:cs="Arial"/>
                <w:sz w:val="20"/>
                <w:szCs w:val="20"/>
                <w:lang w:val="en-GB" w:eastAsia="de-DE"/>
              </w:rPr>
              <w:t>Confusional</w:t>
            </w:r>
            <w:proofErr w:type="spellEnd"/>
            <w:r w:rsidRPr="0042304E">
              <w:rPr>
                <w:rFonts w:cs="Arial"/>
                <w:sz w:val="20"/>
                <w:szCs w:val="20"/>
                <w:lang w:val="en-GB" w:eastAsia="de-DE"/>
              </w:rPr>
              <w:t xml:space="preserve"> state</w:t>
            </w:r>
            <w:r w:rsidRPr="0042304E">
              <w:rPr>
                <w:rFonts w:cs="Arial"/>
                <w:sz w:val="20"/>
                <w:szCs w:val="20"/>
                <w:lang w:val="en-GB" w:eastAsia="de-DE"/>
              </w:rPr>
              <w:br/>
              <w:t>Disorientation</w:t>
            </w:r>
          </w:p>
          <w:p w:rsidR="00547F90" w:rsidRPr="0042304E" w:rsidRDefault="00547F90" w:rsidP="006A22A3">
            <w:pPr>
              <w:pStyle w:val="TextPI"/>
              <w:spacing w:before="0" w:after="0"/>
              <w:jc w:val="left"/>
              <w:rPr>
                <w:rFonts w:cs="Arial"/>
                <w:sz w:val="20"/>
                <w:szCs w:val="20"/>
                <w:lang w:val="en-GB" w:eastAsia="de-DE"/>
              </w:rPr>
            </w:pPr>
            <w:r>
              <w:rPr>
                <w:rFonts w:cs="Arial"/>
                <w:sz w:val="20"/>
                <w:szCs w:val="20"/>
                <w:lang w:val="en-GB" w:eastAsia="de-DE"/>
              </w:rPr>
              <w:t>Agitation</w:t>
            </w:r>
          </w:p>
        </w:tc>
        <w:tc>
          <w:tcPr>
            <w:tcW w:w="1134" w:type="dxa"/>
          </w:tcPr>
          <w:p w:rsidR="007D3145" w:rsidRDefault="00353CBB" w:rsidP="006A22A3">
            <w:pPr>
              <w:pStyle w:val="TextPI"/>
              <w:spacing w:before="0" w:after="0"/>
              <w:jc w:val="center"/>
              <w:rPr>
                <w:rFonts w:cs="Arial"/>
                <w:sz w:val="20"/>
                <w:szCs w:val="20"/>
                <w:lang w:val="en-GB" w:eastAsia="de-DE"/>
              </w:rPr>
            </w:pPr>
            <w:r>
              <w:rPr>
                <w:rFonts w:cs="Arial"/>
                <w:sz w:val="20"/>
                <w:szCs w:val="20"/>
                <w:lang w:val="en-GB" w:eastAsia="de-DE"/>
              </w:rPr>
              <w:t>7 (10.6)</w:t>
            </w:r>
            <w:r>
              <w:rPr>
                <w:rFonts w:cs="Arial"/>
                <w:sz w:val="20"/>
                <w:szCs w:val="20"/>
                <w:lang w:val="en-GB" w:eastAsia="de-DE"/>
              </w:rPr>
              <w:br/>
              <w:t>3 (4.5)</w:t>
            </w:r>
            <w:r>
              <w:rPr>
                <w:rFonts w:cs="Arial"/>
                <w:sz w:val="20"/>
                <w:szCs w:val="20"/>
                <w:lang w:val="en-GB" w:eastAsia="de-DE"/>
              </w:rPr>
              <w:br/>
              <w:t>2 (3.0)</w:t>
            </w:r>
            <w:r>
              <w:rPr>
                <w:rFonts w:cs="Arial"/>
                <w:sz w:val="20"/>
                <w:szCs w:val="20"/>
                <w:lang w:val="en-GB" w:eastAsia="de-DE"/>
              </w:rPr>
              <w:br/>
              <w:t>2 (3.0)</w:t>
            </w:r>
          </w:p>
          <w:p w:rsidR="00547F90" w:rsidRPr="0042304E" w:rsidRDefault="00547F90" w:rsidP="005D10E1">
            <w:pPr>
              <w:pStyle w:val="TextPI"/>
              <w:spacing w:before="0" w:after="0"/>
              <w:jc w:val="center"/>
              <w:rPr>
                <w:rFonts w:cs="Arial"/>
                <w:sz w:val="20"/>
                <w:szCs w:val="20"/>
                <w:lang w:val="en-GB" w:eastAsia="de-DE"/>
              </w:rPr>
            </w:pPr>
            <w:r>
              <w:rPr>
                <w:rFonts w:cs="Arial"/>
                <w:sz w:val="20"/>
                <w:szCs w:val="20"/>
                <w:lang w:val="en-GB" w:eastAsia="de-DE"/>
              </w:rPr>
              <w:t>1 (1.5)</w:t>
            </w:r>
          </w:p>
        </w:tc>
        <w:tc>
          <w:tcPr>
            <w:tcW w:w="1134" w:type="dxa"/>
          </w:tcPr>
          <w:p w:rsidR="007D3145" w:rsidRDefault="00353CBB" w:rsidP="006A22A3">
            <w:pPr>
              <w:pStyle w:val="TextPI"/>
              <w:spacing w:before="0" w:after="0"/>
              <w:jc w:val="center"/>
              <w:rPr>
                <w:rFonts w:cs="Arial"/>
                <w:sz w:val="20"/>
                <w:szCs w:val="20"/>
                <w:lang w:val="en-GB" w:eastAsia="de-DE"/>
              </w:rPr>
            </w:pPr>
            <w:r>
              <w:rPr>
                <w:rFonts w:cs="Arial"/>
                <w:sz w:val="20"/>
                <w:szCs w:val="20"/>
                <w:lang w:val="en-GB" w:eastAsia="de-DE"/>
              </w:rPr>
              <w:t>2 (3.5)</w:t>
            </w:r>
            <w:r>
              <w:rPr>
                <w:rFonts w:cs="Arial"/>
                <w:sz w:val="20"/>
                <w:szCs w:val="20"/>
                <w:lang w:val="en-GB" w:eastAsia="de-DE"/>
              </w:rPr>
              <w:br/>
              <w:t>0 (0.0)</w:t>
            </w:r>
            <w:r>
              <w:rPr>
                <w:rFonts w:cs="Arial"/>
                <w:sz w:val="20"/>
                <w:szCs w:val="20"/>
                <w:lang w:val="en-GB" w:eastAsia="de-DE"/>
              </w:rPr>
              <w:br/>
              <w:t>1 (1.8)</w:t>
            </w:r>
            <w:r>
              <w:rPr>
                <w:rFonts w:cs="Arial"/>
                <w:sz w:val="20"/>
                <w:szCs w:val="20"/>
                <w:lang w:val="en-GB" w:eastAsia="de-DE"/>
              </w:rPr>
              <w:br/>
              <w:t>1 (1.8)</w:t>
            </w:r>
          </w:p>
          <w:p w:rsidR="00547F90" w:rsidRPr="0042304E" w:rsidRDefault="00547F90" w:rsidP="005D10E1">
            <w:pPr>
              <w:pStyle w:val="TextPI"/>
              <w:spacing w:before="0" w:after="0"/>
              <w:jc w:val="center"/>
              <w:rPr>
                <w:rFonts w:cs="Arial"/>
                <w:sz w:val="20"/>
                <w:szCs w:val="20"/>
                <w:lang w:val="en-GB" w:eastAsia="de-DE"/>
              </w:rPr>
            </w:pPr>
            <w:r>
              <w:rPr>
                <w:rFonts w:cs="Arial"/>
                <w:sz w:val="20"/>
                <w:szCs w:val="20"/>
                <w:lang w:val="en-GB" w:eastAsia="de-DE"/>
              </w:rPr>
              <w:t>1 (1.8)</w:t>
            </w:r>
          </w:p>
        </w:tc>
        <w:tc>
          <w:tcPr>
            <w:tcW w:w="1289" w:type="dxa"/>
          </w:tcPr>
          <w:p w:rsidR="007D3145" w:rsidRDefault="00353CBB" w:rsidP="006A22A3">
            <w:pPr>
              <w:pStyle w:val="TextPI"/>
              <w:spacing w:before="0" w:after="0"/>
              <w:jc w:val="center"/>
              <w:rPr>
                <w:rFonts w:cs="Arial"/>
                <w:sz w:val="20"/>
                <w:szCs w:val="20"/>
                <w:lang w:val="en-GB" w:eastAsia="de-DE"/>
              </w:rPr>
            </w:pPr>
            <w:r>
              <w:rPr>
                <w:rFonts w:cs="Arial"/>
                <w:sz w:val="20"/>
                <w:szCs w:val="20"/>
                <w:lang w:val="en-GB" w:eastAsia="de-DE"/>
              </w:rPr>
              <w:t>9 (7.3)</w:t>
            </w:r>
            <w:r>
              <w:rPr>
                <w:rFonts w:cs="Arial"/>
                <w:sz w:val="20"/>
                <w:szCs w:val="20"/>
                <w:lang w:val="en-GB" w:eastAsia="de-DE"/>
              </w:rPr>
              <w:br/>
              <w:t>3 (2.4)</w:t>
            </w:r>
            <w:r>
              <w:rPr>
                <w:rFonts w:cs="Arial"/>
                <w:sz w:val="20"/>
                <w:szCs w:val="20"/>
                <w:lang w:val="en-GB" w:eastAsia="de-DE"/>
              </w:rPr>
              <w:br/>
              <w:t>3 (2.4)</w:t>
            </w:r>
            <w:r>
              <w:rPr>
                <w:rFonts w:cs="Arial"/>
                <w:sz w:val="20"/>
                <w:szCs w:val="20"/>
                <w:lang w:val="en-GB" w:eastAsia="de-DE"/>
              </w:rPr>
              <w:br/>
              <w:t>3 (2.4)</w:t>
            </w:r>
          </w:p>
          <w:p w:rsidR="00547F90" w:rsidRPr="0042304E" w:rsidRDefault="00547F90" w:rsidP="005D10E1">
            <w:pPr>
              <w:pStyle w:val="TextPI"/>
              <w:spacing w:before="0" w:after="0"/>
              <w:jc w:val="center"/>
              <w:rPr>
                <w:rFonts w:cs="Arial"/>
                <w:sz w:val="20"/>
                <w:szCs w:val="20"/>
                <w:lang w:val="en-GB" w:eastAsia="de-DE"/>
              </w:rPr>
            </w:pPr>
            <w:r w:rsidRPr="005D10E1">
              <w:rPr>
                <w:rFonts w:cs="Arial"/>
                <w:sz w:val="20"/>
                <w:szCs w:val="20"/>
                <w:lang w:val="en-GB" w:eastAsia="de-DE"/>
              </w:rPr>
              <w:t>2 (1.6)</w:t>
            </w:r>
          </w:p>
        </w:tc>
      </w:tr>
      <w:tr w:rsidR="0042304E" w:rsidRPr="0042304E" w:rsidTr="00011B62">
        <w:trPr>
          <w:cantSplit/>
        </w:trPr>
        <w:tc>
          <w:tcPr>
            <w:tcW w:w="2552" w:type="dxa"/>
          </w:tcPr>
          <w:p w:rsidR="0042304E"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Nervous System Disorders</w:t>
            </w:r>
          </w:p>
        </w:tc>
        <w:tc>
          <w:tcPr>
            <w:tcW w:w="2410" w:type="dxa"/>
          </w:tcPr>
          <w:p w:rsidR="002E3EAF" w:rsidRPr="0042304E" w:rsidRDefault="0042304E" w:rsidP="006A22A3">
            <w:pPr>
              <w:pStyle w:val="TextPI"/>
              <w:spacing w:before="0" w:after="0"/>
              <w:jc w:val="left"/>
              <w:rPr>
                <w:rFonts w:cs="Arial"/>
                <w:sz w:val="20"/>
                <w:szCs w:val="20"/>
                <w:lang w:val="en-GB" w:eastAsia="de-DE"/>
              </w:rPr>
            </w:pPr>
            <w:r w:rsidRPr="0042304E">
              <w:rPr>
                <w:rFonts w:cs="Arial"/>
                <w:sz w:val="20"/>
                <w:szCs w:val="20"/>
                <w:lang w:val="en-GB" w:eastAsia="de-DE"/>
              </w:rPr>
              <w:t>Headache</w:t>
            </w:r>
          </w:p>
        </w:tc>
        <w:tc>
          <w:tcPr>
            <w:tcW w:w="1134" w:type="dxa"/>
          </w:tcPr>
          <w:p w:rsidR="002E3EAF" w:rsidRPr="0042304E" w:rsidRDefault="00353CBB" w:rsidP="006A22A3">
            <w:pPr>
              <w:pStyle w:val="TextPI"/>
              <w:spacing w:before="0" w:after="0"/>
              <w:jc w:val="center"/>
              <w:rPr>
                <w:rFonts w:cs="Arial"/>
                <w:sz w:val="20"/>
                <w:szCs w:val="20"/>
                <w:lang w:val="en-GB" w:eastAsia="de-DE"/>
              </w:rPr>
            </w:pPr>
            <w:r>
              <w:rPr>
                <w:rFonts w:cs="Arial"/>
                <w:sz w:val="20"/>
                <w:szCs w:val="20"/>
                <w:lang w:val="en-GB" w:eastAsia="de-DE"/>
              </w:rPr>
              <w:t>5 (7.6)</w:t>
            </w:r>
          </w:p>
        </w:tc>
        <w:tc>
          <w:tcPr>
            <w:tcW w:w="1134" w:type="dxa"/>
          </w:tcPr>
          <w:p w:rsidR="002E3EAF" w:rsidRPr="0042304E" w:rsidRDefault="00353CBB" w:rsidP="006A22A3">
            <w:pPr>
              <w:pStyle w:val="TextPI"/>
              <w:spacing w:before="0" w:after="0"/>
              <w:jc w:val="center"/>
              <w:rPr>
                <w:rFonts w:cs="Arial"/>
                <w:sz w:val="20"/>
                <w:szCs w:val="20"/>
                <w:lang w:val="en-GB" w:eastAsia="de-DE"/>
              </w:rPr>
            </w:pPr>
            <w:r>
              <w:rPr>
                <w:rFonts w:cs="Arial"/>
                <w:sz w:val="20"/>
                <w:szCs w:val="20"/>
                <w:lang w:val="en-GB" w:eastAsia="de-DE"/>
              </w:rPr>
              <w:t>1 (1.8)</w:t>
            </w:r>
          </w:p>
        </w:tc>
        <w:tc>
          <w:tcPr>
            <w:tcW w:w="1289" w:type="dxa"/>
          </w:tcPr>
          <w:p w:rsidR="002E3EAF" w:rsidRPr="0042304E" w:rsidRDefault="00353CBB" w:rsidP="006A22A3">
            <w:pPr>
              <w:pStyle w:val="TextPI"/>
              <w:spacing w:before="0" w:after="0"/>
              <w:jc w:val="center"/>
              <w:rPr>
                <w:rFonts w:cs="Arial"/>
                <w:sz w:val="20"/>
                <w:szCs w:val="20"/>
                <w:lang w:val="en-GB" w:eastAsia="de-DE"/>
              </w:rPr>
            </w:pPr>
            <w:r>
              <w:rPr>
                <w:rFonts w:cs="Arial"/>
                <w:sz w:val="20"/>
                <w:szCs w:val="20"/>
                <w:lang w:val="en-GB" w:eastAsia="de-DE"/>
              </w:rPr>
              <w:t>6 (4.9)</w:t>
            </w:r>
          </w:p>
        </w:tc>
      </w:tr>
      <w:tr w:rsidR="0042304E" w:rsidRPr="0042304E" w:rsidTr="00011B62">
        <w:tc>
          <w:tcPr>
            <w:tcW w:w="2552" w:type="dxa"/>
          </w:tcPr>
          <w:p w:rsidR="0042304E"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Cardiac disorders</w:t>
            </w:r>
          </w:p>
        </w:tc>
        <w:tc>
          <w:tcPr>
            <w:tcW w:w="2410" w:type="dxa"/>
          </w:tcPr>
          <w:p w:rsidR="0042304E" w:rsidRDefault="0042304E" w:rsidP="006A22A3">
            <w:pPr>
              <w:pStyle w:val="TextPI"/>
              <w:spacing w:before="0" w:after="0"/>
              <w:jc w:val="left"/>
              <w:rPr>
                <w:rFonts w:cs="Arial"/>
                <w:sz w:val="20"/>
                <w:szCs w:val="20"/>
                <w:lang w:val="en-GB" w:eastAsia="de-DE"/>
              </w:rPr>
            </w:pPr>
            <w:r w:rsidRPr="0042304E">
              <w:rPr>
                <w:rFonts w:cs="Arial"/>
                <w:sz w:val="20"/>
                <w:szCs w:val="20"/>
                <w:lang w:val="en-GB" w:eastAsia="de-DE"/>
              </w:rPr>
              <w:t>Bradycardia</w:t>
            </w:r>
            <w:r w:rsidRPr="0042304E">
              <w:rPr>
                <w:rFonts w:cs="Arial"/>
                <w:sz w:val="20"/>
                <w:szCs w:val="20"/>
                <w:lang w:val="en-GB" w:eastAsia="de-DE"/>
              </w:rPr>
              <w:br/>
              <w:t>Atrial fibrillation</w:t>
            </w:r>
          </w:p>
          <w:p w:rsidR="00F540FC" w:rsidRPr="0042304E" w:rsidRDefault="00F540FC" w:rsidP="006A22A3">
            <w:pPr>
              <w:pStyle w:val="TextPI"/>
              <w:spacing w:before="0" w:after="0"/>
              <w:jc w:val="left"/>
              <w:rPr>
                <w:rFonts w:cs="Arial"/>
                <w:sz w:val="20"/>
                <w:szCs w:val="20"/>
                <w:lang w:val="en-GB" w:eastAsia="de-DE"/>
              </w:rPr>
            </w:pPr>
            <w:r w:rsidRPr="00011B62">
              <w:rPr>
                <w:rFonts w:cs="Arial"/>
                <w:sz w:val="20"/>
                <w:szCs w:val="20"/>
                <w:lang w:val="en-GB" w:eastAsia="de-DE"/>
              </w:rPr>
              <w:t>Tachycardia</w:t>
            </w:r>
          </w:p>
        </w:tc>
        <w:tc>
          <w:tcPr>
            <w:tcW w:w="1134" w:type="dxa"/>
          </w:tcPr>
          <w:p w:rsidR="0042304E" w:rsidRDefault="00ED092A" w:rsidP="006A22A3">
            <w:pPr>
              <w:pStyle w:val="TextPI"/>
              <w:spacing w:before="0" w:after="0"/>
              <w:jc w:val="center"/>
              <w:rPr>
                <w:rFonts w:cs="Arial"/>
                <w:sz w:val="20"/>
                <w:szCs w:val="20"/>
                <w:lang w:val="en-GB" w:eastAsia="de-DE"/>
              </w:rPr>
            </w:pPr>
            <w:r>
              <w:rPr>
                <w:rFonts w:cs="Arial"/>
                <w:sz w:val="20"/>
                <w:szCs w:val="20"/>
                <w:lang w:val="en-GB" w:eastAsia="de-DE"/>
              </w:rPr>
              <w:t>3 (4.5)</w:t>
            </w:r>
            <w:r>
              <w:rPr>
                <w:rFonts w:cs="Arial"/>
                <w:sz w:val="20"/>
                <w:szCs w:val="20"/>
                <w:lang w:val="en-GB" w:eastAsia="de-DE"/>
              </w:rPr>
              <w:br/>
              <w:t>1 (1.5)</w:t>
            </w:r>
          </w:p>
          <w:p w:rsidR="00B951F9" w:rsidRPr="0042304E" w:rsidRDefault="00B951F9" w:rsidP="00011B62">
            <w:pPr>
              <w:pStyle w:val="TextPI"/>
              <w:spacing w:before="0" w:after="0"/>
              <w:jc w:val="center"/>
              <w:rPr>
                <w:rFonts w:cs="Arial"/>
                <w:sz w:val="20"/>
                <w:szCs w:val="20"/>
                <w:lang w:val="en-GB" w:eastAsia="de-DE"/>
              </w:rPr>
            </w:pPr>
            <w:r w:rsidRPr="00011B62">
              <w:rPr>
                <w:rFonts w:cs="Arial"/>
                <w:sz w:val="20"/>
                <w:szCs w:val="20"/>
                <w:lang w:val="en-GB" w:eastAsia="de-DE"/>
              </w:rPr>
              <w:t>1 (1.5)</w:t>
            </w:r>
          </w:p>
        </w:tc>
        <w:tc>
          <w:tcPr>
            <w:tcW w:w="1134" w:type="dxa"/>
          </w:tcPr>
          <w:p w:rsidR="0042304E" w:rsidRDefault="00ED092A" w:rsidP="006A22A3">
            <w:pPr>
              <w:pStyle w:val="TextPI"/>
              <w:spacing w:before="0" w:after="0"/>
              <w:jc w:val="center"/>
              <w:rPr>
                <w:rFonts w:cs="Arial"/>
                <w:sz w:val="20"/>
                <w:szCs w:val="20"/>
                <w:lang w:val="en-GB" w:eastAsia="de-DE"/>
              </w:rPr>
            </w:pPr>
            <w:r>
              <w:rPr>
                <w:rFonts w:cs="Arial"/>
                <w:sz w:val="20"/>
                <w:szCs w:val="20"/>
                <w:lang w:val="en-GB" w:eastAsia="de-DE"/>
              </w:rPr>
              <w:t>1 (1.8)</w:t>
            </w:r>
            <w:r>
              <w:rPr>
                <w:rFonts w:cs="Arial"/>
                <w:sz w:val="20"/>
                <w:szCs w:val="20"/>
                <w:lang w:val="en-GB" w:eastAsia="de-DE"/>
              </w:rPr>
              <w:br/>
              <w:t>2 (3.5)</w:t>
            </w:r>
          </w:p>
          <w:p w:rsidR="00B951F9" w:rsidRPr="0042304E" w:rsidRDefault="00B951F9" w:rsidP="00011B62">
            <w:pPr>
              <w:pStyle w:val="TextPI"/>
              <w:spacing w:before="0" w:after="0"/>
              <w:jc w:val="center"/>
              <w:rPr>
                <w:rFonts w:cs="Arial"/>
                <w:sz w:val="20"/>
                <w:szCs w:val="20"/>
                <w:lang w:val="en-GB" w:eastAsia="de-DE"/>
              </w:rPr>
            </w:pPr>
            <w:r w:rsidRPr="00011B62">
              <w:rPr>
                <w:rFonts w:cs="Arial"/>
                <w:sz w:val="20"/>
                <w:szCs w:val="20"/>
                <w:lang w:val="en-GB" w:eastAsia="de-DE"/>
              </w:rPr>
              <w:t>1 (1.8)</w:t>
            </w:r>
          </w:p>
        </w:tc>
        <w:tc>
          <w:tcPr>
            <w:tcW w:w="1289" w:type="dxa"/>
          </w:tcPr>
          <w:p w:rsidR="0042304E" w:rsidRDefault="00ED092A" w:rsidP="006A22A3">
            <w:pPr>
              <w:pStyle w:val="TextPI"/>
              <w:spacing w:before="0" w:after="0"/>
              <w:jc w:val="center"/>
              <w:rPr>
                <w:rFonts w:cs="Arial"/>
                <w:sz w:val="20"/>
                <w:szCs w:val="20"/>
                <w:lang w:val="en-GB" w:eastAsia="de-DE"/>
              </w:rPr>
            </w:pPr>
            <w:r>
              <w:rPr>
                <w:rFonts w:cs="Arial"/>
                <w:sz w:val="20"/>
                <w:szCs w:val="20"/>
                <w:lang w:val="en-GB" w:eastAsia="de-DE"/>
              </w:rPr>
              <w:t>4 (3.3)</w:t>
            </w:r>
            <w:r>
              <w:rPr>
                <w:rFonts w:cs="Arial"/>
                <w:sz w:val="20"/>
                <w:szCs w:val="20"/>
                <w:lang w:val="en-GB" w:eastAsia="de-DE"/>
              </w:rPr>
              <w:br/>
              <w:t>3 (2.4)</w:t>
            </w:r>
          </w:p>
          <w:p w:rsidR="00B951F9" w:rsidRPr="0042304E" w:rsidRDefault="00B951F9" w:rsidP="00011B62">
            <w:pPr>
              <w:pStyle w:val="TextPI"/>
              <w:spacing w:before="0" w:after="0"/>
              <w:jc w:val="center"/>
              <w:rPr>
                <w:rFonts w:cs="Arial"/>
                <w:sz w:val="20"/>
                <w:szCs w:val="20"/>
                <w:lang w:val="en-GB" w:eastAsia="de-DE"/>
              </w:rPr>
            </w:pPr>
            <w:r w:rsidRPr="00011B62">
              <w:rPr>
                <w:rFonts w:cs="Arial"/>
                <w:sz w:val="20"/>
                <w:szCs w:val="20"/>
                <w:lang w:val="en-GB" w:eastAsia="de-DE"/>
              </w:rPr>
              <w:t>2 (1.6)</w:t>
            </w:r>
          </w:p>
        </w:tc>
      </w:tr>
      <w:tr w:rsidR="0042304E" w:rsidRPr="0042304E" w:rsidTr="00011B62">
        <w:tc>
          <w:tcPr>
            <w:tcW w:w="2552" w:type="dxa"/>
          </w:tcPr>
          <w:p w:rsidR="0042304E"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Vascular disorders</w:t>
            </w:r>
          </w:p>
        </w:tc>
        <w:tc>
          <w:tcPr>
            <w:tcW w:w="2410" w:type="dxa"/>
          </w:tcPr>
          <w:p w:rsidR="00BD211F" w:rsidRPr="0042304E" w:rsidRDefault="0042304E" w:rsidP="006A22A3">
            <w:pPr>
              <w:pStyle w:val="TextPI"/>
              <w:spacing w:before="0" w:after="0"/>
              <w:jc w:val="left"/>
              <w:rPr>
                <w:rFonts w:cs="Arial"/>
                <w:sz w:val="20"/>
                <w:szCs w:val="20"/>
                <w:lang w:val="en-GB" w:eastAsia="de-DE"/>
              </w:rPr>
            </w:pPr>
            <w:r w:rsidRPr="0042304E">
              <w:rPr>
                <w:rFonts w:cs="Arial"/>
                <w:sz w:val="20"/>
                <w:szCs w:val="20"/>
                <w:lang w:val="en-GB" w:eastAsia="de-DE"/>
              </w:rPr>
              <w:t>Hypotension</w:t>
            </w:r>
            <w:r w:rsidRPr="0042304E">
              <w:rPr>
                <w:rFonts w:cs="Arial"/>
                <w:sz w:val="20"/>
                <w:szCs w:val="20"/>
                <w:lang w:val="en-GB" w:eastAsia="de-DE"/>
              </w:rPr>
              <w:br/>
              <w:t>Haematoma</w:t>
            </w:r>
            <w:r w:rsidRPr="0042304E">
              <w:rPr>
                <w:rFonts w:cs="Arial"/>
                <w:sz w:val="20"/>
                <w:szCs w:val="20"/>
                <w:lang w:val="en-GB" w:eastAsia="de-DE"/>
              </w:rPr>
              <w:br/>
              <w:t>Hypertension</w:t>
            </w:r>
            <w:r w:rsidRPr="0042304E">
              <w:rPr>
                <w:rFonts w:cs="Arial"/>
                <w:sz w:val="20"/>
                <w:szCs w:val="20"/>
                <w:lang w:val="en-GB" w:eastAsia="de-DE"/>
              </w:rPr>
              <w:br/>
              <w:t>Deep vein thrombosis</w:t>
            </w:r>
          </w:p>
        </w:tc>
        <w:tc>
          <w:tcPr>
            <w:tcW w:w="1134" w:type="dxa"/>
          </w:tcPr>
          <w:p w:rsidR="00BD211F" w:rsidRPr="0042304E" w:rsidRDefault="00ED092A" w:rsidP="006A22A3">
            <w:pPr>
              <w:pStyle w:val="TextPI"/>
              <w:spacing w:before="0" w:after="0"/>
              <w:jc w:val="center"/>
              <w:rPr>
                <w:rFonts w:cs="Arial"/>
                <w:sz w:val="20"/>
                <w:szCs w:val="20"/>
                <w:lang w:val="en-GB" w:eastAsia="de-DE"/>
              </w:rPr>
            </w:pPr>
            <w:r>
              <w:rPr>
                <w:rFonts w:cs="Arial"/>
                <w:sz w:val="20"/>
                <w:szCs w:val="20"/>
                <w:lang w:val="en-GB" w:eastAsia="de-DE"/>
              </w:rPr>
              <w:t>3 (4.5)</w:t>
            </w:r>
            <w:r>
              <w:rPr>
                <w:rFonts w:cs="Arial"/>
                <w:sz w:val="20"/>
                <w:szCs w:val="20"/>
                <w:lang w:val="en-GB" w:eastAsia="de-DE"/>
              </w:rPr>
              <w:br/>
              <w:t>0 (0.0)</w:t>
            </w:r>
            <w:r>
              <w:rPr>
                <w:rFonts w:cs="Arial"/>
                <w:sz w:val="20"/>
                <w:szCs w:val="20"/>
                <w:lang w:val="en-GB" w:eastAsia="de-DE"/>
              </w:rPr>
              <w:br/>
              <w:t>2 (3.0)</w:t>
            </w:r>
            <w:r>
              <w:rPr>
                <w:rFonts w:cs="Arial"/>
                <w:sz w:val="20"/>
                <w:szCs w:val="20"/>
                <w:lang w:val="en-GB" w:eastAsia="de-DE"/>
              </w:rPr>
              <w:br/>
              <w:t>2 (3.0)</w:t>
            </w:r>
          </w:p>
        </w:tc>
        <w:tc>
          <w:tcPr>
            <w:tcW w:w="1134" w:type="dxa"/>
          </w:tcPr>
          <w:p w:rsidR="00BD211F" w:rsidRPr="0042304E" w:rsidRDefault="00ED092A" w:rsidP="006A22A3">
            <w:pPr>
              <w:pStyle w:val="TextPI"/>
              <w:spacing w:before="0" w:after="0"/>
              <w:jc w:val="center"/>
              <w:rPr>
                <w:rFonts w:cs="Arial"/>
                <w:sz w:val="20"/>
                <w:szCs w:val="20"/>
                <w:lang w:val="en-GB" w:eastAsia="de-DE"/>
              </w:rPr>
            </w:pPr>
            <w:r>
              <w:rPr>
                <w:rFonts w:cs="Arial"/>
                <w:sz w:val="20"/>
                <w:szCs w:val="20"/>
                <w:lang w:val="en-GB" w:eastAsia="de-DE"/>
              </w:rPr>
              <w:t>1 (1.8)</w:t>
            </w:r>
            <w:r>
              <w:rPr>
                <w:rFonts w:cs="Arial"/>
                <w:sz w:val="20"/>
                <w:szCs w:val="20"/>
                <w:lang w:val="en-GB" w:eastAsia="de-DE"/>
              </w:rPr>
              <w:br/>
              <w:t>2 (3.5)</w:t>
            </w:r>
            <w:r>
              <w:rPr>
                <w:rFonts w:cs="Arial"/>
                <w:sz w:val="20"/>
                <w:szCs w:val="20"/>
                <w:lang w:val="en-GB" w:eastAsia="de-DE"/>
              </w:rPr>
              <w:br/>
              <w:t>2 (3.5)</w:t>
            </w:r>
            <w:r>
              <w:rPr>
                <w:rFonts w:cs="Arial"/>
                <w:sz w:val="20"/>
                <w:szCs w:val="20"/>
                <w:lang w:val="en-GB" w:eastAsia="de-DE"/>
              </w:rPr>
              <w:br/>
              <w:t>1 (1.8)</w:t>
            </w:r>
          </w:p>
        </w:tc>
        <w:tc>
          <w:tcPr>
            <w:tcW w:w="1289" w:type="dxa"/>
          </w:tcPr>
          <w:p w:rsidR="00BD211F" w:rsidRPr="0042304E" w:rsidRDefault="00ED092A" w:rsidP="006A22A3">
            <w:pPr>
              <w:pStyle w:val="TextPI"/>
              <w:spacing w:before="0" w:after="0"/>
              <w:jc w:val="center"/>
              <w:rPr>
                <w:rFonts w:cs="Arial"/>
                <w:sz w:val="20"/>
                <w:szCs w:val="20"/>
                <w:lang w:val="en-GB" w:eastAsia="de-DE"/>
              </w:rPr>
            </w:pPr>
            <w:r>
              <w:rPr>
                <w:rFonts w:cs="Arial"/>
                <w:sz w:val="20"/>
                <w:szCs w:val="20"/>
                <w:lang w:val="en-GB" w:eastAsia="de-DE"/>
              </w:rPr>
              <w:t>4 (3.3)</w:t>
            </w:r>
            <w:r>
              <w:rPr>
                <w:rFonts w:cs="Arial"/>
                <w:sz w:val="20"/>
                <w:szCs w:val="20"/>
                <w:lang w:val="en-GB" w:eastAsia="de-DE"/>
              </w:rPr>
              <w:br/>
              <w:t>2 (1.6)</w:t>
            </w:r>
            <w:r>
              <w:rPr>
                <w:rFonts w:cs="Arial"/>
                <w:sz w:val="20"/>
                <w:szCs w:val="20"/>
                <w:lang w:val="en-GB" w:eastAsia="de-DE"/>
              </w:rPr>
              <w:br/>
              <w:t>4 (3.3)</w:t>
            </w:r>
            <w:r>
              <w:rPr>
                <w:rFonts w:cs="Arial"/>
                <w:sz w:val="20"/>
                <w:szCs w:val="20"/>
                <w:lang w:val="en-GB" w:eastAsia="de-DE"/>
              </w:rPr>
              <w:br/>
              <w:t>3 (2.4)</w:t>
            </w:r>
          </w:p>
        </w:tc>
      </w:tr>
      <w:tr w:rsidR="0042304E" w:rsidRPr="0042304E" w:rsidTr="00011B62">
        <w:tc>
          <w:tcPr>
            <w:tcW w:w="2552" w:type="dxa"/>
          </w:tcPr>
          <w:p w:rsidR="0042304E"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Respiratory, thoracic and mediastinal disorders</w:t>
            </w:r>
          </w:p>
        </w:tc>
        <w:tc>
          <w:tcPr>
            <w:tcW w:w="2410" w:type="dxa"/>
          </w:tcPr>
          <w:p w:rsidR="0042304E" w:rsidRDefault="0042304E" w:rsidP="006A22A3">
            <w:pPr>
              <w:pStyle w:val="TextPI"/>
              <w:spacing w:before="0" w:after="0"/>
              <w:jc w:val="left"/>
              <w:rPr>
                <w:rFonts w:cs="Arial"/>
                <w:sz w:val="20"/>
                <w:szCs w:val="20"/>
                <w:lang w:val="en-GB" w:eastAsia="de-DE"/>
              </w:rPr>
            </w:pPr>
            <w:r w:rsidRPr="0042304E">
              <w:rPr>
                <w:rFonts w:cs="Arial"/>
                <w:sz w:val="20"/>
                <w:szCs w:val="20"/>
                <w:lang w:val="en-GB" w:eastAsia="de-DE"/>
              </w:rPr>
              <w:t>Pneumonia aspiration</w:t>
            </w:r>
            <w:r w:rsidRPr="0042304E">
              <w:rPr>
                <w:rFonts w:cs="Arial"/>
                <w:sz w:val="20"/>
                <w:szCs w:val="20"/>
                <w:lang w:val="en-GB" w:eastAsia="de-DE"/>
              </w:rPr>
              <w:br/>
              <w:t>Hyperventilation</w:t>
            </w:r>
            <w:r w:rsidRPr="0042304E">
              <w:rPr>
                <w:rFonts w:cs="Arial"/>
                <w:sz w:val="20"/>
                <w:szCs w:val="20"/>
                <w:lang w:val="en-GB" w:eastAsia="de-DE"/>
              </w:rPr>
              <w:br/>
              <w:t>Dyspnoea</w:t>
            </w:r>
            <w:r w:rsidRPr="0042304E">
              <w:rPr>
                <w:rFonts w:cs="Arial"/>
                <w:sz w:val="20"/>
                <w:szCs w:val="20"/>
                <w:lang w:val="en-GB" w:eastAsia="de-DE"/>
              </w:rPr>
              <w:br/>
              <w:t>Pulmonary embolism</w:t>
            </w:r>
            <w:r w:rsidRPr="0042304E">
              <w:rPr>
                <w:rFonts w:cs="Arial"/>
                <w:sz w:val="20"/>
                <w:szCs w:val="20"/>
                <w:lang w:val="en-GB" w:eastAsia="de-DE"/>
              </w:rPr>
              <w:br/>
              <w:t>Pulmonary oedema</w:t>
            </w:r>
          </w:p>
          <w:p w:rsidR="00EA57D1" w:rsidRPr="00011B62" w:rsidRDefault="00EA57D1" w:rsidP="006A22A3">
            <w:pPr>
              <w:pStyle w:val="TextPI"/>
              <w:spacing w:before="0" w:after="0"/>
              <w:jc w:val="left"/>
              <w:rPr>
                <w:rFonts w:cs="Arial"/>
                <w:sz w:val="20"/>
                <w:szCs w:val="20"/>
                <w:lang w:val="en-GB" w:eastAsia="de-DE"/>
              </w:rPr>
            </w:pPr>
            <w:r w:rsidRPr="00011B62">
              <w:rPr>
                <w:rFonts w:cs="Arial"/>
                <w:sz w:val="20"/>
                <w:szCs w:val="20"/>
                <w:lang w:val="en-GB" w:eastAsia="de-DE"/>
              </w:rPr>
              <w:t>Pleural effusion</w:t>
            </w:r>
          </w:p>
          <w:p w:rsidR="00EA57D1" w:rsidRPr="0042304E" w:rsidRDefault="00EA57D1" w:rsidP="006A22A3">
            <w:pPr>
              <w:pStyle w:val="TextPI"/>
              <w:spacing w:before="0" w:after="0"/>
              <w:jc w:val="left"/>
              <w:rPr>
                <w:rFonts w:cs="Arial"/>
                <w:sz w:val="20"/>
                <w:szCs w:val="20"/>
                <w:lang w:val="en-GB" w:eastAsia="de-DE"/>
              </w:rPr>
            </w:pPr>
            <w:r w:rsidRPr="00011B62">
              <w:rPr>
                <w:rFonts w:cs="Arial"/>
                <w:sz w:val="20"/>
                <w:szCs w:val="20"/>
                <w:lang w:val="en-GB" w:eastAsia="de-DE"/>
              </w:rPr>
              <w:t>Respiratory distress</w:t>
            </w:r>
          </w:p>
        </w:tc>
        <w:tc>
          <w:tcPr>
            <w:tcW w:w="1134" w:type="dxa"/>
          </w:tcPr>
          <w:p w:rsidR="0042304E" w:rsidRDefault="00ED092A" w:rsidP="006A22A3">
            <w:pPr>
              <w:pStyle w:val="TextPI"/>
              <w:spacing w:before="0" w:after="0"/>
              <w:jc w:val="center"/>
              <w:rPr>
                <w:rFonts w:cs="Arial"/>
                <w:sz w:val="20"/>
                <w:szCs w:val="20"/>
                <w:lang w:val="en-GB" w:eastAsia="de-DE"/>
              </w:rPr>
            </w:pPr>
            <w:r>
              <w:rPr>
                <w:rFonts w:cs="Arial"/>
                <w:sz w:val="20"/>
                <w:szCs w:val="20"/>
                <w:lang w:val="en-GB" w:eastAsia="de-DE"/>
              </w:rPr>
              <w:t>3 (4.5)</w:t>
            </w:r>
            <w:r>
              <w:rPr>
                <w:rFonts w:cs="Arial"/>
                <w:sz w:val="20"/>
                <w:szCs w:val="20"/>
                <w:lang w:val="en-GB" w:eastAsia="de-DE"/>
              </w:rPr>
              <w:br/>
              <w:t>1 (1.5)</w:t>
            </w:r>
            <w:r>
              <w:rPr>
                <w:rFonts w:cs="Arial"/>
                <w:sz w:val="20"/>
                <w:szCs w:val="20"/>
                <w:lang w:val="en-GB" w:eastAsia="de-DE"/>
              </w:rPr>
              <w:br/>
              <w:t>2 (3.0)</w:t>
            </w:r>
            <w:r>
              <w:rPr>
                <w:rFonts w:cs="Arial"/>
                <w:sz w:val="20"/>
                <w:szCs w:val="20"/>
                <w:lang w:val="en-GB" w:eastAsia="de-DE"/>
              </w:rPr>
              <w:br/>
              <w:t>2 (3.0)</w:t>
            </w:r>
            <w:r>
              <w:rPr>
                <w:rFonts w:cs="Arial"/>
                <w:sz w:val="20"/>
                <w:szCs w:val="20"/>
                <w:lang w:val="en-GB" w:eastAsia="de-DE"/>
              </w:rPr>
              <w:br/>
              <w:t>2 (3.0)</w:t>
            </w:r>
          </w:p>
          <w:p w:rsidR="00EA57D1" w:rsidRPr="00011B62" w:rsidRDefault="00EA57D1" w:rsidP="00DB4E42">
            <w:pPr>
              <w:pStyle w:val="TextPI"/>
              <w:spacing w:before="0" w:after="0"/>
              <w:jc w:val="center"/>
              <w:rPr>
                <w:rFonts w:cs="Arial"/>
                <w:sz w:val="20"/>
                <w:szCs w:val="20"/>
                <w:lang w:val="en-GB" w:eastAsia="de-DE"/>
              </w:rPr>
            </w:pPr>
            <w:r w:rsidRPr="00011B62">
              <w:rPr>
                <w:rFonts w:cs="Arial"/>
                <w:sz w:val="20"/>
                <w:szCs w:val="20"/>
                <w:lang w:val="en-GB" w:eastAsia="de-DE"/>
              </w:rPr>
              <w:t>1 (1.5)</w:t>
            </w:r>
          </w:p>
          <w:p w:rsidR="00EA57D1" w:rsidRPr="0042304E" w:rsidRDefault="00EA57D1" w:rsidP="00011B62">
            <w:pPr>
              <w:pStyle w:val="TextPI"/>
              <w:spacing w:before="0" w:after="0"/>
              <w:jc w:val="center"/>
              <w:rPr>
                <w:rFonts w:cs="Arial"/>
                <w:sz w:val="20"/>
                <w:szCs w:val="20"/>
                <w:lang w:val="en-GB" w:eastAsia="de-DE"/>
              </w:rPr>
            </w:pPr>
            <w:r w:rsidRPr="00011B62">
              <w:rPr>
                <w:rFonts w:cs="Arial"/>
                <w:sz w:val="20"/>
                <w:szCs w:val="20"/>
                <w:lang w:val="en-GB" w:eastAsia="de-DE"/>
              </w:rPr>
              <w:t>1 (1.5)</w:t>
            </w:r>
          </w:p>
        </w:tc>
        <w:tc>
          <w:tcPr>
            <w:tcW w:w="1134" w:type="dxa"/>
          </w:tcPr>
          <w:p w:rsidR="0042304E" w:rsidRDefault="00ED092A" w:rsidP="006A22A3">
            <w:pPr>
              <w:pStyle w:val="TextPI"/>
              <w:spacing w:before="0" w:after="0"/>
              <w:jc w:val="center"/>
              <w:rPr>
                <w:rFonts w:cs="Arial"/>
                <w:sz w:val="20"/>
                <w:szCs w:val="20"/>
                <w:lang w:val="en-GB" w:eastAsia="de-DE"/>
              </w:rPr>
            </w:pPr>
            <w:r>
              <w:rPr>
                <w:rFonts w:cs="Arial"/>
                <w:sz w:val="20"/>
                <w:szCs w:val="20"/>
                <w:lang w:val="en-GB" w:eastAsia="de-DE"/>
              </w:rPr>
              <w:t>0 (0.0)</w:t>
            </w:r>
            <w:r>
              <w:rPr>
                <w:rFonts w:cs="Arial"/>
                <w:sz w:val="20"/>
                <w:szCs w:val="20"/>
                <w:lang w:val="en-GB" w:eastAsia="de-DE"/>
              </w:rPr>
              <w:br/>
              <w:t>2 (3.5)</w:t>
            </w:r>
            <w:r>
              <w:rPr>
                <w:rFonts w:cs="Arial"/>
                <w:sz w:val="20"/>
                <w:szCs w:val="20"/>
                <w:lang w:val="en-GB" w:eastAsia="de-DE"/>
              </w:rPr>
              <w:br/>
              <w:t>1 (1.8)</w:t>
            </w:r>
            <w:r>
              <w:rPr>
                <w:rFonts w:cs="Arial"/>
                <w:sz w:val="20"/>
                <w:szCs w:val="20"/>
                <w:lang w:val="en-GB" w:eastAsia="de-DE"/>
              </w:rPr>
              <w:br/>
              <w:t>0 (0.0)</w:t>
            </w:r>
            <w:r>
              <w:rPr>
                <w:rFonts w:cs="Arial"/>
                <w:sz w:val="20"/>
                <w:szCs w:val="20"/>
                <w:lang w:val="en-GB" w:eastAsia="de-DE"/>
              </w:rPr>
              <w:br/>
              <w:t>0 (0.0)</w:t>
            </w:r>
          </w:p>
          <w:p w:rsidR="00EA57D1" w:rsidRPr="00011B62" w:rsidRDefault="00EA57D1" w:rsidP="00DB4E42">
            <w:pPr>
              <w:pStyle w:val="TextPI"/>
              <w:spacing w:before="0" w:after="0"/>
              <w:jc w:val="center"/>
              <w:rPr>
                <w:rFonts w:cs="Arial"/>
                <w:sz w:val="20"/>
                <w:szCs w:val="20"/>
                <w:lang w:val="en-GB" w:eastAsia="de-DE"/>
              </w:rPr>
            </w:pPr>
            <w:r w:rsidRPr="00011B62">
              <w:rPr>
                <w:rFonts w:cs="Arial"/>
                <w:sz w:val="20"/>
                <w:szCs w:val="20"/>
                <w:lang w:val="en-GB" w:eastAsia="de-DE"/>
              </w:rPr>
              <w:t>1 (1.8)</w:t>
            </w:r>
          </w:p>
          <w:p w:rsidR="00EA57D1" w:rsidRPr="0042304E" w:rsidRDefault="00EA57D1" w:rsidP="00011B62">
            <w:pPr>
              <w:pStyle w:val="TextPI"/>
              <w:spacing w:before="0" w:after="0"/>
              <w:jc w:val="center"/>
              <w:rPr>
                <w:rFonts w:cs="Arial"/>
                <w:sz w:val="20"/>
                <w:szCs w:val="20"/>
                <w:lang w:val="en-GB" w:eastAsia="de-DE"/>
              </w:rPr>
            </w:pPr>
            <w:r w:rsidRPr="00011B62">
              <w:rPr>
                <w:rFonts w:cs="Arial"/>
                <w:sz w:val="20"/>
                <w:szCs w:val="20"/>
                <w:lang w:val="en-GB" w:eastAsia="de-DE"/>
              </w:rPr>
              <w:t>1 (1.8)</w:t>
            </w:r>
          </w:p>
        </w:tc>
        <w:tc>
          <w:tcPr>
            <w:tcW w:w="1289" w:type="dxa"/>
          </w:tcPr>
          <w:p w:rsidR="0042304E" w:rsidRDefault="00ED092A" w:rsidP="006A22A3">
            <w:pPr>
              <w:pStyle w:val="TextPI"/>
              <w:spacing w:before="0" w:after="0"/>
              <w:jc w:val="center"/>
              <w:rPr>
                <w:rFonts w:cs="Arial"/>
                <w:sz w:val="20"/>
                <w:szCs w:val="20"/>
                <w:lang w:val="en-GB" w:eastAsia="de-DE"/>
              </w:rPr>
            </w:pPr>
            <w:r>
              <w:rPr>
                <w:rFonts w:cs="Arial"/>
                <w:sz w:val="20"/>
                <w:szCs w:val="20"/>
                <w:lang w:val="en-GB" w:eastAsia="de-DE"/>
              </w:rPr>
              <w:t>3 (2.4)</w:t>
            </w:r>
            <w:r>
              <w:rPr>
                <w:rFonts w:cs="Arial"/>
                <w:sz w:val="20"/>
                <w:szCs w:val="20"/>
                <w:lang w:val="en-GB" w:eastAsia="de-DE"/>
              </w:rPr>
              <w:br/>
              <w:t>3 (2.4)</w:t>
            </w:r>
            <w:r>
              <w:rPr>
                <w:rFonts w:cs="Arial"/>
                <w:sz w:val="20"/>
                <w:szCs w:val="20"/>
                <w:lang w:val="en-GB" w:eastAsia="de-DE"/>
              </w:rPr>
              <w:br/>
              <w:t>3 (2.4)</w:t>
            </w:r>
            <w:r>
              <w:rPr>
                <w:rFonts w:cs="Arial"/>
                <w:sz w:val="20"/>
                <w:szCs w:val="20"/>
                <w:lang w:val="en-GB" w:eastAsia="de-DE"/>
              </w:rPr>
              <w:br/>
              <w:t>2 (1.6)</w:t>
            </w:r>
            <w:r>
              <w:rPr>
                <w:rFonts w:cs="Arial"/>
                <w:sz w:val="20"/>
                <w:szCs w:val="20"/>
                <w:lang w:val="en-GB" w:eastAsia="de-DE"/>
              </w:rPr>
              <w:br/>
              <w:t>2 (1.6)</w:t>
            </w:r>
          </w:p>
          <w:p w:rsidR="00EA57D1" w:rsidRPr="00011B62" w:rsidRDefault="00EA57D1" w:rsidP="00DB4E42">
            <w:pPr>
              <w:pStyle w:val="TextPI"/>
              <w:spacing w:before="0" w:after="0"/>
              <w:jc w:val="center"/>
              <w:rPr>
                <w:rFonts w:cs="Arial"/>
                <w:sz w:val="20"/>
                <w:szCs w:val="20"/>
                <w:lang w:val="en-GB" w:eastAsia="de-DE"/>
              </w:rPr>
            </w:pPr>
            <w:r w:rsidRPr="00011B62">
              <w:rPr>
                <w:rFonts w:cs="Arial"/>
                <w:sz w:val="20"/>
                <w:szCs w:val="20"/>
                <w:lang w:val="en-GB" w:eastAsia="de-DE"/>
              </w:rPr>
              <w:t>2 (1.6)</w:t>
            </w:r>
          </w:p>
          <w:p w:rsidR="00EA57D1" w:rsidRPr="0042304E" w:rsidRDefault="00EA57D1" w:rsidP="00011B62">
            <w:pPr>
              <w:pStyle w:val="TextPI"/>
              <w:spacing w:before="0" w:after="0"/>
              <w:jc w:val="center"/>
              <w:rPr>
                <w:rFonts w:cs="Arial"/>
                <w:sz w:val="20"/>
                <w:szCs w:val="20"/>
                <w:lang w:val="en-GB" w:eastAsia="de-DE"/>
              </w:rPr>
            </w:pPr>
            <w:r w:rsidRPr="00011B62">
              <w:rPr>
                <w:rFonts w:cs="Arial"/>
                <w:sz w:val="20"/>
                <w:szCs w:val="20"/>
                <w:lang w:val="en-GB" w:eastAsia="de-DE"/>
              </w:rPr>
              <w:t>2 (1.6)</w:t>
            </w:r>
          </w:p>
        </w:tc>
      </w:tr>
      <w:tr w:rsidR="0042304E" w:rsidRPr="0042304E" w:rsidTr="00011B62">
        <w:trPr>
          <w:cantSplit/>
        </w:trPr>
        <w:tc>
          <w:tcPr>
            <w:tcW w:w="2552" w:type="dxa"/>
          </w:tcPr>
          <w:p w:rsidR="0042304E"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Gastrointestinal disorders</w:t>
            </w:r>
          </w:p>
        </w:tc>
        <w:tc>
          <w:tcPr>
            <w:tcW w:w="2410" w:type="dxa"/>
          </w:tcPr>
          <w:p w:rsidR="000061AE" w:rsidRPr="0042304E" w:rsidRDefault="0042304E" w:rsidP="006A22A3">
            <w:pPr>
              <w:pStyle w:val="TextPI"/>
              <w:spacing w:before="0" w:after="0"/>
              <w:jc w:val="left"/>
              <w:rPr>
                <w:rFonts w:cs="Arial"/>
                <w:sz w:val="20"/>
                <w:szCs w:val="20"/>
                <w:lang w:val="en-GB" w:eastAsia="de-DE"/>
              </w:rPr>
            </w:pPr>
            <w:r w:rsidRPr="0042304E">
              <w:rPr>
                <w:rFonts w:cs="Arial"/>
                <w:sz w:val="20"/>
                <w:szCs w:val="20"/>
                <w:lang w:val="en-GB" w:eastAsia="de-DE"/>
              </w:rPr>
              <w:t>Constipation</w:t>
            </w:r>
            <w:r w:rsidRPr="0042304E">
              <w:rPr>
                <w:rFonts w:cs="Arial"/>
                <w:sz w:val="20"/>
                <w:szCs w:val="20"/>
                <w:lang w:val="en-GB" w:eastAsia="de-DE"/>
              </w:rPr>
              <w:br/>
              <w:t>Diarrhoea</w:t>
            </w:r>
            <w:r w:rsidRPr="0042304E">
              <w:rPr>
                <w:rFonts w:cs="Arial"/>
                <w:sz w:val="20"/>
                <w:szCs w:val="20"/>
                <w:lang w:val="en-GB" w:eastAsia="de-DE"/>
              </w:rPr>
              <w:br/>
              <w:t>Dysphagia</w:t>
            </w:r>
            <w:r w:rsidRPr="0042304E">
              <w:rPr>
                <w:rFonts w:cs="Arial"/>
                <w:sz w:val="20"/>
                <w:szCs w:val="20"/>
                <w:lang w:val="en-GB" w:eastAsia="de-DE"/>
              </w:rPr>
              <w:br/>
              <w:t>Nausea</w:t>
            </w:r>
          </w:p>
        </w:tc>
        <w:tc>
          <w:tcPr>
            <w:tcW w:w="1134" w:type="dxa"/>
          </w:tcPr>
          <w:p w:rsidR="00943F45" w:rsidRPr="0042304E" w:rsidRDefault="003C5734" w:rsidP="006A22A3">
            <w:pPr>
              <w:pStyle w:val="TextPI"/>
              <w:spacing w:before="0" w:after="0"/>
              <w:jc w:val="center"/>
              <w:rPr>
                <w:rFonts w:cs="Arial"/>
                <w:sz w:val="20"/>
                <w:szCs w:val="20"/>
                <w:lang w:val="en-GB" w:eastAsia="de-DE"/>
              </w:rPr>
            </w:pPr>
            <w:r>
              <w:rPr>
                <w:rFonts w:cs="Arial"/>
                <w:sz w:val="20"/>
                <w:szCs w:val="20"/>
                <w:lang w:val="en-GB" w:eastAsia="de-DE"/>
              </w:rPr>
              <w:t>6 (9.1)</w:t>
            </w:r>
            <w:r>
              <w:rPr>
                <w:rFonts w:cs="Arial"/>
                <w:sz w:val="20"/>
                <w:szCs w:val="20"/>
                <w:lang w:val="en-GB" w:eastAsia="de-DE"/>
              </w:rPr>
              <w:br/>
              <w:t>2 (3.0)</w:t>
            </w:r>
            <w:r>
              <w:rPr>
                <w:rFonts w:cs="Arial"/>
                <w:sz w:val="20"/>
                <w:szCs w:val="20"/>
                <w:lang w:val="en-GB" w:eastAsia="de-DE"/>
              </w:rPr>
              <w:br/>
              <w:t>3 (4.5)</w:t>
            </w:r>
            <w:r>
              <w:rPr>
                <w:rFonts w:cs="Arial"/>
                <w:sz w:val="20"/>
                <w:szCs w:val="20"/>
                <w:lang w:val="en-GB" w:eastAsia="de-DE"/>
              </w:rPr>
              <w:br/>
              <w:t>3 (4.5)</w:t>
            </w:r>
          </w:p>
        </w:tc>
        <w:tc>
          <w:tcPr>
            <w:tcW w:w="1134" w:type="dxa"/>
          </w:tcPr>
          <w:p w:rsidR="00943F45" w:rsidRPr="0042304E" w:rsidRDefault="003C5734" w:rsidP="006A22A3">
            <w:pPr>
              <w:pStyle w:val="TextPI"/>
              <w:spacing w:before="0" w:after="0"/>
              <w:jc w:val="center"/>
              <w:rPr>
                <w:rFonts w:cs="Arial"/>
                <w:sz w:val="20"/>
                <w:szCs w:val="20"/>
                <w:lang w:val="en-GB" w:eastAsia="de-DE"/>
              </w:rPr>
            </w:pPr>
            <w:r>
              <w:rPr>
                <w:rFonts w:cs="Arial"/>
                <w:sz w:val="20"/>
                <w:szCs w:val="20"/>
                <w:lang w:val="en-GB" w:eastAsia="de-DE"/>
              </w:rPr>
              <w:t>2 (3.5)</w:t>
            </w:r>
            <w:r>
              <w:rPr>
                <w:rFonts w:cs="Arial"/>
                <w:sz w:val="20"/>
                <w:szCs w:val="20"/>
                <w:lang w:val="en-GB" w:eastAsia="de-DE"/>
              </w:rPr>
              <w:br/>
              <w:t>4 (7.0)</w:t>
            </w:r>
            <w:r>
              <w:rPr>
                <w:rFonts w:cs="Arial"/>
                <w:sz w:val="20"/>
                <w:szCs w:val="20"/>
                <w:lang w:val="en-GB" w:eastAsia="de-DE"/>
              </w:rPr>
              <w:br/>
              <w:t>0 (0.0)</w:t>
            </w:r>
            <w:r>
              <w:rPr>
                <w:rFonts w:cs="Arial"/>
                <w:sz w:val="20"/>
                <w:szCs w:val="20"/>
                <w:lang w:val="en-GB" w:eastAsia="de-DE"/>
              </w:rPr>
              <w:br/>
              <w:t>1 (1.8)</w:t>
            </w:r>
          </w:p>
        </w:tc>
        <w:tc>
          <w:tcPr>
            <w:tcW w:w="1289" w:type="dxa"/>
          </w:tcPr>
          <w:p w:rsidR="00943F45" w:rsidRPr="0042304E" w:rsidRDefault="003C5734" w:rsidP="006A22A3">
            <w:pPr>
              <w:pStyle w:val="TextPI"/>
              <w:spacing w:before="0" w:after="0"/>
              <w:jc w:val="center"/>
              <w:rPr>
                <w:rFonts w:cs="Arial"/>
                <w:sz w:val="20"/>
                <w:szCs w:val="20"/>
                <w:lang w:val="en-GB" w:eastAsia="de-DE"/>
              </w:rPr>
            </w:pPr>
            <w:r>
              <w:rPr>
                <w:rFonts w:cs="Arial"/>
                <w:sz w:val="20"/>
                <w:szCs w:val="20"/>
                <w:lang w:val="en-GB" w:eastAsia="de-DE"/>
              </w:rPr>
              <w:t>8 (6.5)</w:t>
            </w:r>
            <w:r>
              <w:rPr>
                <w:rFonts w:cs="Arial"/>
                <w:sz w:val="20"/>
                <w:szCs w:val="20"/>
                <w:lang w:val="en-GB" w:eastAsia="de-DE"/>
              </w:rPr>
              <w:br/>
              <w:t>6 (4.9)</w:t>
            </w:r>
            <w:r>
              <w:rPr>
                <w:rFonts w:cs="Arial"/>
                <w:sz w:val="20"/>
                <w:szCs w:val="20"/>
                <w:lang w:val="en-GB" w:eastAsia="de-DE"/>
              </w:rPr>
              <w:br/>
              <w:t>3 (2.4)</w:t>
            </w:r>
            <w:r>
              <w:rPr>
                <w:rFonts w:cs="Arial"/>
                <w:sz w:val="20"/>
                <w:szCs w:val="20"/>
                <w:lang w:val="en-GB" w:eastAsia="de-DE"/>
              </w:rPr>
              <w:br/>
              <w:t>4 (3.3)</w:t>
            </w:r>
          </w:p>
        </w:tc>
      </w:tr>
      <w:tr w:rsidR="0042304E" w:rsidRPr="0042304E" w:rsidTr="00011B62">
        <w:tc>
          <w:tcPr>
            <w:tcW w:w="2552" w:type="dxa"/>
          </w:tcPr>
          <w:p w:rsidR="0042304E"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Skin and subcutaneous tissue disorders</w:t>
            </w:r>
          </w:p>
        </w:tc>
        <w:tc>
          <w:tcPr>
            <w:tcW w:w="2410" w:type="dxa"/>
          </w:tcPr>
          <w:p w:rsidR="00D8307F" w:rsidRPr="0042304E" w:rsidRDefault="0042304E" w:rsidP="006A22A3">
            <w:pPr>
              <w:pStyle w:val="TextPI"/>
              <w:spacing w:before="0" w:after="0"/>
              <w:jc w:val="left"/>
              <w:rPr>
                <w:rFonts w:cs="Arial"/>
                <w:sz w:val="20"/>
                <w:szCs w:val="20"/>
                <w:lang w:val="en-GB" w:eastAsia="de-DE"/>
              </w:rPr>
            </w:pPr>
            <w:r w:rsidRPr="0042304E">
              <w:rPr>
                <w:rFonts w:cs="Arial"/>
                <w:sz w:val="20"/>
                <w:szCs w:val="20"/>
                <w:lang w:val="en-GB" w:eastAsia="de-DE"/>
              </w:rPr>
              <w:t>Hyperhidrosis</w:t>
            </w:r>
          </w:p>
        </w:tc>
        <w:tc>
          <w:tcPr>
            <w:tcW w:w="1134" w:type="dxa"/>
          </w:tcPr>
          <w:p w:rsidR="00D8307F" w:rsidRPr="0042304E" w:rsidRDefault="00142BD7" w:rsidP="006A22A3">
            <w:pPr>
              <w:pStyle w:val="TextPI"/>
              <w:spacing w:before="0" w:after="0"/>
              <w:jc w:val="center"/>
              <w:rPr>
                <w:rFonts w:cs="Arial"/>
                <w:sz w:val="20"/>
                <w:szCs w:val="20"/>
                <w:lang w:val="en-GB" w:eastAsia="de-DE"/>
              </w:rPr>
            </w:pPr>
            <w:r>
              <w:rPr>
                <w:rFonts w:cs="Arial"/>
                <w:sz w:val="20"/>
                <w:szCs w:val="20"/>
                <w:lang w:val="en-GB" w:eastAsia="de-DE"/>
              </w:rPr>
              <w:t>0 (0.0)</w:t>
            </w:r>
          </w:p>
        </w:tc>
        <w:tc>
          <w:tcPr>
            <w:tcW w:w="1134" w:type="dxa"/>
          </w:tcPr>
          <w:p w:rsidR="00D8307F" w:rsidRPr="0042304E" w:rsidRDefault="00142BD7" w:rsidP="006A22A3">
            <w:pPr>
              <w:pStyle w:val="TextPI"/>
              <w:spacing w:before="0" w:after="0"/>
              <w:jc w:val="center"/>
              <w:rPr>
                <w:rFonts w:cs="Arial"/>
                <w:sz w:val="20"/>
                <w:szCs w:val="20"/>
                <w:lang w:val="en-GB" w:eastAsia="de-DE"/>
              </w:rPr>
            </w:pPr>
            <w:r>
              <w:rPr>
                <w:rFonts w:cs="Arial"/>
                <w:sz w:val="20"/>
                <w:szCs w:val="20"/>
                <w:lang w:val="en-GB" w:eastAsia="de-DE"/>
              </w:rPr>
              <w:t>2 (3.5)</w:t>
            </w:r>
          </w:p>
        </w:tc>
        <w:tc>
          <w:tcPr>
            <w:tcW w:w="1289" w:type="dxa"/>
          </w:tcPr>
          <w:p w:rsidR="00D8307F" w:rsidRPr="0042304E" w:rsidRDefault="00142BD7" w:rsidP="006A22A3">
            <w:pPr>
              <w:pStyle w:val="TextPI"/>
              <w:spacing w:before="0" w:after="0"/>
              <w:jc w:val="center"/>
              <w:rPr>
                <w:rFonts w:cs="Arial"/>
                <w:sz w:val="20"/>
                <w:szCs w:val="20"/>
                <w:lang w:val="en-GB" w:eastAsia="de-DE"/>
              </w:rPr>
            </w:pPr>
            <w:r>
              <w:rPr>
                <w:rFonts w:cs="Arial"/>
                <w:sz w:val="20"/>
                <w:szCs w:val="20"/>
                <w:lang w:val="en-GB" w:eastAsia="de-DE"/>
              </w:rPr>
              <w:t>2 (1.6)</w:t>
            </w:r>
          </w:p>
        </w:tc>
      </w:tr>
      <w:tr w:rsidR="0042304E" w:rsidRPr="0042304E" w:rsidTr="00011B62">
        <w:tc>
          <w:tcPr>
            <w:tcW w:w="2552" w:type="dxa"/>
          </w:tcPr>
          <w:p w:rsidR="0042304E"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Musculoskeletal and connective tissue disorders</w:t>
            </w:r>
          </w:p>
        </w:tc>
        <w:tc>
          <w:tcPr>
            <w:tcW w:w="2410" w:type="dxa"/>
          </w:tcPr>
          <w:p w:rsidR="00B9083E" w:rsidRPr="0042304E" w:rsidRDefault="0042304E" w:rsidP="006A22A3">
            <w:pPr>
              <w:pStyle w:val="TextPI"/>
              <w:spacing w:before="0" w:after="0"/>
              <w:jc w:val="left"/>
              <w:rPr>
                <w:rFonts w:cs="Arial"/>
                <w:sz w:val="20"/>
                <w:szCs w:val="20"/>
                <w:lang w:val="en-GB" w:eastAsia="de-DE"/>
              </w:rPr>
            </w:pPr>
            <w:r w:rsidRPr="0042304E">
              <w:rPr>
                <w:rFonts w:cs="Arial"/>
                <w:sz w:val="20"/>
                <w:szCs w:val="20"/>
                <w:lang w:val="en-GB" w:eastAsia="de-DE"/>
              </w:rPr>
              <w:t>Arthralgia</w:t>
            </w:r>
            <w:r w:rsidRPr="0042304E">
              <w:rPr>
                <w:rFonts w:cs="Arial"/>
                <w:sz w:val="20"/>
                <w:szCs w:val="20"/>
                <w:lang w:val="en-GB" w:eastAsia="de-DE"/>
              </w:rPr>
              <w:br/>
              <w:t>Neck pain</w:t>
            </w:r>
            <w:r w:rsidRPr="0042304E">
              <w:rPr>
                <w:rFonts w:cs="Arial"/>
                <w:sz w:val="20"/>
                <w:szCs w:val="20"/>
                <w:lang w:val="en-GB" w:eastAsia="de-DE"/>
              </w:rPr>
              <w:br/>
              <w:t>Pain in extremity</w:t>
            </w:r>
          </w:p>
        </w:tc>
        <w:tc>
          <w:tcPr>
            <w:tcW w:w="1134" w:type="dxa"/>
          </w:tcPr>
          <w:p w:rsidR="00B9083E" w:rsidRPr="0042304E" w:rsidRDefault="006074FE" w:rsidP="006A22A3">
            <w:pPr>
              <w:pStyle w:val="TextPI"/>
              <w:spacing w:before="0" w:after="0"/>
              <w:jc w:val="center"/>
              <w:rPr>
                <w:rFonts w:cs="Arial"/>
                <w:sz w:val="20"/>
                <w:szCs w:val="20"/>
                <w:lang w:val="en-GB" w:eastAsia="de-DE"/>
              </w:rPr>
            </w:pPr>
            <w:r>
              <w:rPr>
                <w:rFonts w:cs="Arial"/>
                <w:sz w:val="20"/>
                <w:szCs w:val="20"/>
                <w:lang w:val="en-GB" w:eastAsia="de-DE"/>
              </w:rPr>
              <w:t>4 (6.1)</w:t>
            </w:r>
            <w:r>
              <w:rPr>
                <w:rFonts w:cs="Arial"/>
                <w:sz w:val="20"/>
                <w:szCs w:val="20"/>
                <w:lang w:val="en-GB" w:eastAsia="de-DE"/>
              </w:rPr>
              <w:br/>
              <w:t>3 (4.5)</w:t>
            </w:r>
            <w:r>
              <w:rPr>
                <w:rFonts w:cs="Arial"/>
                <w:sz w:val="20"/>
                <w:szCs w:val="20"/>
                <w:lang w:val="en-GB" w:eastAsia="de-DE"/>
              </w:rPr>
              <w:br/>
              <w:t>3 (4.5)</w:t>
            </w:r>
          </w:p>
        </w:tc>
        <w:tc>
          <w:tcPr>
            <w:tcW w:w="1134" w:type="dxa"/>
          </w:tcPr>
          <w:p w:rsidR="00B9083E" w:rsidRPr="0042304E" w:rsidRDefault="006074FE" w:rsidP="006A22A3">
            <w:pPr>
              <w:pStyle w:val="TextPI"/>
              <w:spacing w:before="0" w:after="0"/>
              <w:jc w:val="center"/>
              <w:rPr>
                <w:rFonts w:cs="Arial"/>
                <w:sz w:val="20"/>
                <w:szCs w:val="20"/>
                <w:lang w:val="en-GB" w:eastAsia="de-DE"/>
              </w:rPr>
            </w:pPr>
            <w:r>
              <w:rPr>
                <w:rFonts w:cs="Arial"/>
                <w:sz w:val="20"/>
                <w:szCs w:val="20"/>
                <w:lang w:val="en-GB" w:eastAsia="de-DE"/>
              </w:rPr>
              <w:t xml:space="preserve">0 (0.0) </w:t>
            </w:r>
            <w:r>
              <w:rPr>
                <w:rFonts w:cs="Arial"/>
                <w:sz w:val="20"/>
                <w:szCs w:val="20"/>
                <w:lang w:val="en-GB" w:eastAsia="de-DE"/>
              </w:rPr>
              <w:br/>
              <w:t>0 (0.0)</w:t>
            </w:r>
            <w:r>
              <w:rPr>
                <w:rFonts w:cs="Arial"/>
                <w:sz w:val="20"/>
                <w:szCs w:val="20"/>
                <w:lang w:val="en-GB" w:eastAsia="de-DE"/>
              </w:rPr>
              <w:br/>
              <w:t>1 (1.8)</w:t>
            </w:r>
          </w:p>
        </w:tc>
        <w:tc>
          <w:tcPr>
            <w:tcW w:w="1289" w:type="dxa"/>
          </w:tcPr>
          <w:p w:rsidR="00B9083E" w:rsidRPr="0042304E" w:rsidRDefault="006074FE" w:rsidP="006A22A3">
            <w:pPr>
              <w:pStyle w:val="TextPI"/>
              <w:spacing w:before="0" w:after="0"/>
              <w:jc w:val="center"/>
              <w:rPr>
                <w:rFonts w:cs="Arial"/>
                <w:sz w:val="20"/>
                <w:szCs w:val="20"/>
                <w:lang w:val="en-GB" w:eastAsia="de-DE"/>
              </w:rPr>
            </w:pPr>
            <w:r>
              <w:rPr>
                <w:rFonts w:cs="Arial"/>
                <w:sz w:val="20"/>
                <w:szCs w:val="20"/>
                <w:lang w:val="en-GB" w:eastAsia="de-DE"/>
              </w:rPr>
              <w:t>4 (3.3)</w:t>
            </w:r>
            <w:r>
              <w:rPr>
                <w:rFonts w:cs="Arial"/>
                <w:sz w:val="20"/>
                <w:szCs w:val="20"/>
                <w:lang w:val="en-GB" w:eastAsia="de-DE"/>
              </w:rPr>
              <w:br/>
              <w:t>3 (2.4)</w:t>
            </w:r>
            <w:r>
              <w:rPr>
                <w:rFonts w:cs="Arial"/>
                <w:sz w:val="20"/>
                <w:szCs w:val="20"/>
                <w:lang w:val="en-GB" w:eastAsia="de-DE"/>
              </w:rPr>
              <w:br/>
              <w:t>4 (3.3)</w:t>
            </w:r>
          </w:p>
        </w:tc>
      </w:tr>
      <w:tr w:rsidR="0042304E" w:rsidRPr="0042304E" w:rsidTr="00011B62">
        <w:tc>
          <w:tcPr>
            <w:tcW w:w="2552" w:type="dxa"/>
          </w:tcPr>
          <w:p w:rsidR="0042304E"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Renal and urinary disorders</w:t>
            </w:r>
          </w:p>
        </w:tc>
        <w:tc>
          <w:tcPr>
            <w:tcW w:w="2410" w:type="dxa"/>
          </w:tcPr>
          <w:p w:rsidR="00F95AB6" w:rsidRPr="00011B62" w:rsidRDefault="0042304E" w:rsidP="006A22A3">
            <w:pPr>
              <w:pStyle w:val="TextPI"/>
              <w:spacing w:before="0" w:after="0"/>
              <w:jc w:val="left"/>
              <w:rPr>
                <w:rFonts w:cs="Arial"/>
                <w:sz w:val="20"/>
                <w:szCs w:val="20"/>
                <w:lang w:val="en-GB" w:eastAsia="de-DE"/>
              </w:rPr>
            </w:pPr>
            <w:r w:rsidRPr="00011B62">
              <w:rPr>
                <w:rFonts w:cs="Arial"/>
                <w:sz w:val="20"/>
                <w:szCs w:val="20"/>
                <w:lang w:val="en-GB" w:eastAsia="de-DE"/>
              </w:rPr>
              <w:t>Renal failure acute</w:t>
            </w:r>
          </w:p>
        </w:tc>
        <w:tc>
          <w:tcPr>
            <w:tcW w:w="1134" w:type="dxa"/>
          </w:tcPr>
          <w:p w:rsidR="00F95AB6" w:rsidRPr="0042304E" w:rsidRDefault="006074FE" w:rsidP="006A22A3">
            <w:pPr>
              <w:pStyle w:val="TextPI"/>
              <w:spacing w:before="0" w:after="0"/>
              <w:jc w:val="center"/>
              <w:rPr>
                <w:rFonts w:cs="Arial"/>
                <w:sz w:val="20"/>
                <w:szCs w:val="20"/>
                <w:lang w:val="en-GB" w:eastAsia="de-DE"/>
              </w:rPr>
            </w:pPr>
            <w:r>
              <w:rPr>
                <w:rFonts w:cs="Arial"/>
                <w:sz w:val="20"/>
                <w:szCs w:val="20"/>
                <w:lang w:val="en-GB" w:eastAsia="de-DE"/>
              </w:rPr>
              <w:t>0 (0.0)</w:t>
            </w:r>
          </w:p>
        </w:tc>
        <w:tc>
          <w:tcPr>
            <w:tcW w:w="1134" w:type="dxa"/>
          </w:tcPr>
          <w:p w:rsidR="00F95AB6" w:rsidRPr="0042304E" w:rsidRDefault="006074FE" w:rsidP="006A22A3">
            <w:pPr>
              <w:pStyle w:val="TextPI"/>
              <w:spacing w:before="0" w:after="0"/>
              <w:jc w:val="center"/>
              <w:rPr>
                <w:rFonts w:cs="Arial"/>
                <w:sz w:val="20"/>
                <w:szCs w:val="20"/>
                <w:lang w:val="en-GB" w:eastAsia="de-DE"/>
              </w:rPr>
            </w:pPr>
            <w:r>
              <w:rPr>
                <w:rFonts w:cs="Arial"/>
                <w:sz w:val="20"/>
                <w:szCs w:val="20"/>
                <w:lang w:val="en-GB" w:eastAsia="de-DE"/>
              </w:rPr>
              <w:t>2 (3.5)</w:t>
            </w:r>
          </w:p>
        </w:tc>
        <w:tc>
          <w:tcPr>
            <w:tcW w:w="1289" w:type="dxa"/>
          </w:tcPr>
          <w:p w:rsidR="00F95AB6" w:rsidRPr="0042304E" w:rsidRDefault="006074FE" w:rsidP="006A22A3">
            <w:pPr>
              <w:pStyle w:val="TextPI"/>
              <w:spacing w:before="0" w:after="0"/>
              <w:jc w:val="center"/>
              <w:rPr>
                <w:rFonts w:cs="Arial"/>
                <w:sz w:val="20"/>
                <w:szCs w:val="20"/>
                <w:lang w:val="en-GB" w:eastAsia="de-DE"/>
              </w:rPr>
            </w:pPr>
            <w:r>
              <w:rPr>
                <w:rFonts w:cs="Arial"/>
                <w:sz w:val="20"/>
                <w:szCs w:val="20"/>
                <w:lang w:val="en-GB" w:eastAsia="de-DE"/>
              </w:rPr>
              <w:t>2 (1.6)</w:t>
            </w:r>
          </w:p>
        </w:tc>
      </w:tr>
      <w:tr w:rsidR="0042304E" w:rsidRPr="0042304E" w:rsidTr="00011B62">
        <w:tc>
          <w:tcPr>
            <w:tcW w:w="2552" w:type="dxa"/>
          </w:tcPr>
          <w:p w:rsidR="0042304E"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t>General disorders and administration site conditions</w:t>
            </w:r>
          </w:p>
        </w:tc>
        <w:tc>
          <w:tcPr>
            <w:tcW w:w="2410" w:type="dxa"/>
          </w:tcPr>
          <w:p w:rsidR="0042304E" w:rsidRPr="00011B62" w:rsidRDefault="0042304E" w:rsidP="006A22A3">
            <w:pPr>
              <w:pStyle w:val="TextPI"/>
              <w:spacing w:before="0" w:after="0"/>
              <w:jc w:val="left"/>
              <w:rPr>
                <w:rFonts w:cs="Arial"/>
                <w:sz w:val="20"/>
                <w:szCs w:val="20"/>
                <w:lang w:val="en-GB" w:eastAsia="de-DE"/>
              </w:rPr>
            </w:pPr>
            <w:r w:rsidRPr="00011B62">
              <w:rPr>
                <w:rFonts w:cs="Arial"/>
                <w:sz w:val="20"/>
                <w:szCs w:val="20"/>
                <w:lang w:val="en-GB" w:eastAsia="de-DE"/>
              </w:rPr>
              <w:t>Pyrexia</w:t>
            </w:r>
            <w:r w:rsidRPr="00011B62">
              <w:rPr>
                <w:rFonts w:cs="Arial"/>
                <w:sz w:val="20"/>
                <w:szCs w:val="20"/>
                <w:lang w:val="en-GB" w:eastAsia="de-DE"/>
              </w:rPr>
              <w:br/>
              <w:t>Chest pain</w:t>
            </w:r>
            <w:r w:rsidRPr="00011B62">
              <w:rPr>
                <w:rFonts w:cs="Arial"/>
                <w:sz w:val="20"/>
                <w:szCs w:val="20"/>
                <w:lang w:val="en-GB" w:eastAsia="de-DE"/>
              </w:rPr>
              <w:br/>
              <w:t>Oedema peripheral</w:t>
            </w:r>
            <w:r w:rsidRPr="00011B62">
              <w:rPr>
                <w:rFonts w:cs="Arial"/>
                <w:sz w:val="20"/>
                <w:szCs w:val="20"/>
                <w:lang w:val="en-GB" w:eastAsia="de-DE"/>
              </w:rPr>
              <w:br/>
              <w:t>Peripheral swelling</w:t>
            </w:r>
          </w:p>
          <w:p w:rsidR="001D6FCC" w:rsidRPr="00011B62" w:rsidRDefault="001D6FCC" w:rsidP="006A22A3">
            <w:pPr>
              <w:pStyle w:val="TextPI"/>
              <w:spacing w:before="0" w:after="0"/>
              <w:jc w:val="left"/>
              <w:rPr>
                <w:rFonts w:cs="Arial"/>
                <w:sz w:val="20"/>
                <w:szCs w:val="20"/>
                <w:lang w:val="en-GB" w:eastAsia="de-DE"/>
              </w:rPr>
            </w:pPr>
            <w:r w:rsidRPr="00011B62">
              <w:rPr>
                <w:rFonts w:cs="Arial"/>
                <w:sz w:val="20"/>
                <w:szCs w:val="20"/>
                <w:lang w:val="en-GB" w:eastAsia="de-DE"/>
              </w:rPr>
              <w:t>Chest discomfort</w:t>
            </w:r>
          </w:p>
          <w:p w:rsidR="001D6FCC" w:rsidRPr="00011B62" w:rsidRDefault="001D6FCC" w:rsidP="006A22A3">
            <w:pPr>
              <w:pStyle w:val="TextPI"/>
              <w:spacing w:before="0" w:after="0"/>
              <w:jc w:val="left"/>
              <w:rPr>
                <w:rFonts w:cs="Arial"/>
                <w:sz w:val="20"/>
                <w:szCs w:val="20"/>
                <w:lang w:val="en-GB" w:eastAsia="de-DE"/>
              </w:rPr>
            </w:pPr>
            <w:r w:rsidRPr="00011B62">
              <w:rPr>
                <w:rFonts w:cs="Arial"/>
                <w:sz w:val="20"/>
                <w:szCs w:val="20"/>
                <w:lang w:val="en-GB" w:eastAsia="de-DE"/>
              </w:rPr>
              <w:t>Fatigue</w:t>
            </w:r>
          </w:p>
        </w:tc>
        <w:tc>
          <w:tcPr>
            <w:tcW w:w="1134" w:type="dxa"/>
          </w:tcPr>
          <w:p w:rsidR="0042304E" w:rsidRPr="00011B62" w:rsidRDefault="00C97168" w:rsidP="006A22A3">
            <w:pPr>
              <w:pStyle w:val="TextPI"/>
              <w:spacing w:before="0" w:after="0"/>
              <w:jc w:val="center"/>
              <w:rPr>
                <w:rFonts w:cs="Arial"/>
                <w:sz w:val="20"/>
                <w:szCs w:val="20"/>
                <w:lang w:val="en-GB" w:eastAsia="de-DE"/>
              </w:rPr>
            </w:pPr>
            <w:r w:rsidRPr="00011B62">
              <w:rPr>
                <w:rFonts w:cs="Arial"/>
                <w:sz w:val="20"/>
                <w:szCs w:val="20"/>
                <w:lang w:val="en-GB" w:eastAsia="de-DE"/>
              </w:rPr>
              <w:t>6 (9.1)</w:t>
            </w:r>
            <w:r w:rsidRPr="00011B62">
              <w:rPr>
                <w:rFonts w:cs="Arial"/>
                <w:sz w:val="20"/>
                <w:szCs w:val="20"/>
                <w:lang w:val="en-GB" w:eastAsia="de-DE"/>
              </w:rPr>
              <w:br/>
              <w:t>3 (4.5)</w:t>
            </w:r>
            <w:r w:rsidRPr="00011B62">
              <w:rPr>
                <w:rFonts w:cs="Arial"/>
                <w:sz w:val="20"/>
                <w:szCs w:val="20"/>
                <w:lang w:val="en-GB" w:eastAsia="de-DE"/>
              </w:rPr>
              <w:br/>
              <w:t>2 (3.0)</w:t>
            </w:r>
            <w:r w:rsidRPr="00011B62">
              <w:rPr>
                <w:rFonts w:cs="Arial"/>
                <w:sz w:val="20"/>
                <w:szCs w:val="20"/>
                <w:lang w:val="en-GB" w:eastAsia="de-DE"/>
              </w:rPr>
              <w:br/>
              <w:t>2 (3.0)</w:t>
            </w:r>
          </w:p>
          <w:p w:rsidR="001D6FCC" w:rsidRPr="00011B62" w:rsidRDefault="001D6FCC" w:rsidP="006A22A3">
            <w:pPr>
              <w:pStyle w:val="TextPI"/>
              <w:spacing w:before="0" w:after="0"/>
              <w:jc w:val="center"/>
              <w:rPr>
                <w:rFonts w:cs="Arial"/>
                <w:sz w:val="20"/>
                <w:szCs w:val="20"/>
                <w:lang w:val="en-GB" w:eastAsia="de-DE"/>
              </w:rPr>
            </w:pPr>
            <w:r w:rsidRPr="00011B62">
              <w:rPr>
                <w:rFonts w:cs="Arial"/>
                <w:sz w:val="20"/>
                <w:szCs w:val="20"/>
                <w:lang w:val="en-GB" w:eastAsia="de-DE"/>
              </w:rPr>
              <w:t>1 (1.5)</w:t>
            </w:r>
          </w:p>
          <w:p w:rsidR="001D6FCC" w:rsidRPr="00011B62" w:rsidRDefault="001D6FCC" w:rsidP="00011B62">
            <w:pPr>
              <w:pStyle w:val="TextPI"/>
              <w:spacing w:before="0" w:after="0"/>
              <w:jc w:val="center"/>
              <w:rPr>
                <w:rFonts w:cs="Arial"/>
                <w:sz w:val="20"/>
                <w:szCs w:val="20"/>
                <w:lang w:val="en-GB" w:eastAsia="de-DE"/>
              </w:rPr>
            </w:pPr>
            <w:r w:rsidRPr="00011B62">
              <w:rPr>
                <w:rFonts w:cs="Arial"/>
                <w:sz w:val="20"/>
                <w:szCs w:val="20"/>
                <w:lang w:val="en-GB" w:eastAsia="de-DE"/>
              </w:rPr>
              <w:t>1 (1.5)</w:t>
            </w:r>
          </w:p>
        </w:tc>
        <w:tc>
          <w:tcPr>
            <w:tcW w:w="1134" w:type="dxa"/>
          </w:tcPr>
          <w:p w:rsidR="0042304E" w:rsidRPr="00011B62" w:rsidRDefault="00C97168" w:rsidP="006A22A3">
            <w:pPr>
              <w:pStyle w:val="TextPI"/>
              <w:spacing w:before="0" w:after="0"/>
              <w:jc w:val="center"/>
              <w:rPr>
                <w:rFonts w:cs="Arial"/>
                <w:sz w:val="20"/>
                <w:szCs w:val="20"/>
                <w:lang w:val="en-GB" w:eastAsia="de-DE"/>
              </w:rPr>
            </w:pPr>
            <w:r w:rsidRPr="00011B62">
              <w:rPr>
                <w:rFonts w:cs="Arial"/>
                <w:sz w:val="20"/>
                <w:szCs w:val="20"/>
                <w:lang w:val="en-GB" w:eastAsia="de-DE"/>
              </w:rPr>
              <w:t>1 (1.8)</w:t>
            </w:r>
            <w:r w:rsidRPr="00011B62">
              <w:rPr>
                <w:rFonts w:cs="Arial"/>
                <w:sz w:val="20"/>
                <w:szCs w:val="20"/>
                <w:lang w:val="en-GB" w:eastAsia="de-DE"/>
              </w:rPr>
              <w:br/>
              <w:t>0 (0.0)</w:t>
            </w:r>
            <w:r w:rsidRPr="00011B62">
              <w:rPr>
                <w:rFonts w:cs="Arial"/>
                <w:sz w:val="20"/>
                <w:szCs w:val="20"/>
                <w:lang w:val="en-GB" w:eastAsia="de-DE"/>
              </w:rPr>
              <w:br/>
              <w:t>1 (1.8)</w:t>
            </w:r>
            <w:r w:rsidRPr="00011B62">
              <w:rPr>
                <w:rFonts w:cs="Arial"/>
                <w:sz w:val="20"/>
                <w:szCs w:val="20"/>
                <w:lang w:val="en-GB" w:eastAsia="de-DE"/>
              </w:rPr>
              <w:br/>
              <w:t>1 (1.8)</w:t>
            </w:r>
          </w:p>
          <w:p w:rsidR="001D6FCC" w:rsidRPr="00011B62" w:rsidRDefault="001D6FCC" w:rsidP="006A22A3">
            <w:pPr>
              <w:pStyle w:val="TextPI"/>
              <w:spacing w:before="0" w:after="0"/>
              <w:jc w:val="center"/>
              <w:rPr>
                <w:rFonts w:cs="Arial"/>
                <w:sz w:val="20"/>
                <w:szCs w:val="20"/>
                <w:lang w:val="en-GB" w:eastAsia="de-DE"/>
              </w:rPr>
            </w:pPr>
            <w:r w:rsidRPr="00011B62">
              <w:rPr>
                <w:rFonts w:cs="Arial"/>
                <w:sz w:val="20"/>
                <w:szCs w:val="20"/>
                <w:lang w:val="en-GB" w:eastAsia="de-DE"/>
              </w:rPr>
              <w:t>1 (1.8)</w:t>
            </w:r>
          </w:p>
          <w:p w:rsidR="001D6FCC" w:rsidRPr="00011B62" w:rsidRDefault="001D6FCC" w:rsidP="00011B62">
            <w:pPr>
              <w:pStyle w:val="TextPI"/>
              <w:spacing w:before="0" w:after="0"/>
              <w:jc w:val="center"/>
              <w:rPr>
                <w:rFonts w:cs="Arial"/>
                <w:sz w:val="20"/>
                <w:szCs w:val="20"/>
                <w:lang w:val="en-GB" w:eastAsia="de-DE"/>
              </w:rPr>
            </w:pPr>
            <w:r w:rsidRPr="00011B62">
              <w:rPr>
                <w:rFonts w:cs="Arial"/>
                <w:sz w:val="20"/>
                <w:szCs w:val="20"/>
                <w:lang w:val="en-GB" w:eastAsia="de-DE"/>
              </w:rPr>
              <w:t>1 (1.8)</w:t>
            </w:r>
          </w:p>
        </w:tc>
        <w:tc>
          <w:tcPr>
            <w:tcW w:w="1289" w:type="dxa"/>
          </w:tcPr>
          <w:p w:rsidR="0042304E" w:rsidRPr="00011B62" w:rsidRDefault="00C97168" w:rsidP="006A22A3">
            <w:pPr>
              <w:pStyle w:val="TextPI"/>
              <w:spacing w:before="0" w:after="0"/>
              <w:jc w:val="center"/>
              <w:rPr>
                <w:rFonts w:cs="Arial"/>
                <w:sz w:val="20"/>
                <w:szCs w:val="20"/>
                <w:lang w:val="en-GB" w:eastAsia="de-DE"/>
              </w:rPr>
            </w:pPr>
            <w:r w:rsidRPr="00011B62">
              <w:rPr>
                <w:rFonts w:cs="Arial"/>
                <w:sz w:val="20"/>
                <w:szCs w:val="20"/>
                <w:lang w:val="en-GB" w:eastAsia="de-DE"/>
              </w:rPr>
              <w:t>7 (5.7)</w:t>
            </w:r>
            <w:r w:rsidRPr="00011B62">
              <w:rPr>
                <w:rFonts w:cs="Arial"/>
                <w:sz w:val="20"/>
                <w:szCs w:val="20"/>
                <w:lang w:val="en-GB" w:eastAsia="de-DE"/>
              </w:rPr>
              <w:br/>
              <w:t>3 (2.4)</w:t>
            </w:r>
            <w:r w:rsidRPr="00011B62">
              <w:rPr>
                <w:rFonts w:cs="Arial"/>
                <w:sz w:val="20"/>
                <w:szCs w:val="20"/>
                <w:lang w:val="en-GB" w:eastAsia="de-DE"/>
              </w:rPr>
              <w:br/>
              <w:t>3 (2.4)</w:t>
            </w:r>
            <w:r w:rsidRPr="00011B62">
              <w:rPr>
                <w:rFonts w:cs="Arial"/>
                <w:sz w:val="20"/>
                <w:szCs w:val="20"/>
                <w:lang w:val="en-GB" w:eastAsia="de-DE"/>
              </w:rPr>
              <w:br/>
              <w:t>3 (2.4)</w:t>
            </w:r>
          </w:p>
          <w:p w:rsidR="001D6FCC" w:rsidRPr="00011B62" w:rsidRDefault="001D6FCC" w:rsidP="006A22A3">
            <w:pPr>
              <w:pStyle w:val="TextPI"/>
              <w:spacing w:before="0" w:after="0"/>
              <w:jc w:val="center"/>
              <w:rPr>
                <w:rFonts w:cs="Arial"/>
                <w:sz w:val="20"/>
                <w:szCs w:val="20"/>
                <w:lang w:val="en-GB" w:eastAsia="de-DE"/>
              </w:rPr>
            </w:pPr>
            <w:r w:rsidRPr="00011B62">
              <w:rPr>
                <w:rFonts w:cs="Arial"/>
                <w:sz w:val="20"/>
                <w:szCs w:val="20"/>
                <w:lang w:val="en-GB" w:eastAsia="de-DE"/>
              </w:rPr>
              <w:t>2 (1.6)</w:t>
            </w:r>
          </w:p>
          <w:p w:rsidR="001D6FCC" w:rsidRPr="00011B62" w:rsidRDefault="001D6FCC" w:rsidP="00011B62">
            <w:pPr>
              <w:pStyle w:val="TextPI"/>
              <w:spacing w:before="0" w:after="0"/>
              <w:jc w:val="center"/>
              <w:rPr>
                <w:rFonts w:cs="Arial"/>
                <w:sz w:val="20"/>
                <w:szCs w:val="20"/>
                <w:lang w:val="en-GB" w:eastAsia="de-DE"/>
              </w:rPr>
            </w:pPr>
            <w:r w:rsidRPr="00011B62">
              <w:rPr>
                <w:rFonts w:cs="Arial"/>
                <w:sz w:val="20"/>
                <w:szCs w:val="20"/>
                <w:lang w:val="en-GB" w:eastAsia="de-DE"/>
              </w:rPr>
              <w:t>2 (1.6)</w:t>
            </w:r>
          </w:p>
        </w:tc>
      </w:tr>
      <w:tr w:rsidR="0042304E" w:rsidRPr="0042304E" w:rsidTr="00011B62">
        <w:trPr>
          <w:cantSplit/>
        </w:trPr>
        <w:tc>
          <w:tcPr>
            <w:tcW w:w="2552" w:type="dxa"/>
          </w:tcPr>
          <w:p w:rsidR="0042304E" w:rsidRPr="0042304E" w:rsidRDefault="0042304E" w:rsidP="0027538F">
            <w:pPr>
              <w:pStyle w:val="TextPI"/>
              <w:spacing w:before="40" w:after="40"/>
              <w:jc w:val="left"/>
              <w:rPr>
                <w:rFonts w:cs="Arial"/>
                <w:b/>
                <w:bCs/>
                <w:sz w:val="20"/>
                <w:szCs w:val="20"/>
                <w:lang w:val="en-GB" w:eastAsia="de-DE"/>
              </w:rPr>
            </w:pPr>
            <w:r>
              <w:rPr>
                <w:rFonts w:cs="Arial"/>
                <w:b/>
                <w:bCs/>
                <w:sz w:val="20"/>
                <w:szCs w:val="20"/>
                <w:lang w:val="en-GB" w:eastAsia="de-DE"/>
              </w:rPr>
              <w:lastRenderedPageBreak/>
              <w:t>Investigations</w:t>
            </w:r>
          </w:p>
        </w:tc>
        <w:tc>
          <w:tcPr>
            <w:tcW w:w="2410" w:type="dxa"/>
          </w:tcPr>
          <w:p w:rsidR="004342E7" w:rsidRPr="0042304E" w:rsidRDefault="0042304E" w:rsidP="006A22A3">
            <w:pPr>
              <w:pStyle w:val="TextPI"/>
              <w:spacing w:before="0" w:after="0"/>
              <w:jc w:val="left"/>
              <w:rPr>
                <w:rFonts w:cs="Arial"/>
                <w:sz w:val="20"/>
                <w:szCs w:val="20"/>
                <w:lang w:val="en-GB" w:eastAsia="de-DE"/>
              </w:rPr>
            </w:pPr>
            <w:r w:rsidRPr="0042304E">
              <w:rPr>
                <w:rFonts w:cs="Arial"/>
                <w:sz w:val="20"/>
                <w:szCs w:val="20"/>
                <w:lang w:val="en-GB" w:eastAsia="de-DE"/>
              </w:rPr>
              <w:t>Haemoglobin decreased</w:t>
            </w:r>
            <w:r w:rsidRPr="0042304E">
              <w:rPr>
                <w:rFonts w:cs="Arial"/>
                <w:sz w:val="20"/>
                <w:szCs w:val="20"/>
                <w:lang w:val="en-GB" w:eastAsia="de-DE"/>
              </w:rPr>
              <w:br/>
              <w:t>Weight decreased</w:t>
            </w:r>
          </w:p>
        </w:tc>
        <w:tc>
          <w:tcPr>
            <w:tcW w:w="1134" w:type="dxa"/>
          </w:tcPr>
          <w:p w:rsidR="004342E7" w:rsidRPr="0042304E" w:rsidRDefault="00C97168" w:rsidP="006A22A3">
            <w:pPr>
              <w:pStyle w:val="TextPI"/>
              <w:spacing w:before="0" w:after="0"/>
              <w:jc w:val="center"/>
              <w:rPr>
                <w:rFonts w:cs="Arial"/>
                <w:sz w:val="20"/>
                <w:szCs w:val="20"/>
                <w:lang w:val="en-GB" w:eastAsia="de-DE"/>
              </w:rPr>
            </w:pPr>
            <w:r>
              <w:rPr>
                <w:rFonts w:cs="Arial"/>
                <w:sz w:val="20"/>
                <w:szCs w:val="20"/>
                <w:lang w:val="en-GB" w:eastAsia="de-DE"/>
              </w:rPr>
              <w:t>3 (4.5)</w:t>
            </w:r>
            <w:r>
              <w:rPr>
                <w:rFonts w:cs="Arial"/>
                <w:sz w:val="20"/>
                <w:szCs w:val="20"/>
                <w:lang w:val="en-GB" w:eastAsia="de-DE"/>
              </w:rPr>
              <w:br/>
              <w:t>2 (3.0)</w:t>
            </w:r>
          </w:p>
        </w:tc>
        <w:tc>
          <w:tcPr>
            <w:tcW w:w="1134" w:type="dxa"/>
          </w:tcPr>
          <w:p w:rsidR="004342E7" w:rsidRPr="0042304E" w:rsidRDefault="00C97168" w:rsidP="006A22A3">
            <w:pPr>
              <w:pStyle w:val="TextPI"/>
              <w:spacing w:before="0" w:after="0"/>
              <w:jc w:val="center"/>
              <w:rPr>
                <w:rFonts w:cs="Arial"/>
                <w:sz w:val="20"/>
                <w:szCs w:val="20"/>
                <w:lang w:val="en-GB" w:eastAsia="de-DE"/>
              </w:rPr>
            </w:pPr>
            <w:r>
              <w:rPr>
                <w:rFonts w:cs="Arial"/>
                <w:sz w:val="20"/>
                <w:szCs w:val="20"/>
                <w:lang w:val="en-GB" w:eastAsia="de-DE"/>
              </w:rPr>
              <w:t>1 (1.8)</w:t>
            </w:r>
            <w:r>
              <w:rPr>
                <w:rFonts w:cs="Arial"/>
                <w:sz w:val="20"/>
                <w:szCs w:val="20"/>
                <w:lang w:val="en-GB" w:eastAsia="de-DE"/>
              </w:rPr>
              <w:br/>
              <w:t>0 (0.0)</w:t>
            </w:r>
          </w:p>
        </w:tc>
        <w:tc>
          <w:tcPr>
            <w:tcW w:w="1289" w:type="dxa"/>
          </w:tcPr>
          <w:p w:rsidR="004342E7" w:rsidRPr="0042304E" w:rsidRDefault="00C97168" w:rsidP="006A22A3">
            <w:pPr>
              <w:pStyle w:val="TextPI"/>
              <w:spacing w:before="0" w:after="0"/>
              <w:jc w:val="center"/>
              <w:rPr>
                <w:rFonts w:cs="Arial"/>
                <w:sz w:val="20"/>
                <w:szCs w:val="20"/>
                <w:lang w:val="en-GB" w:eastAsia="de-DE"/>
              </w:rPr>
            </w:pPr>
            <w:r>
              <w:rPr>
                <w:rFonts w:cs="Arial"/>
                <w:sz w:val="20"/>
                <w:szCs w:val="20"/>
                <w:lang w:val="en-GB" w:eastAsia="de-DE"/>
              </w:rPr>
              <w:t>4 (3.3)</w:t>
            </w:r>
            <w:r>
              <w:rPr>
                <w:rFonts w:cs="Arial"/>
                <w:sz w:val="20"/>
                <w:szCs w:val="20"/>
                <w:lang w:val="en-GB" w:eastAsia="de-DE"/>
              </w:rPr>
              <w:br/>
              <w:t>2 (1.6)</w:t>
            </w:r>
          </w:p>
        </w:tc>
      </w:tr>
      <w:tr w:rsidR="00C72CEC" w:rsidRPr="0042304E" w:rsidTr="00011B62">
        <w:trPr>
          <w:cantSplit/>
        </w:trPr>
        <w:tc>
          <w:tcPr>
            <w:tcW w:w="2552" w:type="dxa"/>
          </w:tcPr>
          <w:p w:rsidR="00C72CEC" w:rsidRDefault="00C72CEC" w:rsidP="0027538F">
            <w:pPr>
              <w:pStyle w:val="TextPI"/>
              <w:spacing w:before="40" w:after="40"/>
              <w:jc w:val="left"/>
              <w:rPr>
                <w:rFonts w:cs="Arial"/>
                <w:b/>
                <w:bCs/>
                <w:sz w:val="20"/>
                <w:szCs w:val="20"/>
                <w:lang w:val="en-GB" w:eastAsia="de-DE"/>
              </w:rPr>
            </w:pPr>
            <w:r>
              <w:rPr>
                <w:rFonts w:cs="Arial"/>
                <w:b/>
                <w:bCs/>
                <w:sz w:val="20"/>
                <w:szCs w:val="20"/>
                <w:lang w:val="en-GB" w:eastAsia="de-DE"/>
              </w:rPr>
              <w:t>Injury, poisoning and procedural complications</w:t>
            </w:r>
          </w:p>
        </w:tc>
        <w:tc>
          <w:tcPr>
            <w:tcW w:w="2410" w:type="dxa"/>
          </w:tcPr>
          <w:p w:rsidR="00C72CEC" w:rsidRPr="00011B62" w:rsidRDefault="00C72CEC" w:rsidP="004342E7">
            <w:pPr>
              <w:pStyle w:val="TextPI"/>
              <w:spacing w:before="0" w:after="0"/>
              <w:jc w:val="left"/>
              <w:rPr>
                <w:rFonts w:cs="Arial"/>
                <w:sz w:val="20"/>
                <w:szCs w:val="20"/>
                <w:lang w:val="en-GB" w:eastAsia="de-DE"/>
              </w:rPr>
            </w:pPr>
            <w:r w:rsidRPr="00011B62">
              <w:rPr>
                <w:rFonts w:cs="Arial"/>
                <w:sz w:val="20"/>
                <w:szCs w:val="20"/>
                <w:lang w:val="en-GB" w:eastAsia="de-DE"/>
              </w:rPr>
              <w:t>Laceration</w:t>
            </w:r>
          </w:p>
          <w:p w:rsidR="00C72CEC" w:rsidRPr="00011B62" w:rsidRDefault="00C72CEC" w:rsidP="004342E7">
            <w:pPr>
              <w:pStyle w:val="TextPI"/>
              <w:spacing w:before="0" w:after="0"/>
              <w:jc w:val="left"/>
              <w:rPr>
                <w:rFonts w:cs="Arial"/>
                <w:sz w:val="20"/>
                <w:szCs w:val="20"/>
                <w:lang w:val="en-GB" w:eastAsia="de-DE"/>
              </w:rPr>
            </w:pPr>
            <w:r w:rsidRPr="00011B62">
              <w:rPr>
                <w:rFonts w:cs="Arial"/>
                <w:sz w:val="20"/>
                <w:szCs w:val="20"/>
                <w:lang w:val="en-GB" w:eastAsia="de-DE"/>
              </w:rPr>
              <w:t>Wound</w:t>
            </w:r>
          </w:p>
          <w:p w:rsidR="00C72CEC" w:rsidRPr="00011B62" w:rsidRDefault="00C72CEC" w:rsidP="004342E7">
            <w:pPr>
              <w:pStyle w:val="TextPI"/>
              <w:spacing w:before="0" w:after="0"/>
              <w:jc w:val="left"/>
              <w:rPr>
                <w:rFonts w:cs="Arial"/>
                <w:sz w:val="20"/>
                <w:szCs w:val="20"/>
                <w:lang w:val="en-GB" w:eastAsia="de-DE"/>
              </w:rPr>
            </w:pPr>
          </w:p>
        </w:tc>
        <w:tc>
          <w:tcPr>
            <w:tcW w:w="1134" w:type="dxa"/>
          </w:tcPr>
          <w:p w:rsidR="00C72CEC" w:rsidRPr="00011B62" w:rsidRDefault="00C72CEC" w:rsidP="004342E7">
            <w:pPr>
              <w:pStyle w:val="TextPI"/>
              <w:spacing w:before="0" w:after="0"/>
              <w:jc w:val="center"/>
              <w:rPr>
                <w:rFonts w:cs="Arial"/>
                <w:sz w:val="20"/>
                <w:szCs w:val="20"/>
                <w:lang w:val="en-GB" w:eastAsia="de-DE"/>
              </w:rPr>
            </w:pPr>
            <w:r w:rsidRPr="00011B62">
              <w:rPr>
                <w:rFonts w:cs="Arial"/>
                <w:sz w:val="20"/>
                <w:szCs w:val="20"/>
                <w:lang w:val="en-GB" w:eastAsia="de-DE"/>
              </w:rPr>
              <w:t>1 (1.5)</w:t>
            </w:r>
          </w:p>
          <w:p w:rsidR="00DB4E42" w:rsidRPr="00011B62" w:rsidRDefault="00DB4E42" w:rsidP="00DB4E42">
            <w:pPr>
              <w:pStyle w:val="TextPI"/>
              <w:spacing w:before="0" w:after="0"/>
              <w:jc w:val="center"/>
              <w:rPr>
                <w:rFonts w:cs="Arial"/>
                <w:sz w:val="20"/>
                <w:szCs w:val="20"/>
                <w:lang w:val="en-GB" w:eastAsia="de-DE"/>
              </w:rPr>
            </w:pPr>
            <w:r w:rsidRPr="00011B62">
              <w:rPr>
                <w:rFonts w:cs="Arial"/>
                <w:sz w:val="20"/>
                <w:szCs w:val="20"/>
                <w:lang w:val="en-GB" w:eastAsia="de-DE"/>
              </w:rPr>
              <w:t>1 (1.5)</w:t>
            </w:r>
          </w:p>
          <w:p w:rsidR="00DB4E42" w:rsidRPr="00011B62" w:rsidRDefault="00DB4E42" w:rsidP="00DB4E42">
            <w:pPr>
              <w:pStyle w:val="TextPI"/>
              <w:spacing w:before="0" w:after="0"/>
              <w:jc w:val="center"/>
              <w:rPr>
                <w:rFonts w:cs="Arial"/>
                <w:sz w:val="20"/>
                <w:szCs w:val="20"/>
                <w:lang w:val="en-GB" w:eastAsia="de-DE"/>
              </w:rPr>
            </w:pPr>
          </w:p>
        </w:tc>
        <w:tc>
          <w:tcPr>
            <w:tcW w:w="1134" w:type="dxa"/>
          </w:tcPr>
          <w:p w:rsidR="00DB4E42" w:rsidRPr="00011B62" w:rsidRDefault="00DB4E42" w:rsidP="004342E7">
            <w:pPr>
              <w:pStyle w:val="TextPI"/>
              <w:spacing w:before="0" w:after="0"/>
              <w:jc w:val="center"/>
              <w:rPr>
                <w:rFonts w:cs="Arial"/>
                <w:sz w:val="20"/>
                <w:szCs w:val="20"/>
                <w:lang w:val="en-GB" w:eastAsia="de-DE"/>
              </w:rPr>
            </w:pPr>
            <w:r w:rsidRPr="00011B62">
              <w:rPr>
                <w:rFonts w:cs="Arial"/>
                <w:sz w:val="20"/>
                <w:szCs w:val="20"/>
                <w:lang w:val="en-GB" w:eastAsia="de-DE"/>
              </w:rPr>
              <w:t>1 (1.8)</w:t>
            </w:r>
          </w:p>
          <w:p w:rsidR="00DB4E42" w:rsidRPr="00011B62" w:rsidRDefault="00DB4E42" w:rsidP="004342E7">
            <w:pPr>
              <w:pStyle w:val="TextPI"/>
              <w:spacing w:before="0" w:after="0"/>
              <w:jc w:val="center"/>
              <w:rPr>
                <w:rFonts w:cs="Arial"/>
                <w:sz w:val="20"/>
                <w:szCs w:val="20"/>
                <w:lang w:val="en-GB" w:eastAsia="de-DE"/>
              </w:rPr>
            </w:pPr>
            <w:r w:rsidRPr="00011B62">
              <w:rPr>
                <w:rFonts w:cs="Arial"/>
                <w:sz w:val="20"/>
                <w:szCs w:val="20"/>
                <w:lang w:val="en-GB" w:eastAsia="de-DE"/>
              </w:rPr>
              <w:t>1 (1.8)</w:t>
            </w:r>
          </w:p>
          <w:p w:rsidR="00DB4E42" w:rsidRPr="00011B62" w:rsidRDefault="00DB4E42" w:rsidP="00DB4E42">
            <w:pPr>
              <w:pStyle w:val="TextPI"/>
              <w:spacing w:before="0" w:after="0"/>
              <w:jc w:val="center"/>
              <w:rPr>
                <w:rFonts w:cs="Arial"/>
                <w:sz w:val="20"/>
                <w:szCs w:val="20"/>
                <w:lang w:val="en-GB" w:eastAsia="de-DE"/>
              </w:rPr>
            </w:pPr>
          </w:p>
        </w:tc>
        <w:tc>
          <w:tcPr>
            <w:tcW w:w="1289" w:type="dxa"/>
          </w:tcPr>
          <w:p w:rsidR="00305AC3" w:rsidRDefault="00305AC3" w:rsidP="004342E7">
            <w:pPr>
              <w:pStyle w:val="TextPI"/>
              <w:spacing w:before="0" w:after="0"/>
              <w:jc w:val="center"/>
              <w:rPr>
                <w:rFonts w:cs="Arial"/>
                <w:sz w:val="20"/>
                <w:szCs w:val="20"/>
                <w:lang w:val="en-GB" w:eastAsia="de-DE"/>
              </w:rPr>
            </w:pPr>
            <w:r w:rsidRPr="00011B62">
              <w:rPr>
                <w:rFonts w:cs="Arial"/>
                <w:sz w:val="20"/>
                <w:szCs w:val="20"/>
                <w:lang w:val="en-GB" w:eastAsia="de-DE"/>
              </w:rPr>
              <w:t>2 (1.6)</w:t>
            </w:r>
          </w:p>
          <w:p w:rsidR="00305AC3" w:rsidRDefault="00305AC3" w:rsidP="004342E7">
            <w:pPr>
              <w:pStyle w:val="TextPI"/>
              <w:spacing w:before="0" w:after="0"/>
              <w:jc w:val="center"/>
              <w:rPr>
                <w:rFonts w:cs="Arial"/>
                <w:sz w:val="20"/>
                <w:szCs w:val="20"/>
                <w:lang w:val="en-GB" w:eastAsia="de-DE"/>
              </w:rPr>
            </w:pPr>
            <w:r w:rsidRPr="00011B62">
              <w:rPr>
                <w:rFonts w:cs="Arial"/>
                <w:sz w:val="20"/>
                <w:szCs w:val="20"/>
                <w:lang w:val="en-GB" w:eastAsia="de-DE"/>
              </w:rPr>
              <w:t>2 (1.6)</w:t>
            </w:r>
          </w:p>
          <w:p w:rsidR="00305AC3" w:rsidRDefault="00305AC3" w:rsidP="004342E7">
            <w:pPr>
              <w:pStyle w:val="TextPI"/>
              <w:spacing w:before="0" w:after="0"/>
              <w:jc w:val="center"/>
              <w:rPr>
                <w:rFonts w:cs="Arial"/>
                <w:sz w:val="20"/>
                <w:szCs w:val="20"/>
                <w:lang w:val="en-GB" w:eastAsia="de-DE"/>
              </w:rPr>
            </w:pPr>
          </w:p>
        </w:tc>
      </w:tr>
    </w:tbl>
    <w:p w:rsidR="007D3145" w:rsidRPr="0042304E" w:rsidRDefault="0042304E" w:rsidP="0042304E">
      <w:pPr>
        <w:pStyle w:val="TextPI"/>
        <w:spacing w:before="0"/>
        <w:ind w:left="1123" w:hanging="1123"/>
        <w:rPr>
          <w:rFonts w:cs="Arial"/>
          <w:sz w:val="20"/>
          <w:szCs w:val="20"/>
          <w:lang w:val="en-GB" w:eastAsia="de-DE"/>
        </w:rPr>
      </w:pPr>
      <w:r w:rsidRPr="0042304E">
        <w:rPr>
          <w:rFonts w:cs="Arial"/>
          <w:sz w:val="20"/>
          <w:szCs w:val="20"/>
          <w:lang w:val="en-GB" w:eastAsia="de-DE"/>
        </w:rPr>
        <w:t>* Group A and B not randomised</w:t>
      </w:r>
    </w:p>
    <w:p w:rsidR="00014579" w:rsidRDefault="00014579" w:rsidP="007947F0">
      <w:pPr>
        <w:pStyle w:val="PIHeading1"/>
        <w:keepLines/>
      </w:pPr>
      <w:r w:rsidRPr="0042370A">
        <w:t>DOSAGE AND ADMINISTRATION</w:t>
      </w:r>
    </w:p>
    <w:p w:rsidR="00AA6AFB" w:rsidRPr="00AA6AFB" w:rsidRDefault="00AA6AFB" w:rsidP="007947F0">
      <w:pPr>
        <w:pStyle w:val="TextPI"/>
        <w:keepNext/>
        <w:keepLines/>
        <w:rPr>
          <w:rFonts w:cs="Arial"/>
          <w:lang w:val="en-GB" w:eastAsia="de-DE"/>
        </w:rPr>
      </w:pPr>
      <w:r w:rsidRPr="00AA6AFB">
        <w:rPr>
          <w:rFonts w:cs="Arial"/>
          <w:lang w:val="en-GB" w:eastAsia="de-DE"/>
        </w:rPr>
        <w:t xml:space="preserve">The recommended dose of </w:t>
      </w:r>
      <w:r w:rsidR="00762F30">
        <w:rPr>
          <w:rFonts w:cs="Arial"/>
          <w:lang w:val="en-GB" w:eastAsia="de-DE"/>
        </w:rPr>
        <w:t>PRAXBIND</w:t>
      </w:r>
      <w:r w:rsidRPr="00AA6AFB">
        <w:rPr>
          <w:rFonts w:cs="Arial"/>
          <w:lang w:val="en-GB" w:eastAsia="de-DE"/>
        </w:rPr>
        <w:t xml:space="preserve"> is 5 g (2x2.5</w:t>
      </w:r>
      <w:r w:rsidR="003013AC">
        <w:rPr>
          <w:rFonts w:cs="Arial"/>
          <w:lang w:val="en-GB" w:eastAsia="de-DE"/>
        </w:rPr>
        <w:t> </w:t>
      </w:r>
      <w:r w:rsidRPr="00AA6AFB">
        <w:rPr>
          <w:rFonts w:cs="Arial"/>
          <w:lang w:val="en-GB" w:eastAsia="de-DE"/>
        </w:rPr>
        <w:t>g</w:t>
      </w:r>
      <w:r w:rsidR="003013AC">
        <w:rPr>
          <w:rFonts w:cs="Arial"/>
          <w:lang w:val="en-GB" w:eastAsia="de-DE"/>
        </w:rPr>
        <w:t>/50 mL</w:t>
      </w:r>
      <w:r w:rsidRPr="00AA6AFB">
        <w:rPr>
          <w:rFonts w:cs="Arial"/>
          <w:lang w:val="en-GB" w:eastAsia="de-DE"/>
        </w:rPr>
        <w:t xml:space="preserve">) </w:t>
      </w:r>
      <w:r w:rsidR="00534913">
        <w:rPr>
          <w:rFonts w:cs="Arial"/>
          <w:lang w:val="en-GB" w:eastAsia="de-DE"/>
        </w:rPr>
        <w:t xml:space="preserve">(see Figure </w:t>
      </w:r>
      <w:r w:rsidR="001825EB">
        <w:rPr>
          <w:rFonts w:cs="Arial"/>
          <w:lang w:val="en-GB" w:eastAsia="de-DE"/>
        </w:rPr>
        <w:t>5</w:t>
      </w:r>
      <w:r w:rsidR="00534913">
        <w:rPr>
          <w:rFonts w:cs="Arial"/>
          <w:lang w:val="en-GB" w:eastAsia="de-DE"/>
        </w:rPr>
        <w:t>)</w:t>
      </w:r>
      <w:r w:rsidRPr="00AA6AFB">
        <w:rPr>
          <w:rFonts w:cs="Arial"/>
          <w:lang w:val="en-GB" w:eastAsia="de-DE"/>
        </w:rPr>
        <w:t xml:space="preserve">. </w:t>
      </w:r>
    </w:p>
    <w:p w:rsidR="00AA6AFB" w:rsidRDefault="003013AC" w:rsidP="007947F0">
      <w:pPr>
        <w:pStyle w:val="TextPI"/>
        <w:keepNext/>
        <w:keepLines/>
        <w:rPr>
          <w:rFonts w:cs="Arial"/>
          <w:lang w:val="en-GB" w:eastAsia="de-DE"/>
        </w:rPr>
      </w:pPr>
      <w:r>
        <w:rPr>
          <w:rFonts w:cs="Arial"/>
          <w:lang w:val="en-GB" w:eastAsia="de-DE"/>
        </w:rPr>
        <w:t xml:space="preserve">PRAXBIND (2x2.5 g/50 mL) </w:t>
      </w:r>
      <w:r w:rsidR="00AA6AFB" w:rsidRPr="00AA6AFB">
        <w:rPr>
          <w:rFonts w:cs="Arial"/>
          <w:lang w:val="en-GB" w:eastAsia="de-DE"/>
        </w:rPr>
        <w:t xml:space="preserve">is administered intravenously, as two consecutive infusions over 5 to 10 minutes each </w:t>
      </w:r>
      <w:r w:rsidR="00B07290">
        <w:rPr>
          <w:rFonts w:cs="Arial"/>
          <w:lang w:val="en-GB" w:eastAsia="de-DE"/>
        </w:rPr>
        <w:t xml:space="preserve">(see Figure </w:t>
      </w:r>
      <w:r w:rsidR="001825EB">
        <w:rPr>
          <w:rFonts w:cs="Arial"/>
          <w:lang w:val="en-GB" w:eastAsia="de-DE"/>
        </w:rPr>
        <w:t>6</w:t>
      </w:r>
      <w:r w:rsidR="00B07290">
        <w:rPr>
          <w:rFonts w:cs="Arial"/>
          <w:lang w:val="en-GB" w:eastAsia="de-DE"/>
        </w:rPr>
        <w:t xml:space="preserve">) </w:t>
      </w:r>
      <w:r w:rsidR="00AA6AFB" w:rsidRPr="00AA6AFB">
        <w:rPr>
          <w:rFonts w:cs="Arial"/>
          <w:lang w:val="en-GB" w:eastAsia="de-DE"/>
        </w:rPr>
        <w:t>or as a bolus injection</w:t>
      </w:r>
      <w:r w:rsidR="00B07290">
        <w:rPr>
          <w:rFonts w:cs="Arial"/>
          <w:lang w:val="en-GB" w:eastAsia="de-DE"/>
        </w:rPr>
        <w:t xml:space="preserve"> (see Figure </w:t>
      </w:r>
      <w:r w:rsidR="001825EB">
        <w:rPr>
          <w:rFonts w:cs="Arial"/>
          <w:lang w:val="en-GB" w:eastAsia="de-DE"/>
        </w:rPr>
        <w:t>7</w:t>
      </w:r>
      <w:r w:rsidR="00B07290">
        <w:rPr>
          <w:rFonts w:cs="Arial"/>
          <w:lang w:val="en-GB" w:eastAsia="de-DE"/>
        </w:rPr>
        <w:t>)</w:t>
      </w:r>
      <w:r w:rsidR="00AA6AFB" w:rsidRPr="00AA6AFB">
        <w:rPr>
          <w:rFonts w:cs="Arial"/>
          <w:lang w:val="en-GB" w:eastAsia="de-D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216"/>
        <w:gridCol w:w="1044"/>
        <w:gridCol w:w="1826"/>
        <w:gridCol w:w="1009"/>
        <w:gridCol w:w="2063"/>
      </w:tblGrid>
      <w:tr w:rsidR="00D573BA" w:rsidTr="00D573BA">
        <w:tc>
          <w:tcPr>
            <w:tcW w:w="3317" w:type="dxa"/>
            <w:gridSpan w:val="2"/>
            <w:vAlign w:val="bottom"/>
          </w:tcPr>
          <w:p w:rsidR="00D573BA" w:rsidRDefault="00D573BA" w:rsidP="00D573BA">
            <w:pPr>
              <w:pStyle w:val="CSText"/>
              <w:spacing w:after="120"/>
              <w:jc w:val="center"/>
              <w:rPr>
                <w:rFonts w:ascii="Arial" w:hAnsi="Arial" w:cs="Arial"/>
                <w:sz w:val="22"/>
                <w:szCs w:val="22"/>
                <w:lang w:val="en-GB"/>
              </w:rPr>
            </w:pPr>
            <w:r>
              <w:rPr>
                <w:noProof/>
                <w:lang w:val="en-AU" w:eastAsia="en-AU"/>
              </w:rPr>
              <w:drawing>
                <wp:inline distT="0" distB="0" distL="0" distR="0" wp14:anchorId="2CA2041B" wp14:editId="5E845766">
                  <wp:extent cx="1352550" cy="1209675"/>
                  <wp:effectExtent l="0" t="0" r="0" b="9525"/>
                  <wp:docPr id="4" name="Picture 4" descr="recommended_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mmended_do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2550" cy="1209675"/>
                          </a:xfrm>
                          <a:prstGeom prst="rect">
                            <a:avLst/>
                          </a:prstGeom>
                          <a:noFill/>
                          <a:ln>
                            <a:noFill/>
                          </a:ln>
                        </pic:spPr>
                      </pic:pic>
                    </a:graphicData>
                  </a:graphic>
                </wp:inline>
              </w:drawing>
            </w:r>
          </w:p>
        </w:tc>
        <w:tc>
          <w:tcPr>
            <w:tcW w:w="2870" w:type="dxa"/>
            <w:gridSpan w:val="2"/>
            <w:vAlign w:val="bottom"/>
          </w:tcPr>
          <w:p w:rsidR="00D573BA" w:rsidRDefault="00D573BA" w:rsidP="00D573BA">
            <w:pPr>
              <w:pStyle w:val="CSText"/>
              <w:spacing w:after="120"/>
              <w:jc w:val="center"/>
              <w:rPr>
                <w:rFonts w:ascii="Arial" w:hAnsi="Arial" w:cs="Arial"/>
                <w:sz w:val="22"/>
                <w:szCs w:val="22"/>
                <w:lang w:val="en-GB"/>
              </w:rPr>
            </w:pPr>
            <w:r>
              <w:rPr>
                <w:noProof/>
                <w:lang w:val="en-AU" w:eastAsia="en-AU"/>
              </w:rPr>
              <w:drawing>
                <wp:inline distT="0" distB="0" distL="0" distR="0" wp14:anchorId="1619CADC" wp14:editId="7688157D">
                  <wp:extent cx="949826" cy="1933575"/>
                  <wp:effectExtent l="0" t="0" r="3175" b="0"/>
                  <wp:docPr id="5" name="Picture 5" descr="hanging_infu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ging_infus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826" cy="1933575"/>
                          </a:xfrm>
                          <a:prstGeom prst="rect">
                            <a:avLst/>
                          </a:prstGeom>
                          <a:noFill/>
                          <a:ln>
                            <a:noFill/>
                          </a:ln>
                        </pic:spPr>
                      </pic:pic>
                    </a:graphicData>
                  </a:graphic>
                </wp:inline>
              </w:drawing>
            </w:r>
          </w:p>
        </w:tc>
        <w:tc>
          <w:tcPr>
            <w:tcW w:w="3072" w:type="dxa"/>
            <w:gridSpan w:val="2"/>
            <w:vAlign w:val="bottom"/>
          </w:tcPr>
          <w:p w:rsidR="00D573BA" w:rsidRDefault="00D573BA" w:rsidP="00D573BA">
            <w:pPr>
              <w:pStyle w:val="CSText"/>
              <w:spacing w:after="120"/>
              <w:jc w:val="center"/>
              <w:rPr>
                <w:rFonts w:ascii="Arial" w:hAnsi="Arial" w:cs="Arial"/>
                <w:sz w:val="22"/>
                <w:szCs w:val="22"/>
                <w:lang w:val="en-GB"/>
              </w:rPr>
            </w:pPr>
            <w:r>
              <w:rPr>
                <w:noProof/>
                <w:lang w:val="en-AU" w:eastAsia="en-AU"/>
              </w:rPr>
              <w:drawing>
                <wp:inline distT="0" distB="0" distL="0" distR="0" wp14:anchorId="5DAD45C2" wp14:editId="5B5A0C26">
                  <wp:extent cx="1771650" cy="1581150"/>
                  <wp:effectExtent l="0" t="0" r="0" b="0"/>
                  <wp:docPr id="6" name="Picture 6" descr="bolus_inj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lus_injec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650" cy="1581150"/>
                          </a:xfrm>
                          <a:prstGeom prst="rect">
                            <a:avLst/>
                          </a:prstGeom>
                          <a:noFill/>
                          <a:ln>
                            <a:noFill/>
                          </a:ln>
                        </pic:spPr>
                      </pic:pic>
                    </a:graphicData>
                  </a:graphic>
                </wp:inline>
              </w:drawing>
            </w:r>
          </w:p>
        </w:tc>
      </w:tr>
      <w:tr w:rsidR="00D573BA" w:rsidTr="0086166F">
        <w:tc>
          <w:tcPr>
            <w:tcW w:w="1101" w:type="dxa"/>
          </w:tcPr>
          <w:p w:rsidR="00D573BA" w:rsidRPr="00D573BA" w:rsidRDefault="00D573BA" w:rsidP="005E73A3">
            <w:pPr>
              <w:pStyle w:val="CSText"/>
              <w:spacing w:after="120"/>
              <w:rPr>
                <w:rFonts w:ascii="Arial" w:hAnsi="Arial" w:cs="Arial"/>
                <w:b/>
                <w:bCs/>
                <w:sz w:val="18"/>
                <w:szCs w:val="18"/>
                <w:lang w:val="en-GB"/>
              </w:rPr>
            </w:pPr>
            <w:r w:rsidRPr="00D573BA">
              <w:rPr>
                <w:rFonts w:ascii="Arial" w:hAnsi="Arial" w:cs="Arial"/>
                <w:b/>
                <w:bCs/>
                <w:sz w:val="18"/>
                <w:szCs w:val="18"/>
                <w:lang w:val="en-GB"/>
              </w:rPr>
              <w:t xml:space="preserve">Figure </w:t>
            </w:r>
            <w:r w:rsidR="005E73A3">
              <w:rPr>
                <w:rFonts w:ascii="Arial" w:hAnsi="Arial" w:cs="Arial"/>
                <w:b/>
                <w:bCs/>
                <w:sz w:val="18"/>
                <w:szCs w:val="18"/>
                <w:lang w:val="en-GB"/>
              </w:rPr>
              <w:t>5</w:t>
            </w:r>
            <w:r w:rsidRPr="00D573BA">
              <w:rPr>
                <w:rFonts w:ascii="Arial" w:hAnsi="Arial" w:cs="Arial"/>
                <w:b/>
                <w:bCs/>
                <w:sz w:val="18"/>
                <w:szCs w:val="18"/>
                <w:lang w:val="en-GB"/>
              </w:rPr>
              <w:t xml:space="preserve"> </w:t>
            </w:r>
          </w:p>
        </w:tc>
        <w:tc>
          <w:tcPr>
            <w:tcW w:w="2216" w:type="dxa"/>
          </w:tcPr>
          <w:p w:rsidR="00D573BA" w:rsidRPr="00D573BA" w:rsidRDefault="00D573BA" w:rsidP="00D573BA">
            <w:pPr>
              <w:pStyle w:val="CSText"/>
              <w:spacing w:after="120"/>
              <w:rPr>
                <w:rFonts w:ascii="Arial" w:hAnsi="Arial" w:cs="Arial"/>
                <w:b/>
                <w:bCs/>
                <w:sz w:val="18"/>
                <w:szCs w:val="18"/>
                <w:lang w:val="en-GB"/>
              </w:rPr>
            </w:pPr>
            <w:r w:rsidRPr="00D573BA">
              <w:rPr>
                <w:rFonts w:ascii="Arial" w:hAnsi="Arial" w:cs="Arial"/>
                <w:b/>
                <w:bCs/>
                <w:sz w:val="18"/>
                <w:szCs w:val="18"/>
                <w:lang w:val="en-GB"/>
              </w:rPr>
              <w:t>Recommended dose of PRAXBIND provided as two vials.</w:t>
            </w:r>
          </w:p>
        </w:tc>
        <w:tc>
          <w:tcPr>
            <w:tcW w:w="1044" w:type="dxa"/>
          </w:tcPr>
          <w:p w:rsidR="00D573BA" w:rsidRPr="00D573BA" w:rsidRDefault="00D573BA" w:rsidP="005E73A3">
            <w:pPr>
              <w:pStyle w:val="CSText"/>
              <w:spacing w:after="120"/>
              <w:jc w:val="both"/>
              <w:rPr>
                <w:rFonts w:ascii="Arial" w:hAnsi="Arial" w:cs="Arial"/>
                <w:b/>
                <w:bCs/>
                <w:sz w:val="18"/>
                <w:szCs w:val="18"/>
                <w:lang w:val="en-GB"/>
              </w:rPr>
            </w:pPr>
            <w:r>
              <w:rPr>
                <w:rFonts w:ascii="Arial" w:hAnsi="Arial" w:cs="Arial"/>
                <w:b/>
                <w:bCs/>
                <w:sz w:val="18"/>
                <w:szCs w:val="18"/>
                <w:lang w:val="en-GB"/>
              </w:rPr>
              <w:t xml:space="preserve">Figure </w:t>
            </w:r>
            <w:r w:rsidR="005E73A3">
              <w:rPr>
                <w:rFonts w:ascii="Arial" w:hAnsi="Arial" w:cs="Arial"/>
                <w:b/>
                <w:bCs/>
                <w:sz w:val="18"/>
                <w:szCs w:val="18"/>
                <w:lang w:val="en-GB"/>
              </w:rPr>
              <w:t>6</w:t>
            </w:r>
          </w:p>
        </w:tc>
        <w:tc>
          <w:tcPr>
            <w:tcW w:w="1826" w:type="dxa"/>
          </w:tcPr>
          <w:p w:rsidR="00D573BA" w:rsidRPr="00D573BA" w:rsidRDefault="00D573BA" w:rsidP="00D573BA">
            <w:pPr>
              <w:pStyle w:val="CSText"/>
              <w:spacing w:after="120"/>
              <w:rPr>
                <w:rFonts w:ascii="Arial" w:hAnsi="Arial" w:cs="Arial"/>
                <w:b/>
                <w:bCs/>
                <w:sz w:val="18"/>
                <w:szCs w:val="18"/>
                <w:lang w:val="en-GB"/>
              </w:rPr>
            </w:pPr>
            <w:r>
              <w:rPr>
                <w:rFonts w:ascii="Arial" w:hAnsi="Arial" w:cs="Arial"/>
                <w:b/>
                <w:bCs/>
                <w:sz w:val="18"/>
                <w:szCs w:val="18"/>
                <w:lang w:val="en-GB"/>
              </w:rPr>
              <w:t>Two consecutive infusions by hanging vials.</w:t>
            </w:r>
          </w:p>
        </w:tc>
        <w:tc>
          <w:tcPr>
            <w:tcW w:w="1009" w:type="dxa"/>
          </w:tcPr>
          <w:p w:rsidR="00D573BA" w:rsidRPr="00D573BA" w:rsidRDefault="00D573BA" w:rsidP="005E73A3">
            <w:pPr>
              <w:pStyle w:val="CSText"/>
              <w:spacing w:after="120"/>
              <w:jc w:val="both"/>
              <w:rPr>
                <w:rFonts w:ascii="Arial" w:hAnsi="Arial" w:cs="Arial"/>
                <w:b/>
                <w:bCs/>
                <w:sz w:val="18"/>
                <w:szCs w:val="18"/>
                <w:lang w:val="en-GB"/>
              </w:rPr>
            </w:pPr>
            <w:r>
              <w:rPr>
                <w:rFonts w:ascii="Arial" w:hAnsi="Arial" w:cs="Arial"/>
                <w:b/>
                <w:bCs/>
                <w:sz w:val="18"/>
                <w:szCs w:val="18"/>
                <w:lang w:val="en-GB"/>
              </w:rPr>
              <w:t xml:space="preserve">Figure </w:t>
            </w:r>
            <w:r w:rsidR="005E73A3">
              <w:rPr>
                <w:rFonts w:ascii="Arial" w:hAnsi="Arial" w:cs="Arial"/>
                <w:b/>
                <w:bCs/>
                <w:sz w:val="18"/>
                <w:szCs w:val="18"/>
                <w:lang w:val="en-GB"/>
              </w:rPr>
              <w:t>7</w:t>
            </w:r>
          </w:p>
        </w:tc>
        <w:tc>
          <w:tcPr>
            <w:tcW w:w="2063" w:type="dxa"/>
          </w:tcPr>
          <w:p w:rsidR="00D573BA" w:rsidRPr="00D573BA" w:rsidRDefault="00D573BA" w:rsidP="00D573BA">
            <w:pPr>
              <w:pStyle w:val="CSText"/>
              <w:spacing w:after="120"/>
              <w:rPr>
                <w:rFonts w:ascii="Arial" w:hAnsi="Arial" w:cs="Arial"/>
                <w:b/>
                <w:bCs/>
                <w:sz w:val="18"/>
                <w:szCs w:val="18"/>
                <w:lang w:val="en-GB"/>
              </w:rPr>
            </w:pPr>
            <w:r>
              <w:rPr>
                <w:rFonts w:ascii="Arial" w:hAnsi="Arial" w:cs="Arial"/>
                <w:b/>
                <w:bCs/>
                <w:sz w:val="18"/>
                <w:szCs w:val="18"/>
                <w:lang w:val="en-GB"/>
              </w:rPr>
              <w:t>Inject both vials consecutively via syringe.</w:t>
            </w:r>
          </w:p>
        </w:tc>
      </w:tr>
    </w:tbl>
    <w:p w:rsidR="00D573BA" w:rsidRDefault="00D573BA" w:rsidP="008E1BDB">
      <w:pPr>
        <w:pStyle w:val="CSText"/>
        <w:spacing w:after="120"/>
        <w:jc w:val="both"/>
        <w:rPr>
          <w:rFonts w:ascii="Arial" w:hAnsi="Arial" w:cs="Arial"/>
          <w:sz w:val="22"/>
          <w:szCs w:val="22"/>
          <w:lang w:val="en-GB"/>
        </w:rPr>
      </w:pPr>
    </w:p>
    <w:p w:rsidR="008E1BDB" w:rsidRPr="008E1BDB" w:rsidRDefault="008E1BDB" w:rsidP="008E1BDB">
      <w:pPr>
        <w:pStyle w:val="CSText"/>
        <w:spacing w:after="120"/>
        <w:jc w:val="both"/>
        <w:rPr>
          <w:rFonts w:ascii="Arial" w:hAnsi="Arial" w:cs="Arial"/>
          <w:sz w:val="22"/>
          <w:szCs w:val="22"/>
          <w:lang w:val="en-GB"/>
        </w:rPr>
      </w:pPr>
      <w:r w:rsidRPr="008E1BDB">
        <w:rPr>
          <w:rFonts w:ascii="Arial" w:hAnsi="Arial" w:cs="Arial"/>
          <w:sz w:val="22"/>
          <w:szCs w:val="22"/>
          <w:lang w:val="en-GB"/>
        </w:rPr>
        <w:t xml:space="preserve">In a </w:t>
      </w:r>
      <w:r w:rsidR="0038062D">
        <w:rPr>
          <w:rFonts w:ascii="Arial" w:hAnsi="Arial" w:cs="Arial"/>
          <w:sz w:val="22"/>
          <w:szCs w:val="22"/>
          <w:lang w:val="en-GB"/>
        </w:rPr>
        <w:t>limited number</w:t>
      </w:r>
      <w:r w:rsidRPr="008E1BDB">
        <w:rPr>
          <w:rFonts w:ascii="Arial" w:hAnsi="Arial" w:cs="Arial"/>
          <w:sz w:val="22"/>
          <w:szCs w:val="22"/>
          <w:lang w:val="en-GB"/>
        </w:rPr>
        <w:t xml:space="preserve"> of patients, recurrence of plasma concentrations of unbound dabigatran and concomitant prolongation of clotting tests ha</w:t>
      </w:r>
      <w:r w:rsidR="003C4F0D">
        <w:rPr>
          <w:rFonts w:ascii="Arial" w:hAnsi="Arial" w:cs="Arial"/>
          <w:sz w:val="22"/>
          <w:szCs w:val="22"/>
          <w:lang w:val="en-GB"/>
        </w:rPr>
        <w:t>s</w:t>
      </w:r>
      <w:r w:rsidRPr="008E1BDB">
        <w:rPr>
          <w:rFonts w:ascii="Arial" w:hAnsi="Arial" w:cs="Arial"/>
          <w:sz w:val="22"/>
          <w:szCs w:val="22"/>
          <w:lang w:val="en-GB"/>
        </w:rPr>
        <w:t xml:space="preserve"> occurred up to 24 hours after administration of </w:t>
      </w:r>
      <w:proofErr w:type="spellStart"/>
      <w:r w:rsidRPr="008E1BDB">
        <w:rPr>
          <w:rFonts w:ascii="Arial" w:hAnsi="Arial" w:cs="Arial"/>
          <w:sz w:val="22"/>
          <w:szCs w:val="22"/>
          <w:lang w:val="en-GB"/>
        </w:rPr>
        <w:t>idarucizumab</w:t>
      </w:r>
      <w:proofErr w:type="spellEnd"/>
      <w:r w:rsidR="0028729E">
        <w:rPr>
          <w:rFonts w:ascii="Arial" w:hAnsi="Arial" w:cs="Arial"/>
          <w:sz w:val="22"/>
          <w:szCs w:val="22"/>
          <w:lang w:val="en-GB"/>
        </w:rPr>
        <w:t xml:space="preserve"> (see PHARMACOLOGY, Pharmacodynamics)</w:t>
      </w:r>
      <w:r w:rsidRPr="008E1BDB">
        <w:rPr>
          <w:rFonts w:ascii="Arial" w:hAnsi="Arial" w:cs="Arial"/>
          <w:sz w:val="22"/>
          <w:szCs w:val="22"/>
          <w:lang w:val="en-GB"/>
        </w:rPr>
        <w:t>.</w:t>
      </w:r>
    </w:p>
    <w:p w:rsidR="008E1BDB" w:rsidRPr="008E1BDB" w:rsidRDefault="008E1BDB" w:rsidP="008E1BDB">
      <w:pPr>
        <w:pStyle w:val="CSText"/>
        <w:spacing w:after="120"/>
        <w:jc w:val="both"/>
        <w:rPr>
          <w:rFonts w:ascii="Arial" w:hAnsi="Arial" w:cs="Arial"/>
          <w:sz w:val="22"/>
          <w:szCs w:val="22"/>
          <w:lang w:val="en-GB"/>
        </w:rPr>
      </w:pPr>
      <w:r w:rsidRPr="008E3172">
        <w:rPr>
          <w:rFonts w:ascii="Arial" w:hAnsi="Arial" w:cs="Arial"/>
          <w:sz w:val="22"/>
          <w:szCs w:val="22"/>
          <w:u w:val="single"/>
          <w:lang w:val="en-GB"/>
        </w:rPr>
        <w:t xml:space="preserve">Administration of a second </w:t>
      </w:r>
      <w:r w:rsidRPr="00786882">
        <w:rPr>
          <w:rFonts w:ascii="Arial" w:hAnsi="Arial" w:cs="Arial"/>
          <w:sz w:val="22"/>
          <w:szCs w:val="22"/>
          <w:u w:val="single"/>
          <w:lang w:val="en-GB"/>
        </w:rPr>
        <w:t xml:space="preserve">5g dose </w:t>
      </w:r>
      <w:r w:rsidRPr="00A93A74">
        <w:rPr>
          <w:rFonts w:ascii="Arial" w:hAnsi="Arial" w:cs="Arial"/>
          <w:sz w:val="22"/>
          <w:szCs w:val="22"/>
          <w:u w:val="single"/>
          <w:lang w:val="en-GB"/>
        </w:rPr>
        <w:t xml:space="preserve">of </w:t>
      </w:r>
      <w:r w:rsidR="0023251B" w:rsidRPr="00A93A74">
        <w:rPr>
          <w:rFonts w:ascii="Arial" w:hAnsi="Arial" w:cs="Arial"/>
          <w:sz w:val="22"/>
          <w:szCs w:val="22"/>
          <w:u w:val="single"/>
          <w:lang w:val="en-GB"/>
        </w:rPr>
        <w:t>PRAXBIND</w:t>
      </w:r>
      <w:r w:rsidRPr="008E1BDB">
        <w:rPr>
          <w:rFonts w:ascii="Arial" w:hAnsi="Arial" w:cs="Arial"/>
          <w:sz w:val="22"/>
          <w:szCs w:val="22"/>
          <w:lang w:val="en-GB"/>
        </w:rPr>
        <w:t xml:space="preserve"> may be considered in the following situations:</w:t>
      </w:r>
    </w:p>
    <w:p w:rsidR="008E1BDB" w:rsidRPr="008E1BDB" w:rsidRDefault="008E1BDB" w:rsidP="006B3EC3">
      <w:pPr>
        <w:pStyle w:val="CSText"/>
        <w:numPr>
          <w:ilvl w:val="0"/>
          <w:numId w:val="23"/>
        </w:numPr>
        <w:spacing w:after="120"/>
        <w:ind w:left="709" w:hanging="349"/>
        <w:jc w:val="both"/>
        <w:rPr>
          <w:rFonts w:ascii="Arial" w:hAnsi="Arial" w:cs="Arial"/>
          <w:sz w:val="22"/>
          <w:szCs w:val="22"/>
          <w:lang w:val="en-GB"/>
        </w:rPr>
      </w:pPr>
      <w:r w:rsidRPr="008E1BDB">
        <w:rPr>
          <w:rFonts w:ascii="Arial" w:hAnsi="Arial" w:cs="Arial"/>
          <w:sz w:val="22"/>
          <w:szCs w:val="22"/>
          <w:lang w:val="en-GB"/>
        </w:rPr>
        <w:t>recurrence of clinically relevant bleeding together with prolonged clotting times, or</w:t>
      </w:r>
    </w:p>
    <w:p w:rsidR="008E1BDB" w:rsidRPr="008E1BDB" w:rsidRDefault="008E1BDB" w:rsidP="006B3EC3">
      <w:pPr>
        <w:pStyle w:val="CSText"/>
        <w:numPr>
          <w:ilvl w:val="0"/>
          <w:numId w:val="23"/>
        </w:numPr>
        <w:spacing w:after="120"/>
        <w:ind w:left="709" w:hanging="349"/>
        <w:jc w:val="both"/>
        <w:rPr>
          <w:rFonts w:ascii="Arial" w:hAnsi="Arial" w:cs="Arial"/>
          <w:sz w:val="22"/>
          <w:szCs w:val="22"/>
          <w:lang w:val="en-GB"/>
        </w:rPr>
      </w:pPr>
      <w:proofErr w:type="gramStart"/>
      <w:r w:rsidRPr="008E1BDB">
        <w:rPr>
          <w:rFonts w:ascii="Arial" w:hAnsi="Arial" w:cs="Arial"/>
          <w:sz w:val="22"/>
          <w:szCs w:val="22"/>
          <w:lang w:val="en-GB"/>
        </w:rPr>
        <w:t>patients</w:t>
      </w:r>
      <w:proofErr w:type="gramEnd"/>
      <w:r w:rsidRPr="008E1BDB">
        <w:rPr>
          <w:rFonts w:ascii="Arial" w:hAnsi="Arial" w:cs="Arial"/>
          <w:sz w:val="22"/>
          <w:szCs w:val="22"/>
          <w:lang w:val="en-GB"/>
        </w:rPr>
        <w:t xml:space="preserve"> require a second emergency surgery/urgent procedure and have prolonged clotting times.</w:t>
      </w:r>
    </w:p>
    <w:p w:rsidR="008E1BDB" w:rsidRPr="008E1BDB" w:rsidRDefault="008E1BDB" w:rsidP="008E1BDB">
      <w:pPr>
        <w:pStyle w:val="CSText"/>
        <w:spacing w:after="120"/>
        <w:jc w:val="both"/>
        <w:rPr>
          <w:rFonts w:ascii="Arial" w:hAnsi="Arial" w:cs="Arial"/>
          <w:sz w:val="22"/>
          <w:szCs w:val="22"/>
          <w:lang w:val="en-GB"/>
        </w:rPr>
      </w:pPr>
      <w:r w:rsidRPr="008E1BDB">
        <w:rPr>
          <w:rFonts w:ascii="Arial" w:hAnsi="Arial" w:cs="Arial"/>
          <w:sz w:val="22"/>
          <w:szCs w:val="22"/>
          <w:lang w:val="en-GB"/>
        </w:rPr>
        <w:t>Relevant coagulation parameters are activated Partial Thromboplastin Time (</w:t>
      </w:r>
      <w:proofErr w:type="spellStart"/>
      <w:r w:rsidRPr="008E1BDB">
        <w:rPr>
          <w:rFonts w:ascii="Arial" w:hAnsi="Arial" w:cs="Arial"/>
          <w:sz w:val="22"/>
          <w:szCs w:val="22"/>
          <w:lang w:val="en-GB"/>
        </w:rPr>
        <w:t>aPTT</w:t>
      </w:r>
      <w:proofErr w:type="spellEnd"/>
      <w:r w:rsidRPr="008E1BDB">
        <w:rPr>
          <w:rFonts w:ascii="Arial" w:hAnsi="Arial" w:cs="Arial"/>
          <w:sz w:val="22"/>
          <w:szCs w:val="22"/>
          <w:lang w:val="en-GB"/>
        </w:rPr>
        <w:t>), diluted Thrombin Time (</w:t>
      </w:r>
      <w:proofErr w:type="spellStart"/>
      <w:r w:rsidRPr="008E1BDB">
        <w:rPr>
          <w:rFonts w:ascii="Arial" w:hAnsi="Arial" w:cs="Arial"/>
          <w:sz w:val="22"/>
          <w:szCs w:val="22"/>
          <w:lang w:val="en-GB"/>
        </w:rPr>
        <w:t>dTT</w:t>
      </w:r>
      <w:proofErr w:type="spellEnd"/>
      <w:r w:rsidRPr="008E1BDB">
        <w:rPr>
          <w:rFonts w:ascii="Arial" w:hAnsi="Arial" w:cs="Arial"/>
          <w:sz w:val="22"/>
          <w:szCs w:val="22"/>
          <w:lang w:val="en-GB"/>
        </w:rPr>
        <w:t xml:space="preserve">) or </w:t>
      </w:r>
      <w:proofErr w:type="spellStart"/>
      <w:r w:rsidRPr="008E1BDB">
        <w:rPr>
          <w:rFonts w:ascii="Arial" w:hAnsi="Arial" w:cs="Arial"/>
          <w:sz w:val="22"/>
          <w:szCs w:val="22"/>
          <w:lang w:val="en-GB"/>
        </w:rPr>
        <w:t>Ecarin</w:t>
      </w:r>
      <w:proofErr w:type="spellEnd"/>
      <w:r w:rsidRPr="008E1BDB">
        <w:rPr>
          <w:rFonts w:ascii="Arial" w:hAnsi="Arial" w:cs="Arial"/>
          <w:sz w:val="22"/>
          <w:szCs w:val="22"/>
          <w:lang w:val="en-GB"/>
        </w:rPr>
        <w:t xml:space="preserve"> Clotting Time (ECT).</w:t>
      </w:r>
    </w:p>
    <w:p w:rsidR="008E1BDB" w:rsidRPr="00D122F1" w:rsidRDefault="00D122F1" w:rsidP="008E1BDB">
      <w:pPr>
        <w:pStyle w:val="CSText"/>
        <w:spacing w:after="120"/>
        <w:jc w:val="both"/>
        <w:rPr>
          <w:rFonts w:ascii="Arial" w:hAnsi="Arial" w:cs="Arial"/>
          <w:sz w:val="22"/>
          <w:szCs w:val="22"/>
          <w:lang w:val="en-AU"/>
        </w:rPr>
      </w:pPr>
      <w:r>
        <w:rPr>
          <w:rFonts w:ascii="Arial" w:hAnsi="Arial" w:cs="Arial"/>
          <w:sz w:val="22"/>
          <w:szCs w:val="22"/>
          <w:lang w:val="en-GB"/>
        </w:rPr>
        <w:t>The safety and efficacy of repeat treatment with PRAXBIND have not been established.</w:t>
      </w:r>
    </w:p>
    <w:p w:rsidR="00AA6AFB" w:rsidRPr="00125E1E" w:rsidRDefault="00AA6AFB" w:rsidP="00125E1E">
      <w:pPr>
        <w:pStyle w:val="PIheading2"/>
      </w:pPr>
      <w:r w:rsidRPr="00125E1E">
        <w:t>Restarting Antithrombotic Therapy</w:t>
      </w:r>
    </w:p>
    <w:p w:rsidR="00A921BD" w:rsidRPr="00125E1E" w:rsidRDefault="00A921BD" w:rsidP="00A921BD">
      <w:pPr>
        <w:pStyle w:val="TextPI"/>
        <w:rPr>
          <w:rFonts w:cs="Arial"/>
          <w:lang w:val="en-GB" w:eastAsia="de-DE"/>
        </w:rPr>
      </w:pPr>
      <w:r w:rsidRPr="00A921BD">
        <w:rPr>
          <w:rFonts w:cs="Arial"/>
          <w:lang w:val="en-GB" w:eastAsia="de-DE"/>
        </w:rPr>
        <w:t>Patients being treated with PRADAXA have underlying disease states that predispose them to</w:t>
      </w:r>
      <w:r>
        <w:rPr>
          <w:rFonts w:cs="Arial"/>
          <w:lang w:val="en-GB" w:eastAsia="de-DE"/>
        </w:rPr>
        <w:t xml:space="preserve"> </w:t>
      </w:r>
      <w:r w:rsidRPr="00A921BD">
        <w:rPr>
          <w:rFonts w:cs="Arial"/>
          <w:lang w:val="en-GB" w:eastAsia="de-DE"/>
        </w:rPr>
        <w:t>thromboembolic events. Reversing PRADAXA exposes patients to the thrombotic risk of</w:t>
      </w:r>
      <w:r>
        <w:rPr>
          <w:rFonts w:cs="Arial"/>
          <w:lang w:val="en-GB" w:eastAsia="de-DE"/>
        </w:rPr>
        <w:t xml:space="preserve"> </w:t>
      </w:r>
      <w:r w:rsidRPr="00A921BD">
        <w:rPr>
          <w:rFonts w:cs="Arial"/>
          <w:lang w:val="en-GB" w:eastAsia="de-DE"/>
        </w:rPr>
        <w:t>their underlying disease. To reduce this risk, resumption of anticoagulant therapy should be</w:t>
      </w:r>
      <w:r>
        <w:rPr>
          <w:rFonts w:cs="Arial"/>
          <w:lang w:val="en-GB" w:eastAsia="de-DE"/>
        </w:rPr>
        <w:t xml:space="preserve"> </w:t>
      </w:r>
      <w:r w:rsidRPr="00A921BD">
        <w:rPr>
          <w:rFonts w:cs="Arial"/>
          <w:lang w:val="en-GB" w:eastAsia="de-DE"/>
        </w:rPr>
        <w:t xml:space="preserve">considered as soon as medically appropriate. </w:t>
      </w:r>
      <w:proofErr w:type="spellStart"/>
      <w:r w:rsidRPr="00A921BD">
        <w:rPr>
          <w:rFonts w:cs="Arial"/>
          <w:lang w:val="en-GB" w:eastAsia="de-DE"/>
        </w:rPr>
        <w:t>Idarucizumab</w:t>
      </w:r>
      <w:proofErr w:type="spellEnd"/>
      <w:r w:rsidRPr="00A921BD">
        <w:rPr>
          <w:rFonts w:cs="Arial"/>
          <w:lang w:val="en-GB" w:eastAsia="de-DE"/>
        </w:rPr>
        <w:t xml:space="preserve"> is a specific reversal agent for</w:t>
      </w:r>
      <w:r>
        <w:rPr>
          <w:rFonts w:cs="Arial"/>
          <w:lang w:val="en-GB" w:eastAsia="de-DE"/>
        </w:rPr>
        <w:t xml:space="preserve"> </w:t>
      </w:r>
      <w:r w:rsidRPr="00A921BD">
        <w:rPr>
          <w:rFonts w:cs="Arial"/>
          <w:lang w:val="en-GB" w:eastAsia="de-DE"/>
        </w:rPr>
        <w:t>dabigatran, with no impact on the effect of other anticoagulant or antithrombotic therapies.</w:t>
      </w:r>
      <w:r>
        <w:rPr>
          <w:rFonts w:cs="Arial"/>
          <w:lang w:val="en-GB" w:eastAsia="de-DE"/>
        </w:rPr>
        <w:t xml:space="preserve"> </w:t>
      </w:r>
      <w:r w:rsidRPr="00A921BD">
        <w:rPr>
          <w:rFonts w:cs="Arial"/>
          <w:lang w:val="en-GB" w:eastAsia="de-DE"/>
        </w:rPr>
        <w:lastRenderedPageBreak/>
        <w:t>PRADAXA treatment can be initiated 24 hours after administration of PRAXBIND (refer to</w:t>
      </w:r>
      <w:r>
        <w:rPr>
          <w:rFonts w:cs="Arial"/>
          <w:lang w:val="en-GB" w:eastAsia="de-DE"/>
        </w:rPr>
        <w:t xml:space="preserve"> </w:t>
      </w:r>
      <w:r w:rsidRPr="00A921BD">
        <w:rPr>
          <w:rFonts w:cs="Arial"/>
          <w:lang w:val="en-GB" w:eastAsia="de-DE"/>
        </w:rPr>
        <w:t xml:space="preserve">dosing in </w:t>
      </w:r>
      <w:r>
        <w:rPr>
          <w:rFonts w:cs="Arial"/>
          <w:lang w:val="en-GB" w:eastAsia="de-DE"/>
        </w:rPr>
        <w:t>PRECAUTIONS, Use in Specific Populations, R</w:t>
      </w:r>
      <w:r w:rsidRPr="00A921BD">
        <w:rPr>
          <w:rFonts w:cs="Arial"/>
          <w:lang w:val="en-GB" w:eastAsia="de-DE"/>
        </w:rPr>
        <w:t>enal impairment).</w:t>
      </w:r>
    </w:p>
    <w:p w:rsidR="00AA6AFB" w:rsidRPr="00125E1E" w:rsidRDefault="00AA6AFB" w:rsidP="00125E1E">
      <w:pPr>
        <w:pStyle w:val="PIheading2"/>
      </w:pPr>
      <w:r w:rsidRPr="00125E1E">
        <w:t>Instructions for Use / Handling</w:t>
      </w:r>
    </w:p>
    <w:p w:rsidR="00AA6AFB" w:rsidRPr="00125E1E" w:rsidRDefault="00AA6AFB" w:rsidP="00125E1E">
      <w:pPr>
        <w:pStyle w:val="TextPI"/>
        <w:rPr>
          <w:rFonts w:cs="Arial"/>
          <w:lang w:val="en-GB" w:eastAsia="de-DE"/>
        </w:rPr>
      </w:pPr>
      <w:r w:rsidRPr="00125E1E">
        <w:rPr>
          <w:rFonts w:cs="Arial"/>
          <w:lang w:val="en-GB" w:eastAsia="de-DE"/>
        </w:rPr>
        <w:t>Parenteral drug products should be inspected visually for particulate matter and discolo</w:t>
      </w:r>
      <w:r w:rsidR="002B512F">
        <w:rPr>
          <w:rFonts w:cs="Arial"/>
          <w:lang w:val="en-GB" w:eastAsia="de-DE"/>
        </w:rPr>
        <w:t>u</w:t>
      </w:r>
      <w:r w:rsidRPr="00125E1E">
        <w:rPr>
          <w:rFonts w:cs="Arial"/>
          <w:lang w:val="en-GB" w:eastAsia="de-DE"/>
        </w:rPr>
        <w:t>ration prior to administration.</w:t>
      </w:r>
    </w:p>
    <w:p w:rsidR="00AA6AFB" w:rsidRPr="00125E1E" w:rsidRDefault="00762F30" w:rsidP="00125E1E">
      <w:pPr>
        <w:pStyle w:val="TextPI"/>
        <w:rPr>
          <w:rFonts w:cs="Arial"/>
          <w:lang w:val="en-GB" w:eastAsia="de-DE"/>
        </w:rPr>
      </w:pPr>
      <w:r>
        <w:rPr>
          <w:rFonts w:cs="Arial"/>
          <w:lang w:val="en-GB" w:eastAsia="de-DE"/>
        </w:rPr>
        <w:t>PRAXBIND</w:t>
      </w:r>
      <w:r w:rsidR="00AA6AFB" w:rsidRPr="00125E1E">
        <w:rPr>
          <w:rFonts w:cs="Arial"/>
          <w:lang w:val="en-GB" w:eastAsia="de-DE"/>
        </w:rPr>
        <w:t xml:space="preserve"> must not be mixed with other medicinal products. A pre-existing intravenous line may be used for administration of </w:t>
      </w:r>
      <w:r>
        <w:rPr>
          <w:rFonts w:cs="Arial"/>
          <w:lang w:val="en-GB" w:eastAsia="de-DE"/>
        </w:rPr>
        <w:t>PRAXBIND</w:t>
      </w:r>
      <w:r w:rsidR="00AA6AFB" w:rsidRPr="00125E1E">
        <w:rPr>
          <w:rFonts w:cs="Arial"/>
          <w:lang w:val="en-GB" w:eastAsia="de-DE"/>
        </w:rPr>
        <w:t>. The line must be flushed with sterile sodium chloride 9 mg/</w:t>
      </w:r>
      <w:r w:rsidR="009D4A7E" w:rsidRPr="00125E1E">
        <w:rPr>
          <w:rFonts w:cs="Arial"/>
          <w:lang w:val="en-GB" w:eastAsia="de-DE"/>
        </w:rPr>
        <w:t>m</w:t>
      </w:r>
      <w:r w:rsidR="009D4A7E">
        <w:rPr>
          <w:rFonts w:cs="Arial"/>
          <w:lang w:val="en-GB" w:eastAsia="de-DE"/>
        </w:rPr>
        <w:t>L</w:t>
      </w:r>
      <w:r w:rsidR="009D4A7E" w:rsidRPr="00125E1E">
        <w:rPr>
          <w:rFonts w:cs="Arial"/>
          <w:lang w:val="en-GB" w:eastAsia="de-DE"/>
        </w:rPr>
        <w:t xml:space="preserve"> </w:t>
      </w:r>
      <w:r w:rsidR="00AA6AFB" w:rsidRPr="00125E1E">
        <w:rPr>
          <w:rFonts w:cs="Arial"/>
          <w:lang w:val="en-GB" w:eastAsia="de-DE"/>
        </w:rPr>
        <w:t>(0.9 %) solution prior to and at the end of infusion.</w:t>
      </w:r>
      <w:r w:rsidR="00AA6AFB" w:rsidRPr="00125E1E">
        <w:rPr>
          <w:rFonts w:cs="Arial"/>
          <w:lang w:eastAsia="de-DE"/>
        </w:rPr>
        <w:t xml:space="preserve"> </w:t>
      </w:r>
      <w:r w:rsidR="00AA6AFB" w:rsidRPr="00125E1E">
        <w:rPr>
          <w:rFonts w:cs="Arial"/>
          <w:lang w:val="en-GB" w:eastAsia="de-DE"/>
        </w:rPr>
        <w:t>No other infusion should be administered in parallel via the same intravenous access.</w:t>
      </w:r>
    </w:p>
    <w:p w:rsidR="00AA6AFB" w:rsidRPr="00125E1E" w:rsidRDefault="00AA6AFB" w:rsidP="00125E1E">
      <w:pPr>
        <w:pStyle w:val="TextPI"/>
        <w:rPr>
          <w:rFonts w:cs="Arial"/>
          <w:lang w:val="en-GB" w:eastAsia="de-DE"/>
        </w:rPr>
      </w:pPr>
      <w:r w:rsidRPr="00125E1E">
        <w:rPr>
          <w:rFonts w:cs="Arial"/>
          <w:lang w:val="en-GB" w:eastAsia="de-DE"/>
        </w:rPr>
        <w:t xml:space="preserve">Prior to use, the unopened vial may be kept at room temperature (25°C) for up to 48 hours, if stored in the original package in order to protect from light, or up to 6 hours when exposed to light. Once solution has been removed from the vial, chemical and physical in-use stability of </w:t>
      </w:r>
      <w:proofErr w:type="spellStart"/>
      <w:r w:rsidRPr="00125E1E">
        <w:rPr>
          <w:rFonts w:cs="Arial"/>
          <w:lang w:val="en-GB" w:eastAsia="de-DE"/>
        </w:rPr>
        <w:t>idarucizumab</w:t>
      </w:r>
      <w:proofErr w:type="spellEnd"/>
      <w:r w:rsidRPr="00125E1E">
        <w:rPr>
          <w:rFonts w:cs="Arial"/>
          <w:lang w:val="en-GB" w:eastAsia="de-DE"/>
        </w:rPr>
        <w:t xml:space="preserve"> has been demonstrated for 1 hour at room temperature.</w:t>
      </w:r>
    </w:p>
    <w:p w:rsidR="00AA6AFB" w:rsidRPr="00125E1E" w:rsidRDefault="00762F30" w:rsidP="00125E1E">
      <w:pPr>
        <w:pStyle w:val="TextPI"/>
        <w:rPr>
          <w:rFonts w:cs="Arial"/>
          <w:lang w:val="en-GB" w:eastAsia="de-DE"/>
        </w:rPr>
      </w:pPr>
      <w:r>
        <w:rPr>
          <w:rFonts w:cs="Arial"/>
          <w:lang w:val="en-GB" w:eastAsia="de-DE"/>
        </w:rPr>
        <w:t>PRAXBIND</w:t>
      </w:r>
      <w:r w:rsidR="00AA6AFB" w:rsidRPr="00125E1E">
        <w:rPr>
          <w:rFonts w:cs="Arial"/>
          <w:lang w:val="en-GB" w:eastAsia="de-DE"/>
        </w:rPr>
        <w:t xml:space="preserve"> does not contain preservatives. </w:t>
      </w:r>
      <w:r>
        <w:rPr>
          <w:rFonts w:cs="Arial"/>
          <w:lang w:val="en-GB" w:eastAsia="de-DE"/>
        </w:rPr>
        <w:t>PRAXBIND</w:t>
      </w:r>
      <w:r w:rsidR="005377FD">
        <w:rPr>
          <w:rFonts w:cs="Arial"/>
          <w:lang w:val="en-GB" w:eastAsia="de-DE"/>
        </w:rPr>
        <w:t xml:space="preserve"> is for single use in one patient only. Discard any residue.</w:t>
      </w:r>
    </w:p>
    <w:p w:rsidR="00AA6AFB" w:rsidRPr="00125E1E" w:rsidRDefault="00AA6AFB" w:rsidP="00125E1E">
      <w:pPr>
        <w:pStyle w:val="TextPI"/>
        <w:rPr>
          <w:rFonts w:cs="Arial"/>
          <w:lang w:val="en-GB" w:eastAsia="de-DE"/>
        </w:rPr>
      </w:pPr>
      <w:r w:rsidRPr="00125E1E">
        <w:rPr>
          <w:rFonts w:cs="Arial"/>
          <w:lang w:val="en-GB" w:eastAsia="de-DE"/>
        </w:rPr>
        <w:t xml:space="preserve">No incompatibilities between </w:t>
      </w:r>
      <w:r w:rsidR="00762F30">
        <w:rPr>
          <w:rFonts w:cs="Arial"/>
          <w:lang w:val="en-GB" w:eastAsia="de-DE"/>
        </w:rPr>
        <w:t>PRAXBIND</w:t>
      </w:r>
      <w:r w:rsidRPr="00125E1E">
        <w:rPr>
          <w:rFonts w:cs="Arial"/>
          <w:lang w:val="en-GB" w:eastAsia="de-DE"/>
        </w:rPr>
        <w:t xml:space="preserve"> and polyvinyl chloride, polyethylene or</w:t>
      </w:r>
      <w:r w:rsidR="00125E1E">
        <w:rPr>
          <w:rFonts w:cs="Arial"/>
          <w:lang w:val="en-GB" w:eastAsia="de-DE"/>
        </w:rPr>
        <w:t xml:space="preserve"> </w:t>
      </w:r>
      <w:r w:rsidRPr="00125E1E">
        <w:rPr>
          <w:rFonts w:cs="Arial"/>
          <w:lang w:val="en-GB" w:eastAsia="de-DE"/>
        </w:rPr>
        <w:t xml:space="preserve">polyurethane infusion sets or polypropylene syringes have been observed. </w:t>
      </w:r>
    </w:p>
    <w:p w:rsidR="00014579" w:rsidRPr="0042370A" w:rsidRDefault="00014579" w:rsidP="000A1804">
      <w:pPr>
        <w:pStyle w:val="PIHeading1"/>
      </w:pPr>
      <w:r w:rsidRPr="0042370A">
        <w:t>OVERDOSAGE</w:t>
      </w:r>
    </w:p>
    <w:p w:rsidR="00F27C9D" w:rsidRDefault="00F27C9D" w:rsidP="00064ADC">
      <w:pPr>
        <w:pStyle w:val="TextPI"/>
        <w:rPr>
          <w:sz w:val="23"/>
          <w:szCs w:val="23"/>
        </w:rPr>
      </w:pPr>
      <w:proofErr w:type="gramStart"/>
      <w:r>
        <w:rPr>
          <w:sz w:val="23"/>
          <w:szCs w:val="23"/>
        </w:rPr>
        <w:t>For information on the management of overdose contact the Poisons Information Centre on 13 11 26 (Australia).</w:t>
      </w:r>
      <w:proofErr w:type="gramEnd"/>
      <w:r>
        <w:rPr>
          <w:sz w:val="23"/>
          <w:szCs w:val="23"/>
        </w:rPr>
        <w:t xml:space="preserve"> </w:t>
      </w:r>
    </w:p>
    <w:p w:rsidR="00064ADC" w:rsidRPr="00064ADC" w:rsidRDefault="00064ADC" w:rsidP="00064ADC">
      <w:pPr>
        <w:pStyle w:val="TextPI"/>
        <w:rPr>
          <w:rFonts w:cs="Arial"/>
          <w:lang w:val="en-GB" w:eastAsia="de-DE"/>
        </w:rPr>
      </w:pPr>
      <w:r w:rsidRPr="00064ADC">
        <w:rPr>
          <w:rFonts w:cs="Arial"/>
          <w:lang w:val="en-GB" w:eastAsia="de-DE"/>
        </w:rPr>
        <w:t xml:space="preserve">There is no clinical experience with overdoses of </w:t>
      </w:r>
      <w:r w:rsidR="00762F30">
        <w:rPr>
          <w:rFonts w:cs="Arial"/>
          <w:lang w:val="en-GB" w:eastAsia="de-DE"/>
        </w:rPr>
        <w:t>PRAXBIND</w:t>
      </w:r>
      <w:r w:rsidRPr="00064ADC">
        <w:rPr>
          <w:rFonts w:cs="Arial"/>
          <w:lang w:val="en-GB" w:eastAsia="de-DE"/>
        </w:rPr>
        <w:t>.</w:t>
      </w:r>
    </w:p>
    <w:p w:rsidR="00064ADC" w:rsidRPr="00064ADC" w:rsidRDefault="00064ADC" w:rsidP="00064ADC">
      <w:pPr>
        <w:pStyle w:val="TextPI"/>
        <w:rPr>
          <w:rFonts w:cs="Arial"/>
          <w:lang w:val="en-GB" w:eastAsia="de-DE"/>
        </w:rPr>
      </w:pPr>
      <w:r w:rsidRPr="00064ADC">
        <w:rPr>
          <w:rFonts w:cs="Arial"/>
          <w:lang w:val="en-GB" w:eastAsia="de-DE"/>
        </w:rPr>
        <w:t xml:space="preserve">The highest dose of </w:t>
      </w:r>
      <w:r w:rsidR="00762F30">
        <w:rPr>
          <w:rFonts w:cs="Arial"/>
          <w:lang w:val="en-GB" w:eastAsia="de-DE"/>
        </w:rPr>
        <w:t>PRAXBIND</w:t>
      </w:r>
      <w:r w:rsidRPr="00064ADC">
        <w:rPr>
          <w:rFonts w:cs="Arial"/>
          <w:lang w:val="en-GB" w:eastAsia="de-DE"/>
        </w:rPr>
        <w:t xml:space="preserve"> studied in healthy subjects was 8 g. No safety signals have been identified in this group.</w:t>
      </w:r>
    </w:p>
    <w:p w:rsidR="00014579" w:rsidRPr="007B55B0" w:rsidRDefault="00014579" w:rsidP="000A1804">
      <w:pPr>
        <w:pStyle w:val="PIHeading1"/>
        <w:rPr>
          <w:color w:val="000000" w:themeColor="text1"/>
        </w:rPr>
      </w:pPr>
      <w:r w:rsidRPr="007B55B0">
        <w:rPr>
          <w:color w:val="000000" w:themeColor="text1"/>
        </w:rPr>
        <w:t>PRESENTATION</w:t>
      </w:r>
      <w:r w:rsidR="00694409" w:rsidRPr="007B55B0">
        <w:rPr>
          <w:color w:val="000000" w:themeColor="text1"/>
        </w:rPr>
        <w:t xml:space="preserve"> and storage conditions</w:t>
      </w:r>
    </w:p>
    <w:p w:rsidR="007B6663" w:rsidRDefault="00762F30" w:rsidP="00CE6929">
      <w:pPr>
        <w:pStyle w:val="TextPI"/>
        <w:rPr>
          <w:color w:val="000000" w:themeColor="text1"/>
        </w:rPr>
      </w:pPr>
      <w:r>
        <w:rPr>
          <w:color w:val="000000" w:themeColor="text1"/>
        </w:rPr>
        <w:t>PRAXBIND</w:t>
      </w:r>
      <w:r w:rsidR="00F964D9" w:rsidRPr="007B55B0">
        <w:rPr>
          <w:color w:val="000000" w:themeColor="text1"/>
        </w:rPr>
        <w:t xml:space="preserve"> </w:t>
      </w:r>
      <w:r w:rsidR="007B55B0" w:rsidRPr="007B55B0">
        <w:rPr>
          <w:color w:val="000000" w:themeColor="text1"/>
        </w:rPr>
        <w:t xml:space="preserve">50 mg/mL solution for injection/infusion is a clear to slightly opalescent, colourless to slightly yellow solution presented as a nominal 50.0 mL fill volume in </w:t>
      </w:r>
      <w:r w:rsidR="00DF6BE3">
        <w:rPr>
          <w:color w:val="000000" w:themeColor="text1"/>
        </w:rPr>
        <w:t xml:space="preserve">a </w:t>
      </w:r>
      <w:r w:rsidR="007B55B0" w:rsidRPr="007B55B0">
        <w:rPr>
          <w:color w:val="000000" w:themeColor="text1"/>
        </w:rPr>
        <w:t>50 mL glass vial</w:t>
      </w:r>
      <w:r w:rsidR="00DF6BE3">
        <w:rPr>
          <w:color w:val="000000" w:themeColor="text1"/>
        </w:rPr>
        <w:t>, closed with a coated rubber stopper and secured with an aluminium flip-off cap</w:t>
      </w:r>
      <w:r w:rsidR="007B55B0" w:rsidRPr="007B55B0">
        <w:rPr>
          <w:color w:val="000000" w:themeColor="text1"/>
        </w:rPr>
        <w:t xml:space="preserve">.  </w:t>
      </w:r>
    </w:p>
    <w:p w:rsidR="00F964D9" w:rsidRPr="00DF6BE3" w:rsidRDefault="00762F30" w:rsidP="00CE6929">
      <w:pPr>
        <w:pStyle w:val="TextPI"/>
        <w:rPr>
          <w:color w:val="000000" w:themeColor="text1"/>
        </w:rPr>
      </w:pPr>
      <w:r>
        <w:rPr>
          <w:color w:val="000000" w:themeColor="text1"/>
        </w:rPr>
        <w:t>PRAXBIND</w:t>
      </w:r>
      <w:r w:rsidR="009D18D6" w:rsidRPr="00DF6BE3">
        <w:rPr>
          <w:color w:val="000000" w:themeColor="text1"/>
        </w:rPr>
        <w:t xml:space="preserve"> </w:t>
      </w:r>
      <w:r w:rsidR="007B55B0" w:rsidRPr="00DF6BE3">
        <w:rPr>
          <w:color w:val="000000" w:themeColor="text1"/>
        </w:rPr>
        <w:t>is supplied</w:t>
      </w:r>
      <w:r w:rsidR="009D18D6" w:rsidRPr="00DF6BE3">
        <w:rPr>
          <w:color w:val="000000" w:themeColor="text1"/>
        </w:rPr>
        <w:t xml:space="preserve"> in packs of </w:t>
      </w:r>
      <w:r w:rsidR="007B55B0" w:rsidRPr="00DF6BE3">
        <w:rPr>
          <w:color w:val="000000" w:themeColor="text1"/>
        </w:rPr>
        <w:t>2 vials</w:t>
      </w:r>
      <w:r w:rsidR="00D60474" w:rsidRPr="00DF6BE3">
        <w:rPr>
          <w:color w:val="000000" w:themeColor="text1"/>
        </w:rPr>
        <w:t>.</w:t>
      </w:r>
    </w:p>
    <w:p w:rsidR="0079334A" w:rsidRDefault="00B43EEA" w:rsidP="00CE6929">
      <w:pPr>
        <w:pStyle w:val="TextPI"/>
        <w:rPr>
          <w:color w:val="000000" w:themeColor="text1"/>
        </w:rPr>
      </w:pPr>
      <w:proofErr w:type="gramStart"/>
      <w:r w:rsidRPr="00DF6BE3">
        <w:rPr>
          <w:color w:val="000000" w:themeColor="text1"/>
        </w:rPr>
        <w:t>Store</w:t>
      </w:r>
      <w:r w:rsidR="00DF6BE3" w:rsidRPr="00DF6BE3">
        <w:rPr>
          <w:color w:val="000000" w:themeColor="text1"/>
        </w:rPr>
        <w:t xml:space="preserve"> in a refrigerator at 2</w:t>
      </w:r>
      <w:r w:rsidRPr="00DF6BE3">
        <w:rPr>
          <w:color w:val="000000" w:themeColor="text1"/>
        </w:rPr>
        <w:t>°C</w:t>
      </w:r>
      <w:r w:rsidR="00DF6BE3" w:rsidRPr="00DF6BE3">
        <w:rPr>
          <w:color w:val="000000" w:themeColor="text1"/>
        </w:rPr>
        <w:t xml:space="preserve"> to 8°C</w:t>
      </w:r>
      <w:r w:rsidRPr="00DF6BE3">
        <w:rPr>
          <w:color w:val="000000" w:themeColor="text1"/>
        </w:rPr>
        <w:t>.</w:t>
      </w:r>
      <w:proofErr w:type="gramEnd"/>
      <w:r w:rsidRPr="00DF6BE3">
        <w:rPr>
          <w:color w:val="000000" w:themeColor="text1"/>
        </w:rPr>
        <w:t xml:space="preserve"> </w:t>
      </w:r>
      <w:r w:rsidR="00DF6BE3" w:rsidRPr="00DF6BE3">
        <w:rPr>
          <w:color w:val="000000" w:themeColor="text1"/>
        </w:rPr>
        <w:t xml:space="preserve"> Do not freeze.  </w:t>
      </w:r>
    </w:p>
    <w:p w:rsidR="00D60474" w:rsidRPr="00DF6BE3" w:rsidRDefault="00D60474" w:rsidP="00CE6929">
      <w:pPr>
        <w:pStyle w:val="TextPI"/>
        <w:rPr>
          <w:color w:val="000000" w:themeColor="text1"/>
        </w:rPr>
      </w:pPr>
      <w:proofErr w:type="gramStart"/>
      <w:r w:rsidRPr="00DF6BE3">
        <w:rPr>
          <w:color w:val="000000" w:themeColor="text1"/>
        </w:rPr>
        <w:t xml:space="preserve">Store in </w:t>
      </w:r>
      <w:r w:rsidR="00B43EEA" w:rsidRPr="00DF6BE3">
        <w:rPr>
          <w:color w:val="000000" w:themeColor="text1"/>
        </w:rPr>
        <w:t xml:space="preserve">the </w:t>
      </w:r>
      <w:r w:rsidRPr="00DF6BE3">
        <w:rPr>
          <w:color w:val="000000" w:themeColor="text1"/>
        </w:rPr>
        <w:t xml:space="preserve">original </w:t>
      </w:r>
      <w:r w:rsidR="00DF6BE3" w:rsidRPr="00DF6BE3">
        <w:rPr>
          <w:color w:val="000000" w:themeColor="text1"/>
        </w:rPr>
        <w:t>package</w:t>
      </w:r>
      <w:r w:rsidRPr="00DF6BE3">
        <w:rPr>
          <w:color w:val="000000" w:themeColor="text1"/>
        </w:rPr>
        <w:t xml:space="preserve"> in order to protect from </w:t>
      </w:r>
      <w:r w:rsidR="00DF6BE3" w:rsidRPr="00DF6BE3">
        <w:rPr>
          <w:color w:val="000000" w:themeColor="text1"/>
        </w:rPr>
        <w:t>light</w:t>
      </w:r>
      <w:r w:rsidRPr="00DF6BE3">
        <w:rPr>
          <w:color w:val="000000" w:themeColor="text1"/>
        </w:rPr>
        <w:t>.</w:t>
      </w:r>
      <w:proofErr w:type="gramEnd"/>
    </w:p>
    <w:p w:rsidR="000A1804" w:rsidRPr="0042370A" w:rsidRDefault="000A1804" w:rsidP="000A1804">
      <w:pPr>
        <w:pStyle w:val="PIHeading1"/>
      </w:pPr>
      <w:r w:rsidRPr="0042370A">
        <w:t>NAME AND ADDRESS OF THE SPONSOR</w:t>
      </w:r>
    </w:p>
    <w:p w:rsidR="00E84BD9" w:rsidRPr="00B43EEA" w:rsidRDefault="000A1804" w:rsidP="00B43EEA">
      <w:pPr>
        <w:pStyle w:val="TextPI"/>
      </w:pPr>
      <w:proofErr w:type="spellStart"/>
      <w:r w:rsidRPr="00B43EEA">
        <w:t>Boehringer</w:t>
      </w:r>
      <w:proofErr w:type="spellEnd"/>
      <w:r w:rsidRPr="00B43EEA">
        <w:t xml:space="preserve"> </w:t>
      </w:r>
      <w:proofErr w:type="spellStart"/>
      <w:r w:rsidRPr="00B43EEA">
        <w:t>Ingelheim</w:t>
      </w:r>
      <w:proofErr w:type="spellEnd"/>
      <w:r w:rsidRPr="00B43EEA">
        <w:t xml:space="preserve"> Pty Limited</w:t>
      </w:r>
    </w:p>
    <w:p w:rsidR="00E84BD9" w:rsidRPr="00B43EEA" w:rsidRDefault="000A1804" w:rsidP="00B43EEA">
      <w:pPr>
        <w:pStyle w:val="TextPI"/>
      </w:pPr>
      <w:r w:rsidRPr="00B43EEA">
        <w:t>ABN 52 000 452 308</w:t>
      </w:r>
    </w:p>
    <w:p w:rsidR="00E84BD9" w:rsidRPr="00B43EEA" w:rsidRDefault="000A1804" w:rsidP="00B43EEA">
      <w:pPr>
        <w:pStyle w:val="TextPI"/>
      </w:pPr>
      <w:r w:rsidRPr="00B43EEA">
        <w:t>78 Waterloo Road</w:t>
      </w:r>
    </w:p>
    <w:p w:rsidR="000A1804" w:rsidRPr="00B43EEA" w:rsidRDefault="000A1804" w:rsidP="00B43EEA">
      <w:pPr>
        <w:pStyle w:val="TextPI"/>
      </w:pPr>
      <w:r w:rsidRPr="00B43EEA">
        <w:t>North Ryde NSW 2113</w:t>
      </w:r>
    </w:p>
    <w:p w:rsidR="000A1804" w:rsidRPr="0042370A" w:rsidRDefault="000A1804" w:rsidP="000A1804">
      <w:pPr>
        <w:pStyle w:val="PIHeading1"/>
      </w:pPr>
      <w:r w:rsidRPr="0042370A">
        <w:t>POISON SCHEDULE OF THE MEDICINE</w:t>
      </w:r>
    </w:p>
    <w:p w:rsidR="000A1804" w:rsidRPr="00B43EEA" w:rsidRDefault="000A1804" w:rsidP="00B43EEA">
      <w:pPr>
        <w:pStyle w:val="TextPI"/>
      </w:pPr>
      <w:r w:rsidRPr="00B43EEA">
        <w:t>S4 – Prescription Only Medicine</w:t>
      </w:r>
    </w:p>
    <w:p w:rsidR="00694409" w:rsidRDefault="00694409" w:rsidP="00B43EEA">
      <w:pPr>
        <w:pStyle w:val="PIHeading1"/>
        <w:tabs>
          <w:tab w:val="clear" w:pos="1418"/>
          <w:tab w:val="left" w:pos="0"/>
        </w:tabs>
        <w:ind w:left="0" w:firstLine="0"/>
      </w:pPr>
      <w:r w:rsidRPr="00B43EEA">
        <w:lastRenderedPageBreak/>
        <w:t>Date of first inclusion in the Australian Register of Therapeutic Goods (the ARTG)</w:t>
      </w:r>
      <w:r w:rsidR="00923E19" w:rsidRPr="00B43EEA">
        <w:t>:</w:t>
      </w:r>
    </w:p>
    <w:p w:rsidR="006D17A1" w:rsidRPr="00B43EEA" w:rsidRDefault="002E6C07" w:rsidP="006D17A1">
      <w:pPr>
        <w:pStyle w:val="TextPI"/>
      </w:pPr>
      <w:r>
        <w:t>11 May 2016</w:t>
      </w:r>
    </w:p>
    <w:sectPr w:rsidR="006D17A1" w:rsidRPr="00B43EEA" w:rsidSect="0086166F">
      <w:headerReference w:type="default" r:id="rId17"/>
      <w:footerReference w:type="default" r:id="rId18"/>
      <w:pgSz w:w="11923" w:h="16834" w:code="9"/>
      <w:pgMar w:top="1440" w:right="1440" w:bottom="127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0E1" w:rsidRDefault="005D10E1" w:rsidP="00287F58">
      <w:r>
        <w:separator/>
      </w:r>
    </w:p>
  </w:endnote>
  <w:endnote w:type="continuationSeparator" w:id="0">
    <w:p w:rsidR="005D10E1" w:rsidRDefault="005D10E1" w:rsidP="0028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2"/>
      </w:rPr>
      <w:id w:val="-279110006"/>
      <w:docPartObj>
        <w:docPartGallery w:val="Page Numbers (Bottom of Page)"/>
        <w:docPartUnique/>
      </w:docPartObj>
    </w:sdtPr>
    <w:sdtEndPr/>
    <w:sdtContent>
      <w:p w:rsidR="002D2F21" w:rsidRPr="004D760A" w:rsidRDefault="002D2F21">
        <w:pPr>
          <w:pStyle w:val="Footer"/>
          <w:rPr>
            <w:rFonts w:ascii="Arial" w:hAnsi="Arial" w:cs="Arial"/>
            <w:sz w:val="18"/>
            <w:szCs w:val="12"/>
          </w:rPr>
        </w:pPr>
        <w:r>
          <w:rPr>
            <w:rFonts w:ascii="Arial" w:hAnsi="Arial" w:cs="Arial"/>
            <w:sz w:val="18"/>
            <w:szCs w:val="12"/>
          </w:rPr>
          <w:t xml:space="preserve">PRAXBIND </w:t>
        </w:r>
        <w:r w:rsidRPr="004D760A">
          <w:rPr>
            <w:rFonts w:ascii="Arial" w:hAnsi="Arial" w:cs="Arial"/>
            <w:sz w:val="18"/>
            <w:szCs w:val="12"/>
          </w:rPr>
          <w:t>PI015</w:t>
        </w:r>
        <w:r>
          <w:rPr>
            <w:rFonts w:ascii="Arial" w:hAnsi="Arial" w:cs="Arial"/>
            <w:sz w:val="18"/>
            <w:szCs w:val="12"/>
          </w:rPr>
          <w:t>6</w:t>
        </w:r>
        <w:r w:rsidRPr="004D760A">
          <w:rPr>
            <w:rFonts w:ascii="Arial" w:hAnsi="Arial" w:cs="Arial"/>
            <w:sz w:val="18"/>
            <w:szCs w:val="12"/>
          </w:rPr>
          <w:t>-</w:t>
        </w:r>
        <w:r>
          <w:rPr>
            <w:rFonts w:ascii="Arial" w:hAnsi="Arial" w:cs="Arial"/>
            <w:sz w:val="18"/>
            <w:szCs w:val="12"/>
          </w:rPr>
          <w:t>01</w:t>
        </w:r>
        <w:r w:rsidRPr="004D760A">
          <w:rPr>
            <w:rFonts w:ascii="Arial" w:hAnsi="Arial" w:cs="Arial"/>
            <w:sz w:val="18"/>
            <w:szCs w:val="12"/>
          </w:rPr>
          <w:tab/>
        </w:r>
        <w:r>
          <w:rPr>
            <w:rFonts w:ascii="Arial" w:hAnsi="Arial" w:cs="Arial"/>
            <w:sz w:val="18"/>
            <w:szCs w:val="12"/>
          </w:rPr>
          <w:tab/>
        </w:r>
        <w:r w:rsidRPr="004D760A">
          <w:rPr>
            <w:rFonts w:ascii="Arial" w:hAnsi="Arial" w:cs="Arial"/>
            <w:sz w:val="18"/>
            <w:szCs w:val="12"/>
          </w:rPr>
          <w:fldChar w:fldCharType="begin"/>
        </w:r>
        <w:r w:rsidRPr="004D760A">
          <w:rPr>
            <w:rFonts w:ascii="Arial" w:hAnsi="Arial" w:cs="Arial"/>
            <w:sz w:val="18"/>
            <w:szCs w:val="12"/>
          </w:rPr>
          <w:instrText xml:space="preserve"> PAGE   \* MERGEFORMAT </w:instrText>
        </w:r>
        <w:r w:rsidRPr="004D760A">
          <w:rPr>
            <w:rFonts w:ascii="Arial" w:hAnsi="Arial" w:cs="Arial"/>
            <w:sz w:val="18"/>
            <w:szCs w:val="12"/>
          </w:rPr>
          <w:fldChar w:fldCharType="separate"/>
        </w:r>
        <w:r w:rsidR="00B67760">
          <w:rPr>
            <w:rFonts w:ascii="Arial" w:hAnsi="Arial" w:cs="Arial"/>
            <w:noProof/>
            <w:sz w:val="18"/>
            <w:szCs w:val="12"/>
          </w:rPr>
          <w:t>18</w:t>
        </w:r>
        <w:r w:rsidRPr="004D760A">
          <w:rPr>
            <w:rFonts w:ascii="Arial" w:hAnsi="Arial" w:cs="Arial"/>
            <w:noProof/>
            <w:sz w:val="18"/>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0E1" w:rsidRDefault="005D10E1" w:rsidP="00287F58">
      <w:r>
        <w:separator/>
      </w:r>
    </w:p>
  </w:footnote>
  <w:footnote w:type="continuationSeparator" w:id="0">
    <w:p w:rsidR="005D10E1" w:rsidRDefault="005D10E1" w:rsidP="00287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B67760" w:rsidRPr="00EA7007" w:rsidTr="002E7659">
      <w:tc>
        <w:tcPr>
          <w:tcW w:w="8720" w:type="dxa"/>
          <w:shd w:val="clear" w:color="auto" w:fill="E4F2E0"/>
        </w:tcPr>
        <w:p w:rsidR="00B67760" w:rsidRPr="00EA7007" w:rsidRDefault="00B67760" w:rsidP="002E7659">
          <w:pPr>
            <w:rPr>
              <w:b/>
              <w:sz w:val="20"/>
            </w:rPr>
          </w:pPr>
          <w:r w:rsidRPr="00EA7007">
            <w:rPr>
              <w:b/>
              <w:sz w:val="20"/>
            </w:rPr>
            <w:t xml:space="preserve">Attachment 1: Product information for AusPAR </w:t>
          </w:r>
          <w:proofErr w:type="spellStart"/>
          <w:r w:rsidRPr="00EA7007">
            <w:rPr>
              <w:b/>
              <w:sz w:val="20"/>
            </w:rPr>
            <w:t>Praxbind</w:t>
          </w:r>
          <w:proofErr w:type="spellEnd"/>
          <w:r w:rsidRPr="00EA7007">
            <w:rPr>
              <w:b/>
              <w:sz w:val="20"/>
            </w:rPr>
            <w:t xml:space="preserve"> </w:t>
          </w:r>
          <w:proofErr w:type="spellStart"/>
          <w:r w:rsidRPr="00EA7007">
            <w:rPr>
              <w:b/>
              <w:sz w:val="20"/>
            </w:rPr>
            <w:t>Boehringer</w:t>
          </w:r>
          <w:proofErr w:type="spellEnd"/>
          <w:r w:rsidRPr="00EA7007">
            <w:rPr>
              <w:b/>
              <w:sz w:val="20"/>
            </w:rPr>
            <w:t xml:space="preserve"> </w:t>
          </w:r>
          <w:proofErr w:type="spellStart"/>
          <w:r w:rsidRPr="00EA7007">
            <w:rPr>
              <w:b/>
              <w:sz w:val="20"/>
            </w:rPr>
            <w:t>Ingelheim</w:t>
          </w:r>
          <w:proofErr w:type="spellEnd"/>
          <w:r w:rsidRPr="00EA7007">
            <w:rPr>
              <w:b/>
              <w:sz w:val="20"/>
            </w:rPr>
            <w:t xml:space="preserve"> Pty Ltd PM-2015-00707-1-3</w:t>
          </w:r>
          <w:r>
            <w:rPr>
              <w:b/>
              <w:sz w:val="20"/>
            </w:rPr>
            <w:t xml:space="preserve"> </w:t>
          </w:r>
          <w:r w:rsidRPr="00EA7007">
            <w:rPr>
              <w:b/>
              <w:sz w:val="20"/>
            </w:rPr>
            <w:t>Final 25 October 2016. This Product Information was approved at the time this AusPAR was published.</w:t>
          </w:r>
        </w:p>
      </w:tc>
    </w:tr>
  </w:tbl>
  <w:p w:rsidR="002D2F21" w:rsidRDefault="002D2F21">
    <w:pPr>
      <w:tabs>
        <w:tab w:val="left" w:pos="3403"/>
        <w:tab w:val="center"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7DA"/>
    <w:multiLevelType w:val="hybridMultilevel"/>
    <w:tmpl w:val="CCD82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4E43E3"/>
    <w:multiLevelType w:val="hybridMultilevel"/>
    <w:tmpl w:val="2A72D160"/>
    <w:lvl w:ilvl="0" w:tplc="200CB6AA">
      <w:start w:val="1"/>
      <w:numFmt w:val="bullet"/>
      <w:lvlText w:val="o"/>
      <w:lvlJc w:val="left"/>
      <w:pPr>
        <w:ind w:left="720" w:hanging="360"/>
      </w:pPr>
      <w:rPr>
        <w:rFonts w:ascii="Courier New" w:hAnsi="Courier New" w:hint="default"/>
        <w:sz w:val="1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9508FA"/>
    <w:multiLevelType w:val="hybridMultilevel"/>
    <w:tmpl w:val="2BD4C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B6E1E54"/>
    <w:multiLevelType w:val="hybridMultilevel"/>
    <w:tmpl w:val="EE6C5A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D4D79A2"/>
    <w:multiLevelType w:val="hybridMultilevel"/>
    <w:tmpl w:val="00806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97574D"/>
    <w:multiLevelType w:val="hybridMultilevel"/>
    <w:tmpl w:val="FA16A60E"/>
    <w:lvl w:ilvl="0" w:tplc="0C09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4A541B1"/>
    <w:multiLevelType w:val="hybridMultilevel"/>
    <w:tmpl w:val="1C3EC29A"/>
    <w:lvl w:ilvl="0" w:tplc="3D9A8DE6">
      <w:numFmt w:val="bullet"/>
      <w:lvlText w:val="•"/>
      <w:lvlJc w:val="left"/>
      <w:pPr>
        <w:ind w:left="915" w:hanging="55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F02185"/>
    <w:multiLevelType w:val="hybridMultilevel"/>
    <w:tmpl w:val="44142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F8639E"/>
    <w:multiLevelType w:val="hybridMultilevel"/>
    <w:tmpl w:val="D98A0810"/>
    <w:lvl w:ilvl="0" w:tplc="0C090001">
      <w:start w:val="1"/>
      <w:numFmt w:val="bullet"/>
      <w:lvlText w:val=""/>
      <w:lvlJc w:val="left"/>
      <w:pPr>
        <w:ind w:left="915" w:hanging="5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041AEC"/>
    <w:multiLevelType w:val="multilevel"/>
    <w:tmpl w:val="28E4065A"/>
    <w:lvl w:ilvl="0">
      <w:start w:val="1"/>
      <w:numFmt w:val="decimal"/>
      <w:pStyle w:val="TableLabel"/>
      <w:lvlText w:val="Table %1"/>
      <w:lvlJc w:val="left"/>
      <w:pPr>
        <w:tabs>
          <w:tab w:val="num" w:pos="2410"/>
        </w:tabs>
        <w:ind w:left="2410" w:hanging="2268"/>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TableLabelcont"/>
      <w:lvlText w:val="%2Table %1 (cont'd)"/>
      <w:lvlJc w:val="left"/>
      <w:pPr>
        <w:tabs>
          <w:tab w:val="num" w:pos="2268"/>
        </w:tabs>
        <w:ind w:left="2268" w:hanging="22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F066889"/>
    <w:multiLevelType w:val="hybridMultilevel"/>
    <w:tmpl w:val="1CBCC704"/>
    <w:lvl w:ilvl="0" w:tplc="1ACEC3B2">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D73AA2"/>
    <w:multiLevelType w:val="hybridMultilevel"/>
    <w:tmpl w:val="3FECAD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ADE314E"/>
    <w:multiLevelType w:val="multilevel"/>
    <w:tmpl w:val="9F448354"/>
    <w:lvl w:ilvl="0">
      <w:start w:val="1"/>
      <w:numFmt w:val="decimal"/>
      <w:pStyle w:val="FigureLabel"/>
      <w:lvlText w:val="Figure %1"/>
      <w:lvlJc w:val="left"/>
      <w:pPr>
        <w:tabs>
          <w:tab w:val="num" w:pos="2268"/>
        </w:tabs>
        <w:ind w:left="2268" w:hanging="2268"/>
      </w:pPr>
      <w:rPr>
        <w:rFonts w:hint="default"/>
        <w:sz w:val="24"/>
        <w:szCs w:val="24"/>
      </w:rPr>
    </w:lvl>
    <w:lvl w:ilvl="1">
      <w:start w:val="1"/>
      <w:numFmt w:val="none"/>
      <w:pStyle w:val="FigureLabelcont"/>
      <w:lvlText w:val="Figure %1 (cont'd)"/>
      <w:lvlJc w:val="left"/>
      <w:pPr>
        <w:tabs>
          <w:tab w:val="num" w:pos="2268"/>
        </w:tabs>
        <w:ind w:left="2268" w:hanging="2268"/>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8683853"/>
    <w:multiLevelType w:val="hybridMultilevel"/>
    <w:tmpl w:val="12F45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DDA1822"/>
    <w:multiLevelType w:val="hybridMultilevel"/>
    <w:tmpl w:val="F7F6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79765B"/>
    <w:multiLevelType w:val="hybridMultilevel"/>
    <w:tmpl w:val="C860A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209725B"/>
    <w:multiLevelType w:val="singleLevel"/>
    <w:tmpl w:val="CC126DBC"/>
    <w:lvl w:ilvl="0">
      <w:start w:val="1"/>
      <w:numFmt w:val="decimal"/>
      <w:pStyle w:val="bullet1"/>
      <w:lvlText w:val="%1."/>
      <w:lvlJc w:val="left"/>
      <w:pPr>
        <w:tabs>
          <w:tab w:val="num" w:pos="1134"/>
        </w:tabs>
        <w:ind w:left="1134" w:hanging="1134"/>
      </w:pPr>
    </w:lvl>
  </w:abstractNum>
  <w:abstractNum w:abstractNumId="17">
    <w:nsid w:val="6C3039D8"/>
    <w:multiLevelType w:val="hybridMultilevel"/>
    <w:tmpl w:val="CB482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03A25C1"/>
    <w:multiLevelType w:val="hybridMultilevel"/>
    <w:tmpl w:val="1B723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7D8A5FBD"/>
    <w:multiLevelType w:val="hybridMultilevel"/>
    <w:tmpl w:val="567E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1"/>
  </w:num>
  <w:num w:numId="4">
    <w:abstractNumId w:val="3"/>
  </w:num>
  <w:num w:numId="5">
    <w:abstractNumId w:val="5"/>
  </w:num>
  <w:num w:numId="6">
    <w:abstractNumId w:val="1"/>
  </w:num>
  <w:num w:numId="7">
    <w:abstractNumId w:val="17"/>
  </w:num>
  <w:num w:numId="8">
    <w:abstractNumId w:val="12"/>
  </w:num>
  <w:num w:numId="9">
    <w:abstractNumId w:val="9"/>
  </w:num>
  <w:num w:numId="10">
    <w:abstractNumId w:val="12"/>
  </w:num>
  <w:num w:numId="11">
    <w:abstractNumId w:val="12"/>
  </w:num>
  <w:num w:numId="12">
    <w:abstractNumId w:val="12"/>
  </w:num>
  <w:num w:numId="13">
    <w:abstractNumId w:val="0"/>
  </w:num>
  <w:num w:numId="14">
    <w:abstractNumId w:val="14"/>
  </w:num>
  <w:num w:numId="15">
    <w:abstractNumId w:val="15"/>
  </w:num>
  <w:num w:numId="16">
    <w:abstractNumId w:val="19"/>
  </w:num>
  <w:num w:numId="17">
    <w:abstractNumId w:val="13"/>
  </w:num>
  <w:num w:numId="18">
    <w:abstractNumId w:val="4"/>
  </w:num>
  <w:num w:numId="19">
    <w:abstractNumId w:val="6"/>
  </w:num>
  <w:num w:numId="20">
    <w:abstractNumId w:val="18"/>
  </w:num>
  <w:num w:numId="21">
    <w:abstractNumId w:val="2"/>
  </w:num>
  <w:num w:numId="22">
    <w:abstractNumId w:val="7"/>
  </w:num>
  <w:num w:numId="2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54"/>
    <w:rsid w:val="000041B9"/>
    <w:rsid w:val="00005FD5"/>
    <w:rsid w:val="000061AE"/>
    <w:rsid w:val="00010D6F"/>
    <w:rsid w:val="00011B62"/>
    <w:rsid w:val="00014579"/>
    <w:rsid w:val="000211D8"/>
    <w:rsid w:val="00025FCB"/>
    <w:rsid w:val="00026E10"/>
    <w:rsid w:val="0003121B"/>
    <w:rsid w:val="00031854"/>
    <w:rsid w:val="0003332A"/>
    <w:rsid w:val="00035FE8"/>
    <w:rsid w:val="00042540"/>
    <w:rsid w:val="00042BA6"/>
    <w:rsid w:val="00047718"/>
    <w:rsid w:val="00050E10"/>
    <w:rsid w:val="000524CD"/>
    <w:rsid w:val="00052B62"/>
    <w:rsid w:val="000571A3"/>
    <w:rsid w:val="000611B6"/>
    <w:rsid w:val="0006227F"/>
    <w:rsid w:val="00064ADC"/>
    <w:rsid w:val="0006756F"/>
    <w:rsid w:val="00071E32"/>
    <w:rsid w:val="00072596"/>
    <w:rsid w:val="000933C4"/>
    <w:rsid w:val="000A1804"/>
    <w:rsid w:val="000A6A7D"/>
    <w:rsid w:val="000B6A21"/>
    <w:rsid w:val="000C4DC4"/>
    <w:rsid w:val="000C60BE"/>
    <w:rsid w:val="000C6536"/>
    <w:rsid w:val="000C75F9"/>
    <w:rsid w:val="000D09B9"/>
    <w:rsid w:val="000D2A47"/>
    <w:rsid w:val="000D3585"/>
    <w:rsid w:val="000D4079"/>
    <w:rsid w:val="000D4451"/>
    <w:rsid w:val="000D6FE0"/>
    <w:rsid w:val="000E1693"/>
    <w:rsid w:val="000E30C4"/>
    <w:rsid w:val="000E49AB"/>
    <w:rsid w:val="000E6EB5"/>
    <w:rsid w:val="000E7C8E"/>
    <w:rsid w:val="000F4CE5"/>
    <w:rsid w:val="000F5F05"/>
    <w:rsid w:val="00101B6C"/>
    <w:rsid w:val="00106AEB"/>
    <w:rsid w:val="00113B1C"/>
    <w:rsid w:val="00122245"/>
    <w:rsid w:val="00123167"/>
    <w:rsid w:val="00125E1E"/>
    <w:rsid w:val="00130871"/>
    <w:rsid w:val="00130E4B"/>
    <w:rsid w:val="00131047"/>
    <w:rsid w:val="00131CDD"/>
    <w:rsid w:val="00132933"/>
    <w:rsid w:val="00134151"/>
    <w:rsid w:val="001343F2"/>
    <w:rsid w:val="00142BD7"/>
    <w:rsid w:val="001448C9"/>
    <w:rsid w:val="00145E66"/>
    <w:rsid w:val="00152260"/>
    <w:rsid w:val="00152A19"/>
    <w:rsid w:val="00153CD6"/>
    <w:rsid w:val="00157B00"/>
    <w:rsid w:val="001602C3"/>
    <w:rsid w:val="00161294"/>
    <w:rsid w:val="0016572E"/>
    <w:rsid w:val="00170614"/>
    <w:rsid w:val="00171945"/>
    <w:rsid w:val="0017580A"/>
    <w:rsid w:val="001825EB"/>
    <w:rsid w:val="00184DCF"/>
    <w:rsid w:val="00187960"/>
    <w:rsid w:val="0019009E"/>
    <w:rsid w:val="00191E27"/>
    <w:rsid w:val="0019331B"/>
    <w:rsid w:val="00193B16"/>
    <w:rsid w:val="00194DC6"/>
    <w:rsid w:val="0019560F"/>
    <w:rsid w:val="001956D3"/>
    <w:rsid w:val="001962D2"/>
    <w:rsid w:val="001A1A1C"/>
    <w:rsid w:val="001A3603"/>
    <w:rsid w:val="001A7050"/>
    <w:rsid w:val="001B205F"/>
    <w:rsid w:val="001B3F62"/>
    <w:rsid w:val="001C6066"/>
    <w:rsid w:val="001D0017"/>
    <w:rsid w:val="001D1C54"/>
    <w:rsid w:val="001D29FA"/>
    <w:rsid w:val="001D5A70"/>
    <w:rsid w:val="001D647F"/>
    <w:rsid w:val="001D6FCC"/>
    <w:rsid w:val="001D7BF5"/>
    <w:rsid w:val="001E68C8"/>
    <w:rsid w:val="001E7CD1"/>
    <w:rsid w:val="001F06A1"/>
    <w:rsid w:val="001F368B"/>
    <w:rsid w:val="001F422D"/>
    <w:rsid w:val="001F4E03"/>
    <w:rsid w:val="001F6036"/>
    <w:rsid w:val="0020185D"/>
    <w:rsid w:val="0020404D"/>
    <w:rsid w:val="00205937"/>
    <w:rsid w:val="00211FC2"/>
    <w:rsid w:val="00213207"/>
    <w:rsid w:val="00213BEE"/>
    <w:rsid w:val="002213AE"/>
    <w:rsid w:val="00222DC2"/>
    <w:rsid w:val="00223FA3"/>
    <w:rsid w:val="00225556"/>
    <w:rsid w:val="002260F2"/>
    <w:rsid w:val="002309E5"/>
    <w:rsid w:val="0023251B"/>
    <w:rsid w:val="00232A64"/>
    <w:rsid w:val="002331E8"/>
    <w:rsid w:val="00234108"/>
    <w:rsid w:val="00234E24"/>
    <w:rsid w:val="00241842"/>
    <w:rsid w:val="00241DEA"/>
    <w:rsid w:val="002447CB"/>
    <w:rsid w:val="00245108"/>
    <w:rsid w:val="00245E95"/>
    <w:rsid w:val="00246DAF"/>
    <w:rsid w:val="00252ED1"/>
    <w:rsid w:val="002544F0"/>
    <w:rsid w:val="002565B9"/>
    <w:rsid w:val="00256C1C"/>
    <w:rsid w:val="00261848"/>
    <w:rsid w:val="00261A62"/>
    <w:rsid w:val="00266133"/>
    <w:rsid w:val="00266B38"/>
    <w:rsid w:val="002712D4"/>
    <w:rsid w:val="0027538F"/>
    <w:rsid w:val="00275E23"/>
    <w:rsid w:val="0027723A"/>
    <w:rsid w:val="00277BD6"/>
    <w:rsid w:val="002810F6"/>
    <w:rsid w:val="00283649"/>
    <w:rsid w:val="0028729E"/>
    <w:rsid w:val="00287D5D"/>
    <w:rsid w:val="00287F58"/>
    <w:rsid w:val="0029020D"/>
    <w:rsid w:val="00291371"/>
    <w:rsid w:val="00292497"/>
    <w:rsid w:val="00292D90"/>
    <w:rsid w:val="002A55F0"/>
    <w:rsid w:val="002B2869"/>
    <w:rsid w:val="002B512F"/>
    <w:rsid w:val="002B5AC0"/>
    <w:rsid w:val="002B5DDA"/>
    <w:rsid w:val="002B5E4F"/>
    <w:rsid w:val="002B636E"/>
    <w:rsid w:val="002C100B"/>
    <w:rsid w:val="002C4443"/>
    <w:rsid w:val="002C4BBC"/>
    <w:rsid w:val="002D1035"/>
    <w:rsid w:val="002D2F21"/>
    <w:rsid w:val="002D3509"/>
    <w:rsid w:val="002D667D"/>
    <w:rsid w:val="002D6A70"/>
    <w:rsid w:val="002E289C"/>
    <w:rsid w:val="002E39AC"/>
    <w:rsid w:val="002E3EAF"/>
    <w:rsid w:val="002E461D"/>
    <w:rsid w:val="002E6C07"/>
    <w:rsid w:val="002F021D"/>
    <w:rsid w:val="002F25F1"/>
    <w:rsid w:val="002F3BDA"/>
    <w:rsid w:val="002F3E1C"/>
    <w:rsid w:val="002F7684"/>
    <w:rsid w:val="00300289"/>
    <w:rsid w:val="003013AC"/>
    <w:rsid w:val="00301B0F"/>
    <w:rsid w:val="00301F6D"/>
    <w:rsid w:val="00301FCF"/>
    <w:rsid w:val="00304A34"/>
    <w:rsid w:val="003054F8"/>
    <w:rsid w:val="00305AC3"/>
    <w:rsid w:val="003105A1"/>
    <w:rsid w:val="00313FB7"/>
    <w:rsid w:val="0032121C"/>
    <w:rsid w:val="00321FBF"/>
    <w:rsid w:val="00322600"/>
    <w:rsid w:val="00323B14"/>
    <w:rsid w:val="00324403"/>
    <w:rsid w:val="003246CD"/>
    <w:rsid w:val="00324710"/>
    <w:rsid w:val="0032527A"/>
    <w:rsid w:val="00331357"/>
    <w:rsid w:val="003329F1"/>
    <w:rsid w:val="00336DF7"/>
    <w:rsid w:val="00337C4D"/>
    <w:rsid w:val="00353CBB"/>
    <w:rsid w:val="00360554"/>
    <w:rsid w:val="0036073A"/>
    <w:rsid w:val="00362DF0"/>
    <w:rsid w:val="003706D1"/>
    <w:rsid w:val="00371E00"/>
    <w:rsid w:val="0037266E"/>
    <w:rsid w:val="00372DC1"/>
    <w:rsid w:val="003773BA"/>
    <w:rsid w:val="0038062D"/>
    <w:rsid w:val="00382DD4"/>
    <w:rsid w:val="00392B62"/>
    <w:rsid w:val="003937B8"/>
    <w:rsid w:val="00397C5A"/>
    <w:rsid w:val="003A37F2"/>
    <w:rsid w:val="003A3A6A"/>
    <w:rsid w:val="003A5380"/>
    <w:rsid w:val="003A623A"/>
    <w:rsid w:val="003B2190"/>
    <w:rsid w:val="003B5D3B"/>
    <w:rsid w:val="003C109C"/>
    <w:rsid w:val="003C4F0D"/>
    <w:rsid w:val="003C5734"/>
    <w:rsid w:val="003D041C"/>
    <w:rsid w:val="003D0546"/>
    <w:rsid w:val="003D4CB3"/>
    <w:rsid w:val="003D6DFE"/>
    <w:rsid w:val="003D7469"/>
    <w:rsid w:val="003E2155"/>
    <w:rsid w:val="003E22E7"/>
    <w:rsid w:val="003F2BCD"/>
    <w:rsid w:val="003F7916"/>
    <w:rsid w:val="0040531A"/>
    <w:rsid w:val="00407C12"/>
    <w:rsid w:val="00410744"/>
    <w:rsid w:val="00411172"/>
    <w:rsid w:val="00412E34"/>
    <w:rsid w:val="00414A79"/>
    <w:rsid w:val="004200C4"/>
    <w:rsid w:val="0042304E"/>
    <w:rsid w:val="0042370A"/>
    <w:rsid w:val="004244D1"/>
    <w:rsid w:val="00424F45"/>
    <w:rsid w:val="00425EC5"/>
    <w:rsid w:val="00427020"/>
    <w:rsid w:val="00432A28"/>
    <w:rsid w:val="00433FAC"/>
    <w:rsid w:val="004342E7"/>
    <w:rsid w:val="00435534"/>
    <w:rsid w:val="00437C7A"/>
    <w:rsid w:val="00437D17"/>
    <w:rsid w:val="00442013"/>
    <w:rsid w:val="004431AB"/>
    <w:rsid w:val="00456CDF"/>
    <w:rsid w:val="004615CD"/>
    <w:rsid w:val="00461FD0"/>
    <w:rsid w:val="00462506"/>
    <w:rsid w:val="00465470"/>
    <w:rsid w:val="00472CAC"/>
    <w:rsid w:val="004865D7"/>
    <w:rsid w:val="00486C70"/>
    <w:rsid w:val="00487CCB"/>
    <w:rsid w:val="00491142"/>
    <w:rsid w:val="00494788"/>
    <w:rsid w:val="004A26E5"/>
    <w:rsid w:val="004B2142"/>
    <w:rsid w:val="004B3131"/>
    <w:rsid w:val="004B3988"/>
    <w:rsid w:val="004B5B6A"/>
    <w:rsid w:val="004B6F4C"/>
    <w:rsid w:val="004C48D2"/>
    <w:rsid w:val="004C7A92"/>
    <w:rsid w:val="004D1707"/>
    <w:rsid w:val="004D1CBE"/>
    <w:rsid w:val="004D760A"/>
    <w:rsid w:val="004D7C50"/>
    <w:rsid w:val="004D7EDE"/>
    <w:rsid w:val="004E11D0"/>
    <w:rsid w:val="004E39B8"/>
    <w:rsid w:val="004E6BA9"/>
    <w:rsid w:val="004E723A"/>
    <w:rsid w:val="004E72E6"/>
    <w:rsid w:val="004F0B5D"/>
    <w:rsid w:val="004F1936"/>
    <w:rsid w:val="004F2A43"/>
    <w:rsid w:val="004F3E58"/>
    <w:rsid w:val="004F5D96"/>
    <w:rsid w:val="004F5F89"/>
    <w:rsid w:val="004F734A"/>
    <w:rsid w:val="00504E2D"/>
    <w:rsid w:val="00505DFA"/>
    <w:rsid w:val="005134BC"/>
    <w:rsid w:val="005137B5"/>
    <w:rsid w:val="005162CB"/>
    <w:rsid w:val="00520522"/>
    <w:rsid w:val="00520E96"/>
    <w:rsid w:val="00525CDC"/>
    <w:rsid w:val="00531AAF"/>
    <w:rsid w:val="00534183"/>
    <w:rsid w:val="00534913"/>
    <w:rsid w:val="0053699A"/>
    <w:rsid w:val="005377FD"/>
    <w:rsid w:val="005400DF"/>
    <w:rsid w:val="00540888"/>
    <w:rsid w:val="00540C1C"/>
    <w:rsid w:val="005451D7"/>
    <w:rsid w:val="00547B98"/>
    <w:rsid w:val="00547F90"/>
    <w:rsid w:val="005634EA"/>
    <w:rsid w:val="00564C2E"/>
    <w:rsid w:val="00565C28"/>
    <w:rsid w:val="005660E5"/>
    <w:rsid w:val="00572521"/>
    <w:rsid w:val="00573D88"/>
    <w:rsid w:val="005811AF"/>
    <w:rsid w:val="005812DE"/>
    <w:rsid w:val="0058173F"/>
    <w:rsid w:val="005848B6"/>
    <w:rsid w:val="005861DF"/>
    <w:rsid w:val="0059634F"/>
    <w:rsid w:val="005A21C9"/>
    <w:rsid w:val="005A28A3"/>
    <w:rsid w:val="005A477A"/>
    <w:rsid w:val="005A6FAD"/>
    <w:rsid w:val="005B1D5D"/>
    <w:rsid w:val="005B344A"/>
    <w:rsid w:val="005C36FD"/>
    <w:rsid w:val="005C4873"/>
    <w:rsid w:val="005D05B9"/>
    <w:rsid w:val="005D10E1"/>
    <w:rsid w:val="005D758C"/>
    <w:rsid w:val="005D7FA7"/>
    <w:rsid w:val="005E302A"/>
    <w:rsid w:val="005E52EF"/>
    <w:rsid w:val="005E73A3"/>
    <w:rsid w:val="005F3246"/>
    <w:rsid w:val="005F3BE9"/>
    <w:rsid w:val="005F67EC"/>
    <w:rsid w:val="006029CB"/>
    <w:rsid w:val="006074FE"/>
    <w:rsid w:val="00610EA9"/>
    <w:rsid w:val="0061101C"/>
    <w:rsid w:val="006128F4"/>
    <w:rsid w:val="006149A5"/>
    <w:rsid w:val="00617184"/>
    <w:rsid w:val="006172B4"/>
    <w:rsid w:val="00617B9B"/>
    <w:rsid w:val="006202BE"/>
    <w:rsid w:val="00622F9F"/>
    <w:rsid w:val="006252AE"/>
    <w:rsid w:val="00626713"/>
    <w:rsid w:val="00633931"/>
    <w:rsid w:val="00635D87"/>
    <w:rsid w:val="00641457"/>
    <w:rsid w:val="00644881"/>
    <w:rsid w:val="00647BEA"/>
    <w:rsid w:val="00651963"/>
    <w:rsid w:val="00651D64"/>
    <w:rsid w:val="00660479"/>
    <w:rsid w:val="00662D2B"/>
    <w:rsid w:val="00667A02"/>
    <w:rsid w:val="00674513"/>
    <w:rsid w:val="006771AC"/>
    <w:rsid w:val="00682720"/>
    <w:rsid w:val="0068336D"/>
    <w:rsid w:val="00683F86"/>
    <w:rsid w:val="006859D6"/>
    <w:rsid w:val="006907DA"/>
    <w:rsid w:val="00692426"/>
    <w:rsid w:val="00694409"/>
    <w:rsid w:val="006953D2"/>
    <w:rsid w:val="00695BC3"/>
    <w:rsid w:val="006A0BED"/>
    <w:rsid w:val="006A22A3"/>
    <w:rsid w:val="006A38D8"/>
    <w:rsid w:val="006A7D87"/>
    <w:rsid w:val="006B3EC3"/>
    <w:rsid w:val="006C379E"/>
    <w:rsid w:val="006D17A1"/>
    <w:rsid w:val="006D2AB5"/>
    <w:rsid w:val="006D4DE2"/>
    <w:rsid w:val="006D5DCA"/>
    <w:rsid w:val="006D6016"/>
    <w:rsid w:val="006E1E60"/>
    <w:rsid w:val="006E66DD"/>
    <w:rsid w:val="006F3132"/>
    <w:rsid w:val="006F4319"/>
    <w:rsid w:val="006F4BE4"/>
    <w:rsid w:val="006F5DDE"/>
    <w:rsid w:val="00703A33"/>
    <w:rsid w:val="007046B7"/>
    <w:rsid w:val="00713DB8"/>
    <w:rsid w:val="007226B0"/>
    <w:rsid w:val="00722896"/>
    <w:rsid w:val="0072391C"/>
    <w:rsid w:val="00724CF0"/>
    <w:rsid w:val="00733A2C"/>
    <w:rsid w:val="007353AE"/>
    <w:rsid w:val="007359A5"/>
    <w:rsid w:val="00736326"/>
    <w:rsid w:val="00737EB2"/>
    <w:rsid w:val="0074122A"/>
    <w:rsid w:val="0074190C"/>
    <w:rsid w:val="007420D0"/>
    <w:rsid w:val="00752EBA"/>
    <w:rsid w:val="00755549"/>
    <w:rsid w:val="007609BA"/>
    <w:rsid w:val="007615D1"/>
    <w:rsid w:val="00762DB6"/>
    <w:rsid w:val="00762F30"/>
    <w:rsid w:val="0076317D"/>
    <w:rsid w:val="00764374"/>
    <w:rsid w:val="00764B7F"/>
    <w:rsid w:val="00775127"/>
    <w:rsid w:val="00776941"/>
    <w:rsid w:val="007820CF"/>
    <w:rsid w:val="00786882"/>
    <w:rsid w:val="00786B36"/>
    <w:rsid w:val="00787FF9"/>
    <w:rsid w:val="007920F6"/>
    <w:rsid w:val="007923DC"/>
    <w:rsid w:val="0079261C"/>
    <w:rsid w:val="0079334A"/>
    <w:rsid w:val="007939D5"/>
    <w:rsid w:val="007947F0"/>
    <w:rsid w:val="007961BD"/>
    <w:rsid w:val="007A7C3F"/>
    <w:rsid w:val="007B16E1"/>
    <w:rsid w:val="007B55B0"/>
    <w:rsid w:val="007B6663"/>
    <w:rsid w:val="007D0AA9"/>
    <w:rsid w:val="007D3145"/>
    <w:rsid w:val="007D74D7"/>
    <w:rsid w:val="007D7781"/>
    <w:rsid w:val="007E12C8"/>
    <w:rsid w:val="007E1BBD"/>
    <w:rsid w:val="007E26FF"/>
    <w:rsid w:val="007E556F"/>
    <w:rsid w:val="007F6244"/>
    <w:rsid w:val="007F6C64"/>
    <w:rsid w:val="007F728F"/>
    <w:rsid w:val="00803C7E"/>
    <w:rsid w:val="008040E0"/>
    <w:rsid w:val="00812A68"/>
    <w:rsid w:val="0081488A"/>
    <w:rsid w:val="00815D0A"/>
    <w:rsid w:val="008207AE"/>
    <w:rsid w:val="00822960"/>
    <w:rsid w:val="00823D32"/>
    <w:rsid w:val="00823F35"/>
    <w:rsid w:val="00825839"/>
    <w:rsid w:val="00827EE9"/>
    <w:rsid w:val="00834157"/>
    <w:rsid w:val="00835E1F"/>
    <w:rsid w:val="0084172B"/>
    <w:rsid w:val="00844729"/>
    <w:rsid w:val="0084722A"/>
    <w:rsid w:val="0084791F"/>
    <w:rsid w:val="00850012"/>
    <w:rsid w:val="00852D55"/>
    <w:rsid w:val="008547A3"/>
    <w:rsid w:val="00856604"/>
    <w:rsid w:val="00860C03"/>
    <w:rsid w:val="00860FA6"/>
    <w:rsid w:val="00860FDA"/>
    <w:rsid w:val="0086166F"/>
    <w:rsid w:val="00861B5E"/>
    <w:rsid w:val="00861FA0"/>
    <w:rsid w:val="00864F76"/>
    <w:rsid w:val="00865D99"/>
    <w:rsid w:val="0086633C"/>
    <w:rsid w:val="00870A28"/>
    <w:rsid w:val="00875C61"/>
    <w:rsid w:val="00876463"/>
    <w:rsid w:val="008878FA"/>
    <w:rsid w:val="008961FC"/>
    <w:rsid w:val="00896284"/>
    <w:rsid w:val="008A0B54"/>
    <w:rsid w:val="008A1997"/>
    <w:rsid w:val="008A3D38"/>
    <w:rsid w:val="008A4F84"/>
    <w:rsid w:val="008A534D"/>
    <w:rsid w:val="008A5610"/>
    <w:rsid w:val="008A69C6"/>
    <w:rsid w:val="008B3882"/>
    <w:rsid w:val="008B4DFD"/>
    <w:rsid w:val="008C169A"/>
    <w:rsid w:val="008C28BB"/>
    <w:rsid w:val="008C379E"/>
    <w:rsid w:val="008C416A"/>
    <w:rsid w:val="008C5199"/>
    <w:rsid w:val="008D2F0D"/>
    <w:rsid w:val="008D763A"/>
    <w:rsid w:val="008E07F8"/>
    <w:rsid w:val="008E1BDB"/>
    <w:rsid w:val="008E1E8A"/>
    <w:rsid w:val="008E3172"/>
    <w:rsid w:val="008F0BB8"/>
    <w:rsid w:val="008F21C6"/>
    <w:rsid w:val="008F2289"/>
    <w:rsid w:val="008F3C67"/>
    <w:rsid w:val="008F4485"/>
    <w:rsid w:val="00900636"/>
    <w:rsid w:val="0090124B"/>
    <w:rsid w:val="009022E8"/>
    <w:rsid w:val="00907003"/>
    <w:rsid w:val="0090729D"/>
    <w:rsid w:val="00910460"/>
    <w:rsid w:val="00911AAF"/>
    <w:rsid w:val="009122AA"/>
    <w:rsid w:val="00913BD8"/>
    <w:rsid w:val="009168BF"/>
    <w:rsid w:val="00917013"/>
    <w:rsid w:val="00922D14"/>
    <w:rsid w:val="009233A9"/>
    <w:rsid w:val="00923E19"/>
    <w:rsid w:val="0092600A"/>
    <w:rsid w:val="00926F80"/>
    <w:rsid w:val="00930B9E"/>
    <w:rsid w:val="00931B60"/>
    <w:rsid w:val="00934E0A"/>
    <w:rsid w:val="009368E8"/>
    <w:rsid w:val="00936F9E"/>
    <w:rsid w:val="009406F3"/>
    <w:rsid w:val="009432C5"/>
    <w:rsid w:val="009436FB"/>
    <w:rsid w:val="00943F45"/>
    <w:rsid w:val="00944490"/>
    <w:rsid w:val="00947584"/>
    <w:rsid w:val="00954076"/>
    <w:rsid w:val="00955F15"/>
    <w:rsid w:val="0095623A"/>
    <w:rsid w:val="0095643C"/>
    <w:rsid w:val="009602A1"/>
    <w:rsid w:val="00960C0A"/>
    <w:rsid w:val="00961E54"/>
    <w:rsid w:val="00962F51"/>
    <w:rsid w:val="009642F2"/>
    <w:rsid w:val="009652D7"/>
    <w:rsid w:val="00966416"/>
    <w:rsid w:val="00966717"/>
    <w:rsid w:val="00970FE3"/>
    <w:rsid w:val="00971E2D"/>
    <w:rsid w:val="00974779"/>
    <w:rsid w:val="00983F71"/>
    <w:rsid w:val="00985BDD"/>
    <w:rsid w:val="00986D63"/>
    <w:rsid w:val="00996CA8"/>
    <w:rsid w:val="009A10DB"/>
    <w:rsid w:val="009A1C57"/>
    <w:rsid w:val="009A5585"/>
    <w:rsid w:val="009B63D1"/>
    <w:rsid w:val="009B6C78"/>
    <w:rsid w:val="009C104C"/>
    <w:rsid w:val="009C2FB5"/>
    <w:rsid w:val="009C49A3"/>
    <w:rsid w:val="009C4C77"/>
    <w:rsid w:val="009C69A2"/>
    <w:rsid w:val="009C77A9"/>
    <w:rsid w:val="009D1126"/>
    <w:rsid w:val="009D1299"/>
    <w:rsid w:val="009D18D6"/>
    <w:rsid w:val="009D3D55"/>
    <w:rsid w:val="009D4A7E"/>
    <w:rsid w:val="009E19AA"/>
    <w:rsid w:val="009E4255"/>
    <w:rsid w:val="009F036F"/>
    <w:rsid w:val="009F1D13"/>
    <w:rsid w:val="009F6FC0"/>
    <w:rsid w:val="00A0670D"/>
    <w:rsid w:val="00A13564"/>
    <w:rsid w:val="00A15A34"/>
    <w:rsid w:val="00A16C4B"/>
    <w:rsid w:val="00A21341"/>
    <w:rsid w:val="00A24210"/>
    <w:rsid w:val="00A24338"/>
    <w:rsid w:val="00A272B5"/>
    <w:rsid w:val="00A32C40"/>
    <w:rsid w:val="00A35629"/>
    <w:rsid w:val="00A35C51"/>
    <w:rsid w:val="00A3683B"/>
    <w:rsid w:val="00A4067A"/>
    <w:rsid w:val="00A4217D"/>
    <w:rsid w:val="00A5347F"/>
    <w:rsid w:val="00A53FA0"/>
    <w:rsid w:val="00A54257"/>
    <w:rsid w:val="00A54BC4"/>
    <w:rsid w:val="00A61E60"/>
    <w:rsid w:val="00A74949"/>
    <w:rsid w:val="00A75A75"/>
    <w:rsid w:val="00A75C6D"/>
    <w:rsid w:val="00A77A61"/>
    <w:rsid w:val="00A813AB"/>
    <w:rsid w:val="00A921BD"/>
    <w:rsid w:val="00A9394E"/>
    <w:rsid w:val="00A93A74"/>
    <w:rsid w:val="00A94C8F"/>
    <w:rsid w:val="00AA0875"/>
    <w:rsid w:val="00AA3F62"/>
    <w:rsid w:val="00AA53E5"/>
    <w:rsid w:val="00AA6AFB"/>
    <w:rsid w:val="00AB150A"/>
    <w:rsid w:val="00AB2934"/>
    <w:rsid w:val="00AC2ABA"/>
    <w:rsid w:val="00AC56C3"/>
    <w:rsid w:val="00AC76DF"/>
    <w:rsid w:val="00AD1AB9"/>
    <w:rsid w:val="00AD1AE7"/>
    <w:rsid w:val="00AD1CDA"/>
    <w:rsid w:val="00AD64F7"/>
    <w:rsid w:val="00AD7874"/>
    <w:rsid w:val="00AE4580"/>
    <w:rsid w:val="00AE5B28"/>
    <w:rsid w:val="00B0295E"/>
    <w:rsid w:val="00B061C5"/>
    <w:rsid w:val="00B07290"/>
    <w:rsid w:val="00B076E9"/>
    <w:rsid w:val="00B107C9"/>
    <w:rsid w:val="00B12652"/>
    <w:rsid w:val="00B1314B"/>
    <w:rsid w:val="00B20C64"/>
    <w:rsid w:val="00B2246B"/>
    <w:rsid w:val="00B23DBB"/>
    <w:rsid w:val="00B24E40"/>
    <w:rsid w:val="00B267B8"/>
    <w:rsid w:val="00B31591"/>
    <w:rsid w:val="00B35876"/>
    <w:rsid w:val="00B42488"/>
    <w:rsid w:val="00B4367D"/>
    <w:rsid w:val="00B43EEA"/>
    <w:rsid w:val="00B44310"/>
    <w:rsid w:val="00B445AE"/>
    <w:rsid w:val="00B50AE3"/>
    <w:rsid w:val="00B60D4B"/>
    <w:rsid w:val="00B61CB1"/>
    <w:rsid w:val="00B62A65"/>
    <w:rsid w:val="00B646A4"/>
    <w:rsid w:val="00B67760"/>
    <w:rsid w:val="00B67B79"/>
    <w:rsid w:val="00B70079"/>
    <w:rsid w:val="00B75C60"/>
    <w:rsid w:val="00B75CEF"/>
    <w:rsid w:val="00B77478"/>
    <w:rsid w:val="00B80000"/>
    <w:rsid w:val="00B81F31"/>
    <w:rsid w:val="00B8359B"/>
    <w:rsid w:val="00B9083E"/>
    <w:rsid w:val="00B91761"/>
    <w:rsid w:val="00B91D4C"/>
    <w:rsid w:val="00B935D6"/>
    <w:rsid w:val="00B93A04"/>
    <w:rsid w:val="00B951F9"/>
    <w:rsid w:val="00BA3740"/>
    <w:rsid w:val="00BA6BA0"/>
    <w:rsid w:val="00BB3D3E"/>
    <w:rsid w:val="00BB6F75"/>
    <w:rsid w:val="00BC1B62"/>
    <w:rsid w:val="00BC2379"/>
    <w:rsid w:val="00BC237C"/>
    <w:rsid w:val="00BD15A2"/>
    <w:rsid w:val="00BD211F"/>
    <w:rsid w:val="00BD2259"/>
    <w:rsid w:val="00BD5C57"/>
    <w:rsid w:val="00BD6F7A"/>
    <w:rsid w:val="00BD7E97"/>
    <w:rsid w:val="00BE046D"/>
    <w:rsid w:val="00BE1BA2"/>
    <w:rsid w:val="00BE487A"/>
    <w:rsid w:val="00BE6714"/>
    <w:rsid w:val="00BE7CA5"/>
    <w:rsid w:val="00BF21E9"/>
    <w:rsid w:val="00BF3466"/>
    <w:rsid w:val="00BF6DAB"/>
    <w:rsid w:val="00C06153"/>
    <w:rsid w:val="00C136E2"/>
    <w:rsid w:val="00C16254"/>
    <w:rsid w:val="00C24228"/>
    <w:rsid w:val="00C27A4B"/>
    <w:rsid w:val="00C30F29"/>
    <w:rsid w:val="00C32C49"/>
    <w:rsid w:val="00C3419E"/>
    <w:rsid w:val="00C34899"/>
    <w:rsid w:val="00C354C5"/>
    <w:rsid w:val="00C4738E"/>
    <w:rsid w:val="00C53CA0"/>
    <w:rsid w:val="00C56239"/>
    <w:rsid w:val="00C5690E"/>
    <w:rsid w:val="00C571B1"/>
    <w:rsid w:val="00C60487"/>
    <w:rsid w:val="00C60A66"/>
    <w:rsid w:val="00C62B09"/>
    <w:rsid w:val="00C67569"/>
    <w:rsid w:val="00C72CEC"/>
    <w:rsid w:val="00C73A32"/>
    <w:rsid w:val="00C74A7C"/>
    <w:rsid w:val="00C87E67"/>
    <w:rsid w:val="00C9022D"/>
    <w:rsid w:val="00C921BA"/>
    <w:rsid w:val="00C93445"/>
    <w:rsid w:val="00C9510E"/>
    <w:rsid w:val="00C968DE"/>
    <w:rsid w:val="00C97168"/>
    <w:rsid w:val="00CA05B1"/>
    <w:rsid w:val="00CA66D6"/>
    <w:rsid w:val="00CA691F"/>
    <w:rsid w:val="00CB350B"/>
    <w:rsid w:val="00CB4AB0"/>
    <w:rsid w:val="00CB7F64"/>
    <w:rsid w:val="00CC6E46"/>
    <w:rsid w:val="00CC7030"/>
    <w:rsid w:val="00CC7EF6"/>
    <w:rsid w:val="00CD26CD"/>
    <w:rsid w:val="00CD2B71"/>
    <w:rsid w:val="00CD33B5"/>
    <w:rsid w:val="00CD3D09"/>
    <w:rsid w:val="00CD4953"/>
    <w:rsid w:val="00CD5674"/>
    <w:rsid w:val="00CD6C93"/>
    <w:rsid w:val="00CE6929"/>
    <w:rsid w:val="00CE6DCF"/>
    <w:rsid w:val="00CE6E31"/>
    <w:rsid w:val="00CE7F05"/>
    <w:rsid w:val="00CF0572"/>
    <w:rsid w:val="00CF07F6"/>
    <w:rsid w:val="00CF27FE"/>
    <w:rsid w:val="00D0431A"/>
    <w:rsid w:val="00D0597C"/>
    <w:rsid w:val="00D11950"/>
    <w:rsid w:val="00D122F1"/>
    <w:rsid w:val="00D16833"/>
    <w:rsid w:val="00D16BD6"/>
    <w:rsid w:val="00D172EB"/>
    <w:rsid w:val="00D21E2F"/>
    <w:rsid w:val="00D23B7B"/>
    <w:rsid w:val="00D3177F"/>
    <w:rsid w:val="00D409EF"/>
    <w:rsid w:val="00D411C7"/>
    <w:rsid w:val="00D50AFD"/>
    <w:rsid w:val="00D52CDF"/>
    <w:rsid w:val="00D573BA"/>
    <w:rsid w:val="00D60474"/>
    <w:rsid w:val="00D63263"/>
    <w:rsid w:val="00D6399C"/>
    <w:rsid w:val="00D656D0"/>
    <w:rsid w:val="00D67148"/>
    <w:rsid w:val="00D747F5"/>
    <w:rsid w:val="00D771A1"/>
    <w:rsid w:val="00D77A87"/>
    <w:rsid w:val="00D77C34"/>
    <w:rsid w:val="00D8307F"/>
    <w:rsid w:val="00D84ACE"/>
    <w:rsid w:val="00D85174"/>
    <w:rsid w:val="00D85CE5"/>
    <w:rsid w:val="00D86B92"/>
    <w:rsid w:val="00D906C1"/>
    <w:rsid w:val="00D9521E"/>
    <w:rsid w:val="00D952B5"/>
    <w:rsid w:val="00DA68D9"/>
    <w:rsid w:val="00DA7A33"/>
    <w:rsid w:val="00DB1588"/>
    <w:rsid w:val="00DB18EC"/>
    <w:rsid w:val="00DB36BC"/>
    <w:rsid w:val="00DB4E42"/>
    <w:rsid w:val="00DB5E0C"/>
    <w:rsid w:val="00DB6043"/>
    <w:rsid w:val="00DC767E"/>
    <w:rsid w:val="00DD753D"/>
    <w:rsid w:val="00DE2C88"/>
    <w:rsid w:val="00DE60D1"/>
    <w:rsid w:val="00DE71E1"/>
    <w:rsid w:val="00DE729E"/>
    <w:rsid w:val="00DE79B8"/>
    <w:rsid w:val="00DF0C1A"/>
    <w:rsid w:val="00DF40DB"/>
    <w:rsid w:val="00DF4410"/>
    <w:rsid w:val="00DF6BE3"/>
    <w:rsid w:val="00E03E0D"/>
    <w:rsid w:val="00E07D8E"/>
    <w:rsid w:val="00E25E8A"/>
    <w:rsid w:val="00E270CF"/>
    <w:rsid w:val="00E277A9"/>
    <w:rsid w:val="00E277AE"/>
    <w:rsid w:val="00E313A0"/>
    <w:rsid w:val="00E320B0"/>
    <w:rsid w:val="00E34AFC"/>
    <w:rsid w:val="00E35B23"/>
    <w:rsid w:val="00E37488"/>
    <w:rsid w:val="00E4031A"/>
    <w:rsid w:val="00E41BEE"/>
    <w:rsid w:val="00E435D6"/>
    <w:rsid w:val="00E43A55"/>
    <w:rsid w:val="00E456E3"/>
    <w:rsid w:val="00E47435"/>
    <w:rsid w:val="00E50A8F"/>
    <w:rsid w:val="00E53E60"/>
    <w:rsid w:val="00E61485"/>
    <w:rsid w:val="00E66E32"/>
    <w:rsid w:val="00E67835"/>
    <w:rsid w:val="00E67F1D"/>
    <w:rsid w:val="00E71E95"/>
    <w:rsid w:val="00E82FF9"/>
    <w:rsid w:val="00E844EA"/>
    <w:rsid w:val="00E84BD9"/>
    <w:rsid w:val="00E90CB6"/>
    <w:rsid w:val="00E9121D"/>
    <w:rsid w:val="00E9405F"/>
    <w:rsid w:val="00EA0ACC"/>
    <w:rsid w:val="00EA231A"/>
    <w:rsid w:val="00EA57D1"/>
    <w:rsid w:val="00EA6333"/>
    <w:rsid w:val="00EA6F7A"/>
    <w:rsid w:val="00EB484C"/>
    <w:rsid w:val="00EB64D9"/>
    <w:rsid w:val="00EB743F"/>
    <w:rsid w:val="00EC11C2"/>
    <w:rsid w:val="00ED092A"/>
    <w:rsid w:val="00ED1562"/>
    <w:rsid w:val="00EE5C33"/>
    <w:rsid w:val="00EF094E"/>
    <w:rsid w:val="00EF1EB0"/>
    <w:rsid w:val="00EF330A"/>
    <w:rsid w:val="00EF45C5"/>
    <w:rsid w:val="00EF4E7F"/>
    <w:rsid w:val="00EF629B"/>
    <w:rsid w:val="00F11559"/>
    <w:rsid w:val="00F12656"/>
    <w:rsid w:val="00F134F7"/>
    <w:rsid w:val="00F13621"/>
    <w:rsid w:val="00F15D90"/>
    <w:rsid w:val="00F16FAC"/>
    <w:rsid w:val="00F20F0F"/>
    <w:rsid w:val="00F223BC"/>
    <w:rsid w:val="00F2486A"/>
    <w:rsid w:val="00F27C9D"/>
    <w:rsid w:val="00F303AD"/>
    <w:rsid w:val="00F34DF0"/>
    <w:rsid w:val="00F3586D"/>
    <w:rsid w:val="00F372AB"/>
    <w:rsid w:val="00F400FA"/>
    <w:rsid w:val="00F405B8"/>
    <w:rsid w:val="00F41769"/>
    <w:rsid w:val="00F44D41"/>
    <w:rsid w:val="00F45567"/>
    <w:rsid w:val="00F501B8"/>
    <w:rsid w:val="00F50912"/>
    <w:rsid w:val="00F51DD2"/>
    <w:rsid w:val="00F525B5"/>
    <w:rsid w:val="00F540FC"/>
    <w:rsid w:val="00F545A1"/>
    <w:rsid w:val="00F54ED0"/>
    <w:rsid w:val="00F5562A"/>
    <w:rsid w:val="00F56CCD"/>
    <w:rsid w:val="00F614FC"/>
    <w:rsid w:val="00F6305A"/>
    <w:rsid w:val="00F7401B"/>
    <w:rsid w:val="00F7694D"/>
    <w:rsid w:val="00F76ABF"/>
    <w:rsid w:val="00F76E37"/>
    <w:rsid w:val="00F77308"/>
    <w:rsid w:val="00F776B2"/>
    <w:rsid w:val="00F80F2B"/>
    <w:rsid w:val="00F80FD6"/>
    <w:rsid w:val="00F833FE"/>
    <w:rsid w:val="00F8399B"/>
    <w:rsid w:val="00F87682"/>
    <w:rsid w:val="00F87B6F"/>
    <w:rsid w:val="00F920E4"/>
    <w:rsid w:val="00F95AB6"/>
    <w:rsid w:val="00F95E7A"/>
    <w:rsid w:val="00F964D9"/>
    <w:rsid w:val="00F976DC"/>
    <w:rsid w:val="00FA1437"/>
    <w:rsid w:val="00FA3C5C"/>
    <w:rsid w:val="00FB52D3"/>
    <w:rsid w:val="00FC2627"/>
    <w:rsid w:val="00FC7EDC"/>
    <w:rsid w:val="00FD75AE"/>
    <w:rsid w:val="00FE0558"/>
    <w:rsid w:val="00FF180F"/>
    <w:rsid w:val="00FF207C"/>
    <w:rsid w:val="00FF4C63"/>
    <w:rsid w:val="00FF6FA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5A"/>
    <w:rPr>
      <w:sz w:val="24"/>
      <w:lang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link w:val="Heading6Char"/>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287F58"/>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semiHidden/>
    <w:rsid w:val="00E9121D"/>
    <w:rPr>
      <w:sz w:val="24"/>
      <w:lang w:val="en-US" w:eastAsia="en-US"/>
    </w:rPr>
  </w:style>
  <w:style w:type="paragraph" w:styleId="Footer">
    <w:name w:val="footer"/>
    <w:basedOn w:val="Normal"/>
    <w:link w:val="FooterChar"/>
    <w:unhideWhenUsed/>
    <w:rsid w:val="00E9121D"/>
    <w:pPr>
      <w:tabs>
        <w:tab w:val="center" w:pos="4513"/>
        <w:tab w:val="right" w:pos="9026"/>
      </w:tabs>
    </w:pPr>
  </w:style>
  <w:style w:type="character" w:customStyle="1" w:styleId="FooterChar">
    <w:name w:val="Footer Char"/>
    <w:basedOn w:val="DefaultParagraphFont"/>
    <w:link w:val="Footer"/>
    <w:rsid w:val="00E9121D"/>
    <w:rPr>
      <w:sz w:val="24"/>
      <w:lang w:val="en-US" w:eastAsia="en-US"/>
    </w:rPr>
  </w:style>
  <w:style w:type="paragraph" w:customStyle="1" w:styleId="bullet1">
    <w:name w:val="bullet 1"/>
    <w:basedOn w:val="Normal"/>
    <w:rsid w:val="00E9121D"/>
    <w:pPr>
      <w:widowControl w:val="0"/>
      <w:numPr>
        <w:numId w:val="2"/>
      </w:numPr>
      <w:tabs>
        <w:tab w:val="left" w:pos="680"/>
      </w:tabs>
      <w:spacing w:after="240"/>
      <w:ind w:left="680" w:hanging="680"/>
      <w:jc w:val="both"/>
    </w:pPr>
    <w:rPr>
      <w:snapToGrid w:val="0"/>
    </w:rPr>
  </w:style>
  <w:style w:type="character" w:styleId="PageNumber">
    <w:name w:val="page number"/>
    <w:basedOn w:val="DefaultParagraphFont"/>
    <w:rsid w:val="00E9121D"/>
  </w:style>
  <w:style w:type="paragraph" w:styleId="CommentSubject">
    <w:name w:val="annotation subject"/>
    <w:basedOn w:val="CommentText"/>
    <w:next w:val="CommentText"/>
    <w:link w:val="CommentSubjectChar"/>
    <w:uiPriority w:val="99"/>
    <w:semiHidden/>
    <w:unhideWhenUsed/>
    <w:rsid w:val="005137B5"/>
    <w:rPr>
      <w:b/>
      <w:bCs/>
    </w:rPr>
  </w:style>
  <w:style w:type="character" w:customStyle="1" w:styleId="CommentTextChar">
    <w:name w:val="Comment Text Char"/>
    <w:basedOn w:val="DefaultParagraphFont"/>
    <w:link w:val="CommentText"/>
    <w:semiHidden/>
    <w:rsid w:val="005137B5"/>
    <w:rPr>
      <w:lang w:val="en-US" w:eastAsia="en-US"/>
    </w:rPr>
  </w:style>
  <w:style w:type="character" w:customStyle="1" w:styleId="CommentSubjectChar">
    <w:name w:val="Comment Subject Char"/>
    <w:basedOn w:val="CommentTextChar"/>
    <w:link w:val="CommentSubject"/>
    <w:rsid w:val="005137B5"/>
    <w:rPr>
      <w:lang w:val="en-US" w:eastAsia="en-US"/>
    </w:rPr>
  </w:style>
  <w:style w:type="table" w:styleId="TableGrid">
    <w:name w:val="Table Grid"/>
    <w:basedOn w:val="TableNormal"/>
    <w:uiPriority w:val="59"/>
    <w:rsid w:val="00F5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TableText">
    <w:name w:val="BMS Table Text"/>
    <w:link w:val="BMSTableTextChar"/>
    <w:rsid w:val="000E1693"/>
    <w:pPr>
      <w:tabs>
        <w:tab w:val="left" w:pos="360"/>
      </w:tabs>
      <w:spacing w:before="60" w:after="60"/>
      <w:jc w:val="center"/>
    </w:pPr>
    <w:rPr>
      <w:lang w:val="en-US" w:eastAsia="en-US"/>
    </w:rPr>
  </w:style>
  <w:style w:type="character" w:customStyle="1" w:styleId="BMSTableTextChar">
    <w:name w:val="BMS Table Text Char"/>
    <w:basedOn w:val="DefaultParagraphFont"/>
    <w:link w:val="BMSTableText"/>
    <w:locked/>
    <w:rsid w:val="000E1693"/>
    <w:rPr>
      <w:lang w:val="en-US" w:eastAsia="en-US"/>
    </w:rPr>
  </w:style>
  <w:style w:type="character" w:customStyle="1" w:styleId="apple-converted-space">
    <w:name w:val="apple-converted-space"/>
    <w:basedOn w:val="DefaultParagraphFont"/>
    <w:rsid w:val="00C27A4B"/>
  </w:style>
  <w:style w:type="paragraph" w:customStyle="1" w:styleId="JSText">
    <w:name w:val="JS Text"/>
    <w:basedOn w:val="Normal"/>
    <w:link w:val="JSTextChar"/>
    <w:rsid w:val="00910460"/>
    <w:pPr>
      <w:jc w:val="both"/>
    </w:pPr>
    <w:rPr>
      <w:rFonts w:ascii="Century" w:eastAsia="MS Mincho" w:hAnsi="Century"/>
      <w:kern w:val="2"/>
      <w:sz w:val="21"/>
      <w:szCs w:val="21"/>
      <w:lang w:val="x-none" w:eastAsia="ja-JP"/>
    </w:rPr>
  </w:style>
  <w:style w:type="character" w:customStyle="1" w:styleId="JSTextChar">
    <w:name w:val="JS Text Char"/>
    <w:link w:val="JSText"/>
    <w:locked/>
    <w:rsid w:val="00910460"/>
    <w:rPr>
      <w:rFonts w:ascii="Century" w:eastAsia="MS Mincho" w:hAnsi="Century"/>
      <w:kern w:val="2"/>
      <w:sz w:val="21"/>
      <w:szCs w:val="21"/>
      <w:lang w:val="x-none" w:eastAsia="ja-JP"/>
    </w:rPr>
  </w:style>
  <w:style w:type="paragraph" w:styleId="ListParagraph">
    <w:name w:val="List Paragraph"/>
    <w:basedOn w:val="Normal"/>
    <w:uiPriority w:val="34"/>
    <w:qFormat/>
    <w:rsid w:val="00910460"/>
    <w:pPr>
      <w:ind w:left="720"/>
      <w:contextualSpacing/>
    </w:pPr>
  </w:style>
  <w:style w:type="paragraph" w:styleId="NormalWeb">
    <w:name w:val="Normal (Web)"/>
    <w:basedOn w:val="Normal"/>
    <w:uiPriority w:val="99"/>
    <w:unhideWhenUsed/>
    <w:rsid w:val="00910460"/>
    <w:pPr>
      <w:spacing w:before="100" w:beforeAutospacing="1" w:after="100" w:afterAutospacing="1"/>
    </w:pPr>
    <w:rPr>
      <w:szCs w:val="24"/>
      <w:lang w:val="en-US"/>
    </w:rPr>
  </w:style>
  <w:style w:type="paragraph" w:customStyle="1" w:styleId="Default">
    <w:name w:val="Default"/>
    <w:rsid w:val="00910460"/>
    <w:pPr>
      <w:autoSpaceDE w:val="0"/>
      <w:autoSpaceDN w:val="0"/>
      <w:adjustRightInd w:val="0"/>
    </w:pPr>
    <w:rPr>
      <w:rFonts w:eastAsia="MS Mincho"/>
      <w:color w:val="000000"/>
      <w:sz w:val="24"/>
      <w:szCs w:val="24"/>
      <w:lang w:val="de-DE" w:eastAsia="ja-JP" w:bidi="hi-IN"/>
    </w:rPr>
  </w:style>
  <w:style w:type="paragraph" w:customStyle="1" w:styleId="Style">
    <w:name w:val="Style"/>
    <w:rsid w:val="00910460"/>
    <w:pPr>
      <w:widowControl w:val="0"/>
      <w:autoSpaceDE w:val="0"/>
      <w:autoSpaceDN w:val="0"/>
      <w:adjustRightInd w:val="0"/>
    </w:pPr>
    <w:rPr>
      <w:sz w:val="24"/>
      <w:szCs w:val="24"/>
      <w:lang w:val="en-US" w:eastAsia="en-US"/>
    </w:rPr>
  </w:style>
  <w:style w:type="paragraph" w:customStyle="1" w:styleId="FDAText">
    <w:name w:val="FDA:Text"/>
    <w:basedOn w:val="Normal"/>
    <w:rsid w:val="00910460"/>
    <w:pPr>
      <w:spacing w:before="180" w:after="180" w:line="360" w:lineRule="atLeast"/>
    </w:pPr>
    <w:rPr>
      <w:lang w:val="en-US" w:eastAsia="de-DE"/>
    </w:rPr>
  </w:style>
  <w:style w:type="paragraph" w:customStyle="1" w:styleId="Pa16">
    <w:name w:val="Pa16"/>
    <w:basedOn w:val="Normal"/>
    <w:next w:val="Normal"/>
    <w:uiPriority w:val="99"/>
    <w:rsid w:val="00AD1AE7"/>
    <w:pPr>
      <w:autoSpaceDE w:val="0"/>
      <w:autoSpaceDN w:val="0"/>
      <w:adjustRightInd w:val="0"/>
      <w:spacing w:before="40" w:after="40" w:line="161" w:lineRule="atLeast"/>
    </w:pPr>
    <w:rPr>
      <w:rFonts w:ascii="HelveticaNeueLT Std Cn" w:eastAsia="Calibri" w:hAnsi="HelveticaNeueLT Std Cn"/>
      <w:szCs w:val="24"/>
      <w:lang w:val="en-US"/>
    </w:rPr>
  </w:style>
  <w:style w:type="paragraph" w:customStyle="1" w:styleId="Pa9">
    <w:name w:val="Pa9"/>
    <w:basedOn w:val="Normal"/>
    <w:next w:val="Normal"/>
    <w:uiPriority w:val="99"/>
    <w:rsid w:val="00AD1AE7"/>
    <w:pPr>
      <w:autoSpaceDE w:val="0"/>
      <w:autoSpaceDN w:val="0"/>
      <w:adjustRightInd w:val="0"/>
      <w:spacing w:before="20" w:after="40" w:line="161" w:lineRule="atLeast"/>
    </w:pPr>
    <w:rPr>
      <w:rFonts w:ascii="HelveticaNeueLT Std Cn" w:eastAsia="Calibri" w:hAnsi="HelveticaNeueLT Std Cn"/>
      <w:szCs w:val="24"/>
      <w:lang w:val="en-US"/>
    </w:rPr>
  </w:style>
  <w:style w:type="paragraph" w:styleId="Revision">
    <w:name w:val="Revision"/>
    <w:hidden/>
    <w:uiPriority w:val="99"/>
    <w:semiHidden/>
    <w:rsid w:val="00211FC2"/>
    <w:rPr>
      <w:sz w:val="24"/>
      <w:lang w:eastAsia="en-US"/>
    </w:rPr>
  </w:style>
  <w:style w:type="paragraph" w:styleId="BodyText">
    <w:name w:val="Body Text"/>
    <w:basedOn w:val="Normal"/>
    <w:link w:val="BodyTextChar"/>
    <w:uiPriority w:val="99"/>
    <w:semiHidden/>
    <w:unhideWhenUsed/>
    <w:rsid w:val="00D50AFD"/>
    <w:pPr>
      <w:spacing w:after="120"/>
    </w:pPr>
  </w:style>
  <w:style w:type="character" w:customStyle="1" w:styleId="BodyTextChar">
    <w:name w:val="Body Text Char"/>
    <w:basedOn w:val="DefaultParagraphFont"/>
    <w:link w:val="BodyText"/>
    <w:uiPriority w:val="99"/>
    <w:semiHidden/>
    <w:rsid w:val="00D50AFD"/>
    <w:rPr>
      <w:sz w:val="24"/>
      <w:lang w:eastAsia="en-US"/>
    </w:rPr>
  </w:style>
  <w:style w:type="character" w:customStyle="1" w:styleId="defaultlabelstyle1">
    <w:name w:val="defaultlabelstyle1"/>
    <w:rsid w:val="00D50AFD"/>
    <w:rPr>
      <w:rFonts w:ascii="Trebuchet MS" w:hAnsi="Trebuchet MS" w:hint="default"/>
      <w:color w:val="333333"/>
    </w:rPr>
  </w:style>
  <w:style w:type="character" w:styleId="Hyperlink">
    <w:name w:val="Hyperlink"/>
    <w:uiPriority w:val="99"/>
    <w:unhideWhenUsed/>
    <w:rsid w:val="00C74A7C"/>
    <w:rPr>
      <w:color w:val="0000FF"/>
      <w:u w:val="single"/>
    </w:rPr>
  </w:style>
  <w:style w:type="paragraph" w:styleId="BodyText2">
    <w:name w:val="Body Text 2"/>
    <w:basedOn w:val="Normal"/>
    <w:link w:val="BodyText2Char"/>
    <w:uiPriority w:val="99"/>
    <w:semiHidden/>
    <w:unhideWhenUsed/>
    <w:rsid w:val="00B44310"/>
    <w:pPr>
      <w:spacing w:after="120" w:line="480" w:lineRule="auto"/>
    </w:pPr>
  </w:style>
  <w:style w:type="character" w:customStyle="1" w:styleId="BodyText2Char">
    <w:name w:val="Body Text 2 Char"/>
    <w:basedOn w:val="DefaultParagraphFont"/>
    <w:link w:val="BodyText2"/>
    <w:uiPriority w:val="99"/>
    <w:semiHidden/>
    <w:rsid w:val="00B44310"/>
    <w:rPr>
      <w:sz w:val="24"/>
      <w:lang w:eastAsia="en-US"/>
    </w:rPr>
  </w:style>
  <w:style w:type="paragraph" w:customStyle="1" w:styleId="CS-FootnoteText">
    <w:name w:val="CS-Footnote Text"/>
    <w:basedOn w:val="Normal"/>
    <w:link w:val="CS-FootnoteTextChar"/>
    <w:rsid w:val="00983F71"/>
    <w:pPr>
      <w:keepLines/>
      <w:ind w:left="720" w:hanging="720"/>
    </w:pPr>
    <w:rPr>
      <w:sz w:val="18"/>
      <w:lang w:val="en-GB" w:eastAsia="de-DE"/>
    </w:rPr>
  </w:style>
  <w:style w:type="character" w:customStyle="1" w:styleId="CS-FootnoteTextChar">
    <w:name w:val="CS-Footnote Text Char"/>
    <w:link w:val="CS-FootnoteText"/>
    <w:rsid w:val="00983F71"/>
    <w:rPr>
      <w:sz w:val="18"/>
      <w:lang w:val="en-GB" w:eastAsia="de-DE"/>
    </w:rPr>
  </w:style>
  <w:style w:type="paragraph" w:customStyle="1" w:styleId="CS-TextinTable10pt">
    <w:name w:val="CS-Text_in_Table:10pt"/>
    <w:basedOn w:val="Normal"/>
    <w:qFormat/>
    <w:rsid w:val="00983F71"/>
    <w:pPr>
      <w:keepNext/>
      <w:keepLines/>
      <w:tabs>
        <w:tab w:val="left" w:pos="144"/>
      </w:tabs>
      <w:spacing w:before="120" w:after="120"/>
    </w:pPr>
    <w:rPr>
      <w:sz w:val="20"/>
      <w:lang w:val="en-GB"/>
    </w:rPr>
  </w:style>
  <w:style w:type="paragraph" w:customStyle="1" w:styleId="CaptionTable">
    <w:name w:val="Caption_Table"/>
    <w:basedOn w:val="Caption"/>
    <w:next w:val="Normal"/>
    <w:rsid w:val="00983F71"/>
    <w:pPr>
      <w:keepNext/>
      <w:keepLines/>
      <w:spacing w:after="180"/>
      <w:ind w:left="1588" w:hanging="1588"/>
    </w:pPr>
    <w:rPr>
      <w:b w:val="0"/>
      <w:bCs w:val="0"/>
      <w:color w:val="auto"/>
      <w:sz w:val="24"/>
      <w:szCs w:val="20"/>
      <w:lang w:val="en-US" w:eastAsia="de-DE"/>
    </w:rPr>
  </w:style>
  <w:style w:type="paragraph" w:styleId="Caption">
    <w:name w:val="caption"/>
    <w:basedOn w:val="Normal"/>
    <w:next w:val="Normal"/>
    <w:uiPriority w:val="35"/>
    <w:unhideWhenUsed/>
    <w:qFormat/>
    <w:rsid w:val="00983F71"/>
    <w:pPr>
      <w:spacing w:after="200"/>
    </w:pPr>
    <w:rPr>
      <w:b/>
      <w:bCs/>
      <w:color w:val="4F81BD" w:themeColor="accent1"/>
      <w:sz w:val="18"/>
      <w:szCs w:val="18"/>
    </w:rPr>
  </w:style>
  <w:style w:type="paragraph" w:customStyle="1" w:styleId="IBText">
    <w:name w:val="IB:Text"/>
    <w:link w:val="IBTextChar"/>
    <w:rsid w:val="00AC56C3"/>
    <w:pPr>
      <w:spacing w:before="120" w:after="240"/>
    </w:pPr>
    <w:rPr>
      <w:noProof/>
      <w:sz w:val="24"/>
      <w:lang w:val="de-DE" w:eastAsia="ja-JP"/>
    </w:rPr>
  </w:style>
  <w:style w:type="character" w:customStyle="1" w:styleId="IBTextChar">
    <w:name w:val="IB:Text Char"/>
    <w:link w:val="IBText"/>
    <w:rsid w:val="00AC56C3"/>
    <w:rPr>
      <w:noProof/>
      <w:sz w:val="24"/>
      <w:lang w:val="de-DE" w:eastAsia="ja-JP"/>
    </w:rPr>
  </w:style>
  <w:style w:type="paragraph" w:customStyle="1" w:styleId="4thlevel">
    <w:name w:val="4th level"/>
    <w:basedOn w:val="Normal"/>
    <w:next w:val="Normal"/>
    <w:rsid w:val="008D763A"/>
    <w:pPr>
      <w:keepNext/>
      <w:keepLines/>
      <w:tabs>
        <w:tab w:val="left" w:pos="1134"/>
      </w:tabs>
      <w:spacing w:before="240" w:after="240"/>
      <w:ind w:left="1134" w:hanging="1134"/>
      <w:outlineLvl w:val="3"/>
    </w:pPr>
    <w:rPr>
      <w:lang w:val="en-US" w:eastAsia="de-DE"/>
    </w:rPr>
  </w:style>
  <w:style w:type="paragraph" w:customStyle="1" w:styleId="FigureLabel">
    <w:name w:val="Figure Label"/>
    <w:basedOn w:val="Normal"/>
    <w:next w:val="Normal"/>
    <w:rsid w:val="00223FA3"/>
    <w:pPr>
      <w:numPr>
        <w:numId w:val="8"/>
      </w:numPr>
      <w:spacing w:before="180" w:after="180"/>
      <w:outlineLvl w:val="5"/>
    </w:pPr>
    <w:rPr>
      <w:lang w:val="en-US" w:eastAsia="de-DE"/>
    </w:rPr>
  </w:style>
  <w:style w:type="paragraph" w:customStyle="1" w:styleId="FigureLabelcont">
    <w:name w:val="Figure Label cont"/>
    <w:basedOn w:val="FigureLabel"/>
    <w:next w:val="Normal"/>
    <w:rsid w:val="00223FA3"/>
    <w:pPr>
      <w:numPr>
        <w:ilvl w:val="1"/>
      </w:numPr>
      <w:outlineLvl w:val="9"/>
    </w:pPr>
    <w:rPr>
      <w:lang w:val="en-GB"/>
    </w:rPr>
  </w:style>
  <w:style w:type="paragraph" w:customStyle="1" w:styleId="TableLabel">
    <w:name w:val="Table Label"/>
    <w:basedOn w:val="Normal"/>
    <w:next w:val="Normal"/>
    <w:rsid w:val="00223FA3"/>
    <w:pPr>
      <w:keepNext/>
      <w:keepLines/>
      <w:numPr>
        <w:numId w:val="9"/>
      </w:numPr>
      <w:spacing w:before="180" w:after="180"/>
      <w:outlineLvl w:val="5"/>
    </w:pPr>
    <w:rPr>
      <w:szCs w:val="24"/>
      <w:lang w:val="en-US"/>
    </w:rPr>
  </w:style>
  <w:style w:type="paragraph" w:customStyle="1" w:styleId="TableLabelcont">
    <w:name w:val="Table Label cont"/>
    <w:basedOn w:val="TableLabel"/>
    <w:next w:val="Normal"/>
    <w:rsid w:val="00223FA3"/>
    <w:pPr>
      <w:numPr>
        <w:ilvl w:val="1"/>
      </w:numPr>
      <w:outlineLvl w:val="9"/>
    </w:pPr>
  </w:style>
  <w:style w:type="paragraph" w:customStyle="1" w:styleId="CSTextinTable10pt">
    <w:name w:val="CS Text_in_Table:10pt"/>
    <w:basedOn w:val="Normal"/>
    <w:rsid w:val="00223FA3"/>
    <w:pPr>
      <w:keepNext/>
      <w:keepLines/>
      <w:tabs>
        <w:tab w:val="left" w:pos="144"/>
      </w:tabs>
      <w:spacing w:before="60" w:after="60"/>
    </w:pPr>
    <w:rPr>
      <w:sz w:val="20"/>
      <w:szCs w:val="24"/>
      <w:lang w:val="en-US" w:eastAsia="de-DE"/>
    </w:rPr>
  </w:style>
  <w:style w:type="paragraph" w:customStyle="1" w:styleId="CS-FootnoteReference">
    <w:name w:val="CS-Footnote Reference"/>
    <w:basedOn w:val="Normal"/>
    <w:link w:val="CS-FootnoteReferenceChar"/>
    <w:qFormat/>
    <w:rsid w:val="00223FA3"/>
    <w:rPr>
      <w:rFonts w:eastAsia="PMingLiU"/>
      <w:position w:val="4"/>
      <w:sz w:val="18"/>
      <w:lang w:val="en-GB"/>
    </w:rPr>
  </w:style>
  <w:style w:type="character" w:customStyle="1" w:styleId="CS-FootnoteReferenceChar">
    <w:name w:val="CS-Footnote Reference Char"/>
    <w:link w:val="CS-FootnoteReference"/>
    <w:rsid w:val="00223FA3"/>
    <w:rPr>
      <w:rFonts w:eastAsia="PMingLiU"/>
      <w:position w:val="4"/>
      <w:sz w:val="18"/>
      <w:lang w:val="en-GB" w:eastAsia="en-US"/>
    </w:rPr>
  </w:style>
  <w:style w:type="paragraph" w:customStyle="1" w:styleId="3rdlevel">
    <w:name w:val="3rd level"/>
    <w:basedOn w:val="Normal"/>
    <w:next w:val="Normal"/>
    <w:rsid w:val="00C32C49"/>
    <w:pPr>
      <w:keepNext/>
      <w:keepLines/>
      <w:tabs>
        <w:tab w:val="left" w:pos="1134"/>
      </w:tabs>
      <w:spacing w:before="240" w:after="240" w:line="276" w:lineRule="auto"/>
      <w:ind w:left="1134" w:hanging="1134"/>
      <w:outlineLvl w:val="2"/>
    </w:pPr>
    <w:rPr>
      <w:b/>
      <w:szCs w:val="22"/>
      <w:lang w:val="en-US" w:eastAsia="de-DE"/>
    </w:rPr>
  </w:style>
  <w:style w:type="paragraph" w:customStyle="1" w:styleId="2ndlevel">
    <w:name w:val="2nd level"/>
    <w:basedOn w:val="Normal"/>
    <w:next w:val="Normal"/>
    <w:rsid w:val="00985BDD"/>
    <w:pPr>
      <w:keepNext/>
      <w:keepLines/>
      <w:tabs>
        <w:tab w:val="left" w:pos="1134"/>
      </w:tabs>
      <w:spacing w:before="240" w:after="240" w:line="276" w:lineRule="auto"/>
      <w:ind w:left="1134" w:hanging="1134"/>
      <w:outlineLvl w:val="1"/>
    </w:pPr>
    <w:rPr>
      <w:b/>
      <w:caps/>
      <w:szCs w:val="22"/>
      <w:lang w:val="en-US" w:eastAsia="de-DE"/>
    </w:rPr>
  </w:style>
  <w:style w:type="character" w:styleId="EndnoteReference">
    <w:name w:val="endnote reference"/>
    <w:uiPriority w:val="99"/>
    <w:unhideWhenUsed/>
    <w:rsid w:val="00AA6AFB"/>
    <w:rPr>
      <w:vertAlign w:val="superscript"/>
    </w:rPr>
  </w:style>
  <w:style w:type="paragraph" w:customStyle="1" w:styleId="CSText">
    <w:name w:val="CS Text"/>
    <w:basedOn w:val="Normal"/>
    <w:link w:val="CSTextChar"/>
    <w:qFormat/>
    <w:rsid w:val="008E1BDB"/>
    <w:rPr>
      <w:szCs w:val="24"/>
      <w:lang w:val="en-US" w:eastAsia="de-DE"/>
    </w:rPr>
  </w:style>
  <w:style w:type="character" w:customStyle="1" w:styleId="CSTextChar">
    <w:name w:val="CS Text Char"/>
    <w:basedOn w:val="DefaultParagraphFont"/>
    <w:link w:val="CSText"/>
    <w:rsid w:val="008E1BDB"/>
    <w:rPr>
      <w:sz w:val="24"/>
      <w:szCs w:val="24"/>
      <w:lang w:val="en-US" w:eastAsia="de-DE"/>
    </w:rPr>
  </w:style>
  <w:style w:type="paragraph" w:customStyle="1" w:styleId="CS4thlevel">
    <w:name w:val="CS 4th level"/>
    <w:basedOn w:val="Normal"/>
    <w:next w:val="CSText"/>
    <w:rsid w:val="008E1BDB"/>
    <w:pPr>
      <w:keepNext/>
      <w:keepLines/>
      <w:tabs>
        <w:tab w:val="left" w:pos="1134"/>
      </w:tabs>
      <w:spacing w:before="240" w:after="240"/>
      <w:ind w:left="1134" w:hanging="1134"/>
      <w:outlineLvl w:val="3"/>
    </w:pPr>
    <w:rPr>
      <w:szCs w:val="24"/>
      <w:lang w:val="en-US" w:eastAsia="de-DE"/>
    </w:rPr>
  </w:style>
  <w:style w:type="character" w:customStyle="1" w:styleId="Heading6Char">
    <w:name w:val="Heading 6 Char"/>
    <w:link w:val="Heading6"/>
    <w:rsid w:val="002D2F21"/>
    <w:rPr>
      <w:rFonts w:ascii="Arial" w:hAnsi="Arial"/>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5A"/>
    <w:rPr>
      <w:sz w:val="24"/>
      <w:lang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link w:val="Heading6Char"/>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287F58"/>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semiHidden/>
    <w:rsid w:val="00E9121D"/>
    <w:rPr>
      <w:sz w:val="24"/>
      <w:lang w:val="en-US" w:eastAsia="en-US"/>
    </w:rPr>
  </w:style>
  <w:style w:type="paragraph" w:styleId="Footer">
    <w:name w:val="footer"/>
    <w:basedOn w:val="Normal"/>
    <w:link w:val="FooterChar"/>
    <w:unhideWhenUsed/>
    <w:rsid w:val="00E9121D"/>
    <w:pPr>
      <w:tabs>
        <w:tab w:val="center" w:pos="4513"/>
        <w:tab w:val="right" w:pos="9026"/>
      </w:tabs>
    </w:pPr>
  </w:style>
  <w:style w:type="character" w:customStyle="1" w:styleId="FooterChar">
    <w:name w:val="Footer Char"/>
    <w:basedOn w:val="DefaultParagraphFont"/>
    <w:link w:val="Footer"/>
    <w:rsid w:val="00E9121D"/>
    <w:rPr>
      <w:sz w:val="24"/>
      <w:lang w:val="en-US" w:eastAsia="en-US"/>
    </w:rPr>
  </w:style>
  <w:style w:type="paragraph" w:customStyle="1" w:styleId="bullet1">
    <w:name w:val="bullet 1"/>
    <w:basedOn w:val="Normal"/>
    <w:rsid w:val="00E9121D"/>
    <w:pPr>
      <w:widowControl w:val="0"/>
      <w:numPr>
        <w:numId w:val="2"/>
      </w:numPr>
      <w:tabs>
        <w:tab w:val="left" w:pos="680"/>
      </w:tabs>
      <w:spacing w:after="240"/>
      <w:ind w:left="680" w:hanging="680"/>
      <w:jc w:val="both"/>
    </w:pPr>
    <w:rPr>
      <w:snapToGrid w:val="0"/>
    </w:rPr>
  </w:style>
  <w:style w:type="character" w:styleId="PageNumber">
    <w:name w:val="page number"/>
    <w:basedOn w:val="DefaultParagraphFont"/>
    <w:rsid w:val="00E9121D"/>
  </w:style>
  <w:style w:type="paragraph" w:styleId="CommentSubject">
    <w:name w:val="annotation subject"/>
    <w:basedOn w:val="CommentText"/>
    <w:next w:val="CommentText"/>
    <w:link w:val="CommentSubjectChar"/>
    <w:uiPriority w:val="99"/>
    <w:semiHidden/>
    <w:unhideWhenUsed/>
    <w:rsid w:val="005137B5"/>
    <w:rPr>
      <w:b/>
      <w:bCs/>
    </w:rPr>
  </w:style>
  <w:style w:type="character" w:customStyle="1" w:styleId="CommentTextChar">
    <w:name w:val="Comment Text Char"/>
    <w:basedOn w:val="DefaultParagraphFont"/>
    <w:link w:val="CommentText"/>
    <w:semiHidden/>
    <w:rsid w:val="005137B5"/>
    <w:rPr>
      <w:lang w:val="en-US" w:eastAsia="en-US"/>
    </w:rPr>
  </w:style>
  <w:style w:type="character" w:customStyle="1" w:styleId="CommentSubjectChar">
    <w:name w:val="Comment Subject Char"/>
    <w:basedOn w:val="CommentTextChar"/>
    <w:link w:val="CommentSubject"/>
    <w:rsid w:val="005137B5"/>
    <w:rPr>
      <w:lang w:val="en-US" w:eastAsia="en-US"/>
    </w:rPr>
  </w:style>
  <w:style w:type="table" w:styleId="TableGrid">
    <w:name w:val="Table Grid"/>
    <w:basedOn w:val="TableNormal"/>
    <w:uiPriority w:val="59"/>
    <w:rsid w:val="00F5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TableText">
    <w:name w:val="BMS Table Text"/>
    <w:link w:val="BMSTableTextChar"/>
    <w:rsid w:val="000E1693"/>
    <w:pPr>
      <w:tabs>
        <w:tab w:val="left" w:pos="360"/>
      </w:tabs>
      <w:spacing w:before="60" w:after="60"/>
      <w:jc w:val="center"/>
    </w:pPr>
    <w:rPr>
      <w:lang w:val="en-US" w:eastAsia="en-US"/>
    </w:rPr>
  </w:style>
  <w:style w:type="character" w:customStyle="1" w:styleId="BMSTableTextChar">
    <w:name w:val="BMS Table Text Char"/>
    <w:basedOn w:val="DefaultParagraphFont"/>
    <w:link w:val="BMSTableText"/>
    <w:locked/>
    <w:rsid w:val="000E1693"/>
    <w:rPr>
      <w:lang w:val="en-US" w:eastAsia="en-US"/>
    </w:rPr>
  </w:style>
  <w:style w:type="character" w:customStyle="1" w:styleId="apple-converted-space">
    <w:name w:val="apple-converted-space"/>
    <w:basedOn w:val="DefaultParagraphFont"/>
    <w:rsid w:val="00C27A4B"/>
  </w:style>
  <w:style w:type="paragraph" w:customStyle="1" w:styleId="JSText">
    <w:name w:val="JS Text"/>
    <w:basedOn w:val="Normal"/>
    <w:link w:val="JSTextChar"/>
    <w:rsid w:val="00910460"/>
    <w:pPr>
      <w:jc w:val="both"/>
    </w:pPr>
    <w:rPr>
      <w:rFonts w:ascii="Century" w:eastAsia="MS Mincho" w:hAnsi="Century"/>
      <w:kern w:val="2"/>
      <w:sz w:val="21"/>
      <w:szCs w:val="21"/>
      <w:lang w:val="x-none" w:eastAsia="ja-JP"/>
    </w:rPr>
  </w:style>
  <w:style w:type="character" w:customStyle="1" w:styleId="JSTextChar">
    <w:name w:val="JS Text Char"/>
    <w:link w:val="JSText"/>
    <w:locked/>
    <w:rsid w:val="00910460"/>
    <w:rPr>
      <w:rFonts w:ascii="Century" w:eastAsia="MS Mincho" w:hAnsi="Century"/>
      <w:kern w:val="2"/>
      <w:sz w:val="21"/>
      <w:szCs w:val="21"/>
      <w:lang w:val="x-none" w:eastAsia="ja-JP"/>
    </w:rPr>
  </w:style>
  <w:style w:type="paragraph" w:styleId="ListParagraph">
    <w:name w:val="List Paragraph"/>
    <w:basedOn w:val="Normal"/>
    <w:uiPriority w:val="34"/>
    <w:qFormat/>
    <w:rsid w:val="00910460"/>
    <w:pPr>
      <w:ind w:left="720"/>
      <w:contextualSpacing/>
    </w:pPr>
  </w:style>
  <w:style w:type="paragraph" w:styleId="NormalWeb">
    <w:name w:val="Normal (Web)"/>
    <w:basedOn w:val="Normal"/>
    <w:uiPriority w:val="99"/>
    <w:unhideWhenUsed/>
    <w:rsid w:val="00910460"/>
    <w:pPr>
      <w:spacing w:before="100" w:beforeAutospacing="1" w:after="100" w:afterAutospacing="1"/>
    </w:pPr>
    <w:rPr>
      <w:szCs w:val="24"/>
      <w:lang w:val="en-US"/>
    </w:rPr>
  </w:style>
  <w:style w:type="paragraph" w:customStyle="1" w:styleId="Default">
    <w:name w:val="Default"/>
    <w:rsid w:val="00910460"/>
    <w:pPr>
      <w:autoSpaceDE w:val="0"/>
      <w:autoSpaceDN w:val="0"/>
      <w:adjustRightInd w:val="0"/>
    </w:pPr>
    <w:rPr>
      <w:rFonts w:eastAsia="MS Mincho"/>
      <w:color w:val="000000"/>
      <w:sz w:val="24"/>
      <w:szCs w:val="24"/>
      <w:lang w:val="de-DE" w:eastAsia="ja-JP" w:bidi="hi-IN"/>
    </w:rPr>
  </w:style>
  <w:style w:type="paragraph" w:customStyle="1" w:styleId="Style">
    <w:name w:val="Style"/>
    <w:rsid w:val="00910460"/>
    <w:pPr>
      <w:widowControl w:val="0"/>
      <w:autoSpaceDE w:val="0"/>
      <w:autoSpaceDN w:val="0"/>
      <w:adjustRightInd w:val="0"/>
    </w:pPr>
    <w:rPr>
      <w:sz w:val="24"/>
      <w:szCs w:val="24"/>
      <w:lang w:val="en-US" w:eastAsia="en-US"/>
    </w:rPr>
  </w:style>
  <w:style w:type="paragraph" w:customStyle="1" w:styleId="FDAText">
    <w:name w:val="FDA:Text"/>
    <w:basedOn w:val="Normal"/>
    <w:rsid w:val="00910460"/>
    <w:pPr>
      <w:spacing w:before="180" w:after="180" w:line="360" w:lineRule="atLeast"/>
    </w:pPr>
    <w:rPr>
      <w:lang w:val="en-US" w:eastAsia="de-DE"/>
    </w:rPr>
  </w:style>
  <w:style w:type="paragraph" w:customStyle="1" w:styleId="Pa16">
    <w:name w:val="Pa16"/>
    <w:basedOn w:val="Normal"/>
    <w:next w:val="Normal"/>
    <w:uiPriority w:val="99"/>
    <w:rsid w:val="00AD1AE7"/>
    <w:pPr>
      <w:autoSpaceDE w:val="0"/>
      <w:autoSpaceDN w:val="0"/>
      <w:adjustRightInd w:val="0"/>
      <w:spacing w:before="40" w:after="40" w:line="161" w:lineRule="atLeast"/>
    </w:pPr>
    <w:rPr>
      <w:rFonts w:ascii="HelveticaNeueLT Std Cn" w:eastAsia="Calibri" w:hAnsi="HelveticaNeueLT Std Cn"/>
      <w:szCs w:val="24"/>
      <w:lang w:val="en-US"/>
    </w:rPr>
  </w:style>
  <w:style w:type="paragraph" w:customStyle="1" w:styleId="Pa9">
    <w:name w:val="Pa9"/>
    <w:basedOn w:val="Normal"/>
    <w:next w:val="Normal"/>
    <w:uiPriority w:val="99"/>
    <w:rsid w:val="00AD1AE7"/>
    <w:pPr>
      <w:autoSpaceDE w:val="0"/>
      <w:autoSpaceDN w:val="0"/>
      <w:adjustRightInd w:val="0"/>
      <w:spacing w:before="20" w:after="40" w:line="161" w:lineRule="atLeast"/>
    </w:pPr>
    <w:rPr>
      <w:rFonts w:ascii="HelveticaNeueLT Std Cn" w:eastAsia="Calibri" w:hAnsi="HelveticaNeueLT Std Cn"/>
      <w:szCs w:val="24"/>
      <w:lang w:val="en-US"/>
    </w:rPr>
  </w:style>
  <w:style w:type="paragraph" w:styleId="Revision">
    <w:name w:val="Revision"/>
    <w:hidden/>
    <w:uiPriority w:val="99"/>
    <w:semiHidden/>
    <w:rsid w:val="00211FC2"/>
    <w:rPr>
      <w:sz w:val="24"/>
      <w:lang w:eastAsia="en-US"/>
    </w:rPr>
  </w:style>
  <w:style w:type="paragraph" w:styleId="BodyText">
    <w:name w:val="Body Text"/>
    <w:basedOn w:val="Normal"/>
    <w:link w:val="BodyTextChar"/>
    <w:uiPriority w:val="99"/>
    <w:semiHidden/>
    <w:unhideWhenUsed/>
    <w:rsid w:val="00D50AFD"/>
    <w:pPr>
      <w:spacing w:after="120"/>
    </w:pPr>
  </w:style>
  <w:style w:type="character" w:customStyle="1" w:styleId="BodyTextChar">
    <w:name w:val="Body Text Char"/>
    <w:basedOn w:val="DefaultParagraphFont"/>
    <w:link w:val="BodyText"/>
    <w:uiPriority w:val="99"/>
    <w:semiHidden/>
    <w:rsid w:val="00D50AFD"/>
    <w:rPr>
      <w:sz w:val="24"/>
      <w:lang w:eastAsia="en-US"/>
    </w:rPr>
  </w:style>
  <w:style w:type="character" w:customStyle="1" w:styleId="defaultlabelstyle1">
    <w:name w:val="defaultlabelstyle1"/>
    <w:rsid w:val="00D50AFD"/>
    <w:rPr>
      <w:rFonts w:ascii="Trebuchet MS" w:hAnsi="Trebuchet MS" w:hint="default"/>
      <w:color w:val="333333"/>
    </w:rPr>
  </w:style>
  <w:style w:type="character" w:styleId="Hyperlink">
    <w:name w:val="Hyperlink"/>
    <w:uiPriority w:val="99"/>
    <w:unhideWhenUsed/>
    <w:rsid w:val="00C74A7C"/>
    <w:rPr>
      <w:color w:val="0000FF"/>
      <w:u w:val="single"/>
    </w:rPr>
  </w:style>
  <w:style w:type="paragraph" w:styleId="BodyText2">
    <w:name w:val="Body Text 2"/>
    <w:basedOn w:val="Normal"/>
    <w:link w:val="BodyText2Char"/>
    <w:uiPriority w:val="99"/>
    <w:semiHidden/>
    <w:unhideWhenUsed/>
    <w:rsid w:val="00B44310"/>
    <w:pPr>
      <w:spacing w:after="120" w:line="480" w:lineRule="auto"/>
    </w:pPr>
  </w:style>
  <w:style w:type="character" w:customStyle="1" w:styleId="BodyText2Char">
    <w:name w:val="Body Text 2 Char"/>
    <w:basedOn w:val="DefaultParagraphFont"/>
    <w:link w:val="BodyText2"/>
    <w:uiPriority w:val="99"/>
    <w:semiHidden/>
    <w:rsid w:val="00B44310"/>
    <w:rPr>
      <w:sz w:val="24"/>
      <w:lang w:eastAsia="en-US"/>
    </w:rPr>
  </w:style>
  <w:style w:type="paragraph" w:customStyle="1" w:styleId="CS-FootnoteText">
    <w:name w:val="CS-Footnote Text"/>
    <w:basedOn w:val="Normal"/>
    <w:link w:val="CS-FootnoteTextChar"/>
    <w:rsid w:val="00983F71"/>
    <w:pPr>
      <w:keepLines/>
      <w:ind w:left="720" w:hanging="720"/>
    </w:pPr>
    <w:rPr>
      <w:sz w:val="18"/>
      <w:lang w:val="en-GB" w:eastAsia="de-DE"/>
    </w:rPr>
  </w:style>
  <w:style w:type="character" w:customStyle="1" w:styleId="CS-FootnoteTextChar">
    <w:name w:val="CS-Footnote Text Char"/>
    <w:link w:val="CS-FootnoteText"/>
    <w:rsid w:val="00983F71"/>
    <w:rPr>
      <w:sz w:val="18"/>
      <w:lang w:val="en-GB" w:eastAsia="de-DE"/>
    </w:rPr>
  </w:style>
  <w:style w:type="paragraph" w:customStyle="1" w:styleId="CS-TextinTable10pt">
    <w:name w:val="CS-Text_in_Table:10pt"/>
    <w:basedOn w:val="Normal"/>
    <w:qFormat/>
    <w:rsid w:val="00983F71"/>
    <w:pPr>
      <w:keepNext/>
      <w:keepLines/>
      <w:tabs>
        <w:tab w:val="left" w:pos="144"/>
      </w:tabs>
      <w:spacing w:before="120" w:after="120"/>
    </w:pPr>
    <w:rPr>
      <w:sz w:val="20"/>
      <w:lang w:val="en-GB"/>
    </w:rPr>
  </w:style>
  <w:style w:type="paragraph" w:customStyle="1" w:styleId="CaptionTable">
    <w:name w:val="Caption_Table"/>
    <w:basedOn w:val="Caption"/>
    <w:next w:val="Normal"/>
    <w:rsid w:val="00983F71"/>
    <w:pPr>
      <w:keepNext/>
      <w:keepLines/>
      <w:spacing w:after="180"/>
      <w:ind w:left="1588" w:hanging="1588"/>
    </w:pPr>
    <w:rPr>
      <w:b w:val="0"/>
      <w:bCs w:val="0"/>
      <w:color w:val="auto"/>
      <w:sz w:val="24"/>
      <w:szCs w:val="20"/>
      <w:lang w:val="en-US" w:eastAsia="de-DE"/>
    </w:rPr>
  </w:style>
  <w:style w:type="paragraph" w:styleId="Caption">
    <w:name w:val="caption"/>
    <w:basedOn w:val="Normal"/>
    <w:next w:val="Normal"/>
    <w:uiPriority w:val="35"/>
    <w:unhideWhenUsed/>
    <w:qFormat/>
    <w:rsid w:val="00983F71"/>
    <w:pPr>
      <w:spacing w:after="200"/>
    </w:pPr>
    <w:rPr>
      <w:b/>
      <w:bCs/>
      <w:color w:val="4F81BD" w:themeColor="accent1"/>
      <w:sz w:val="18"/>
      <w:szCs w:val="18"/>
    </w:rPr>
  </w:style>
  <w:style w:type="paragraph" w:customStyle="1" w:styleId="IBText">
    <w:name w:val="IB:Text"/>
    <w:link w:val="IBTextChar"/>
    <w:rsid w:val="00AC56C3"/>
    <w:pPr>
      <w:spacing w:before="120" w:after="240"/>
    </w:pPr>
    <w:rPr>
      <w:noProof/>
      <w:sz w:val="24"/>
      <w:lang w:val="de-DE" w:eastAsia="ja-JP"/>
    </w:rPr>
  </w:style>
  <w:style w:type="character" w:customStyle="1" w:styleId="IBTextChar">
    <w:name w:val="IB:Text Char"/>
    <w:link w:val="IBText"/>
    <w:rsid w:val="00AC56C3"/>
    <w:rPr>
      <w:noProof/>
      <w:sz w:val="24"/>
      <w:lang w:val="de-DE" w:eastAsia="ja-JP"/>
    </w:rPr>
  </w:style>
  <w:style w:type="paragraph" w:customStyle="1" w:styleId="4thlevel">
    <w:name w:val="4th level"/>
    <w:basedOn w:val="Normal"/>
    <w:next w:val="Normal"/>
    <w:rsid w:val="008D763A"/>
    <w:pPr>
      <w:keepNext/>
      <w:keepLines/>
      <w:tabs>
        <w:tab w:val="left" w:pos="1134"/>
      </w:tabs>
      <w:spacing w:before="240" w:after="240"/>
      <w:ind w:left="1134" w:hanging="1134"/>
      <w:outlineLvl w:val="3"/>
    </w:pPr>
    <w:rPr>
      <w:lang w:val="en-US" w:eastAsia="de-DE"/>
    </w:rPr>
  </w:style>
  <w:style w:type="paragraph" w:customStyle="1" w:styleId="FigureLabel">
    <w:name w:val="Figure Label"/>
    <w:basedOn w:val="Normal"/>
    <w:next w:val="Normal"/>
    <w:rsid w:val="00223FA3"/>
    <w:pPr>
      <w:numPr>
        <w:numId w:val="8"/>
      </w:numPr>
      <w:spacing w:before="180" w:after="180"/>
      <w:outlineLvl w:val="5"/>
    </w:pPr>
    <w:rPr>
      <w:lang w:val="en-US" w:eastAsia="de-DE"/>
    </w:rPr>
  </w:style>
  <w:style w:type="paragraph" w:customStyle="1" w:styleId="FigureLabelcont">
    <w:name w:val="Figure Label cont"/>
    <w:basedOn w:val="FigureLabel"/>
    <w:next w:val="Normal"/>
    <w:rsid w:val="00223FA3"/>
    <w:pPr>
      <w:numPr>
        <w:ilvl w:val="1"/>
      </w:numPr>
      <w:outlineLvl w:val="9"/>
    </w:pPr>
    <w:rPr>
      <w:lang w:val="en-GB"/>
    </w:rPr>
  </w:style>
  <w:style w:type="paragraph" w:customStyle="1" w:styleId="TableLabel">
    <w:name w:val="Table Label"/>
    <w:basedOn w:val="Normal"/>
    <w:next w:val="Normal"/>
    <w:rsid w:val="00223FA3"/>
    <w:pPr>
      <w:keepNext/>
      <w:keepLines/>
      <w:numPr>
        <w:numId w:val="9"/>
      </w:numPr>
      <w:spacing w:before="180" w:after="180"/>
      <w:outlineLvl w:val="5"/>
    </w:pPr>
    <w:rPr>
      <w:szCs w:val="24"/>
      <w:lang w:val="en-US"/>
    </w:rPr>
  </w:style>
  <w:style w:type="paragraph" w:customStyle="1" w:styleId="TableLabelcont">
    <w:name w:val="Table Label cont"/>
    <w:basedOn w:val="TableLabel"/>
    <w:next w:val="Normal"/>
    <w:rsid w:val="00223FA3"/>
    <w:pPr>
      <w:numPr>
        <w:ilvl w:val="1"/>
      </w:numPr>
      <w:outlineLvl w:val="9"/>
    </w:pPr>
  </w:style>
  <w:style w:type="paragraph" w:customStyle="1" w:styleId="CSTextinTable10pt">
    <w:name w:val="CS Text_in_Table:10pt"/>
    <w:basedOn w:val="Normal"/>
    <w:rsid w:val="00223FA3"/>
    <w:pPr>
      <w:keepNext/>
      <w:keepLines/>
      <w:tabs>
        <w:tab w:val="left" w:pos="144"/>
      </w:tabs>
      <w:spacing w:before="60" w:after="60"/>
    </w:pPr>
    <w:rPr>
      <w:sz w:val="20"/>
      <w:szCs w:val="24"/>
      <w:lang w:val="en-US" w:eastAsia="de-DE"/>
    </w:rPr>
  </w:style>
  <w:style w:type="paragraph" w:customStyle="1" w:styleId="CS-FootnoteReference">
    <w:name w:val="CS-Footnote Reference"/>
    <w:basedOn w:val="Normal"/>
    <w:link w:val="CS-FootnoteReferenceChar"/>
    <w:qFormat/>
    <w:rsid w:val="00223FA3"/>
    <w:rPr>
      <w:rFonts w:eastAsia="PMingLiU"/>
      <w:position w:val="4"/>
      <w:sz w:val="18"/>
      <w:lang w:val="en-GB"/>
    </w:rPr>
  </w:style>
  <w:style w:type="character" w:customStyle="1" w:styleId="CS-FootnoteReferenceChar">
    <w:name w:val="CS-Footnote Reference Char"/>
    <w:link w:val="CS-FootnoteReference"/>
    <w:rsid w:val="00223FA3"/>
    <w:rPr>
      <w:rFonts w:eastAsia="PMingLiU"/>
      <w:position w:val="4"/>
      <w:sz w:val="18"/>
      <w:lang w:val="en-GB" w:eastAsia="en-US"/>
    </w:rPr>
  </w:style>
  <w:style w:type="paragraph" w:customStyle="1" w:styleId="3rdlevel">
    <w:name w:val="3rd level"/>
    <w:basedOn w:val="Normal"/>
    <w:next w:val="Normal"/>
    <w:rsid w:val="00C32C49"/>
    <w:pPr>
      <w:keepNext/>
      <w:keepLines/>
      <w:tabs>
        <w:tab w:val="left" w:pos="1134"/>
      </w:tabs>
      <w:spacing w:before="240" w:after="240" w:line="276" w:lineRule="auto"/>
      <w:ind w:left="1134" w:hanging="1134"/>
      <w:outlineLvl w:val="2"/>
    </w:pPr>
    <w:rPr>
      <w:b/>
      <w:szCs w:val="22"/>
      <w:lang w:val="en-US" w:eastAsia="de-DE"/>
    </w:rPr>
  </w:style>
  <w:style w:type="paragraph" w:customStyle="1" w:styleId="2ndlevel">
    <w:name w:val="2nd level"/>
    <w:basedOn w:val="Normal"/>
    <w:next w:val="Normal"/>
    <w:rsid w:val="00985BDD"/>
    <w:pPr>
      <w:keepNext/>
      <w:keepLines/>
      <w:tabs>
        <w:tab w:val="left" w:pos="1134"/>
      </w:tabs>
      <w:spacing w:before="240" w:after="240" w:line="276" w:lineRule="auto"/>
      <w:ind w:left="1134" w:hanging="1134"/>
      <w:outlineLvl w:val="1"/>
    </w:pPr>
    <w:rPr>
      <w:b/>
      <w:caps/>
      <w:szCs w:val="22"/>
      <w:lang w:val="en-US" w:eastAsia="de-DE"/>
    </w:rPr>
  </w:style>
  <w:style w:type="character" w:styleId="EndnoteReference">
    <w:name w:val="endnote reference"/>
    <w:uiPriority w:val="99"/>
    <w:unhideWhenUsed/>
    <w:rsid w:val="00AA6AFB"/>
    <w:rPr>
      <w:vertAlign w:val="superscript"/>
    </w:rPr>
  </w:style>
  <w:style w:type="paragraph" w:customStyle="1" w:styleId="CSText">
    <w:name w:val="CS Text"/>
    <w:basedOn w:val="Normal"/>
    <w:link w:val="CSTextChar"/>
    <w:qFormat/>
    <w:rsid w:val="008E1BDB"/>
    <w:rPr>
      <w:szCs w:val="24"/>
      <w:lang w:val="en-US" w:eastAsia="de-DE"/>
    </w:rPr>
  </w:style>
  <w:style w:type="character" w:customStyle="1" w:styleId="CSTextChar">
    <w:name w:val="CS Text Char"/>
    <w:basedOn w:val="DefaultParagraphFont"/>
    <w:link w:val="CSText"/>
    <w:rsid w:val="008E1BDB"/>
    <w:rPr>
      <w:sz w:val="24"/>
      <w:szCs w:val="24"/>
      <w:lang w:val="en-US" w:eastAsia="de-DE"/>
    </w:rPr>
  </w:style>
  <w:style w:type="paragraph" w:customStyle="1" w:styleId="CS4thlevel">
    <w:name w:val="CS 4th level"/>
    <w:basedOn w:val="Normal"/>
    <w:next w:val="CSText"/>
    <w:rsid w:val="008E1BDB"/>
    <w:pPr>
      <w:keepNext/>
      <w:keepLines/>
      <w:tabs>
        <w:tab w:val="left" w:pos="1134"/>
      </w:tabs>
      <w:spacing w:before="240" w:after="240"/>
      <w:ind w:left="1134" w:hanging="1134"/>
      <w:outlineLvl w:val="3"/>
    </w:pPr>
    <w:rPr>
      <w:szCs w:val="24"/>
      <w:lang w:val="en-US" w:eastAsia="de-DE"/>
    </w:rPr>
  </w:style>
  <w:style w:type="character" w:customStyle="1" w:styleId="Heading6Char">
    <w:name w:val="Heading 6 Char"/>
    <w:link w:val="Heading6"/>
    <w:rsid w:val="002D2F21"/>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96927">
      <w:bodyDiv w:val="1"/>
      <w:marLeft w:val="0"/>
      <w:marRight w:val="0"/>
      <w:marTop w:val="0"/>
      <w:marBottom w:val="0"/>
      <w:divBdr>
        <w:top w:val="none" w:sz="0" w:space="0" w:color="auto"/>
        <w:left w:val="none" w:sz="0" w:space="0" w:color="auto"/>
        <w:bottom w:val="none" w:sz="0" w:space="0" w:color="auto"/>
        <w:right w:val="none" w:sz="0" w:space="0" w:color="auto"/>
      </w:divBdr>
    </w:div>
    <w:div w:id="15435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9994E-BCC2-476B-ACE3-C7860797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4762</Words>
  <Characters>27568</Characters>
  <Application>Microsoft Office Word</Application>
  <DocSecurity>0</DocSecurity>
  <Lines>467</Lines>
  <Paragraphs>191</Paragraphs>
  <ScaleCrop>false</ScaleCrop>
  <HeadingPairs>
    <vt:vector size="2" baseType="variant">
      <vt:variant>
        <vt:lpstr>Title</vt:lpstr>
      </vt:variant>
      <vt:variant>
        <vt:i4>1</vt:i4>
      </vt:variant>
    </vt:vector>
  </HeadingPairs>
  <TitlesOfParts>
    <vt:vector size="1" baseType="lpstr">
      <vt:lpstr>Core PI template</vt:lpstr>
    </vt:vector>
  </TitlesOfParts>
  <Company>Boehringer Ingelheim</Company>
  <LinksUpToDate>false</LinksUpToDate>
  <CharactersWithSpaces>32139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Idarucizumab</dc:title>
  <dc:subject>prescription medicines</dc:subject>
  <dc:creator>Seeto</dc:creator>
  <cp:keywords>AusPARs</cp:keywords>
  <cp:lastModifiedBy>Lack, Janet</cp:lastModifiedBy>
  <cp:revision>29</cp:revision>
  <cp:lastPrinted>2016-05-12T04:41:00Z</cp:lastPrinted>
  <dcterms:created xsi:type="dcterms:W3CDTF">2016-05-02T00:41:00Z</dcterms:created>
  <dcterms:modified xsi:type="dcterms:W3CDTF">2016-11-07T03:37:00Z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