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6A61B1" w:rsidP="00096AA7">
            <w:pPr>
              <w:rPr>
                <w:rFonts w:ascii="Arial" w:hAnsi="Arial" w:cs="Arial"/>
                <w:b/>
                <w:color w:val="002C47"/>
                <w:sz w:val="36"/>
                <w:szCs w:val="36"/>
              </w:rPr>
            </w:pPr>
            <w:r>
              <w:rPr>
                <w:rFonts w:ascii="Arial" w:hAnsi="Arial" w:cs="Arial"/>
                <w:b/>
                <w:color w:val="002C47"/>
                <w:sz w:val="36"/>
                <w:szCs w:val="36"/>
              </w:rPr>
              <w:t>October</w:t>
            </w:r>
            <w:r w:rsidR="001A7AAC">
              <w:rPr>
                <w:rFonts w:ascii="Arial" w:hAnsi="Arial" w:cs="Arial"/>
                <w:b/>
                <w:color w:val="002C47"/>
                <w:sz w:val="36"/>
                <w:szCs w:val="36"/>
              </w:rPr>
              <w:t xml:space="preserve"> </w:t>
            </w:r>
            <w:r w:rsidR="000A68EB">
              <w:rPr>
                <w:rFonts w:ascii="Arial" w:hAnsi="Arial" w:cs="Arial"/>
                <w:b/>
                <w:color w:val="002C47"/>
                <w:sz w:val="36"/>
                <w:szCs w:val="36"/>
              </w:rPr>
              <w:t>2</w:t>
            </w:r>
            <w:r w:rsidR="00ED48EE">
              <w:rPr>
                <w:rFonts w:ascii="Arial" w:hAnsi="Arial" w:cs="Arial"/>
                <w:b/>
                <w:color w:val="002C47"/>
                <w:sz w:val="36"/>
                <w:szCs w:val="36"/>
              </w:rPr>
              <w:t>0</w:t>
            </w:r>
            <w:r w:rsidR="00A53145">
              <w:rPr>
                <w:rFonts w:ascii="Arial" w:hAnsi="Arial" w:cs="Arial"/>
                <w:b/>
                <w:color w:val="002C47"/>
                <w:sz w:val="36"/>
                <w:szCs w:val="36"/>
              </w:rPr>
              <w:t>16</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Australian Pu</w:t>
            </w:r>
            <w:r w:rsidR="00DA3A88">
              <w:rPr>
                <w:color w:val="FFFFFF" w:themeColor="background1"/>
              </w:rPr>
              <w:t>blic Assessment Report for i</w:t>
            </w:r>
            <w:r w:rsidR="00DA3A88" w:rsidRPr="00DA3A88">
              <w:rPr>
                <w:color w:val="FFFFFF" w:themeColor="background1"/>
              </w:rPr>
              <w:t>darucizumab</w:t>
            </w:r>
          </w:p>
        </w:tc>
      </w:tr>
      <w:tr w:rsidR="0032583B" w:rsidRPr="00B64760" w:rsidTr="0032583B">
        <w:tc>
          <w:tcPr>
            <w:tcW w:w="9079" w:type="dxa"/>
          </w:tcPr>
          <w:p w:rsidR="0032583B" w:rsidRPr="008E7846" w:rsidRDefault="00CD5829" w:rsidP="0032583B">
            <w:pPr>
              <w:pStyle w:val="Subtitle"/>
              <w:rPr>
                <w:color w:val="FFFFFF" w:themeColor="background1"/>
              </w:rPr>
            </w:pPr>
            <w:r>
              <w:rPr>
                <w:color w:val="FFFFFF" w:themeColor="background1"/>
              </w:rPr>
              <w:t>Proprietary Product Name: Praxbind</w:t>
            </w:r>
          </w:p>
        </w:tc>
      </w:tr>
      <w:tr w:rsidR="0032583B" w:rsidRPr="00B64760" w:rsidTr="0032583B">
        <w:trPr>
          <w:trHeight w:val="486"/>
        </w:trPr>
        <w:tc>
          <w:tcPr>
            <w:tcW w:w="9079" w:type="dxa"/>
          </w:tcPr>
          <w:p w:rsidR="0032583B" w:rsidRPr="008E7846" w:rsidRDefault="00DA3A88" w:rsidP="0032583B">
            <w:pPr>
              <w:pStyle w:val="Subtitle"/>
              <w:rPr>
                <w:color w:val="FFFFFF" w:themeColor="background1"/>
              </w:rPr>
            </w:pPr>
            <w:r>
              <w:rPr>
                <w:color w:val="FFFFFF" w:themeColor="background1"/>
              </w:rPr>
              <w:t xml:space="preserve">Sponsor: </w:t>
            </w:r>
            <w:proofErr w:type="spellStart"/>
            <w:r>
              <w:rPr>
                <w:color w:val="FFFFFF" w:themeColor="background1"/>
              </w:rPr>
              <w:t>Boehringer</w:t>
            </w:r>
            <w:proofErr w:type="spellEnd"/>
            <w:r>
              <w:rPr>
                <w:color w:val="FFFFFF" w:themeColor="background1"/>
              </w:rPr>
              <w:t xml:space="preserve"> </w:t>
            </w:r>
            <w:proofErr w:type="spellStart"/>
            <w:r>
              <w:rPr>
                <w:color w:val="FFFFFF" w:themeColor="background1"/>
              </w:rPr>
              <w:t>Ingelheim</w:t>
            </w:r>
            <w:proofErr w:type="spellEnd"/>
            <w:r>
              <w:rPr>
                <w:color w:val="FFFFFF" w:themeColor="background1"/>
              </w:rPr>
              <w:t xml:space="preserve"> Pty Lt</w:t>
            </w:r>
            <w:r w:rsidRPr="00DA3A88">
              <w:rPr>
                <w:color w:val="FFFFFF" w:themeColor="background1"/>
              </w:rPr>
              <w: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950651">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950651">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950651">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950651">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950651">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441C3F">
      <w:pPr>
        <w:pStyle w:val="Heading2"/>
      </w:pPr>
      <w:bookmarkStart w:id="0" w:name="_Toc434232633"/>
      <w:bookmarkStart w:id="1" w:name="_Toc459999245"/>
      <w:bookmarkStart w:id="2" w:name="_Toc460583171"/>
      <w:bookmarkStart w:id="3" w:name="_Toc466282919"/>
      <w:r>
        <w:t>About AusPARs</w:t>
      </w:r>
      <w:bookmarkEnd w:id="0"/>
      <w:bookmarkEnd w:id="1"/>
      <w:bookmarkEnd w:id="2"/>
      <w:bookmarkEnd w:id="3"/>
    </w:p>
    <w:p w:rsidR="008E7846" w:rsidRDefault="008E7846" w:rsidP="00950651">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950651">
      <w:pPr>
        <w:pStyle w:val="ListBullet"/>
        <w:numPr>
          <w:ilvl w:val="0"/>
          <w:numId w:val="1"/>
        </w:numPr>
        <w:ind w:left="357" w:hanging="357"/>
      </w:pPr>
      <w:r>
        <w:t>AusPARs are prepared and published by the TGA.</w:t>
      </w:r>
    </w:p>
    <w:p w:rsidR="008E7846" w:rsidRDefault="008E7846" w:rsidP="00950651">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950651">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950651">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516DE">
        <w:rPr>
          <w:rFonts w:cs="Arial"/>
          <w:lang w:val="en-GB"/>
        </w:rPr>
        <w:t>6</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4" w:name="_Toc247691501" w:displacedByCustomXml="next"/>
    <w:bookmarkStart w:id="5"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w:t>
          </w:r>
          <w:bookmarkStart w:id="6" w:name="_GoBack"/>
          <w:bookmarkEnd w:id="6"/>
          <w:r w:rsidRPr="0010788A">
            <w:t>nts</w:t>
          </w:r>
        </w:p>
        <w:p w:rsidR="00753DD4"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66282919" w:history="1">
            <w:r w:rsidR="00753DD4" w:rsidRPr="00B70357">
              <w:rPr>
                <w:rStyle w:val="Hyperlink"/>
                <w:noProof/>
              </w:rPr>
              <w:t>About AusPARs</w:t>
            </w:r>
            <w:r w:rsidR="00753DD4">
              <w:rPr>
                <w:noProof/>
                <w:webHidden/>
              </w:rPr>
              <w:tab/>
            </w:r>
            <w:r w:rsidR="00753DD4">
              <w:rPr>
                <w:noProof/>
                <w:webHidden/>
              </w:rPr>
              <w:fldChar w:fldCharType="begin"/>
            </w:r>
            <w:r w:rsidR="00753DD4">
              <w:rPr>
                <w:noProof/>
                <w:webHidden/>
              </w:rPr>
              <w:instrText xml:space="preserve"> PAGEREF _Toc466282919 \h </w:instrText>
            </w:r>
            <w:r w:rsidR="00753DD4">
              <w:rPr>
                <w:noProof/>
                <w:webHidden/>
              </w:rPr>
            </w:r>
            <w:r w:rsidR="00753DD4">
              <w:rPr>
                <w:noProof/>
                <w:webHidden/>
              </w:rPr>
              <w:fldChar w:fldCharType="separate"/>
            </w:r>
            <w:r w:rsidR="00753DD4">
              <w:rPr>
                <w:noProof/>
                <w:webHidden/>
              </w:rPr>
              <w:t>ii</w:t>
            </w:r>
            <w:r w:rsidR="00753DD4">
              <w:rPr>
                <w:noProof/>
                <w:webHidden/>
              </w:rPr>
              <w:fldChar w:fldCharType="end"/>
            </w:r>
          </w:hyperlink>
        </w:p>
        <w:p w:rsidR="00753DD4" w:rsidRDefault="00753DD4">
          <w:pPr>
            <w:pStyle w:val="TOC2"/>
            <w:rPr>
              <w:rFonts w:asciiTheme="minorHAnsi" w:eastAsiaTheme="minorEastAsia" w:hAnsiTheme="minorHAnsi" w:cstheme="minorBidi"/>
              <w:b w:val="0"/>
              <w:noProof/>
              <w:sz w:val="22"/>
              <w:lang w:eastAsia="en-AU"/>
            </w:rPr>
          </w:pPr>
          <w:hyperlink w:anchor="_Toc466282920" w:history="1">
            <w:r w:rsidRPr="00B70357">
              <w:rPr>
                <w:rStyle w:val="Hyperlink"/>
                <w:noProof/>
              </w:rPr>
              <w:t>Common abbreviations</w:t>
            </w:r>
            <w:r>
              <w:rPr>
                <w:noProof/>
                <w:webHidden/>
              </w:rPr>
              <w:tab/>
            </w:r>
            <w:r>
              <w:rPr>
                <w:noProof/>
                <w:webHidden/>
              </w:rPr>
              <w:fldChar w:fldCharType="begin"/>
            </w:r>
            <w:r>
              <w:rPr>
                <w:noProof/>
                <w:webHidden/>
              </w:rPr>
              <w:instrText xml:space="preserve"> PAGEREF _Toc466282920 \h </w:instrText>
            </w:r>
            <w:r>
              <w:rPr>
                <w:noProof/>
                <w:webHidden/>
              </w:rPr>
            </w:r>
            <w:r>
              <w:rPr>
                <w:noProof/>
                <w:webHidden/>
              </w:rPr>
              <w:fldChar w:fldCharType="separate"/>
            </w:r>
            <w:r>
              <w:rPr>
                <w:noProof/>
                <w:webHidden/>
              </w:rPr>
              <w:t>5</w:t>
            </w:r>
            <w:r>
              <w:rPr>
                <w:noProof/>
                <w:webHidden/>
              </w:rPr>
              <w:fldChar w:fldCharType="end"/>
            </w:r>
          </w:hyperlink>
        </w:p>
        <w:p w:rsidR="00753DD4" w:rsidRDefault="00753DD4">
          <w:pPr>
            <w:pStyle w:val="TOC2"/>
            <w:rPr>
              <w:rFonts w:asciiTheme="minorHAnsi" w:eastAsiaTheme="minorEastAsia" w:hAnsiTheme="minorHAnsi" w:cstheme="minorBidi"/>
              <w:b w:val="0"/>
              <w:noProof/>
              <w:sz w:val="22"/>
              <w:lang w:eastAsia="en-AU"/>
            </w:rPr>
          </w:pPr>
          <w:hyperlink w:anchor="_Toc466282921" w:history="1">
            <w:r w:rsidRPr="00B70357">
              <w:rPr>
                <w:rStyle w:val="Hyperlink"/>
                <w:noProof/>
              </w:rPr>
              <w:t>I. Introduction to product submission</w:t>
            </w:r>
            <w:r>
              <w:rPr>
                <w:noProof/>
                <w:webHidden/>
              </w:rPr>
              <w:tab/>
            </w:r>
            <w:r>
              <w:rPr>
                <w:noProof/>
                <w:webHidden/>
              </w:rPr>
              <w:fldChar w:fldCharType="begin"/>
            </w:r>
            <w:r>
              <w:rPr>
                <w:noProof/>
                <w:webHidden/>
              </w:rPr>
              <w:instrText xml:space="preserve"> PAGEREF _Toc466282921 \h </w:instrText>
            </w:r>
            <w:r>
              <w:rPr>
                <w:noProof/>
                <w:webHidden/>
              </w:rPr>
            </w:r>
            <w:r>
              <w:rPr>
                <w:noProof/>
                <w:webHidden/>
              </w:rPr>
              <w:fldChar w:fldCharType="separate"/>
            </w:r>
            <w:r>
              <w:rPr>
                <w:noProof/>
                <w:webHidden/>
              </w:rPr>
              <w:t>7</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22" w:history="1">
            <w:r w:rsidRPr="00B70357">
              <w:rPr>
                <w:rStyle w:val="Hyperlink"/>
                <w:noProof/>
                <w:lang w:eastAsia="en-AU"/>
              </w:rPr>
              <w:t>Submission details</w:t>
            </w:r>
            <w:r>
              <w:rPr>
                <w:noProof/>
                <w:webHidden/>
              </w:rPr>
              <w:tab/>
            </w:r>
            <w:r>
              <w:rPr>
                <w:noProof/>
                <w:webHidden/>
              </w:rPr>
              <w:fldChar w:fldCharType="begin"/>
            </w:r>
            <w:r>
              <w:rPr>
                <w:noProof/>
                <w:webHidden/>
              </w:rPr>
              <w:instrText xml:space="preserve"> PAGEREF _Toc466282922 \h </w:instrText>
            </w:r>
            <w:r>
              <w:rPr>
                <w:noProof/>
                <w:webHidden/>
              </w:rPr>
            </w:r>
            <w:r>
              <w:rPr>
                <w:noProof/>
                <w:webHidden/>
              </w:rPr>
              <w:fldChar w:fldCharType="separate"/>
            </w:r>
            <w:r>
              <w:rPr>
                <w:noProof/>
                <w:webHidden/>
              </w:rPr>
              <w:t>7</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23" w:history="1">
            <w:r w:rsidRPr="00B70357">
              <w:rPr>
                <w:rStyle w:val="Hyperlink"/>
                <w:noProof/>
              </w:rPr>
              <w:t>Product background</w:t>
            </w:r>
            <w:r>
              <w:rPr>
                <w:noProof/>
                <w:webHidden/>
              </w:rPr>
              <w:tab/>
            </w:r>
            <w:r>
              <w:rPr>
                <w:noProof/>
                <w:webHidden/>
              </w:rPr>
              <w:fldChar w:fldCharType="begin"/>
            </w:r>
            <w:r>
              <w:rPr>
                <w:noProof/>
                <w:webHidden/>
              </w:rPr>
              <w:instrText xml:space="preserve"> PAGEREF _Toc466282923 \h </w:instrText>
            </w:r>
            <w:r>
              <w:rPr>
                <w:noProof/>
                <w:webHidden/>
              </w:rPr>
            </w:r>
            <w:r>
              <w:rPr>
                <w:noProof/>
                <w:webHidden/>
              </w:rPr>
              <w:fldChar w:fldCharType="separate"/>
            </w:r>
            <w:r>
              <w:rPr>
                <w:noProof/>
                <w:webHidden/>
              </w:rPr>
              <w:t>7</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24" w:history="1">
            <w:r w:rsidRPr="00B70357">
              <w:rPr>
                <w:rStyle w:val="Hyperlink"/>
                <w:noProof/>
              </w:rPr>
              <w:t>Regulatory status</w:t>
            </w:r>
            <w:r>
              <w:rPr>
                <w:noProof/>
                <w:webHidden/>
              </w:rPr>
              <w:tab/>
            </w:r>
            <w:r>
              <w:rPr>
                <w:noProof/>
                <w:webHidden/>
              </w:rPr>
              <w:fldChar w:fldCharType="begin"/>
            </w:r>
            <w:r>
              <w:rPr>
                <w:noProof/>
                <w:webHidden/>
              </w:rPr>
              <w:instrText xml:space="preserve"> PAGEREF _Toc466282924 \h </w:instrText>
            </w:r>
            <w:r>
              <w:rPr>
                <w:noProof/>
                <w:webHidden/>
              </w:rPr>
            </w:r>
            <w:r>
              <w:rPr>
                <w:noProof/>
                <w:webHidden/>
              </w:rPr>
              <w:fldChar w:fldCharType="separate"/>
            </w:r>
            <w:r>
              <w:rPr>
                <w:noProof/>
                <w:webHidden/>
              </w:rPr>
              <w:t>8</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25" w:history="1">
            <w:r w:rsidRPr="00B70357">
              <w:rPr>
                <w:rStyle w:val="Hyperlink"/>
                <w:noProof/>
              </w:rPr>
              <w:t>Product Information</w:t>
            </w:r>
            <w:r>
              <w:rPr>
                <w:noProof/>
                <w:webHidden/>
              </w:rPr>
              <w:tab/>
            </w:r>
            <w:r>
              <w:rPr>
                <w:noProof/>
                <w:webHidden/>
              </w:rPr>
              <w:fldChar w:fldCharType="begin"/>
            </w:r>
            <w:r>
              <w:rPr>
                <w:noProof/>
                <w:webHidden/>
              </w:rPr>
              <w:instrText xml:space="preserve"> PAGEREF _Toc466282925 \h </w:instrText>
            </w:r>
            <w:r>
              <w:rPr>
                <w:noProof/>
                <w:webHidden/>
              </w:rPr>
            </w:r>
            <w:r>
              <w:rPr>
                <w:noProof/>
                <w:webHidden/>
              </w:rPr>
              <w:fldChar w:fldCharType="separate"/>
            </w:r>
            <w:r>
              <w:rPr>
                <w:noProof/>
                <w:webHidden/>
              </w:rPr>
              <w:t>8</w:t>
            </w:r>
            <w:r>
              <w:rPr>
                <w:noProof/>
                <w:webHidden/>
              </w:rPr>
              <w:fldChar w:fldCharType="end"/>
            </w:r>
          </w:hyperlink>
        </w:p>
        <w:p w:rsidR="00753DD4" w:rsidRDefault="00753DD4">
          <w:pPr>
            <w:pStyle w:val="TOC2"/>
            <w:rPr>
              <w:rFonts w:asciiTheme="minorHAnsi" w:eastAsiaTheme="minorEastAsia" w:hAnsiTheme="minorHAnsi" w:cstheme="minorBidi"/>
              <w:b w:val="0"/>
              <w:noProof/>
              <w:sz w:val="22"/>
              <w:lang w:eastAsia="en-AU"/>
            </w:rPr>
          </w:pPr>
          <w:hyperlink w:anchor="_Toc466282926" w:history="1">
            <w:r w:rsidRPr="00B70357">
              <w:rPr>
                <w:rStyle w:val="Hyperlink"/>
                <w:noProof/>
              </w:rPr>
              <w:t>II. Quality findings</w:t>
            </w:r>
            <w:r>
              <w:rPr>
                <w:noProof/>
                <w:webHidden/>
              </w:rPr>
              <w:tab/>
            </w:r>
            <w:r>
              <w:rPr>
                <w:noProof/>
                <w:webHidden/>
              </w:rPr>
              <w:fldChar w:fldCharType="begin"/>
            </w:r>
            <w:r>
              <w:rPr>
                <w:noProof/>
                <w:webHidden/>
              </w:rPr>
              <w:instrText xml:space="preserve"> PAGEREF _Toc466282926 \h </w:instrText>
            </w:r>
            <w:r>
              <w:rPr>
                <w:noProof/>
                <w:webHidden/>
              </w:rPr>
            </w:r>
            <w:r>
              <w:rPr>
                <w:noProof/>
                <w:webHidden/>
              </w:rPr>
              <w:fldChar w:fldCharType="separate"/>
            </w:r>
            <w:r>
              <w:rPr>
                <w:noProof/>
                <w:webHidden/>
              </w:rPr>
              <w:t>9</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27" w:history="1">
            <w:r w:rsidRPr="00B70357">
              <w:rPr>
                <w:rStyle w:val="Hyperlink"/>
                <w:noProof/>
              </w:rPr>
              <w:t>Introduction</w:t>
            </w:r>
            <w:r>
              <w:rPr>
                <w:noProof/>
                <w:webHidden/>
              </w:rPr>
              <w:tab/>
            </w:r>
            <w:r>
              <w:rPr>
                <w:noProof/>
                <w:webHidden/>
              </w:rPr>
              <w:fldChar w:fldCharType="begin"/>
            </w:r>
            <w:r>
              <w:rPr>
                <w:noProof/>
                <w:webHidden/>
              </w:rPr>
              <w:instrText xml:space="preserve"> PAGEREF _Toc466282927 \h </w:instrText>
            </w:r>
            <w:r>
              <w:rPr>
                <w:noProof/>
                <w:webHidden/>
              </w:rPr>
            </w:r>
            <w:r>
              <w:rPr>
                <w:noProof/>
                <w:webHidden/>
              </w:rPr>
              <w:fldChar w:fldCharType="separate"/>
            </w:r>
            <w:r>
              <w:rPr>
                <w:noProof/>
                <w:webHidden/>
              </w:rPr>
              <w:t>9</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28" w:history="1">
            <w:r w:rsidRPr="00B70357">
              <w:rPr>
                <w:rStyle w:val="Hyperlink"/>
                <w:noProof/>
              </w:rPr>
              <w:t>Drug substance (active ingredient)</w:t>
            </w:r>
            <w:r>
              <w:rPr>
                <w:noProof/>
                <w:webHidden/>
              </w:rPr>
              <w:tab/>
            </w:r>
            <w:r>
              <w:rPr>
                <w:noProof/>
                <w:webHidden/>
              </w:rPr>
              <w:fldChar w:fldCharType="begin"/>
            </w:r>
            <w:r>
              <w:rPr>
                <w:noProof/>
                <w:webHidden/>
              </w:rPr>
              <w:instrText xml:space="preserve"> PAGEREF _Toc466282928 \h </w:instrText>
            </w:r>
            <w:r>
              <w:rPr>
                <w:noProof/>
                <w:webHidden/>
              </w:rPr>
            </w:r>
            <w:r>
              <w:rPr>
                <w:noProof/>
                <w:webHidden/>
              </w:rPr>
              <w:fldChar w:fldCharType="separate"/>
            </w:r>
            <w:r>
              <w:rPr>
                <w:noProof/>
                <w:webHidden/>
              </w:rPr>
              <w:t>9</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29" w:history="1">
            <w:r w:rsidRPr="00B70357">
              <w:rPr>
                <w:rStyle w:val="Hyperlink"/>
                <w:noProof/>
              </w:rPr>
              <w:t>Drug product</w:t>
            </w:r>
            <w:r>
              <w:rPr>
                <w:noProof/>
                <w:webHidden/>
              </w:rPr>
              <w:tab/>
            </w:r>
            <w:r>
              <w:rPr>
                <w:noProof/>
                <w:webHidden/>
              </w:rPr>
              <w:fldChar w:fldCharType="begin"/>
            </w:r>
            <w:r>
              <w:rPr>
                <w:noProof/>
                <w:webHidden/>
              </w:rPr>
              <w:instrText xml:space="preserve"> PAGEREF _Toc466282929 \h </w:instrText>
            </w:r>
            <w:r>
              <w:rPr>
                <w:noProof/>
                <w:webHidden/>
              </w:rPr>
            </w:r>
            <w:r>
              <w:rPr>
                <w:noProof/>
                <w:webHidden/>
              </w:rPr>
              <w:fldChar w:fldCharType="separate"/>
            </w:r>
            <w:r>
              <w:rPr>
                <w:noProof/>
                <w:webHidden/>
              </w:rPr>
              <w:t>10</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30" w:history="1">
            <w:r w:rsidRPr="00B70357">
              <w:rPr>
                <w:rStyle w:val="Hyperlink"/>
                <w:noProof/>
              </w:rPr>
              <w:t>Biopharmaceutics</w:t>
            </w:r>
            <w:r>
              <w:rPr>
                <w:noProof/>
                <w:webHidden/>
              </w:rPr>
              <w:tab/>
            </w:r>
            <w:r>
              <w:rPr>
                <w:noProof/>
                <w:webHidden/>
              </w:rPr>
              <w:fldChar w:fldCharType="begin"/>
            </w:r>
            <w:r>
              <w:rPr>
                <w:noProof/>
                <w:webHidden/>
              </w:rPr>
              <w:instrText xml:space="preserve"> PAGEREF _Toc466282930 \h </w:instrText>
            </w:r>
            <w:r>
              <w:rPr>
                <w:noProof/>
                <w:webHidden/>
              </w:rPr>
            </w:r>
            <w:r>
              <w:rPr>
                <w:noProof/>
                <w:webHidden/>
              </w:rPr>
              <w:fldChar w:fldCharType="separate"/>
            </w:r>
            <w:r>
              <w:rPr>
                <w:noProof/>
                <w:webHidden/>
              </w:rPr>
              <w:t>10</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31" w:history="1">
            <w:r w:rsidRPr="00B70357">
              <w:rPr>
                <w:rStyle w:val="Hyperlink"/>
                <w:noProof/>
              </w:rPr>
              <w:t>Quality summary and conclusions</w:t>
            </w:r>
            <w:r>
              <w:rPr>
                <w:noProof/>
                <w:webHidden/>
              </w:rPr>
              <w:tab/>
            </w:r>
            <w:r>
              <w:rPr>
                <w:noProof/>
                <w:webHidden/>
              </w:rPr>
              <w:fldChar w:fldCharType="begin"/>
            </w:r>
            <w:r>
              <w:rPr>
                <w:noProof/>
                <w:webHidden/>
              </w:rPr>
              <w:instrText xml:space="preserve"> PAGEREF _Toc466282931 \h </w:instrText>
            </w:r>
            <w:r>
              <w:rPr>
                <w:noProof/>
                <w:webHidden/>
              </w:rPr>
            </w:r>
            <w:r>
              <w:rPr>
                <w:noProof/>
                <w:webHidden/>
              </w:rPr>
              <w:fldChar w:fldCharType="separate"/>
            </w:r>
            <w:r>
              <w:rPr>
                <w:noProof/>
                <w:webHidden/>
              </w:rPr>
              <w:t>11</w:t>
            </w:r>
            <w:r>
              <w:rPr>
                <w:noProof/>
                <w:webHidden/>
              </w:rPr>
              <w:fldChar w:fldCharType="end"/>
            </w:r>
          </w:hyperlink>
        </w:p>
        <w:p w:rsidR="00753DD4" w:rsidRDefault="00753DD4">
          <w:pPr>
            <w:pStyle w:val="TOC2"/>
            <w:rPr>
              <w:rFonts w:asciiTheme="minorHAnsi" w:eastAsiaTheme="minorEastAsia" w:hAnsiTheme="minorHAnsi" w:cstheme="minorBidi"/>
              <w:b w:val="0"/>
              <w:noProof/>
              <w:sz w:val="22"/>
              <w:lang w:eastAsia="en-AU"/>
            </w:rPr>
          </w:pPr>
          <w:hyperlink w:anchor="_Toc466282932" w:history="1">
            <w:r w:rsidRPr="00B70357">
              <w:rPr>
                <w:rStyle w:val="Hyperlink"/>
                <w:noProof/>
              </w:rPr>
              <w:t>III. Nonclinical findings</w:t>
            </w:r>
            <w:r>
              <w:rPr>
                <w:noProof/>
                <w:webHidden/>
              </w:rPr>
              <w:tab/>
            </w:r>
            <w:r>
              <w:rPr>
                <w:noProof/>
                <w:webHidden/>
              </w:rPr>
              <w:fldChar w:fldCharType="begin"/>
            </w:r>
            <w:r>
              <w:rPr>
                <w:noProof/>
                <w:webHidden/>
              </w:rPr>
              <w:instrText xml:space="preserve"> PAGEREF _Toc466282932 \h </w:instrText>
            </w:r>
            <w:r>
              <w:rPr>
                <w:noProof/>
                <w:webHidden/>
              </w:rPr>
            </w:r>
            <w:r>
              <w:rPr>
                <w:noProof/>
                <w:webHidden/>
              </w:rPr>
              <w:fldChar w:fldCharType="separate"/>
            </w:r>
            <w:r>
              <w:rPr>
                <w:noProof/>
                <w:webHidden/>
              </w:rPr>
              <w:t>11</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33" w:history="1">
            <w:r w:rsidRPr="00B70357">
              <w:rPr>
                <w:rStyle w:val="Hyperlink"/>
                <w:noProof/>
              </w:rPr>
              <w:t>Introduction</w:t>
            </w:r>
            <w:r>
              <w:rPr>
                <w:noProof/>
                <w:webHidden/>
              </w:rPr>
              <w:tab/>
            </w:r>
            <w:r>
              <w:rPr>
                <w:noProof/>
                <w:webHidden/>
              </w:rPr>
              <w:fldChar w:fldCharType="begin"/>
            </w:r>
            <w:r>
              <w:rPr>
                <w:noProof/>
                <w:webHidden/>
              </w:rPr>
              <w:instrText xml:space="preserve"> PAGEREF _Toc466282933 \h </w:instrText>
            </w:r>
            <w:r>
              <w:rPr>
                <w:noProof/>
                <w:webHidden/>
              </w:rPr>
            </w:r>
            <w:r>
              <w:rPr>
                <w:noProof/>
                <w:webHidden/>
              </w:rPr>
              <w:fldChar w:fldCharType="separate"/>
            </w:r>
            <w:r>
              <w:rPr>
                <w:noProof/>
                <w:webHidden/>
              </w:rPr>
              <w:t>11</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34" w:history="1">
            <w:r w:rsidRPr="00B70357">
              <w:rPr>
                <w:rStyle w:val="Hyperlink"/>
                <w:noProof/>
              </w:rPr>
              <w:t>Pharmacology</w:t>
            </w:r>
            <w:r>
              <w:rPr>
                <w:noProof/>
                <w:webHidden/>
              </w:rPr>
              <w:tab/>
            </w:r>
            <w:r>
              <w:rPr>
                <w:noProof/>
                <w:webHidden/>
              </w:rPr>
              <w:fldChar w:fldCharType="begin"/>
            </w:r>
            <w:r>
              <w:rPr>
                <w:noProof/>
                <w:webHidden/>
              </w:rPr>
              <w:instrText xml:space="preserve"> PAGEREF _Toc466282934 \h </w:instrText>
            </w:r>
            <w:r>
              <w:rPr>
                <w:noProof/>
                <w:webHidden/>
              </w:rPr>
            </w:r>
            <w:r>
              <w:rPr>
                <w:noProof/>
                <w:webHidden/>
              </w:rPr>
              <w:fldChar w:fldCharType="separate"/>
            </w:r>
            <w:r>
              <w:rPr>
                <w:noProof/>
                <w:webHidden/>
              </w:rPr>
              <w:t>11</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35" w:history="1">
            <w:r w:rsidRPr="00B70357">
              <w:rPr>
                <w:rStyle w:val="Hyperlink"/>
                <w:noProof/>
              </w:rPr>
              <w:t>Pharmacokinetics</w:t>
            </w:r>
            <w:r>
              <w:rPr>
                <w:noProof/>
                <w:webHidden/>
              </w:rPr>
              <w:tab/>
            </w:r>
            <w:r>
              <w:rPr>
                <w:noProof/>
                <w:webHidden/>
              </w:rPr>
              <w:fldChar w:fldCharType="begin"/>
            </w:r>
            <w:r>
              <w:rPr>
                <w:noProof/>
                <w:webHidden/>
              </w:rPr>
              <w:instrText xml:space="preserve"> PAGEREF _Toc466282935 \h </w:instrText>
            </w:r>
            <w:r>
              <w:rPr>
                <w:noProof/>
                <w:webHidden/>
              </w:rPr>
            </w:r>
            <w:r>
              <w:rPr>
                <w:noProof/>
                <w:webHidden/>
              </w:rPr>
              <w:fldChar w:fldCharType="separate"/>
            </w:r>
            <w:r>
              <w:rPr>
                <w:noProof/>
                <w:webHidden/>
              </w:rPr>
              <w:t>13</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36" w:history="1">
            <w:r w:rsidRPr="00B70357">
              <w:rPr>
                <w:rStyle w:val="Hyperlink"/>
                <w:noProof/>
              </w:rPr>
              <w:t>Toxicology</w:t>
            </w:r>
            <w:r>
              <w:rPr>
                <w:noProof/>
                <w:webHidden/>
              </w:rPr>
              <w:tab/>
            </w:r>
            <w:r>
              <w:rPr>
                <w:noProof/>
                <w:webHidden/>
              </w:rPr>
              <w:fldChar w:fldCharType="begin"/>
            </w:r>
            <w:r>
              <w:rPr>
                <w:noProof/>
                <w:webHidden/>
              </w:rPr>
              <w:instrText xml:space="preserve"> PAGEREF _Toc466282936 \h </w:instrText>
            </w:r>
            <w:r>
              <w:rPr>
                <w:noProof/>
                <w:webHidden/>
              </w:rPr>
            </w:r>
            <w:r>
              <w:rPr>
                <w:noProof/>
                <w:webHidden/>
              </w:rPr>
              <w:fldChar w:fldCharType="separate"/>
            </w:r>
            <w:r>
              <w:rPr>
                <w:noProof/>
                <w:webHidden/>
              </w:rPr>
              <w:t>14</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37" w:history="1">
            <w:r w:rsidRPr="00B70357">
              <w:rPr>
                <w:rStyle w:val="Hyperlink"/>
                <w:noProof/>
              </w:rPr>
              <w:t>Nonclinical summary and conclusions</w:t>
            </w:r>
            <w:r>
              <w:rPr>
                <w:noProof/>
                <w:webHidden/>
              </w:rPr>
              <w:tab/>
            </w:r>
            <w:r>
              <w:rPr>
                <w:noProof/>
                <w:webHidden/>
              </w:rPr>
              <w:fldChar w:fldCharType="begin"/>
            </w:r>
            <w:r>
              <w:rPr>
                <w:noProof/>
                <w:webHidden/>
              </w:rPr>
              <w:instrText xml:space="preserve"> PAGEREF _Toc466282937 \h </w:instrText>
            </w:r>
            <w:r>
              <w:rPr>
                <w:noProof/>
                <w:webHidden/>
              </w:rPr>
            </w:r>
            <w:r>
              <w:rPr>
                <w:noProof/>
                <w:webHidden/>
              </w:rPr>
              <w:fldChar w:fldCharType="separate"/>
            </w:r>
            <w:r>
              <w:rPr>
                <w:noProof/>
                <w:webHidden/>
              </w:rPr>
              <w:t>17</w:t>
            </w:r>
            <w:r>
              <w:rPr>
                <w:noProof/>
                <w:webHidden/>
              </w:rPr>
              <w:fldChar w:fldCharType="end"/>
            </w:r>
          </w:hyperlink>
        </w:p>
        <w:p w:rsidR="00753DD4" w:rsidRDefault="00753DD4">
          <w:pPr>
            <w:pStyle w:val="TOC2"/>
            <w:rPr>
              <w:rFonts w:asciiTheme="minorHAnsi" w:eastAsiaTheme="minorEastAsia" w:hAnsiTheme="minorHAnsi" w:cstheme="minorBidi"/>
              <w:b w:val="0"/>
              <w:noProof/>
              <w:sz w:val="22"/>
              <w:lang w:eastAsia="en-AU"/>
            </w:rPr>
          </w:pPr>
          <w:hyperlink w:anchor="_Toc466282938" w:history="1">
            <w:r w:rsidRPr="00B70357">
              <w:rPr>
                <w:rStyle w:val="Hyperlink"/>
                <w:noProof/>
              </w:rPr>
              <w:t>IV. Clinical findings</w:t>
            </w:r>
            <w:r>
              <w:rPr>
                <w:noProof/>
                <w:webHidden/>
              </w:rPr>
              <w:tab/>
            </w:r>
            <w:r>
              <w:rPr>
                <w:noProof/>
                <w:webHidden/>
              </w:rPr>
              <w:fldChar w:fldCharType="begin"/>
            </w:r>
            <w:r>
              <w:rPr>
                <w:noProof/>
                <w:webHidden/>
              </w:rPr>
              <w:instrText xml:space="preserve"> PAGEREF _Toc466282938 \h </w:instrText>
            </w:r>
            <w:r>
              <w:rPr>
                <w:noProof/>
                <w:webHidden/>
              </w:rPr>
            </w:r>
            <w:r>
              <w:rPr>
                <w:noProof/>
                <w:webHidden/>
              </w:rPr>
              <w:fldChar w:fldCharType="separate"/>
            </w:r>
            <w:r>
              <w:rPr>
                <w:noProof/>
                <w:webHidden/>
              </w:rPr>
              <w:t>19</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39" w:history="1">
            <w:r w:rsidRPr="00B70357">
              <w:rPr>
                <w:rStyle w:val="Hyperlink"/>
                <w:noProof/>
              </w:rPr>
              <w:t>Introduction</w:t>
            </w:r>
            <w:r>
              <w:rPr>
                <w:noProof/>
                <w:webHidden/>
              </w:rPr>
              <w:tab/>
            </w:r>
            <w:r>
              <w:rPr>
                <w:noProof/>
                <w:webHidden/>
              </w:rPr>
              <w:fldChar w:fldCharType="begin"/>
            </w:r>
            <w:r>
              <w:rPr>
                <w:noProof/>
                <w:webHidden/>
              </w:rPr>
              <w:instrText xml:space="preserve"> PAGEREF _Toc466282939 \h </w:instrText>
            </w:r>
            <w:r>
              <w:rPr>
                <w:noProof/>
                <w:webHidden/>
              </w:rPr>
            </w:r>
            <w:r>
              <w:rPr>
                <w:noProof/>
                <w:webHidden/>
              </w:rPr>
              <w:fldChar w:fldCharType="separate"/>
            </w:r>
            <w:r>
              <w:rPr>
                <w:noProof/>
                <w:webHidden/>
              </w:rPr>
              <w:t>19</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40" w:history="1">
            <w:r w:rsidRPr="00B70357">
              <w:rPr>
                <w:rStyle w:val="Hyperlink"/>
                <w:noProof/>
              </w:rPr>
              <w:t>Pharmacokinetics</w:t>
            </w:r>
            <w:r>
              <w:rPr>
                <w:noProof/>
                <w:webHidden/>
              </w:rPr>
              <w:tab/>
            </w:r>
            <w:r>
              <w:rPr>
                <w:noProof/>
                <w:webHidden/>
              </w:rPr>
              <w:fldChar w:fldCharType="begin"/>
            </w:r>
            <w:r>
              <w:rPr>
                <w:noProof/>
                <w:webHidden/>
              </w:rPr>
              <w:instrText xml:space="preserve"> PAGEREF _Toc466282940 \h </w:instrText>
            </w:r>
            <w:r>
              <w:rPr>
                <w:noProof/>
                <w:webHidden/>
              </w:rPr>
            </w:r>
            <w:r>
              <w:rPr>
                <w:noProof/>
                <w:webHidden/>
              </w:rPr>
              <w:fldChar w:fldCharType="separate"/>
            </w:r>
            <w:r>
              <w:rPr>
                <w:noProof/>
                <w:webHidden/>
              </w:rPr>
              <w:t>21</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41" w:history="1">
            <w:r w:rsidRPr="00B70357">
              <w:rPr>
                <w:rStyle w:val="Hyperlink"/>
                <w:noProof/>
              </w:rPr>
              <w:t>Pharmacodynamics</w:t>
            </w:r>
            <w:r>
              <w:rPr>
                <w:noProof/>
                <w:webHidden/>
              </w:rPr>
              <w:tab/>
            </w:r>
            <w:r>
              <w:rPr>
                <w:noProof/>
                <w:webHidden/>
              </w:rPr>
              <w:fldChar w:fldCharType="begin"/>
            </w:r>
            <w:r>
              <w:rPr>
                <w:noProof/>
                <w:webHidden/>
              </w:rPr>
              <w:instrText xml:space="preserve"> PAGEREF _Toc466282941 \h </w:instrText>
            </w:r>
            <w:r>
              <w:rPr>
                <w:noProof/>
                <w:webHidden/>
              </w:rPr>
            </w:r>
            <w:r>
              <w:rPr>
                <w:noProof/>
                <w:webHidden/>
              </w:rPr>
              <w:fldChar w:fldCharType="separate"/>
            </w:r>
            <w:r>
              <w:rPr>
                <w:noProof/>
                <w:webHidden/>
              </w:rPr>
              <w:t>23</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42" w:history="1">
            <w:r w:rsidRPr="00B70357">
              <w:rPr>
                <w:rStyle w:val="Hyperlink"/>
                <w:noProof/>
              </w:rPr>
              <w:t>Dosage selection for the pivotal studies</w:t>
            </w:r>
            <w:r>
              <w:rPr>
                <w:noProof/>
                <w:webHidden/>
              </w:rPr>
              <w:tab/>
            </w:r>
            <w:r>
              <w:rPr>
                <w:noProof/>
                <w:webHidden/>
              </w:rPr>
              <w:fldChar w:fldCharType="begin"/>
            </w:r>
            <w:r>
              <w:rPr>
                <w:noProof/>
                <w:webHidden/>
              </w:rPr>
              <w:instrText xml:space="preserve"> PAGEREF _Toc466282942 \h </w:instrText>
            </w:r>
            <w:r>
              <w:rPr>
                <w:noProof/>
                <w:webHidden/>
              </w:rPr>
            </w:r>
            <w:r>
              <w:rPr>
                <w:noProof/>
                <w:webHidden/>
              </w:rPr>
              <w:fldChar w:fldCharType="separate"/>
            </w:r>
            <w:r>
              <w:rPr>
                <w:noProof/>
                <w:webHidden/>
              </w:rPr>
              <w:t>24</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43" w:history="1">
            <w:r w:rsidRPr="00B70357">
              <w:rPr>
                <w:rStyle w:val="Hyperlink"/>
                <w:noProof/>
              </w:rPr>
              <w:t>Efficacy</w:t>
            </w:r>
            <w:r>
              <w:rPr>
                <w:noProof/>
                <w:webHidden/>
              </w:rPr>
              <w:tab/>
            </w:r>
            <w:r>
              <w:rPr>
                <w:noProof/>
                <w:webHidden/>
              </w:rPr>
              <w:fldChar w:fldCharType="begin"/>
            </w:r>
            <w:r>
              <w:rPr>
                <w:noProof/>
                <w:webHidden/>
              </w:rPr>
              <w:instrText xml:space="preserve"> PAGEREF _Toc466282943 \h </w:instrText>
            </w:r>
            <w:r>
              <w:rPr>
                <w:noProof/>
                <w:webHidden/>
              </w:rPr>
            </w:r>
            <w:r>
              <w:rPr>
                <w:noProof/>
                <w:webHidden/>
              </w:rPr>
              <w:fldChar w:fldCharType="separate"/>
            </w:r>
            <w:r>
              <w:rPr>
                <w:noProof/>
                <w:webHidden/>
              </w:rPr>
              <w:t>27</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44" w:history="1">
            <w:r w:rsidRPr="00B70357">
              <w:rPr>
                <w:rStyle w:val="Hyperlink"/>
                <w:noProof/>
              </w:rPr>
              <w:t>Safety</w:t>
            </w:r>
            <w:r>
              <w:rPr>
                <w:noProof/>
                <w:webHidden/>
              </w:rPr>
              <w:tab/>
            </w:r>
            <w:r>
              <w:rPr>
                <w:noProof/>
                <w:webHidden/>
              </w:rPr>
              <w:fldChar w:fldCharType="begin"/>
            </w:r>
            <w:r>
              <w:rPr>
                <w:noProof/>
                <w:webHidden/>
              </w:rPr>
              <w:instrText xml:space="preserve"> PAGEREF _Toc466282944 \h </w:instrText>
            </w:r>
            <w:r>
              <w:rPr>
                <w:noProof/>
                <w:webHidden/>
              </w:rPr>
            </w:r>
            <w:r>
              <w:rPr>
                <w:noProof/>
                <w:webHidden/>
              </w:rPr>
              <w:fldChar w:fldCharType="separate"/>
            </w:r>
            <w:r>
              <w:rPr>
                <w:noProof/>
                <w:webHidden/>
              </w:rPr>
              <w:t>28</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45" w:history="1">
            <w:r w:rsidRPr="00B70357">
              <w:rPr>
                <w:rStyle w:val="Hyperlink"/>
                <w:noProof/>
              </w:rPr>
              <w:t>First round benefit-risk assessment</w:t>
            </w:r>
            <w:r>
              <w:rPr>
                <w:noProof/>
                <w:webHidden/>
              </w:rPr>
              <w:tab/>
            </w:r>
            <w:r>
              <w:rPr>
                <w:noProof/>
                <w:webHidden/>
              </w:rPr>
              <w:fldChar w:fldCharType="begin"/>
            </w:r>
            <w:r>
              <w:rPr>
                <w:noProof/>
                <w:webHidden/>
              </w:rPr>
              <w:instrText xml:space="preserve"> PAGEREF _Toc466282945 \h </w:instrText>
            </w:r>
            <w:r>
              <w:rPr>
                <w:noProof/>
                <w:webHidden/>
              </w:rPr>
            </w:r>
            <w:r>
              <w:rPr>
                <w:noProof/>
                <w:webHidden/>
              </w:rPr>
              <w:fldChar w:fldCharType="separate"/>
            </w:r>
            <w:r>
              <w:rPr>
                <w:noProof/>
                <w:webHidden/>
              </w:rPr>
              <w:t>32</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46" w:history="1">
            <w:r w:rsidRPr="00B70357">
              <w:rPr>
                <w:rStyle w:val="Hyperlink"/>
                <w:noProof/>
              </w:rPr>
              <w:t>First round recommendation regarding authorisation</w:t>
            </w:r>
            <w:r>
              <w:rPr>
                <w:noProof/>
                <w:webHidden/>
              </w:rPr>
              <w:tab/>
            </w:r>
            <w:r>
              <w:rPr>
                <w:noProof/>
                <w:webHidden/>
              </w:rPr>
              <w:fldChar w:fldCharType="begin"/>
            </w:r>
            <w:r>
              <w:rPr>
                <w:noProof/>
                <w:webHidden/>
              </w:rPr>
              <w:instrText xml:space="preserve"> PAGEREF _Toc466282946 \h </w:instrText>
            </w:r>
            <w:r>
              <w:rPr>
                <w:noProof/>
                <w:webHidden/>
              </w:rPr>
            </w:r>
            <w:r>
              <w:rPr>
                <w:noProof/>
                <w:webHidden/>
              </w:rPr>
              <w:fldChar w:fldCharType="separate"/>
            </w:r>
            <w:r>
              <w:rPr>
                <w:noProof/>
                <w:webHidden/>
              </w:rPr>
              <w:t>34</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47" w:history="1">
            <w:r w:rsidRPr="00B70357">
              <w:rPr>
                <w:rStyle w:val="Hyperlink"/>
                <w:noProof/>
              </w:rPr>
              <w:t>Clinical questions</w:t>
            </w:r>
            <w:r>
              <w:rPr>
                <w:noProof/>
                <w:webHidden/>
              </w:rPr>
              <w:tab/>
            </w:r>
            <w:r>
              <w:rPr>
                <w:noProof/>
                <w:webHidden/>
              </w:rPr>
              <w:fldChar w:fldCharType="begin"/>
            </w:r>
            <w:r>
              <w:rPr>
                <w:noProof/>
                <w:webHidden/>
              </w:rPr>
              <w:instrText xml:space="preserve"> PAGEREF _Toc466282947 \h </w:instrText>
            </w:r>
            <w:r>
              <w:rPr>
                <w:noProof/>
                <w:webHidden/>
              </w:rPr>
            </w:r>
            <w:r>
              <w:rPr>
                <w:noProof/>
                <w:webHidden/>
              </w:rPr>
              <w:fldChar w:fldCharType="separate"/>
            </w:r>
            <w:r>
              <w:rPr>
                <w:noProof/>
                <w:webHidden/>
              </w:rPr>
              <w:t>35</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48" w:history="1">
            <w:r w:rsidRPr="00B70357">
              <w:rPr>
                <w:rStyle w:val="Hyperlink"/>
                <w:noProof/>
              </w:rPr>
              <w:t>Second round evaluation</w:t>
            </w:r>
            <w:r>
              <w:rPr>
                <w:noProof/>
                <w:webHidden/>
              </w:rPr>
              <w:tab/>
            </w:r>
            <w:r>
              <w:rPr>
                <w:noProof/>
                <w:webHidden/>
              </w:rPr>
              <w:fldChar w:fldCharType="begin"/>
            </w:r>
            <w:r>
              <w:rPr>
                <w:noProof/>
                <w:webHidden/>
              </w:rPr>
              <w:instrText xml:space="preserve"> PAGEREF _Toc466282948 \h </w:instrText>
            </w:r>
            <w:r>
              <w:rPr>
                <w:noProof/>
                <w:webHidden/>
              </w:rPr>
            </w:r>
            <w:r>
              <w:rPr>
                <w:noProof/>
                <w:webHidden/>
              </w:rPr>
              <w:fldChar w:fldCharType="separate"/>
            </w:r>
            <w:r>
              <w:rPr>
                <w:noProof/>
                <w:webHidden/>
              </w:rPr>
              <w:t>36</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49" w:history="1">
            <w:r w:rsidRPr="00B70357">
              <w:rPr>
                <w:rStyle w:val="Hyperlink"/>
                <w:noProof/>
              </w:rPr>
              <w:t>Second round benefit-risk assessment</w:t>
            </w:r>
            <w:r>
              <w:rPr>
                <w:noProof/>
                <w:webHidden/>
              </w:rPr>
              <w:tab/>
            </w:r>
            <w:r>
              <w:rPr>
                <w:noProof/>
                <w:webHidden/>
              </w:rPr>
              <w:fldChar w:fldCharType="begin"/>
            </w:r>
            <w:r>
              <w:rPr>
                <w:noProof/>
                <w:webHidden/>
              </w:rPr>
              <w:instrText xml:space="preserve"> PAGEREF _Toc466282949 \h </w:instrText>
            </w:r>
            <w:r>
              <w:rPr>
                <w:noProof/>
                <w:webHidden/>
              </w:rPr>
            </w:r>
            <w:r>
              <w:rPr>
                <w:noProof/>
                <w:webHidden/>
              </w:rPr>
              <w:fldChar w:fldCharType="separate"/>
            </w:r>
            <w:r>
              <w:rPr>
                <w:noProof/>
                <w:webHidden/>
              </w:rPr>
              <w:t>36</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50" w:history="1">
            <w:r w:rsidRPr="00B70357">
              <w:rPr>
                <w:rStyle w:val="Hyperlink"/>
                <w:noProof/>
              </w:rPr>
              <w:t>Second round recommendation regarding authorisation</w:t>
            </w:r>
            <w:r>
              <w:rPr>
                <w:noProof/>
                <w:webHidden/>
              </w:rPr>
              <w:tab/>
            </w:r>
            <w:r>
              <w:rPr>
                <w:noProof/>
                <w:webHidden/>
              </w:rPr>
              <w:fldChar w:fldCharType="begin"/>
            </w:r>
            <w:r>
              <w:rPr>
                <w:noProof/>
                <w:webHidden/>
              </w:rPr>
              <w:instrText xml:space="preserve"> PAGEREF _Toc466282950 \h </w:instrText>
            </w:r>
            <w:r>
              <w:rPr>
                <w:noProof/>
                <w:webHidden/>
              </w:rPr>
            </w:r>
            <w:r>
              <w:rPr>
                <w:noProof/>
                <w:webHidden/>
              </w:rPr>
              <w:fldChar w:fldCharType="separate"/>
            </w:r>
            <w:r>
              <w:rPr>
                <w:noProof/>
                <w:webHidden/>
              </w:rPr>
              <w:t>36</w:t>
            </w:r>
            <w:r>
              <w:rPr>
                <w:noProof/>
                <w:webHidden/>
              </w:rPr>
              <w:fldChar w:fldCharType="end"/>
            </w:r>
          </w:hyperlink>
        </w:p>
        <w:p w:rsidR="00753DD4" w:rsidRDefault="00753DD4">
          <w:pPr>
            <w:pStyle w:val="TOC2"/>
            <w:rPr>
              <w:rFonts w:asciiTheme="minorHAnsi" w:eastAsiaTheme="minorEastAsia" w:hAnsiTheme="minorHAnsi" w:cstheme="minorBidi"/>
              <w:b w:val="0"/>
              <w:noProof/>
              <w:sz w:val="22"/>
              <w:lang w:eastAsia="en-AU"/>
            </w:rPr>
          </w:pPr>
          <w:hyperlink w:anchor="_Toc466282951" w:history="1">
            <w:r w:rsidRPr="00B70357">
              <w:rPr>
                <w:rStyle w:val="Hyperlink"/>
                <w:noProof/>
              </w:rPr>
              <w:t>V. Population pharmacokinetics</w:t>
            </w:r>
            <w:r>
              <w:rPr>
                <w:noProof/>
                <w:webHidden/>
              </w:rPr>
              <w:tab/>
            </w:r>
            <w:r>
              <w:rPr>
                <w:noProof/>
                <w:webHidden/>
              </w:rPr>
              <w:fldChar w:fldCharType="begin"/>
            </w:r>
            <w:r>
              <w:rPr>
                <w:noProof/>
                <w:webHidden/>
              </w:rPr>
              <w:instrText xml:space="preserve"> PAGEREF _Toc466282951 \h </w:instrText>
            </w:r>
            <w:r>
              <w:rPr>
                <w:noProof/>
                <w:webHidden/>
              </w:rPr>
            </w:r>
            <w:r>
              <w:rPr>
                <w:noProof/>
                <w:webHidden/>
              </w:rPr>
              <w:fldChar w:fldCharType="separate"/>
            </w:r>
            <w:r>
              <w:rPr>
                <w:noProof/>
                <w:webHidden/>
              </w:rPr>
              <w:t>36</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52" w:history="1">
            <w:r w:rsidRPr="00B70357">
              <w:rPr>
                <w:rStyle w:val="Hyperlink"/>
                <w:noProof/>
              </w:rPr>
              <w:t>Rationale</w:t>
            </w:r>
            <w:r>
              <w:rPr>
                <w:noProof/>
                <w:webHidden/>
              </w:rPr>
              <w:tab/>
            </w:r>
            <w:r>
              <w:rPr>
                <w:noProof/>
                <w:webHidden/>
              </w:rPr>
              <w:fldChar w:fldCharType="begin"/>
            </w:r>
            <w:r>
              <w:rPr>
                <w:noProof/>
                <w:webHidden/>
              </w:rPr>
              <w:instrText xml:space="preserve"> PAGEREF _Toc466282952 \h </w:instrText>
            </w:r>
            <w:r>
              <w:rPr>
                <w:noProof/>
                <w:webHidden/>
              </w:rPr>
            </w:r>
            <w:r>
              <w:rPr>
                <w:noProof/>
                <w:webHidden/>
              </w:rPr>
              <w:fldChar w:fldCharType="separate"/>
            </w:r>
            <w:r>
              <w:rPr>
                <w:noProof/>
                <w:webHidden/>
              </w:rPr>
              <w:t>36</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53" w:history="1">
            <w:r w:rsidRPr="00B70357">
              <w:rPr>
                <w:rStyle w:val="Hyperlink"/>
                <w:noProof/>
              </w:rPr>
              <w:t>Evaluation of analysis conducted</w:t>
            </w:r>
            <w:r>
              <w:rPr>
                <w:noProof/>
                <w:webHidden/>
              </w:rPr>
              <w:tab/>
            </w:r>
            <w:r>
              <w:rPr>
                <w:noProof/>
                <w:webHidden/>
              </w:rPr>
              <w:fldChar w:fldCharType="begin"/>
            </w:r>
            <w:r>
              <w:rPr>
                <w:noProof/>
                <w:webHidden/>
              </w:rPr>
              <w:instrText xml:space="preserve"> PAGEREF _Toc466282953 \h </w:instrText>
            </w:r>
            <w:r>
              <w:rPr>
                <w:noProof/>
                <w:webHidden/>
              </w:rPr>
            </w:r>
            <w:r>
              <w:rPr>
                <w:noProof/>
                <w:webHidden/>
              </w:rPr>
              <w:fldChar w:fldCharType="separate"/>
            </w:r>
            <w:r>
              <w:rPr>
                <w:noProof/>
                <w:webHidden/>
              </w:rPr>
              <w:t>37</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54" w:history="1">
            <w:r w:rsidRPr="00B70357">
              <w:rPr>
                <w:rStyle w:val="Hyperlink"/>
                <w:noProof/>
              </w:rPr>
              <w:t>Results summary</w:t>
            </w:r>
            <w:r>
              <w:rPr>
                <w:noProof/>
                <w:webHidden/>
              </w:rPr>
              <w:tab/>
            </w:r>
            <w:r>
              <w:rPr>
                <w:noProof/>
                <w:webHidden/>
              </w:rPr>
              <w:fldChar w:fldCharType="begin"/>
            </w:r>
            <w:r>
              <w:rPr>
                <w:noProof/>
                <w:webHidden/>
              </w:rPr>
              <w:instrText xml:space="preserve"> PAGEREF _Toc466282954 \h </w:instrText>
            </w:r>
            <w:r>
              <w:rPr>
                <w:noProof/>
                <w:webHidden/>
              </w:rPr>
            </w:r>
            <w:r>
              <w:rPr>
                <w:noProof/>
                <w:webHidden/>
              </w:rPr>
              <w:fldChar w:fldCharType="separate"/>
            </w:r>
            <w:r>
              <w:rPr>
                <w:noProof/>
                <w:webHidden/>
              </w:rPr>
              <w:t>37</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55" w:history="1">
            <w:r w:rsidRPr="00B70357">
              <w:rPr>
                <w:rStyle w:val="Hyperlink"/>
                <w:noProof/>
              </w:rPr>
              <w:t>Discussion and conclusion</w:t>
            </w:r>
            <w:r>
              <w:rPr>
                <w:noProof/>
                <w:webHidden/>
              </w:rPr>
              <w:tab/>
            </w:r>
            <w:r>
              <w:rPr>
                <w:noProof/>
                <w:webHidden/>
              </w:rPr>
              <w:fldChar w:fldCharType="begin"/>
            </w:r>
            <w:r>
              <w:rPr>
                <w:noProof/>
                <w:webHidden/>
              </w:rPr>
              <w:instrText xml:space="preserve"> PAGEREF _Toc466282955 \h </w:instrText>
            </w:r>
            <w:r>
              <w:rPr>
                <w:noProof/>
                <w:webHidden/>
              </w:rPr>
            </w:r>
            <w:r>
              <w:rPr>
                <w:noProof/>
                <w:webHidden/>
              </w:rPr>
              <w:fldChar w:fldCharType="separate"/>
            </w:r>
            <w:r>
              <w:rPr>
                <w:noProof/>
                <w:webHidden/>
              </w:rPr>
              <w:t>38</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56" w:history="1">
            <w:r w:rsidRPr="00B70357">
              <w:rPr>
                <w:rStyle w:val="Hyperlink"/>
                <w:noProof/>
              </w:rPr>
              <w:t>Summary and implications</w:t>
            </w:r>
            <w:r>
              <w:rPr>
                <w:noProof/>
                <w:webHidden/>
              </w:rPr>
              <w:tab/>
            </w:r>
            <w:r>
              <w:rPr>
                <w:noProof/>
                <w:webHidden/>
              </w:rPr>
              <w:fldChar w:fldCharType="begin"/>
            </w:r>
            <w:r>
              <w:rPr>
                <w:noProof/>
                <w:webHidden/>
              </w:rPr>
              <w:instrText xml:space="preserve"> PAGEREF _Toc466282956 \h </w:instrText>
            </w:r>
            <w:r>
              <w:rPr>
                <w:noProof/>
                <w:webHidden/>
              </w:rPr>
            </w:r>
            <w:r>
              <w:rPr>
                <w:noProof/>
                <w:webHidden/>
              </w:rPr>
              <w:fldChar w:fldCharType="separate"/>
            </w:r>
            <w:r>
              <w:rPr>
                <w:noProof/>
                <w:webHidden/>
              </w:rPr>
              <w:t>39</w:t>
            </w:r>
            <w:r>
              <w:rPr>
                <w:noProof/>
                <w:webHidden/>
              </w:rPr>
              <w:fldChar w:fldCharType="end"/>
            </w:r>
          </w:hyperlink>
        </w:p>
        <w:p w:rsidR="00753DD4" w:rsidRDefault="00753DD4">
          <w:pPr>
            <w:pStyle w:val="TOC2"/>
            <w:rPr>
              <w:rFonts w:asciiTheme="minorHAnsi" w:eastAsiaTheme="minorEastAsia" w:hAnsiTheme="minorHAnsi" w:cstheme="minorBidi"/>
              <w:b w:val="0"/>
              <w:noProof/>
              <w:sz w:val="22"/>
              <w:lang w:eastAsia="en-AU"/>
            </w:rPr>
          </w:pPr>
          <w:hyperlink w:anchor="_Toc466282957" w:history="1">
            <w:r w:rsidRPr="00B70357">
              <w:rPr>
                <w:rStyle w:val="Hyperlink"/>
                <w:noProof/>
              </w:rPr>
              <w:t>VI. Pharmacovigilance findings</w:t>
            </w:r>
            <w:r>
              <w:rPr>
                <w:noProof/>
                <w:webHidden/>
              </w:rPr>
              <w:tab/>
            </w:r>
            <w:r>
              <w:rPr>
                <w:noProof/>
                <w:webHidden/>
              </w:rPr>
              <w:fldChar w:fldCharType="begin"/>
            </w:r>
            <w:r>
              <w:rPr>
                <w:noProof/>
                <w:webHidden/>
              </w:rPr>
              <w:instrText xml:space="preserve"> PAGEREF _Toc466282957 \h </w:instrText>
            </w:r>
            <w:r>
              <w:rPr>
                <w:noProof/>
                <w:webHidden/>
              </w:rPr>
            </w:r>
            <w:r>
              <w:rPr>
                <w:noProof/>
                <w:webHidden/>
              </w:rPr>
              <w:fldChar w:fldCharType="separate"/>
            </w:r>
            <w:r>
              <w:rPr>
                <w:noProof/>
                <w:webHidden/>
              </w:rPr>
              <w:t>41</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58" w:history="1">
            <w:r w:rsidRPr="00B70357">
              <w:rPr>
                <w:rStyle w:val="Hyperlink"/>
                <w:noProof/>
                <w:lang w:eastAsia="en-AU"/>
              </w:rPr>
              <w:t>Risk management plan</w:t>
            </w:r>
            <w:r>
              <w:rPr>
                <w:noProof/>
                <w:webHidden/>
              </w:rPr>
              <w:tab/>
            </w:r>
            <w:r>
              <w:rPr>
                <w:noProof/>
                <w:webHidden/>
              </w:rPr>
              <w:fldChar w:fldCharType="begin"/>
            </w:r>
            <w:r>
              <w:rPr>
                <w:noProof/>
                <w:webHidden/>
              </w:rPr>
              <w:instrText xml:space="preserve"> PAGEREF _Toc466282958 \h </w:instrText>
            </w:r>
            <w:r>
              <w:rPr>
                <w:noProof/>
                <w:webHidden/>
              </w:rPr>
            </w:r>
            <w:r>
              <w:rPr>
                <w:noProof/>
                <w:webHidden/>
              </w:rPr>
              <w:fldChar w:fldCharType="separate"/>
            </w:r>
            <w:r>
              <w:rPr>
                <w:noProof/>
                <w:webHidden/>
              </w:rPr>
              <w:t>41</w:t>
            </w:r>
            <w:r>
              <w:rPr>
                <w:noProof/>
                <w:webHidden/>
              </w:rPr>
              <w:fldChar w:fldCharType="end"/>
            </w:r>
          </w:hyperlink>
        </w:p>
        <w:p w:rsidR="00753DD4" w:rsidRDefault="00753DD4">
          <w:pPr>
            <w:pStyle w:val="TOC2"/>
            <w:rPr>
              <w:rFonts w:asciiTheme="minorHAnsi" w:eastAsiaTheme="minorEastAsia" w:hAnsiTheme="minorHAnsi" w:cstheme="minorBidi"/>
              <w:b w:val="0"/>
              <w:noProof/>
              <w:sz w:val="22"/>
              <w:lang w:eastAsia="en-AU"/>
            </w:rPr>
          </w:pPr>
          <w:hyperlink w:anchor="_Toc466282959" w:history="1">
            <w:r w:rsidRPr="00B70357">
              <w:rPr>
                <w:rStyle w:val="Hyperlink"/>
                <w:noProof/>
              </w:rPr>
              <w:t>VII. Overall conclusion and risk/benefit assessment</w:t>
            </w:r>
            <w:r>
              <w:rPr>
                <w:noProof/>
                <w:webHidden/>
              </w:rPr>
              <w:tab/>
            </w:r>
            <w:r>
              <w:rPr>
                <w:noProof/>
                <w:webHidden/>
              </w:rPr>
              <w:fldChar w:fldCharType="begin"/>
            </w:r>
            <w:r>
              <w:rPr>
                <w:noProof/>
                <w:webHidden/>
              </w:rPr>
              <w:instrText xml:space="preserve"> PAGEREF _Toc466282959 \h </w:instrText>
            </w:r>
            <w:r>
              <w:rPr>
                <w:noProof/>
                <w:webHidden/>
              </w:rPr>
            </w:r>
            <w:r>
              <w:rPr>
                <w:noProof/>
                <w:webHidden/>
              </w:rPr>
              <w:fldChar w:fldCharType="separate"/>
            </w:r>
            <w:r>
              <w:rPr>
                <w:noProof/>
                <w:webHidden/>
              </w:rPr>
              <w:t>47</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60" w:history="1">
            <w:r w:rsidRPr="00B70357">
              <w:rPr>
                <w:rStyle w:val="Hyperlink"/>
                <w:noProof/>
              </w:rPr>
              <w:t>Quality</w:t>
            </w:r>
            <w:r>
              <w:rPr>
                <w:noProof/>
                <w:webHidden/>
              </w:rPr>
              <w:tab/>
            </w:r>
            <w:r>
              <w:rPr>
                <w:noProof/>
                <w:webHidden/>
              </w:rPr>
              <w:fldChar w:fldCharType="begin"/>
            </w:r>
            <w:r>
              <w:rPr>
                <w:noProof/>
                <w:webHidden/>
              </w:rPr>
              <w:instrText xml:space="preserve"> PAGEREF _Toc466282960 \h </w:instrText>
            </w:r>
            <w:r>
              <w:rPr>
                <w:noProof/>
                <w:webHidden/>
              </w:rPr>
            </w:r>
            <w:r>
              <w:rPr>
                <w:noProof/>
                <w:webHidden/>
              </w:rPr>
              <w:fldChar w:fldCharType="separate"/>
            </w:r>
            <w:r>
              <w:rPr>
                <w:noProof/>
                <w:webHidden/>
              </w:rPr>
              <w:t>47</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61" w:history="1">
            <w:r w:rsidRPr="00B70357">
              <w:rPr>
                <w:rStyle w:val="Hyperlink"/>
                <w:noProof/>
              </w:rPr>
              <w:t>Nonclinical</w:t>
            </w:r>
            <w:r>
              <w:rPr>
                <w:noProof/>
                <w:webHidden/>
              </w:rPr>
              <w:tab/>
            </w:r>
            <w:r>
              <w:rPr>
                <w:noProof/>
                <w:webHidden/>
              </w:rPr>
              <w:fldChar w:fldCharType="begin"/>
            </w:r>
            <w:r>
              <w:rPr>
                <w:noProof/>
                <w:webHidden/>
              </w:rPr>
              <w:instrText xml:space="preserve"> PAGEREF _Toc466282961 \h </w:instrText>
            </w:r>
            <w:r>
              <w:rPr>
                <w:noProof/>
                <w:webHidden/>
              </w:rPr>
            </w:r>
            <w:r>
              <w:rPr>
                <w:noProof/>
                <w:webHidden/>
              </w:rPr>
              <w:fldChar w:fldCharType="separate"/>
            </w:r>
            <w:r>
              <w:rPr>
                <w:noProof/>
                <w:webHidden/>
              </w:rPr>
              <w:t>48</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62" w:history="1">
            <w:r w:rsidRPr="00B70357">
              <w:rPr>
                <w:rStyle w:val="Hyperlink"/>
                <w:noProof/>
              </w:rPr>
              <w:t>Clinical</w:t>
            </w:r>
            <w:r>
              <w:rPr>
                <w:noProof/>
                <w:webHidden/>
              </w:rPr>
              <w:tab/>
            </w:r>
            <w:r>
              <w:rPr>
                <w:noProof/>
                <w:webHidden/>
              </w:rPr>
              <w:fldChar w:fldCharType="begin"/>
            </w:r>
            <w:r>
              <w:rPr>
                <w:noProof/>
                <w:webHidden/>
              </w:rPr>
              <w:instrText xml:space="preserve"> PAGEREF _Toc466282962 \h </w:instrText>
            </w:r>
            <w:r>
              <w:rPr>
                <w:noProof/>
                <w:webHidden/>
              </w:rPr>
            </w:r>
            <w:r>
              <w:rPr>
                <w:noProof/>
                <w:webHidden/>
              </w:rPr>
              <w:fldChar w:fldCharType="separate"/>
            </w:r>
            <w:r>
              <w:rPr>
                <w:noProof/>
                <w:webHidden/>
              </w:rPr>
              <w:t>49</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63" w:history="1">
            <w:r w:rsidRPr="00B70357">
              <w:rPr>
                <w:rStyle w:val="Hyperlink"/>
                <w:noProof/>
                <w:lang w:eastAsia="en-AU"/>
              </w:rPr>
              <w:t>Risk management plan</w:t>
            </w:r>
            <w:r>
              <w:rPr>
                <w:noProof/>
                <w:webHidden/>
              </w:rPr>
              <w:tab/>
            </w:r>
            <w:r>
              <w:rPr>
                <w:noProof/>
                <w:webHidden/>
              </w:rPr>
              <w:fldChar w:fldCharType="begin"/>
            </w:r>
            <w:r>
              <w:rPr>
                <w:noProof/>
                <w:webHidden/>
              </w:rPr>
              <w:instrText xml:space="preserve"> PAGEREF _Toc466282963 \h </w:instrText>
            </w:r>
            <w:r>
              <w:rPr>
                <w:noProof/>
                <w:webHidden/>
              </w:rPr>
            </w:r>
            <w:r>
              <w:rPr>
                <w:noProof/>
                <w:webHidden/>
              </w:rPr>
              <w:fldChar w:fldCharType="separate"/>
            </w:r>
            <w:r>
              <w:rPr>
                <w:noProof/>
                <w:webHidden/>
              </w:rPr>
              <w:t>55</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64" w:history="1">
            <w:r w:rsidRPr="00B70357">
              <w:rPr>
                <w:rStyle w:val="Hyperlink"/>
                <w:noProof/>
              </w:rPr>
              <w:t>Risk-benefit analysis</w:t>
            </w:r>
            <w:r>
              <w:rPr>
                <w:noProof/>
                <w:webHidden/>
              </w:rPr>
              <w:tab/>
            </w:r>
            <w:r>
              <w:rPr>
                <w:noProof/>
                <w:webHidden/>
              </w:rPr>
              <w:fldChar w:fldCharType="begin"/>
            </w:r>
            <w:r>
              <w:rPr>
                <w:noProof/>
                <w:webHidden/>
              </w:rPr>
              <w:instrText xml:space="preserve"> PAGEREF _Toc466282964 \h </w:instrText>
            </w:r>
            <w:r>
              <w:rPr>
                <w:noProof/>
                <w:webHidden/>
              </w:rPr>
            </w:r>
            <w:r>
              <w:rPr>
                <w:noProof/>
                <w:webHidden/>
              </w:rPr>
              <w:fldChar w:fldCharType="separate"/>
            </w:r>
            <w:r>
              <w:rPr>
                <w:noProof/>
                <w:webHidden/>
              </w:rPr>
              <w:t>55</w:t>
            </w:r>
            <w:r>
              <w:rPr>
                <w:noProof/>
                <w:webHidden/>
              </w:rPr>
              <w:fldChar w:fldCharType="end"/>
            </w:r>
          </w:hyperlink>
        </w:p>
        <w:p w:rsidR="00753DD4" w:rsidRDefault="00753DD4">
          <w:pPr>
            <w:pStyle w:val="TOC3"/>
            <w:rPr>
              <w:rFonts w:asciiTheme="minorHAnsi" w:eastAsiaTheme="minorEastAsia" w:hAnsiTheme="minorHAnsi" w:cstheme="minorBidi"/>
              <w:noProof/>
              <w:lang w:eastAsia="en-AU"/>
            </w:rPr>
          </w:pPr>
          <w:hyperlink w:anchor="_Toc466282965" w:history="1">
            <w:r w:rsidRPr="00B70357">
              <w:rPr>
                <w:rStyle w:val="Hyperlink"/>
                <w:noProof/>
              </w:rPr>
              <w:t>Outcome</w:t>
            </w:r>
            <w:r>
              <w:rPr>
                <w:noProof/>
                <w:webHidden/>
              </w:rPr>
              <w:tab/>
            </w:r>
            <w:r>
              <w:rPr>
                <w:noProof/>
                <w:webHidden/>
              </w:rPr>
              <w:fldChar w:fldCharType="begin"/>
            </w:r>
            <w:r>
              <w:rPr>
                <w:noProof/>
                <w:webHidden/>
              </w:rPr>
              <w:instrText xml:space="preserve"> PAGEREF _Toc466282965 \h </w:instrText>
            </w:r>
            <w:r>
              <w:rPr>
                <w:noProof/>
                <w:webHidden/>
              </w:rPr>
            </w:r>
            <w:r>
              <w:rPr>
                <w:noProof/>
                <w:webHidden/>
              </w:rPr>
              <w:fldChar w:fldCharType="separate"/>
            </w:r>
            <w:r>
              <w:rPr>
                <w:noProof/>
                <w:webHidden/>
              </w:rPr>
              <w:t>66</w:t>
            </w:r>
            <w:r>
              <w:rPr>
                <w:noProof/>
                <w:webHidden/>
              </w:rPr>
              <w:fldChar w:fldCharType="end"/>
            </w:r>
          </w:hyperlink>
        </w:p>
        <w:p w:rsidR="00753DD4" w:rsidRDefault="00753DD4">
          <w:pPr>
            <w:pStyle w:val="TOC2"/>
            <w:rPr>
              <w:rFonts w:asciiTheme="minorHAnsi" w:eastAsiaTheme="minorEastAsia" w:hAnsiTheme="minorHAnsi" w:cstheme="minorBidi"/>
              <w:b w:val="0"/>
              <w:noProof/>
              <w:sz w:val="22"/>
              <w:lang w:eastAsia="en-AU"/>
            </w:rPr>
          </w:pPr>
          <w:hyperlink w:anchor="_Toc466282966" w:history="1">
            <w:r w:rsidRPr="00B70357">
              <w:rPr>
                <w:rStyle w:val="Hyperlink"/>
                <w:noProof/>
              </w:rPr>
              <w:t>Attachment 1. Product Information</w:t>
            </w:r>
            <w:r>
              <w:rPr>
                <w:noProof/>
                <w:webHidden/>
              </w:rPr>
              <w:tab/>
            </w:r>
            <w:r>
              <w:rPr>
                <w:noProof/>
                <w:webHidden/>
              </w:rPr>
              <w:fldChar w:fldCharType="begin"/>
            </w:r>
            <w:r>
              <w:rPr>
                <w:noProof/>
                <w:webHidden/>
              </w:rPr>
              <w:instrText xml:space="preserve"> PAGEREF _Toc466282966 \h </w:instrText>
            </w:r>
            <w:r>
              <w:rPr>
                <w:noProof/>
                <w:webHidden/>
              </w:rPr>
            </w:r>
            <w:r>
              <w:rPr>
                <w:noProof/>
                <w:webHidden/>
              </w:rPr>
              <w:fldChar w:fldCharType="separate"/>
            </w:r>
            <w:r>
              <w:rPr>
                <w:noProof/>
                <w:webHidden/>
              </w:rPr>
              <w:t>66</w:t>
            </w:r>
            <w:r>
              <w:rPr>
                <w:noProof/>
                <w:webHidden/>
              </w:rPr>
              <w:fldChar w:fldCharType="end"/>
            </w:r>
          </w:hyperlink>
        </w:p>
        <w:p w:rsidR="00753DD4" w:rsidRDefault="00753DD4">
          <w:pPr>
            <w:pStyle w:val="TOC2"/>
            <w:rPr>
              <w:rFonts w:asciiTheme="minorHAnsi" w:eastAsiaTheme="minorEastAsia" w:hAnsiTheme="minorHAnsi" w:cstheme="minorBidi"/>
              <w:b w:val="0"/>
              <w:noProof/>
              <w:sz w:val="22"/>
              <w:lang w:eastAsia="en-AU"/>
            </w:rPr>
          </w:pPr>
          <w:hyperlink w:anchor="_Toc466282967" w:history="1">
            <w:r w:rsidRPr="00B70357">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_Toc466282967 \h </w:instrText>
            </w:r>
            <w:r>
              <w:rPr>
                <w:noProof/>
                <w:webHidden/>
              </w:rPr>
            </w:r>
            <w:r>
              <w:rPr>
                <w:noProof/>
                <w:webHidden/>
              </w:rPr>
              <w:fldChar w:fldCharType="separate"/>
            </w:r>
            <w:r>
              <w:rPr>
                <w:noProof/>
                <w:webHidden/>
              </w:rPr>
              <w:t>66</w:t>
            </w:r>
            <w:r>
              <w:rPr>
                <w:noProof/>
                <w:webHidden/>
              </w:rPr>
              <w:fldChar w:fldCharType="end"/>
            </w:r>
          </w:hyperlink>
        </w:p>
        <w:p w:rsidR="003A7F6C" w:rsidRPr="00B811C6" w:rsidRDefault="00DB6124" w:rsidP="00B811C6">
          <w:pPr>
            <w:pStyle w:val="TOC2"/>
          </w:pPr>
          <w:r>
            <w:fldChar w:fldCharType="end"/>
          </w:r>
        </w:p>
      </w:sdtContent>
    </w:sdt>
    <w:bookmarkStart w:id="7"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8" w:name="_Toc351716269"/>
      <w:bookmarkStart w:id="9" w:name="_Toc351718881"/>
      <w:bookmarkStart w:id="10" w:name="_Toc355338616"/>
      <w:bookmarkStart w:id="11" w:name="_Toc356306144"/>
      <w:bookmarkStart w:id="12" w:name="_Toc466282920"/>
      <w:r>
        <w:lastRenderedPageBreak/>
        <w:t>Common</w:t>
      </w:r>
      <w:r w:rsidR="00FD119B" w:rsidRPr="00FD119B">
        <w:t xml:space="preserve"> abbreviations</w:t>
      </w:r>
      <w:bookmarkEnd w:id="8"/>
      <w:bookmarkEnd w:id="9"/>
      <w:bookmarkEnd w:id="10"/>
      <w:bookmarkEnd w:id="11"/>
      <w:bookmarkEnd w:id="12"/>
    </w:p>
    <w:tbl>
      <w:tblPr>
        <w:tblStyle w:val="TableTGAblue"/>
        <w:tblW w:w="0" w:type="auto"/>
        <w:tblLook w:val="04A0" w:firstRow="1" w:lastRow="0" w:firstColumn="1" w:lastColumn="0" w:noHBand="0" w:noVBand="1"/>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rsidR="00FD119B" w:rsidRPr="00FD119B" w:rsidRDefault="00FD119B" w:rsidP="00FD119B">
            <w:pPr>
              <w:keepNext w:val="0"/>
              <w:ind w:left="0" w:right="0"/>
              <w:rPr>
                <w:szCs w:val="22"/>
                <w:lang w:eastAsia="en-US"/>
              </w:rPr>
            </w:pPr>
            <w:r w:rsidRPr="00FD119B">
              <w:rPr>
                <w:szCs w:val="22"/>
                <w:lang w:eastAsia="en-US"/>
              </w:rPr>
              <w:t>Meaning</w:t>
            </w:r>
          </w:p>
        </w:tc>
      </w:tr>
      <w:tr w:rsidR="005A6C65" w:rsidRPr="00FD119B" w:rsidTr="00CC343D">
        <w:tc>
          <w:tcPr>
            <w:tcW w:w="1809" w:type="dxa"/>
          </w:tcPr>
          <w:p w:rsidR="005A6C65" w:rsidRPr="00FD119B" w:rsidRDefault="004478D1" w:rsidP="00CC343D">
            <w:pPr>
              <w:ind w:left="142" w:right="0"/>
              <w:rPr>
                <w:color w:val="auto"/>
                <w:szCs w:val="22"/>
                <w:lang w:eastAsia="en-US"/>
              </w:rPr>
            </w:pPr>
            <w:r>
              <w:rPr>
                <w:color w:val="auto"/>
                <w:szCs w:val="22"/>
                <w:lang w:eastAsia="en-US"/>
              </w:rPr>
              <w:t>ACPM</w:t>
            </w:r>
          </w:p>
        </w:tc>
        <w:tc>
          <w:tcPr>
            <w:tcW w:w="6911" w:type="dxa"/>
          </w:tcPr>
          <w:p w:rsidR="005A6C65" w:rsidRPr="00FD119B" w:rsidRDefault="004478D1" w:rsidP="00CC343D">
            <w:pPr>
              <w:ind w:left="176" w:right="0"/>
              <w:rPr>
                <w:color w:val="auto"/>
                <w:szCs w:val="22"/>
                <w:lang w:eastAsia="en-US"/>
              </w:rPr>
            </w:pPr>
            <w:r w:rsidRPr="00D72B7E">
              <w:rPr>
                <w:rFonts w:asciiTheme="minorHAnsi" w:hAnsiTheme="minorHAnsi"/>
              </w:rPr>
              <w:t>Advisory Committee on Prescription Medicines</w:t>
            </w:r>
          </w:p>
        </w:tc>
      </w:tr>
      <w:tr w:rsidR="005A6C65" w:rsidRPr="00FD119B" w:rsidTr="00CC343D">
        <w:tc>
          <w:tcPr>
            <w:tcW w:w="1809" w:type="dxa"/>
          </w:tcPr>
          <w:p w:rsidR="005A6C65" w:rsidRPr="00FD119B" w:rsidRDefault="004478D1" w:rsidP="00CC343D">
            <w:pPr>
              <w:ind w:left="142" w:right="0"/>
              <w:rPr>
                <w:color w:val="auto"/>
                <w:szCs w:val="22"/>
                <w:lang w:eastAsia="en-US"/>
              </w:rPr>
            </w:pPr>
            <w:r>
              <w:rPr>
                <w:color w:val="auto"/>
                <w:szCs w:val="22"/>
                <w:lang w:eastAsia="en-US"/>
              </w:rPr>
              <w:t>ACSOM</w:t>
            </w:r>
          </w:p>
        </w:tc>
        <w:tc>
          <w:tcPr>
            <w:tcW w:w="6911" w:type="dxa"/>
          </w:tcPr>
          <w:p w:rsidR="005A6C65" w:rsidRPr="00FD119B" w:rsidRDefault="004478D1" w:rsidP="00CC343D">
            <w:pPr>
              <w:ind w:left="176" w:right="0"/>
              <w:rPr>
                <w:color w:val="auto"/>
                <w:szCs w:val="22"/>
                <w:lang w:eastAsia="en-US"/>
              </w:rPr>
            </w:pPr>
            <w:r w:rsidRPr="00D72B7E">
              <w:rPr>
                <w:rFonts w:asciiTheme="minorHAnsi" w:hAnsiTheme="minorHAnsi"/>
              </w:rPr>
              <w:t>Advisory Committee on the Safety of Medicines</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ADA</w:t>
            </w:r>
          </w:p>
        </w:tc>
        <w:tc>
          <w:tcPr>
            <w:tcW w:w="6911" w:type="dxa"/>
          </w:tcPr>
          <w:p w:rsidR="00153474" w:rsidRPr="00FD119B" w:rsidRDefault="00153474" w:rsidP="009A7609">
            <w:pPr>
              <w:ind w:left="176" w:right="0"/>
              <w:rPr>
                <w:color w:val="auto"/>
                <w:szCs w:val="22"/>
                <w:lang w:eastAsia="en-US"/>
              </w:rPr>
            </w:pPr>
            <w:r>
              <w:t>anti-</w:t>
            </w:r>
            <w:r w:rsidRPr="00A907EE">
              <w:t xml:space="preserve">drug </w:t>
            </w:r>
            <w:r>
              <w:t>antibody/</w:t>
            </w:r>
            <w:proofErr w:type="spellStart"/>
            <w:r w:rsidRPr="00A907EE">
              <w:t>ies</w:t>
            </w:r>
            <w:proofErr w:type="spellEnd"/>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AE</w:t>
            </w:r>
          </w:p>
        </w:tc>
        <w:tc>
          <w:tcPr>
            <w:tcW w:w="6911" w:type="dxa"/>
          </w:tcPr>
          <w:p w:rsidR="00153474" w:rsidRPr="00FD119B" w:rsidRDefault="00153474" w:rsidP="009A7609">
            <w:pPr>
              <w:ind w:left="176" w:right="0"/>
              <w:rPr>
                <w:color w:val="auto"/>
                <w:szCs w:val="22"/>
                <w:lang w:eastAsia="en-US"/>
              </w:rPr>
            </w:pPr>
            <w:r>
              <w:rPr>
                <w:color w:val="auto"/>
                <w:szCs w:val="22"/>
                <w:lang w:eastAsia="en-US"/>
              </w:rPr>
              <w:t>adverse event</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ARTG</w:t>
            </w:r>
          </w:p>
        </w:tc>
        <w:tc>
          <w:tcPr>
            <w:tcW w:w="6911" w:type="dxa"/>
          </w:tcPr>
          <w:p w:rsidR="00153474" w:rsidRPr="00FD119B" w:rsidRDefault="00153474" w:rsidP="009A7609">
            <w:pPr>
              <w:ind w:left="176" w:right="0"/>
              <w:rPr>
                <w:color w:val="auto"/>
                <w:szCs w:val="22"/>
                <w:lang w:eastAsia="en-US"/>
              </w:rPr>
            </w:pPr>
            <w:r w:rsidRPr="00BC372B">
              <w:rPr>
                <w:color w:val="auto"/>
                <w:szCs w:val="22"/>
                <w:lang w:eastAsia="en-US"/>
              </w:rPr>
              <w:t>Australian Register of Therapeutic Goods</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ASA</w:t>
            </w:r>
          </w:p>
        </w:tc>
        <w:tc>
          <w:tcPr>
            <w:tcW w:w="6911" w:type="dxa"/>
          </w:tcPr>
          <w:p w:rsidR="00153474" w:rsidRPr="00FD119B" w:rsidRDefault="00153474" w:rsidP="009A7609">
            <w:pPr>
              <w:ind w:left="176" w:right="0"/>
              <w:rPr>
                <w:color w:val="auto"/>
                <w:szCs w:val="22"/>
                <w:lang w:eastAsia="en-US"/>
              </w:rPr>
            </w:pPr>
            <w:r w:rsidRPr="00E70B46">
              <w:t>Australian Specific Annex</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AUC</w:t>
            </w:r>
          </w:p>
        </w:tc>
        <w:tc>
          <w:tcPr>
            <w:tcW w:w="6911" w:type="dxa"/>
          </w:tcPr>
          <w:p w:rsidR="00153474" w:rsidRPr="00FD119B" w:rsidRDefault="00153474" w:rsidP="009A7609">
            <w:pPr>
              <w:ind w:left="176" w:right="0"/>
              <w:rPr>
                <w:color w:val="auto"/>
                <w:szCs w:val="22"/>
                <w:lang w:eastAsia="en-US"/>
              </w:rPr>
            </w:pPr>
            <w:r>
              <w:rPr>
                <w:color w:val="auto"/>
                <w:szCs w:val="22"/>
                <w:lang w:eastAsia="en-US"/>
              </w:rPr>
              <w:t xml:space="preserve">area under the </w:t>
            </w:r>
            <w:r w:rsidRPr="00FE542B">
              <w:rPr>
                <w:color w:val="auto"/>
                <w:szCs w:val="22"/>
                <w:lang w:eastAsia="en-US"/>
              </w:rPr>
              <w:t>plasm</w:t>
            </w:r>
            <w:r>
              <w:rPr>
                <w:color w:val="auto"/>
                <w:szCs w:val="22"/>
                <w:lang w:eastAsia="en-US"/>
              </w:rPr>
              <w:t>a drug concentration-time curve</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AUC</w:t>
            </w:r>
            <w:r w:rsidRPr="00012CDA">
              <w:rPr>
                <w:color w:val="auto"/>
                <w:szCs w:val="22"/>
                <w:vertAlign w:val="subscript"/>
                <w:lang w:eastAsia="en-US"/>
              </w:rPr>
              <w:t>t1-t2</w:t>
            </w:r>
          </w:p>
        </w:tc>
        <w:tc>
          <w:tcPr>
            <w:tcW w:w="6911" w:type="dxa"/>
          </w:tcPr>
          <w:p w:rsidR="00153474" w:rsidRPr="00FD119B" w:rsidRDefault="00153474" w:rsidP="009A7609">
            <w:pPr>
              <w:ind w:left="176" w:right="0"/>
              <w:rPr>
                <w:color w:val="auto"/>
                <w:szCs w:val="22"/>
                <w:lang w:eastAsia="en-US"/>
              </w:rPr>
            </w:pPr>
            <w:r>
              <w:rPr>
                <w:color w:val="auto"/>
                <w:szCs w:val="22"/>
                <w:lang w:eastAsia="en-US"/>
              </w:rPr>
              <w:t xml:space="preserve">area under the </w:t>
            </w:r>
            <w:r w:rsidRPr="00FE542B">
              <w:rPr>
                <w:color w:val="auto"/>
                <w:szCs w:val="22"/>
                <w:lang w:eastAsia="en-US"/>
              </w:rPr>
              <w:t>plasm</w:t>
            </w:r>
            <w:r>
              <w:rPr>
                <w:color w:val="auto"/>
                <w:szCs w:val="22"/>
                <w:lang w:eastAsia="en-US"/>
              </w:rPr>
              <w:t>a drug concentration-time curve from t1 to t2</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bid</w:t>
            </w:r>
          </w:p>
        </w:tc>
        <w:tc>
          <w:tcPr>
            <w:tcW w:w="6911" w:type="dxa"/>
          </w:tcPr>
          <w:p w:rsidR="00153474" w:rsidRPr="00FD119B" w:rsidRDefault="00153474" w:rsidP="009A7609">
            <w:pPr>
              <w:ind w:left="176" w:right="0"/>
              <w:rPr>
                <w:color w:val="auto"/>
                <w:szCs w:val="22"/>
                <w:lang w:eastAsia="en-US"/>
              </w:rPr>
            </w:pPr>
            <w:proofErr w:type="spellStart"/>
            <w:r>
              <w:rPr>
                <w:color w:val="auto"/>
                <w:szCs w:val="22"/>
                <w:lang w:eastAsia="en-US"/>
              </w:rPr>
              <w:t>bis</w:t>
            </w:r>
            <w:proofErr w:type="spellEnd"/>
            <w:r>
              <w:rPr>
                <w:color w:val="auto"/>
                <w:szCs w:val="22"/>
                <w:lang w:eastAsia="en-US"/>
              </w:rPr>
              <w:t xml:space="preserve"> in die (twice daily)</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CHMP</w:t>
            </w:r>
          </w:p>
        </w:tc>
        <w:tc>
          <w:tcPr>
            <w:tcW w:w="6911" w:type="dxa"/>
          </w:tcPr>
          <w:p w:rsidR="00153474" w:rsidRPr="00FD119B" w:rsidRDefault="00153474" w:rsidP="009A7609">
            <w:pPr>
              <w:ind w:left="176" w:right="0"/>
              <w:rPr>
                <w:color w:val="auto"/>
                <w:szCs w:val="22"/>
                <w:lang w:eastAsia="en-US"/>
              </w:rPr>
            </w:pPr>
            <w:r w:rsidRPr="00A47EC3">
              <w:t>Committee for Medicinal Products for Human Use</w:t>
            </w:r>
          </w:p>
        </w:tc>
      </w:tr>
      <w:tr w:rsidR="00153474" w:rsidRPr="00FD119B" w:rsidTr="009A7609">
        <w:tc>
          <w:tcPr>
            <w:tcW w:w="1809" w:type="dxa"/>
          </w:tcPr>
          <w:p w:rsidR="00153474" w:rsidRPr="00FD119B" w:rsidRDefault="00153474" w:rsidP="009A7609">
            <w:pPr>
              <w:ind w:left="142" w:right="0"/>
              <w:rPr>
                <w:color w:val="auto"/>
                <w:szCs w:val="22"/>
                <w:lang w:eastAsia="en-US"/>
              </w:rPr>
            </w:pPr>
            <w:proofErr w:type="spellStart"/>
            <w:r>
              <w:rPr>
                <w:color w:val="auto"/>
                <w:szCs w:val="22"/>
                <w:lang w:eastAsia="en-US"/>
              </w:rPr>
              <w:t>Cmax</w:t>
            </w:r>
            <w:proofErr w:type="spellEnd"/>
          </w:p>
        </w:tc>
        <w:tc>
          <w:tcPr>
            <w:tcW w:w="6911" w:type="dxa"/>
          </w:tcPr>
          <w:p w:rsidR="00153474" w:rsidRPr="00FD119B" w:rsidRDefault="00153474" w:rsidP="009A7609">
            <w:pPr>
              <w:ind w:left="176" w:right="0"/>
              <w:rPr>
                <w:color w:val="auto"/>
                <w:szCs w:val="22"/>
                <w:lang w:eastAsia="en-US"/>
              </w:rPr>
            </w:pPr>
            <w:r>
              <w:rPr>
                <w:color w:val="auto"/>
                <w:szCs w:val="22"/>
                <w:lang w:eastAsia="en-US"/>
              </w:rPr>
              <w:t xml:space="preserve">maximum </w:t>
            </w:r>
            <w:r w:rsidRPr="00E13B41">
              <w:rPr>
                <w:color w:val="auto"/>
                <w:szCs w:val="22"/>
                <w:lang w:eastAsia="en-US"/>
              </w:rPr>
              <w:t>serum concentration</w:t>
            </w:r>
            <w:r>
              <w:rPr>
                <w:color w:val="auto"/>
                <w:szCs w:val="22"/>
                <w:lang w:eastAsia="en-US"/>
              </w:rPr>
              <w:t xml:space="preserve"> of drug</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CMI</w:t>
            </w:r>
          </w:p>
        </w:tc>
        <w:tc>
          <w:tcPr>
            <w:tcW w:w="6911" w:type="dxa"/>
          </w:tcPr>
          <w:p w:rsidR="00153474" w:rsidRPr="00FD119B" w:rsidRDefault="00153474" w:rsidP="009A7609">
            <w:pPr>
              <w:ind w:left="176" w:right="0"/>
              <w:rPr>
                <w:color w:val="auto"/>
                <w:szCs w:val="22"/>
                <w:lang w:eastAsia="en-US"/>
              </w:rPr>
            </w:pPr>
            <w:r w:rsidRPr="00DC1AC4">
              <w:t>Consumer Medicine Information</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DE</w:t>
            </w:r>
          </w:p>
        </w:tc>
        <w:tc>
          <w:tcPr>
            <w:tcW w:w="6911" w:type="dxa"/>
          </w:tcPr>
          <w:p w:rsidR="00153474" w:rsidRPr="00FD119B" w:rsidRDefault="00153474" w:rsidP="009A7609">
            <w:pPr>
              <w:ind w:left="176" w:right="0"/>
              <w:rPr>
                <w:color w:val="auto"/>
                <w:szCs w:val="22"/>
                <w:lang w:eastAsia="en-US"/>
              </w:rPr>
            </w:pPr>
            <w:r w:rsidRPr="00592D6E">
              <w:rPr>
                <w:color w:val="auto"/>
                <w:szCs w:val="22"/>
                <w:lang w:eastAsia="en-US"/>
              </w:rPr>
              <w:t>dabigatran etexilate</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EMA</w:t>
            </w:r>
          </w:p>
        </w:tc>
        <w:tc>
          <w:tcPr>
            <w:tcW w:w="6911" w:type="dxa"/>
          </w:tcPr>
          <w:p w:rsidR="00153474" w:rsidRPr="00FD119B" w:rsidRDefault="00153474" w:rsidP="009A7609">
            <w:pPr>
              <w:ind w:left="176" w:right="0"/>
              <w:rPr>
                <w:color w:val="auto"/>
                <w:szCs w:val="22"/>
                <w:lang w:eastAsia="en-US"/>
              </w:rPr>
            </w:pPr>
            <w:r>
              <w:rPr>
                <w:color w:val="auto"/>
                <w:szCs w:val="22"/>
                <w:lang w:eastAsia="en-US"/>
              </w:rPr>
              <w:t>European Medicines Agency</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Fab</w:t>
            </w:r>
          </w:p>
        </w:tc>
        <w:tc>
          <w:tcPr>
            <w:tcW w:w="6911" w:type="dxa"/>
          </w:tcPr>
          <w:p w:rsidR="00153474" w:rsidRPr="00FD119B" w:rsidRDefault="00153474" w:rsidP="009A7609">
            <w:pPr>
              <w:ind w:left="176" w:right="0"/>
              <w:rPr>
                <w:color w:val="auto"/>
                <w:szCs w:val="22"/>
                <w:lang w:eastAsia="en-US"/>
              </w:rPr>
            </w:pPr>
            <w:r>
              <w:rPr>
                <w:color w:val="auto"/>
                <w:szCs w:val="22"/>
                <w:lang w:eastAsia="en-US"/>
              </w:rPr>
              <w:t xml:space="preserve">fragment antigen </w:t>
            </w:r>
            <w:r w:rsidRPr="006907AE">
              <w:rPr>
                <w:color w:val="auto"/>
                <w:szCs w:val="22"/>
                <w:lang w:eastAsia="en-US"/>
              </w:rPr>
              <w:t>binding</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FDA</w:t>
            </w:r>
          </w:p>
        </w:tc>
        <w:tc>
          <w:tcPr>
            <w:tcW w:w="6911" w:type="dxa"/>
          </w:tcPr>
          <w:p w:rsidR="00153474" w:rsidRPr="00FD119B" w:rsidRDefault="00153474" w:rsidP="009A7609">
            <w:pPr>
              <w:ind w:left="176" w:right="0"/>
              <w:rPr>
                <w:color w:val="auto"/>
                <w:szCs w:val="22"/>
                <w:lang w:eastAsia="en-US"/>
              </w:rPr>
            </w:pPr>
            <w:r>
              <w:rPr>
                <w:color w:val="auto"/>
                <w:szCs w:val="22"/>
                <w:lang w:eastAsia="en-US"/>
              </w:rPr>
              <w:t>Food and Drug Administration (US)</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GCP</w:t>
            </w:r>
          </w:p>
        </w:tc>
        <w:tc>
          <w:tcPr>
            <w:tcW w:w="6911" w:type="dxa"/>
          </w:tcPr>
          <w:p w:rsidR="00153474" w:rsidRPr="00FD119B" w:rsidRDefault="00153474" w:rsidP="009A7609">
            <w:pPr>
              <w:ind w:left="176" w:right="0"/>
              <w:rPr>
                <w:color w:val="auto"/>
                <w:szCs w:val="22"/>
                <w:lang w:eastAsia="en-US"/>
              </w:rPr>
            </w:pPr>
            <w:r>
              <w:rPr>
                <w:color w:val="auto"/>
                <w:szCs w:val="22"/>
                <w:lang w:eastAsia="en-US"/>
              </w:rPr>
              <w:t>Good Clinical Practice</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GMP</w:t>
            </w:r>
          </w:p>
        </w:tc>
        <w:tc>
          <w:tcPr>
            <w:tcW w:w="6911" w:type="dxa"/>
          </w:tcPr>
          <w:p w:rsidR="00153474" w:rsidRPr="00FD119B" w:rsidRDefault="00153474" w:rsidP="009A7609">
            <w:pPr>
              <w:ind w:left="176" w:right="0"/>
              <w:rPr>
                <w:color w:val="auto"/>
                <w:szCs w:val="22"/>
                <w:lang w:eastAsia="en-US"/>
              </w:rPr>
            </w:pPr>
            <w:r>
              <w:rPr>
                <w:color w:val="auto"/>
                <w:szCs w:val="22"/>
                <w:lang w:eastAsia="en-US"/>
              </w:rPr>
              <w:t>Good Manufacturing Practice</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HC</w:t>
            </w:r>
          </w:p>
        </w:tc>
        <w:tc>
          <w:tcPr>
            <w:tcW w:w="6911" w:type="dxa"/>
          </w:tcPr>
          <w:p w:rsidR="00153474" w:rsidRPr="00FD119B" w:rsidRDefault="00153474" w:rsidP="009A7609">
            <w:pPr>
              <w:ind w:left="176" w:right="0"/>
              <w:rPr>
                <w:color w:val="auto"/>
                <w:szCs w:val="22"/>
                <w:lang w:eastAsia="en-US"/>
              </w:rPr>
            </w:pPr>
            <w:r>
              <w:rPr>
                <w:color w:val="auto"/>
                <w:szCs w:val="22"/>
                <w:lang w:eastAsia="en-US"/>
              </w:rPr>
              <w:t>heavy chain</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IC50</w:t>
            </w:r>
          </w:p>
        </w:tc>
        <w:tc>
          <w:tcPr>
            <w:tcW w:w="6911" w:type="dxa"/>
          </w:tcPr>
          <w:p w:rsidR="00153474" w:rsidRPr="00FD119B" w:rsidRDefault="00153474" w:rsidP="009A7609">
            <w:pPr>
              <w:ind w:left="176" w:right="0"/>
              <w:rPr>
                <w:color w:val="auto"/>
                <w:szCs w:val="22"/>
                <w:lang w:eastAsia="en-US"/>
              </w:rPr>
            </w:pPr>
            <w:r w:rsidRPr="005127FC">
              <w:rPr>
                <w:color w:val="auto"/>
                <w:szCs w:val="22"/>
                <w:lang w:eastAsia="en-US"/>
              </w:rPr>
              <w:t>half maximal inhibitory concentration</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IV</w:t>
            </w:r>
          </w:p>
        </w:tc>
        <w:tc>
          <w:tcPr>
            <w:tcW w:w="6911" w:type="dxa"/>
          </w:tcPr>
          <w:p w:rsidR="00153474" w:rsidRPr="00FD119B" w:rsidRDefault="00153474" w:rsidP="009A7609">
            <w:pPr>
              <w:ind w:left="176" w:right="0"/>
              <w:rPr>
                <w:color w:val="auto"/>
                <w:szCs w:val="22"/>
                <w:lang w:eastAsia="en-US"/>
              </w:rPr>
            </w:pPr>
            <w:r w:rsidRPr="00683659">
              <w:t>intravenous</w:t>
            </w:r>
            <w:r>
              <w:t>(</w:t>
            </w:r>
            <w:proofErr w:type="spellStart"/>
            <w:r w:rsidRPr="00683659">
              <w:t>ly</w:t>
            </w:r>
            <w:proofErr w:type="spellEnd"/>
            <w:r>
              <w:t>)</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LC</w:t>
            </w:r>
          </w:p>
        </w:tc>
        <w:tc>
          <w:tcPr>
            <w:tcW w:w="6911" w:type="dxa"/>
          </w:tcPr>
          <w:p w:rsidR="00153474" w:rsidRPr="00FD119B" w:rsidRDefault="00153474" w:rsidP="009A7609">
            <w:pPr>
              <w:ind w:left="176" w:right="0"/>
              <w:rPr>
                <w:color w:val="auto"/>
                <w:szCs w:val="22"/>
                <w:lang w:eastAsia="en-US"/>
              </w:rPr>
            </w:pPr>
            <w:r w:rsidRPr="00DD3870">
              <w:rPr>
                <w:rFonts w:asciiTheme="minorHAnsi" w:eastAsia="TimesNewRoman" w:hAnsiTheme="minorHAnsi" w:cs="TimesNewRoman"/>
              </w:rPr>
              <w:t>light chain</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OD</w:t>
            </w:r>
          </w:p>
        </w:tc>
        <w:tc>
          <w:tcPr>
            <w:tcW w:w="6911" w:type="dxa"/>
          </w:tcPr>
          <w:p w:rsidR="00153474" w:rsidRPr="00FD119B" w:rsidRDefault="00153474" w:rsidP="009A7609">
            <w:pPr>
              <w:ind w:left="176" w:right="0"/>
              <w:rPr>
                <w:color w:val="auto"/>
                <w:szCs w:val="22"/>
                <w:lang w:eastAsia="en-US"/>
              </w:rPr>
            </w:pPr>
            <w:r>
              <w:rPr>
                <w:color w:val="auto"/>
                <w:szCs w:val="22"/>
                <w:lang w:eastAsia="en-US"/>
              </w:rPr>
              <w:t>once daily</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PD</w:t>
            </w:r>
          </w:p>
        </w:tc>
        <w:tc>
          <w:tcPr>
            <w:tcW w:w="6911" w:type="dxa"/>
          </w:tcPr>
          <w:p w:rsidR="00153474" w:rsidRPr="00FD119B" w:rsidRDefault="00153474" w:rsidP="009A7609">
            <w:pPr>
              <w:ind w:left="176" w:right="0"/>
              <w:rPr>
                <w:color w:val="auto"/>
                <w:szCs w:val="22"/>
                <w:lang w:eastAsia="en-US"/>
              </w:rPr>
            </w:pPr>
            <w:r>
              <w:rPr>
                <w:color w:val="auto"/>
                <w:szCs w:val="22"/>
                <w:lang w:eastAsia="en-US"/>
              </w:rPr>
              <w:t>pharmacodynamic(s)</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PI</w:t>
            </w:r>
          </w:p>
        </w:tc>
        <w:tc>
          <w:tcPr>
            <w:tcW w:w="6911" w:type="dxa"/>
          </w:tcPr>
          <w:p w:rsidR="00153474" w:rsidRPr="00FD119B" w:rsidRDefault="00153474" w:rsidP="009A7609">
            <w:pPr>
              <w:ind w:left="176" w:right="0"/>
              <w:rPr>
                <w:color w:val="auto"/>
                <w:szCs w:val="22"/>
                <w:lang w:eastAsia="en-US"/>
              </w:rPr>
            </w:pPr>
            <w:r w:rsidRPr="00940A89">
              <w:t>Product Information</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lastRenderedPageBreak/>
              <w:t>PK</w:t>
            </w:r>
          </w:p>
        </w:tc>
        <w:tc>
          <w:tcPr>
            <w:tcW w:w="6911" w:type="dxa"/>
          </w:tcPr>
          <w:p w:rsidR="00153474" w:rsidRPr="00FD119B" w:rsidRDefault="00153474" w:rsidP="009A7609">
            <w:pPr>
              <w:ind w:left="176" w:right="0"/>
              <w:rPr>
                <w:color w:val="auto"/>
                <w:szCs w:val="22"/>
                <w:lang w:eastAsia="en-US"/>
              </w:rPr>
            </w:pPr>
            <w:r>
              <w:rPr>
                <w:color w:val="auto"/>
                <w:szCs w:val="22"/>
                <w:lang w:eastAsia="en-US"/>
              </w:rPr>
              <w:t>pharmacokinetic(s)</w:t>
            </w:r>
          </w:p>
        </w:tc>
      </w:tr>
      <w:tr w:rsidR="004478D1" w:rsidRPr="00FD119B" w:rsidTr="00B42CFB">
        <w:tc>
          <w:tcPr>
            <w:tcW w:w="1809" w:type="dxa"/>
          </w:tcPr>
          <w:p w:rsidR="004478D1" w:rsidRPr="00FD119B" w:rsidRDefault="00425685" w:rsidP="00B42CFB">
            <w:pPr>
              <w:ind w:left="142" w:right="0"/>
              <w:rPr>
                <w:color w:val="auto"/>
                <w:szCs w:val="22"/>
                <w:lang w:eastAsia="en-US"/>
              </w:rPr>
            </w:pPr>
            <w:r>
              <w:rPr>
                <w:color w:val="auto"/>
                <w:szCs w:val="22"/>
                <w:lang w:eastAsia="en-US"/>
              </w:rPr>
              <w:t>RMP</w:t>
            </w:r>
          </w:p>
        </w:tc>
        <w:tc>
          <w:tcPr>
            <w:tcW w:w="6911" w:type="dxa"/>
          </w:tcPr>
          <w:p w:rsidR="004478D1" w:rsidRPr="00FD119B" w:rsidRDefault="00425685" w:rsidP="00B42CFB">
            <w:pPr>
              <w:ind w:left="176" w:right="0"/>
              <w:rPr>
                <w:color w:val="auto"/>
                <w:szCs w:val="22"/>
                <w:lang w:eastAsia="en-US"/>
              </w:rPr>
            </w:pPr>
            <w:r w:rsidRPr="00487AA4">
              <w:rPr>
                <w:rFonts w:asciiTheme="minorHAnsi" w:hAnsiTheme="minorHAnsi"/>
                <w:szCs w:val="22"/>
              </w:rPr>
              <w:t>Risk Management Plan</w:t>
            </w:r>
          </w:p>
        </w:tc>
      </w:tr>
      <w:tr w:rsidR="00153474" w:rsidRPr="00FD119B" w:rsidTr="009A7609">
        <w:tc>
          <w:tcPr>
            <w:tcW w:w="1809" w:type="dxa"/>
          </w:tcPr>
          <w:p w:rsidR="00153474" w:rsidRPr="00FD119B" w:rsidRDefault="00153474" w:rsidP="009A7609">
            <w:pPr>
              <w:ind w:left="142" w:right="0"/>
              <w:rPr>
                <w:color w:val="auto"/>
                <w:szCs w:val="22"/>
                <w:lang w:eastAsia="en-US"/>
              </w:rPr>
            </w:pPr>
            <w:r>
              <w:rPr>
                <w:color w:val="auto"/>
                <w:szCs w:val="22"/>
                <w:lang w:eastAsia="en-US"/>
              </w:rPr>
              <w:t>SAE</w:t>
            </w:r>
          </w:p>
        </w:tc>
        <w:tc>
          <w:tcPr>
            <w:tcW w:w="6911" w:type="dxa"/>
          </w:tcPr>
          <w:p w:rsidR="00153474" w:rsidRPr="00FD119B" w:rsidRDefault="00153474" w:rsidP="009A7609">
            <w:pPr>
              <w:ind w:left="176" w:right="0"/>
              <w:rPr>
                <w:color w:val="auto"/>
                <w:szCs w:val="22"/>
                <w:lang w:eastAsia="en-US"/>
              </w:rPr>
            </w:pPr>
            <w:r>
              <w:rPr>
                <w:color w:val="auto"/>
                <w:szCs w:val="22"/>
                <w:lang w:eastAsia="en-US"/>
              </w:rPr>
              <w:t>serious adverse event</w:t>
            </w:r>
          </w:p>
        </w:tc>
      </w:tr>
      <w:tr w:rsidR="00C536A3" w:rsidRPr="00FD119B" w:rsidTr="000D4114">
        <w:tc>
          <w:tcPr>
            <w:tcW w:w="1809" w:type="dxa"/>
          </w:tcPr>
          <w:p w:rsidR="00C536A3" w:rsidRPr="00FD119B" w:rsidRDefault="00C536A3" w:rsidP="000D4114">
            <w:pPr>
              <w:ind w:left="142" w:right="0"/>
              <w:rPr>
                <w:color w:val="auto"/>
                <w:szCs w:val="22"/>
                <w:lang w:eastAsia="en-US"/>
              </w:rPr>
            </w:pPr>
            <w:r w:rsidRPr="000540E5">
              <w:t>t½</w:t>
            </w:r>
          </w:p>
        </w:tc>
        <w:tc>
          <w:tcPr>
            <w:tcW w:w="6911" w:type="dxa"/>
          </w:tcPr>
          <w:p w:rsidR="00C536A3" w:rsidRPr="00FD119B" w:rsidRDefault="00C536A3" w:rsidP="000D4114">
            <w:pPr>
              <w:ind w:left="176" w:right="0"/>
              <w:rPr>
                <w:color w:val="auto"/>
                <w:szCs w:val="22"/>
                <w:lang w:eastAsia="en-US"/>
              </w:rPr>
            </w:pPr>
            <w:r>
              <w:rPr>
                <w:color w:val="auto"/>
                <w:szCs w:val="22"/>
                <w:lang w:eastAsia="en-US"/>
              </w:rPr>
              <w:t>elimination half life</w:t>
            </w:r>
          </w:p>
        </w:tc>
      </w:tr>
      <w:tr w:rsidR="00C536A3" w:rsidRPr="00FD119B" w:rsidTr="000D4114">
        <w:tc>
          <w:tcPr>
            <w:tcW w:w="1809" w:type="dxa"/>
          </w:tcPr>
          <w:p w:rsidR="00C536A3" w:rsidRPr="00FD119B" w:rsidRDefault="00C536A3" w:rsidP="000D4114">
            <w:pPr>
              <w:ind w:left="142" w:right="0"/>
              <w:rPr>
                <w:color w:val="auto"/>
                <w:szCs w:val="22"/>
                <w:lang w:eastAsia="en-US"/>
              </w:rPr>
            </w:pPr>
            <w:proofErr w:type="spellStart"/>
            <w:r>
              <w:t>T</w:t>
            </w:r>
            <w:r w:rsidRPr="004F6826">
              <w:t>max</w:t>
            </w:r>
            <w:proofErr w:type="spellEnd"/>
          </w:p>
        </w:tc>
        <w:tc>
          <w:tcPr>
            <w:tcW w:w="6911" w:type="dxa"/>
          </w:tcPr>
          <w:p w:rsidR="00C536A3" w:rsidRPr="00FD119B" w:rsidRDefault="00C536A3" w:rsidP="000D4114">
            <w:pPr>
              <w:ind w:left="176" w:right="0"/>
              <w:rPr>
                <w:color w:val="auto"/>
                <w:szCs w:val="22"/>
                <w:lang w:eastAsia="en-US"/>
              </w:rPr>
            </w:pPr>
            <w:r>
              <w:rPr>
                <w:color w:val="auto"/>
                <w:szCs w:val="22"/>
                <w:lang w:eastAsia="en-US"/>
              </w:rPr>
              <w:t>T</w:t>
            </w:r>
            <w:r w:rsidRPr="00C81A01">
              <w:rPr>
                <w:color w:val="auto"/>
                <w:szCs w:val="22"/>
                <w:lang w:eastAsia="en-US"/>
              </w:rPr>
              <w:t>ime taken to reach the maximum concentration</w:t>
            </w:r>
            <w:r>
              <w:rPr>
                <w:color w:val="auto"/>
                <w:szCs w:val="22"/>
                <w:lang w:eastAsia="en-US"/>
              </w:rPr>
              <w:t xml:space="preserve"> (</w:t>
            </w:r>
            <w:proofErr w:type="spellStart"/>
            <w:r>
              <w:rPr>
                <w:color w:val="auto"/>
                <w:szCs w:val="22"/>
                <w:lang w:eastAsia="en-US"/>
              </w:rPr>
              <w:t>Cmax</w:t>
            </w:r>
            <w:proofErr w:type="spellEnd"/>
            <w:r>
              <w:rPr>
                <w:color w:val="auto"/>
                <w:szCs w:val="22"/>
                <w:lang w:eastAsia="en-US"/>
              </w:rPr>
              <w:t>)</w:t>
            </w:r>
          </w:p>
        </w:tc>
      </w:tr>
      <w:tr w:rsidR="00EF6F80" w:rsidRPr="00FD119B" w:rsidTr="000D4114">
        <w:tc>
          <w:tcPr>
            <w:tcW w:w="1809" w:type="dxa"/>
          </w:tcPr>
          <w:p w:rsidR="00EF6F80" w:rsidRPr="00FD119B" w:rsidRDefault="00D454D1" w:rsidP="000D4114">
            <w:pPr>
              <w:ind w:left="142" w:right="0"/>
              <w:rPr>
                <w:color w:val="auto"/>
                <w:szCs w:val="22"/>
                <w:lang w:eastAsia="en-US"/>
              </w:rPr>
            </w:pPr>
            <w:proofErr w:type="spellStart"/>
            <w:r>
              <w:rPr>
                <w:color w:val="auto"/>
                <w:szCs w:val="22"/>
                <w:lang w:eastAsia="en-US"/>
              </w:rPr>
              <w:t>Vd</w:t>
            </w:r>
            <w:proofErr w:type="spellEnd"/>
          </w:p>
        </w:tc>
        <w:tc>
          <w:tcPr>
            <w:tcW w:w="6911" w:type="dxa"/>
          </w:tcPr>
          <w:p w:rsidR="00EF6F80" w:rsidRPr="00FD119B" w:rsidRDefault="00D454D1" w:rsidP="000D4114">
            <w:pPr>
              <w:ind w:left="176" w:right="0"/>
              <w:rPr>
                <w:color w:val="auto"/>
                <w:szCs w:val="22"/>
                <w:lang w:eastAsia="en-US"/>
              </w:rPr>
            </w:pPr>
            <w:r w:rsidRPr="004C7435">
              <w:t>volume of distribution</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13" w:name="_Toc466282921"/>
      <w:r>
        <w:lastRenderedPageBreak/>
        <w:t>I.</w:t>
      </w:r>
      <w:r w:rsidR="008E7846">
        <w:t xml:space="preserve"> Introduction to product submission</w:t>
      </w:r>
      <w:bookmarkEnd w:id="7"/>
      <w:bookmarkEnd w:id="4"/>
      <w:bookmarkEnd w:id="13"/>
    </w:p>
    <w:p w:rsidR="008E7846" w:rsidRDefault="008E7846" w:rsidP="008E7846">
      <w:pPr>
        <w:pStyle w:val="Heading3"/>
        <w:rPr>
          <w:lang w:eastAsia="en-AU"/>
        </w:rPr>
      </w:pPr>
      <w:bookmarkStart w:id="14" w:name="_Toc247691502"/>
      <w:bookmarkStart w:id="15" w:name="_Toc314842483"/>
      <w:bookmarkStart w:id="16" w:name="_Toc466282922"/>
      <w:r>
        <w:rPr>
          <w:lang w:eastAsia="en-AU"/>
        </w:rPr>
        <w:t>Submission details</w:t>
      </w:r>
      <w:bookmarkEnd w:id="14"/>
      <w:bookmarkEnd w:id="15"/>
      <w:bookmarkEnd w:id="16"/>
    </w:p>
    <w:tbl>
      <w:tblPr>
        <w:tblW w:w="9214" w:type="dxa"/>
        <w:tblInd w:w="108" w:type="dxa"/>
        <w:tblLook w:val="01E0" w:firstRow="1" w:lastRow="1" w:firstColumn="1" w:lastColumn="1" w:noHBand="0" w:noVBand="0"/>
      </w:tblPr>
      <w:tblGrid>
        <w:gridCol w:w="2907"/>
        <w:gridCol w:w="6307"/>
      </w:tblGrid>
      <w:tr w:rsidR="008E7846" w:rsidRPr="003D1E62" w:rsidTr="009A7609">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2A6BFB" w:rsidP="002A6BFB">
            <w:r>
              <w:t>New biological medicine</w:t>
            </w:r>
          </w:p>
        </w:tc>
      </w:tr>
      <w:tr w:rsidR="008E7846" w:rsidRPr="003D1E62" w:rsidTr="009A7609">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2A6BFB" w:rsidP="002A6BFB">
            <w:r>
              <w:t>Approved</w:t>
            </w:r>
          </w:p>
        </w:tc>
      </w:tr>
      <w:tr w:rsidR="008E7846" w:rsidRPr="003D1E62" w:rsidTr="009A7609">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A96D98" w:rsidP="001B5C90">
            <w:r>
              <w:t>10 May 2016</w:t>
            </w:r>
          </w:p>
        </w:tc>
      </w:tr>
      <w:tr w:rsidR="00ED2922" w:rsidRPr="003D1E62" w:rsidTr="009A7609">
        <w:trPr>
          <w:trHeight w:hRule="exact" w:val="454"/>
        </w:trPr>
        <w:tc>
          <w:tcPr>
            <w:tcW w:w="2907" w:type="dxa"/>
          </w:tcPr>
          <w:p w:rsidR="00ED2922" w:rsidRPr="00441C3F" w:rsidRDefault="00ED2922" w:rsidP="001B5C90">
            <w:pPr>
              <w:rPr>
                <w:i/>
              </w:rPr>
            </w:pPr>
            <w:r w:rsidRPr="00441C3F">
              <w:rPr>
                <w:i/>
              </w:rPr>
              <w:t>Date of entry onto ARTG</w:t>
            </w:r>
          </w:p>
        </w:tc>
        <w:tc>
          <w:tcPr>
            <w:tcW w:w="6307" w:type="dxa"/>
          </w:tcPr>
          <w:p w:rsidR="00ED2922" w:rsidRPr="00441C3F" w:rsidRDefault="002A6BFB" w:rsidP="00EC463D">
            <w:pPr>
              <w:rPr>
                <w:i/>
              </w:rPr>
            </w:pPr>
            <w:r>
              <w:t>11 May 2016</w:t>
            </w:r>
          </w:p>
        </w:tc>
      </w:tr>
      <w:tr w:rsidR="008E7846" w:rsidRPr="00487162" w:rsidTr="009A7609">
        <w:tc>
          <w:tcPr>
            <w:tcW w:w="2907" w:type="dxa"/>
          </w:tcPr>
          <w:p w:rsidR="008E7846" w:rsidRPr="00487162" w:rsidRDefault="0072701B" w:rsidP="00E45619">
            <w:pPr>
              <w:rPr>
                <w:i/>
              </w:rPr>
            </w:pPr>
            <w:r>
              <w:rPr>
                <w:i/>
              </w:rPr>
              <w:t>Active ingredient</w:t>
            </w:r>
            <w:r w:rsidR="001B5C90">
              <w:rPr>
                <w:i/>
              </w:rPr>
              <w:t>:</w:t>
            </w:r>
          </w:p>
        </w:tc>
        <w:tc>
          <w:tcPr>
            <w:tcW w:w="6307" w:type="dxa"/>
          </w:tcPr>
          <w:p w:rsidR="008E7846" w:rsidRPr="00487162" w:rsidRDefault="002A6BFB" w:rsidP="00E45619">
            <w:r w:rsidRPr="002A6BFB">
              <w:t>Idarucizumab</w:t>
            </w:r>
          </w:p>
        </w:tc>
      </w:tr>
      <w:tr w:rsidR="008E7846" w:rsidRPr="00487162" w:rsidTr="009A7609">
        <w:tc>
          <w:tcPr>
            <w:tcW w:w="2907" w:type="dxa"/>
          </w:tcPr>
          <w:p w:rsidR="008E7846" w:rsidRPr="00487162" w:rsidRDefault="008E7846" w:rsidP="001B5C90">
            <w:pPr>
              <w:rPr>
                <w:i/>
              </w:rPr>
            </w:pPr>
            <w:r w:rsidRPr="00487162">
              <w:rPr>
                <w:i/>
              </w:rPr>
              <w:t>Product</w:t>
            </w:r>
            <w:r w:rsidR="0072701B">
              <w:rPr>
                <w:i/>
              </w:rPr>
              <w:t xml:space="preserve"> name</w:t>
            </w:r>
            <w:r w:rsidR="001B5C90">
              <w:rPr>
                <w:i/>
              </w:rPr>
              <w:t>:</w:t>
            </w:r>
          </w:p>
        </w:tc>
        <w:tc>
          <w:tcPr>
            <w:tcW w:w="6307" w:type="dxa"/>
          </w:tcPr>
          <w:p w:rsidR="008E7846" w:rsidRPr="00487162" w:rsidRDefault="007A187E" w:rsidP="00E45619">
            <w:r>
              <w:t>Praxbind</w:t>
            </w:r>
          </w:p>
        </w:tc>
      </w:tr>
      <w:tr w:rsidR="008E7846" w:rsidRPr="00487162" w:rsidTr="009A7609">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612BED" w:rsidP="00E45619">
            <w:r w:rsidRPr="00612BED">
              <w:t>Boehringer Ingelheim Pty Ltd</w:t>
            </w:r>
          </w:p>
          <w:p w:rsidR="0072701B" w:rsidRDefault="0072701B" w:rsidP="00E45619">
            <w:r>
              <w:t>78 Waterloo Road</w:t>
            </w:r>
          </w:p>
          <w:p w:rsidR="00612BED" w:rsidRPr="00487162" w:rsidRDefault="0072701B" w:rsidP="0072701B">
            <w:r w:rsidRPr="0072701B">
              <w:t>North Ryde NSW 2113</w:t>
            </w:r>
          </w:p>
        </w:tc>
      </w:tr>
      <w:tr w:rsidR="008E7846" w:rsidRPr="00487162" w:rsidTr="009A7609">
        <w:tc>
          <w:tcPr>
            <w:tcW w:w="2907" w:type="dxa"/>
          </w:tcPr>
          <w:p w:rsidR="008E7846" w:rsidRPr="00487162" w:rsidRDefault="00CE65B7" w:rsidP="00CE65B7">
            <w:pPr>
              <w:rPr>
                <w:i/>
              </w:rPr>
            </w:pPr>
            <w:r>
              <w:rPr>
                <w:i/>
              </w:rPr>
              <w:t>Strength</w:t>
            </w:r>
            <w:r w:rsidR="008E7846" w:rsidRPr="00487162">
              <w:rPr>
                <w:i/>
              </w:rPr>
              <w:t xml:space="preserve">: </w:t>
            </w:r>
          </w:p>
        </w:tc>
        <w:tc>
          <w:tcPr>
            <w:tcW w:w="6307" w:type="dxa"/>
          </w:tcPr>
          <w:p w:rsidR="008E7846" w:rsidRPr="00487162" w:rsidRDefault="00CC343D" w:rsidP="00E45619">
            <w:r>
              <w:t>2.5 g</w:t>
            </w:r>
          </w:p>
        </w:tc>
      </w:tr>
      <w:tr w:rsidR="008E7846" w:rsidRPr="00487162" w:rsidTr="009A7609">
        <w:tc>
          <w:tcPr>
            <w:tcW w:w="2907" w:type="dxa"/>
          </w:tcPr>
          <w:p w:rsidR="008E7846" w:rsidRPr="00487162" w:rsidRDefault="00CC343D" w:rsidP="00E45619">
            <w:pPr>
              <w:rPr>
                <w:i/>
              </w:rPr>
            </w:pPr>
            <w:r>
              <w:rPr>
                <w:i/>
              </w:rPr>
              <w:t>Container</w:t>
            </w:r>
            <w:r w:rsidR="008E7846" w:rsidRPr="00487162">
              <w:rPr>
                <w:i/>
              </w:rPr>
              <w:t>:</w:t>
            </w:r>
          </w:p>
        </w:tc>
        <w:tc>
          <w:tcPr>
            <w:tcW w:w="6307" w:type="dxa"/>
          </w:tcPr>
          <w:p w:rsidR="008E7846" w:rsidRPr="00487162" w:rsidRDefault="00DC1AC4" w:rsidP="00E45619">
            <w:r>
              <w:t>Type 1 glass vial</w:t>
            </w:r>
          </w:p>
        </w:tc>
      </w:tr>
      <w:tr w:rsidR="008E7846" w:rsidRPr="00487162" w:rsidTr="009A7609">
        <w:tc>
          <w:tcPr>
            <w:tcW w:w="2907" w:type="dxa"/>
          </w:tcPr>
          <w:p w:rsidR="008E7846" w:rsidRPr="00487162" w:rsidRDefault="00CE65B7" w:rsidP="00E45619">
            <w:pPr>
              <w:rPr>
                <w:i/>
              </w:rPr>
            </w:pPr>
            <w:r>
              <w:rPr>
                <w:i/>
              </w:rPr>
              <w:t>Pack size</w:t>
            </w:r>
            <w:r w:rsidR="008E7846" w:rsidRPr="00487162">
              <w:rPr>
                <w:i/>
              </w:rPr>
              <w:t>:</w:t>
            </w:r>
          </w:p>
        </w:tc>
        <w:tc>
          <w:tcPr>
            <w:tcW w:w="6307" w:type="dxa"/>
          </w:tcPr>
          <w:p w:rsidR="008E7846" w:rsidRPr="00487162" w:rsidRDefault="00CC343D" w:rsidP="00E45619">
            <w:r>
              <w:t>50 mL</w:t>
            </w:r>
          </w:p>
        </w:tc>
      </w:tr>
      <w:tr w:rsidR="008E7846" w:rsidRPr="00487162" w:rsidTr="009A7609">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C949A6" w:rsidRDefault="00C949A6" w:rsidP="00E45619">
            <w:r w:rsidRPr="00C949A6">
              <w:t>P</w:t>
            </w:r>
            <w:r>
              <w:t>raxbind</w:t>
            </w:r>
            <w:r w:rsidRPr="00C949A6">
              <w:t xml:space="preserve"> is a specific reversal agent for dabigatran and is indicated in patients treated with dabigatran etexilate (P</w:t>
            </w:r>
            <w:r>
              <w:t>radaxa</w:t>
            </w:r>
            <w:r w:rsidRPr="00C949A6">
              <w:t>) when rapid reversal of the anticoagulant effec</w:t>
            </w:r>
            <w:r>
              <w:t>ts of dabigatran is required:</w:t>
            </w:r>
          </w:p>
          <w:p w:rsidR="00C949A6" w:rsidRDefault="00C949A6" w:rsidP="00950651">
            <w:pPr>
              <w:pStyle w:val="ListParagraph"/>
              <w:numPr>
                <w:ilvl w:val="0"/>
                <w:numId w:val="5"/>
              </w:numPr>
            </w:pPr>
            <w:r w:rsidRPr="00C949A6">
              <w:t>for emergen</w:t>
            </w:r>
            <w:r>
              <w:t>cy surgery/urgent procedures;</w:t>
            </w:r>
          </w:p>
          <w:p w:rsidR="008E7846" w:rsidRPr="00C949A6" w:rsidRDefault="00C949A6" w:rsidP="00950651">
            <w:pPr>
              <w:pStyle w:val="ListParagraph"/>
              <w:numPr>
                <w:ilvl w:val="0"/>
                <w:numId w:val="5"/>
              </w:numPr>
              <w:rPr>
                <w:rFonts w:eastAsia="MS Mincho"/>
                <w:lang w:eastAsia="ja-JP"/>
              </w:rPr>
            </w:pPr>
            <w:r w:rsidRPr="00C949A6">
              <w:t>in life-threatening or uncontrolled bleeding</w:t>
            </w:r>
          </w:p>
        </w:tc>
      </w:tr>
      <w:tr w:rsidR="008E7846" w:rsidRPr="00487162" w:rsidTr="009A7609">
        <w:tc>
          <w:tcPr>
            <w:tcW w:w="2907" w:type="dxa"/>
          </w:tcPr>
          <w:p w:rsidR="008E7846" w:rsidRPr="00487162" w:rsidRDefault="00CC343D" w:rsidP="00CC343D">
            <w:pPr>
              <w:rPr>
                <w:i/>
              </w:rPr>
            </w:pPr>
            <w:r>
              <w:rPr>
                <w:i/>
              </w:rPr>
              <w:t>Route</w:t>
            </w:r>
            <w:r w:rsidR="008E7846" w:rsidRPr="00487162">
              <w:rPr>
                <w:i/>
              </w:rPr>
              <w:t xml:space="preserve"> of administration:</w:t>
            </w:r>
          </w:p>
        </w:tc>
        <w:tc>
          <w:tcPr>
            <w:tcW w:w="6307" w:type="dxa"/>
          </w:tcPr>
          <w:p w:rsidR="008E7846" w:rsidRPr="00487162" w:rsidRDefault="00CC343D" w:rsidP="00E45619">
            <w:r>
              <w:t>Intravenous</w:t>
            </w:r>
          </w:p>
        </w:tc>
      </w:tr>
      <w:tr w:rsidR="008E7846" w:rsidRPr="00487162" w:rsidTr="009A7609">
        <w:tc>
          <w:tcPr>
            <w:tcW w:w="2907" w:type="dxa"/>
          </w:tcPr>
          <w:p w:rsidR="008E7846" w:rsidRPr="00487162" w:rsidRDefault="008E7846" w:rsidP="00E45619">
            <w:pPr>
              <w:rPr>
                <w:i/>
              </w:rPr>
            </w:pPr>
            <w:r w:rsidRPr="00487162">
              <w:rPr>
                <w:i/>
              </w:rPr>
              <w:t>Dosage:</w:t>
            </w:r>
          </w:p>
        </w:tc>
        <w:tc>
          <w:tcPr>
            <w:tcW w:w="6307" w:type="dxa"/>
          </w:tcPr>
          <w:p w:rsidR="008E7846" w:rsidRPr="00487162" w:rsidRDefault="00CC343D" w:rsidP="00E45619">
            <w:r>
              <w:t>5 g (two 50 mL vials = 2 x 2.5 g)</w:t>
            </w:r>
          </w:p>
        </w:tc>
      </w:tr>
      <w:tr w:rsidR="008E7846" w:rsidRPr="00487162" w:rsidTr="009A7609">
        <w:tc>
          <w:tcPr>
            <w:tcW w:w="2907" w:type="dxa"/>
          </w:tcPr>
          <w:p w:rsidR="008E7846" w:rsidRPr="00487162" w:rsidRDefault="008E7846" w:rsidP="00C949A6">
            <w:pPr>
              <w:rPr>
                <w:i/>
              </w:rPr>
            </w:pPr>
            <w:r w:rsidRPr="00487162">
              <w:rPr>
                <w:i/>
              </w:rPr>
              <w:t xml:space="preserve">ARTG </w:t>
            </w:r>
            <w:r w:rsidR="001B5C90">
              <w:rPr>
                <w:i/>
              </w:rPr>
              <w:t>n</w:t>
            </w:r>
            <w:r w:rsidR="00C949A6">
              <w:rPr>
                <w:i/>
              </w:rPr>
              <w:t>umber</w:t>
            </w:r>
            <w:r w:rsidR="001B5C90">
              <w:rPr>
                <w:i/>
              </w:rPr>
              <w:t>:</w:t>
            </w:r>
          </w:p>
        </w:tc>
        <w:tc>
          <w:tcPr>
            <w:tcW w:w="6307" w:type="dxa"/>
          </w:tcPr>
          <w:p w:rsidR="008E7846" w:rsidRPr="00487162" w:rsidRDefault="00C949A6" w:rsidP="00E45619">
            <w:r w:rsidRPr="00C949A6">
              <w:t>237761</w:t>
            </w:r>
          </w:p>
        </w:tc>
      </w:tr>
    </w:tbl>
    <w:p w:rsidR="008E7846" w:rsidRDefault="008E7846" w:rsidP="008E7846">
      <w:pPr>
        <w:pStyle w:val="Heading3"/>
      </w:pPr>
      <w:bookmarkStart w:id="17" w:name="_Toc247691503"/>
      <w:bookmarkStart w:id="18" w:name="_Toc314842484"/>
      <w:bookmarkStart w:id="19" w:name="_Toc466282923"/>
      <w:r>
        <w:t>Product background</w:t>
      </w:r>
      <w:bookmarkEnd w:id="17"/>
      <w:bookmarkEnd w:id="18"/>
      <w:bookmarkEnd w:id="19"/>
    </w:p>
    <w:p w:rsidR="00170BD2" w:rsidRPr="005A1963" w:rsidRDefault="000B442F" w:rsidP="005A1963">
      <w:r w:rsidRPr="0034149E">
        <w:t xml:space="preserve">This AusPAR describes the application by </w:t>
      </w:r>
      <w:r w:rsidR="0072701B" w:rsidRPr="00612BED">
        <w:t>Boehringer Ingelheim Pty</w:t>
      </w:r>
      <w:r w:rsidR="0072701B">
        <w:t xml:space="preserve"> Ltd</w:t>
      </w:r>
      <w:r>
        <w:t xml:space="preserve"> to register </w:t>
      </w:r>
      <w:r w:rsidR="00CC343D">
        <w:t xml:space="preserve">a new biological entity </w:t>
      </w:r>
      <w:r w:rsidR="00CC343D" w:rsidRPr="00CC343D">
        <w:t>idarucizumab</w:t>
      </w:r>
      <w:r w:rsidR="00CC343D">
        <w:t xml:space="preserve"> (trade name, Praxbind</w:t>
      </w:r>
      <w:r w:rsidR="00170BD2">
        <w:rPr>
          <w:rStyle w:val="FootnoteReference"/>
        </w:rPr>
        <w:footnoteReference w:id="1"/>
      </w:r>
      <w:r w:rsidR="00CC343D">
        <w:t xml:space="preserve">) </w:t>
      </w:r>
      <w:r w:rsidR="00CC343D" w:rsidRPr="00CC343D">
        <w:t>as a specifi</w:t>
      </w:r>
      <w:r w:rsidR="00683659">
        <w:t xml:space="preserve">c reversal agent for dabigatran. </w:t>
      </w:r>
      <w:r w:rsidR="00170BD2" w:rsidRPr="005A1963">
        <w:t xml:space="preserve">Idarucizumab is a humanised </w:t>
      </w:r>
      <w:r w:rsidR="00BA1B52">
        <w:t xml:space="preserve">fragment antigen </w:t>
      </w:r>
      <w:r w:rsidR="00BA1B52" w:rsidRPr="006907AE">
        <w:t>binding</w:t>
      </w:r>
      <w:r w:rsidR="00BA1B52" w:rsidRPr="005A1963">
        <w:t xml:space="preserve"> </w:t>
      </w:r>
      <w:r w:rsidR="00170BD2" w:rsidRPr="005A1963">
        <w:t>(Fab) molecule derived from an IgG1 isotype molecule, directed against dabigatran. The proposed indication is:</w:t>
      </w:r>
    </w:p>
    <w:p w:rsidR="005A1963" w:rsidRPr="005A1963" w:rsidRDefault="005A1963" w:rsidP="005A1963">
      <w:pPr>
        <w:ind w:left="720"/>
        <w:rPr>
          <w:i/>
        </w:rPr>
      </w:pPr>
      <w:proofErr w:type="spellStart"/>
      <w:r>
        <w:rPr>
          <w:i/>
        </w:rPr>
        <w:t>Praxbind</w:t>
      </w:r>
      <w:proofErr w:type="spellEnd"/>
      <w:r>
        <w:rPr>
          <w:i/>
        </w:rPr>
        <w:t>/</w:t>
      </w:r>
      <w:proofErr w:type="spellStart"/>
      <w:r>
        <w:rPr>
          <w:i/>
        </w:rPr>
        <w:t>Pradturn</w:t>
      </w:r>
      <w:proofErr w:type="spellEnd"/>
      <w:r w:rsidR="00170BD2" w:rsidRPr="005A1963">
        <w:rPr>
          <w:i/>
        </w:rPr>
        <w:t xml:space="preserve"> is a specific reversal agent for dabigatran and is indicated in patients treated with P</w:t>
      </w:r>
      <w:r>
        <w:rPr>
          <w:i/>
        </w:rPr>
        <w:t>radaxa</w:t>
      </w:r>
      <w:r w:rsidR="00170BD2" w:rsidRPr="005A1963">
        <w:rPr>
          <w:i/>
        </w:rPr>
        <w:t xml:space="preserve"> (dabigatran etexilate) when rapid reversal of the anticoagulant effects of dabigatran is required:</w:t>
      </w:r>
    </w:p>
    <w:p w:rsidR="005A1963" w:rsidRPr="00683659" w:rsidRDefault="00170BD2" w:rsidP="00683659">
      <w:pPr>
        <w:pStyle w:val="ListBullet3"/>
        <w:rPr>
          <w:i/>
        </w:rPr>
      </w:pPr>
      <w:r w:rsidRPr="00683659">
        <w:rPr>
          <w:i/>
        </w:rPr>
        <w:t>for emergency surgery/urgent procedures</w:t>
      </w:r>
    </w:p>
    <w:p w:rsidR="00170BD2" w:rsidRPr="00683659" w:rsidRDefault="00170BD2" w:rsidP="00683659">
      <w:pPr>
        <w:pStyle w:val="ListBullet3"/>
        <w:rPr>
          <w:i/>
        </w:rPr>
      </w:pPr>
      <w:proofErr w:type="gramStart"/>
      <w:r w:rsidRPr="00683659">
        <w:rPr>
          <w:i/>
        </w:rPr>
        <w:lastRenderedPageBreak/>
        <w:t>in</w:t>
      </w:r>
      <w:proofErr w:type="gramEnd"/>
      <w:r w:rsidRPr="00683659">
        <w:rPr>
          <w:i/>
        </w:rPr>
        <w:t xml:space="preserve"> life-threatening or uncontrolle</w:t>
      </w:r>
      <w:r w:rsidR="005A1963" w:rsidRPr="00683659">
        <w:rPr>
          <w:i/>
        </w:rPr>
        <w:t>d bleeding.</w:t>
      </w:r>
    </w:p>
    <w:p w:rsidR="009A7609" w:rsidRDefault="00683659" w:rsidP="00683659">
      <w:r w:rsidRPr="00683659">
        <w:t xml:space="preserve">Each 50 mL vial of solution for injection/infusion contains 2.5 g of idarucizumab (50 mg/mL). </w:t>
      </w:r>
      <w:r w:rsidR="006A61B1">
        <w:t>The recommended dose</w:t>
      </w:r>
      <w:r w:rsidRPr="00683659">
        <w:t xml:space="preserve"> is 5 g. Two 50 mL vials (2</w:t>
      </w:r>
      <w:r>
        <w:t xml:space="preserve"> </w:t>
      </w:r>
      <w:r w:rsidRPr="00683659">
        <w:t>x</w:t>
      </w:r>
      <w:r>
        <w:t xml:space="preserve"> </w:t>
      </w:r>
      <w:r w:rsidRPr="00683659">
        <w:t>2.5 g) constitute one complete dose. The complete dose of 5 g is administered intravenously</w:t>
      </w:r>
      <w:r>
        <w:t xml:space="preserve"> (IV)</w:t>
      </w:r>
      <w:r w:rsidRPr="00683659">
        <w:t xml:space="preserve">, as two consecutive infusions over 5 to 10 minutes each or as a bolus injection. </w:t>
      </w:r>
      <w:r>
        <w:t>Pradaxa</w:t>
      </w:r>
      <w:r w:rsidRPr="00683659">
        <w:t xml:space="preserve"> </w:t>
      </w:r>
      <w:r w:rsidR="007A2E32">
        <w:t>can be re-initiated 24 h</w:t>
      </w:r>
      <w:r w:rsidRPr="00683659">
        <w:t xml:space="preserve"> after administration of </w:t>
      </w:r>
      <w:r>
        <w:t>Praxbind</w:t>
      </w:r>
      <w:r w:rsidRPr="00683659">
        <w:t xml:space="preserve">, if the patient is clinically stable and adequate haemostasis has been achieved. After administration of </w:t>
      </w:r>
      <w:r w:rsidR="007A2E32">
        <w:t>Praxbind</w:t>
      </w:r>
      <w:r w:rsidRPr="00683659">
        <w:t>, oth</w:t>
      </w:r>
      <w:r w:rsidR="007A2E32">
        <w:t xml:space="preserve">er antithrombotic therapy (for example, </w:t>
      </w:r>
      <w:r w:rsidRPr="00683659">
        <w:t>low</w:t>
      </w:r>
      <w:r w:rsidR="00283A72">
        <w:t xml:space="preserve"> </w:t>
      </w:r>
      <w:r w:rsidRPr="00683659">
        <w:t>molecular weight heparin) can be started at any time, if the patient is clinically stable and adequate haemostasis has been achieved. Absence of antithrombotic therapy exposes patients to the thrombotic risk of their underlying disease or condition</w:t>
      </w:r>
      <w:r w:rsidR="009A7609">
        <w:t>.</w:t>
      </w:r>
    </w:p>
    <w:p w:rsidR="00DC75E9" w:rsidRPr="00683659" w:rsidRDefault="00DC75E9" w:rsidP="00683659">
      <w:r w:rsidRPr="00487AA4">
        <w:rPr>
          <w:rFonts w:asciiTheme="minorHAnsi" w:hAnsiTheme="minorHAnsi"/>
        </w:rPr>
        <w:t xml:space="preserve">The </w:t>
      </w:r>
      <w:r w:rsidR="00D72B7E" w:rsidRPr="00D72B7E">
        <w:rPr>
          <w:rFonts w:asciiTheme="minorHAnsi" w:hAnsiTheme="minorHAnsi"/>
        </w:rPr>
        <w:t>Advisory Committee on Prescription Medicines (ACPM)</w:t>
      </w:r>
      <w:r w:rsidRPr="00487AA4">
        <w:rPr>
          <w:rFonts w:asciiTheme="minorHAnsi" w:hAnsiTheme="minorHAnsi"/>
        </w:rPr>
        <w:t xml:space="preserve"> has not considered idarucizumab previously but has considered dabigatran on several occasions. The </w:t>
      </w:r>
      <w:r w:rsidR="00D72B7E" w:rsidRPr="00D72B7E">
        <w:rPr>
          <w:rFonts w:asciiTheme="minorHAnsi" w:hAnsiTheme="minorHAnsi"/>
        </w:rPr>
        <w:t xml:space="preserve">Advisory Committee on the Safety of Medicines (ACSOM) </w:t>
      </w:r>
      <w:r w:rsidRPr="00487AA4">
        <w:rPr>
          <w:rFonts w:asciiTheme="minorHAnsi" w:hAnsiTheme="minorHAnsi"/>
        </w:rPr>
        <w:t xml:space="preserve">considered the safety aspects of idarucizumab and the Risk Management Plan </w:t>
      </w:r>
      <w:r w:rsidR="00D72B7E">
        <w:rPr>
          <w:rFonts w:asciiTheme="minorHAnsi" w:hAnsiTheme="minorHAnsi"/>
        </w:rPr>
        <w:t xml:space="preserve">(RMP) </w:t>
      </w:r>
      <w:r w:rsidRPr="00487AA4">
        <w:rPr>
          <w:rFonts w:asciiTheme="minorHAnsi" w:hAnsiTheme="minorHAnsi"/>
        </w:rPr>
        <w:t xml:space="preserve">at meeting </w:t>
      </w:r>
      <w:r>
        <w:rPr>
          <w:rFonts w:asciiTheme="minorHAnsi" w:hAnsiTheme="minorHAnsi"/>
        </w:rPr>
        <w:t>30</w:t>
      </w:r>
      <w:r w:rsidRPr="00487AA4">
        <w:rPr>
          <w:rFonts w:asciiTheme="minorHAnsi" w:hAnsiTheme="minorHAnsi"/>
        </w:rPr>
        <w:t xml:space="preserve"> in November 2015</w:t>
      </w:r>
      <w:r>
        <w:rPr>
          <w:rFonts w:asciiTheme="minorHAnsi" w:hAnsiTheme="minorHAnsi"/>
        </w:rPr>
        <w:t>.</w:t>
      </w:r>
    </w:p>
    <w:p w:rsidR="009A7609" w:rsidRDefault="00386150" w:rsidP="008E7846">
      <w:pPr>
        <w:pStyle w:val="Heading3"/>
      </w:pPr>
      <w:bookmarkStart w:id="20" w:name="_Toc314842485"/>
      <w:bookmarkStart w:id="21" w:name="_Toc247691504"/>
      <w:bookmarkStart w:id="22" w:name="_Toc466282924"/>
      <w:r>
        <w:t>Regulatory s</w:t>
      </w:r>
      <w:r w:rsidR="008E7846">
        <w:t>tatus</w:t>
      </w:r>
      <w:bookmarkEnd w:id="20"/>
      <w:bookmarkEnd w:id="21"/>
      <w:bookmarkEnd w:id="22"/>
    </w:p>
    <w:p w:rsidR="000B442F" w:rsidRDefault="000B442F" w:rsidP="000B442F">
      <w:bookmarkStart w:id="23" w:name="_Toc247691505"/>
      <w:bookmarkStart w:id="24" w:name="_Toc314842486"/>
      <w:r>
        <w:t xml:space="preserve">The international </w:t>
      </w:r>
      <w:r w:rsidRPr="009A6DCB">
        <w:t xml:space="preserve">regulatory status </w:t>
      </w:r>
      <w:r>
        <w:t>at the time of submission</w:t>
      </w:r>
      <w:r w:rsidRPr="009A6DCB">
        <w:t xml:space="preserve"> is listed in</w:t>
      </w:r>
      <w:r>
        <w:t xml:space="preserve"> Table 1.</w:t>
      </w:r>
    </w:p>
    <w:p w:rsidR="000B442F" w:rsidRDefault="000B442F" w:rsidP="000B442F">
      <w:pPr>
        <w:pStyle w:val="TableTitle"/>
      </w:pPr>
      <w:proofErr w:type="gramStart"/>
      <w:r>
        <w:t xml:space="preserve">Table </w:t>
      </w:r>
      <w:r w:rsidR="00FF3719">
        <w:t>1</w:t>
      </w:r>
      <w:r w:rsidR="00B15186">
        <w:t>.</w:t>
      </w:r>
      <w:proofErr w:type="gramEnd"/>
      <w:r w:rsidRPr="004C5C28">
        <w:t xml:space="preserve"> </w:t>
      </w:r>
      <w:proofErr w:type="gramStart"/>
      <w:r>
        <w:t xml:space="preserve">International </w:t>
      </w:r>
      <w:r w:rsidRPr="009A6DCB">
        <w:t>regulatory status</w:t>
      </w:r>
      <w:r w:rsidR="00EE151A">
        <w:t xml:space="preserve"> at time of submission</w:t>
      </w:r>
      <w:r>
        <w:t>.</w:t>
      </w:r>
      <w:proofErr w:type="gramEnd"/>
    </w:p>
    <w:tbl>
      <w:tblPr>
        <w:tblStyle w:val="TableTGAblue"/>
        <w:tblW w:w="0" w:type="auto"/>
        <w:tblLook w:val="04A0" w:firstRow="1" w:lastRow="0" w:firstColumn="1" w:lastColumn="0" w:noHBand="0" w:noVBand="1"/>
      </w:tblPr>
      <w:tblGrid>
        <w:gridCol w:w="3227"/>
        <w:gridCol w:w="2586"/>
        <w:gridCol w:w="2907"/>
      </w:tblGrid>
      <w:tr w:rsidR="00802BDD" w:rsidRPr="00802BDD" w:rsidTr="009A7609">
        <w:trPr>
          <w:cnfStyle w:val="100000000000" w:firstRow="1" w:lastRow="0" w:firstColumn="0" w:lastColumn="0" w:oddVBand="0" w:evenVBand="0" w:oddHBand="0" w:evenHBand="0" w:firstRowFirstColumn="0" w:firstRowLastColumn="0" w:lastRowFirstColumn="0" w:lastRowLastColumn="0"/>
        </w:trPr>
        <w:tc>
          <w:tcPr>
            <w:tcW w:w="3227" w:type="dxa"/>
          </w:tcPr>
          <w:p w:rsidR="00802BDD" w:rsidRPr="00802BDD" w:rsidRDefault="00802BDD" w:rsidP="009A7609">
            <w:pPr>
              <w:rPr>
                <w:b w:val="0"/>
              </w:rPr>
            </w:pPr>
            <w:r w:rsidRPr="00802BDD">
              <w:t>Country</w:t>
            </w:r>
          </w:p>
        </w:tc>
        <w:tc>
          <w:tcPr>
            <w:tcW w:w="2586" w:type="dxa"/>
          </w:tcPr>
          <w:p w:rsidR="00802BDD" w:rsidRPr="00802BDD" w:rsidRDefault="00802BDD" w:rsidP="009A7609">
            <w:pPr>
              <w:rPr>
                <w:b w:val="0"/>
              </w:rPr>
            </w:pPr>
            <w:r w:rsidRPr="00802BDD">
              <w:t>Submission date</w:t>
            </w:r>
          </w:p>
        </w:tc>
        <w:tc>
          <w:tcPr>
            <w:tcW w:w="2907" w:type="dxa"/>
          </w:tcPr>
          <w:p w:rsidR="00802BDD" w:rsidRPr="00802BDD" w:rsidRDefault="00802BDD" w:rsidP="009A7609">
            <w:pPr>
              <w:rPr>
                <w:b w:val="0"/>
              </w:rPr>
            </w:pPr>
            <w:r w:rsidRPr="00802BDD">
              <w:t>Status</w:t>
            </w:r>
          </w:p>
        </w:tc>
      </w:tr>
      <w:tr w:rsidR="00612BED" w:rsidRPr="00612BED" w:rsidTr="009A7609">
        <w:tc>
          <w:tcPr>
            <w:tcW w:w="3227" w:type="dxa"/>
          </w:tcPr>
          <w:p w:rsidR="00612BED" w:rsidRPr="00612BED" w:rsidRDefault="00612BED" w:rsidP="009A7609">
            <w:r>
              <w:t>United States</w:t>
            </w:r>
          </w:p>
        </w:tc>
        <w:tc>
          <w:tcPr>
            <w:tcW w:w="2586" w:type="dxa"/>
          </w:tcPr>
          <w:p w:rsidR="00612BED" w:rsidRPr="00612BED" w:rsidRDefault="00612BED" w:rsidP="009A7609">
            <w:r>
              <w:t>19 February 2015</w:t>
            </w:r>
          </w:p>
        </w:tc>
        <w:tc>
          <w:tcPr>
            <w:tcW w:w="2907" w:type="dxa"/>
          </w:tcPr>
          <w:p w:rsidR="00612BED" w:rsidRPr="00612BED" w:rsidRDefault="00612BED" w:rsidP="009A7609">
            <w:r>
              <w:t>Approved, 16 October 2015</w:t>
            </w:r>
          </w:p>
        </w:tc>
      </w:tr>
      <w:tr w:rsidR="00802BDD" w:rsidRPr="00612BED" w:rsidTr="009A7609">
        <w:tc>
          <w:tcPr>
            <w:tcW w:w="3227" w:type="dxa"/>
          </w:tcPr>
          <w:p w:rsidR="00802BDD" w:rsidRPr="00612BED" w:rsidRDefault="00802BDD" w:rsidP="009A7609">
            <w:r w:rsidRPr="00612BED">
              <w:t>Europe (Centralised procedure)</w:t>
            </w:r>
          </w:p>
        </w:tc>
        <w:tc>
          <w:tcPr>
            <w:tcW w:w="2586" w:type="dxa"/>
          </w:tcPr>
          <w:p w:rsidR="00802BDD" w:rsidRPr="00612BED" w:rsidRDefault="00612BED" w:rsidP="009A7609">
            <w:r>
              <w:t>2 March 2015</w:t>
            </w:r>
          </w:p>
        </w:tc>
        <w:tc>
          <w:tcPr>
            <w:tcW w:w="2907" w:type="dxa"/>
          </w:tcPr>
          <w:p w:rsidR="00802BDD" w:rsidRPr="00612BED" w:rsidRDefault="00612BED" w:rsidP="009A7609">
            <w:r>
              <w:t>Approved, 20 November 2015</w:t>
            </w:r>
          </w:p>
        </w:tc>
      </w:tr>
      <w:tr w:rsidR="00612BED" w:rsidRPr="00612BED" w:rsidTr="009A7609">
        <w:tc>
          <w:tcPr>
            <w:tcW w:w="3227" w:type="dxa"/>
          </w:tcPr>
          <w:p w:rsidR="00612BED" w:rsidRPr="00612BED" w:rsidRDefault="00612BED" w:rsidP="009A7609">
            <w:r>
              <w:t>New Zealand</w:t>
            </w:r>
          </w:p>
        </w:tc>
        <w:tc>
          <w:tcPr>
            <w:tcW w:w="2586" w:type="dxa"/>
          </w:tcPr>
          <w:p w:rsidR="00612BED" w:rsidRPr="00612BED" w:rsidRDefault="00612BED" w:rsidP="009A7609">
            <w:r>
              <w:t>13 March 2015</w:t>
            </w:r>
          </w:p>
        </w:tc>
        <w:tc>
          <w:tcPr>
            <w:tcW w:w="2907" w:type="dxa"/>
          </w:tcPr>
          <w:p w:rsidR="00612BED" w:rsidRPr="00612BED" w:rsidRDefault="00612BED" w:rsidP="009A7609">
            <w:r>
              <w:t>Approved, 10 December 2015</w:t>
            </w:r>
          </w:p>
        </w:tc>
      </w:tr>
      <w:tr w:rsidR="00612BED" w:rsidRPr="00612BED" w:rsidTr="009A7609">
        <w:tc>
          <w:tcPr>
            <w:tcW w:w="3227" w:type="dxa"/>
          </w:tcPr>
          <w:p w:rsidR="00612BED" w:rsidRPr="00612BED" w:rsidRDefault="00612BED" w:rsidP="009A7609">
            <w:r>
              <w:t>Canada</w:t>
            </w:r>
          </w:p>
        </w:tc>
        <w:tc>
          <w:tcPr>
            <w:tcW w:w="2586" w:type="dxa"/>
          </w:tcPr>
          <w:p w:rsidR="00612BED" w:rsidRPr="00612BED" w:rsidRDefault="00612BED" w:rsidP="009A7609">
            <w:r>
              <w:t>26 February 2015</w:t>
            </w:r>
          </w:p>
        </w:tc>
        <w:tc>
          <w:tcPr>
            <w:tcW w:w="2907" w:type="dxa"/>
          </w:tcPr>
          <w:p w:rsidR="00612BED" w:rsidRPr="00612BED" w:rsidRDefault="00612BED" w:rsidP="009A7609">
            <w:r>
              <w:t>Under review</w:t>
            </w:r>
          </w:p>
        </w:tc>
      </w:tr>
      <w:tr w:rsidR="00802BDD" w:rsidRPr="00612BED" w:rsidTr="009A7609">
        <w:tc>
          <w:tcPr>
            <w:tcW w:w="3227" w:type="dxa"/>
          </w:tcPr>
          <w:p w:rsidR="00802BDD" w:rsidRPr="00612BED" w:rsidRDefault="00612BED" w:rsidP="009A7609">
            <w:r>
              <w:t>Switzerland</w:t>
            </w:r>
          </w:p>
        </w:tc>
        <w:tc>
          <w:tcPr>
            <w:tcW w:w="2586" w:type="dxa"/>
          </w:tcPr>
          <w:p w:rsidR="00802BDD" w:rsidRPr="00612BED" w:rsidRDefault="00612BED" w:rsidP="009A7609">
            <w:r>
              <w:t>15 April 2015</w:t>
            </w:r>
          </w:p>
        </w:tc>
        <w:tc>
          <w:tcPr>
            <w:tcW w:w="2907" w:type="dxa"/>
          </w:tcPr>
          <w:p w:rsidR="00802BDD" w:rsidRPr="00612BED" w:rsidRDefault="00612BED" w:rsidP="009A7609">
            <w:r>
              <w:t>Under review</w:t>
            </w:r>
          </w:p>
        </w:tc>
      </w:tr>
      <w:tr w:rsidR="00802BDD" w:rsidRPr="00612BED" w:rsidTr="009A7609">
        <w:tc>
          <w:tcPr>
            <w:tcW w:w="3227" w:type="dxa"/>
          </w:tcPr>
          <w:p w:rsidR="00802BDD" w:rsidRPr="00612BED" w:rsidRDefault="00612BED" w:rsidP="009A7609">
            <w:r>
              <w:t>Singapore</w:t>
            </w:r>
          </w:p>
        </w:tc>
        <w:tc>
          <w:tcPr>
            <w:tcW w:w="2586" w:type="dxa"/>
          </w:tcPr>
          <w:p w:rsidR="00802BDD" w:rsidRPr="00612BED" w:rsidRDefault="00612BED" w:rsidP="009A7609">
            <w:r>
              <w:t>30 October 2015</w:t>
            </w:r>
          </w:p>
        </w:tc>
        <w:tc>
          <w:tcPr>
            <w:tcW w:w="2907" w:type="dxa"/>
          </w:tcPr>
          <w:p w:rsidR="00802BDD" w:rsidRPr="00612BED" w:rsidRDefault="00612BED" w:rsidP="009A7609">
            <w:r>
              <w:t>Under review</w:t>
            </w:r>
          </w:p>
        </w:tc>
      </w:tr>
    </w:tbl>
    <w:p w:rsidR="008E7846" w:rsidRDefault="008E7846" w:rsidP="00940A89">
      <w:pPr>
        <w:pStyle w:val="Heading3"/>
      </w:pPr>
      <w:bookmarkStart w:id="25" w:name="_Toc466282925"/>
      <w:r>
        <w:t>Product Information</w:t>
      </w:r>
      <w:bookmarkEnd w:id="23"/>
      <w:bookmarkEnd w:id="24"/>
      <w:bookmarkEnd w:id="25"/>
    </w:p>
    <w:p w:rsidR="00940A89" w:rsidRDefault="00940A89" w:rsidP="00940A89">
      <w:pPr>
        <w:rPr>
          <w:b/>
          <w:bCs/>
        </w:rPr>
      </w:pPr>
      <w:bookmarkStart w:id="26" w:name="_Toc247691506"/>
      <w:bookmarkStart w:id="27" w:name="_Toc314842487"/>
      <w:r w:rsidRPr="00940A89">
        <w:t xml:space="preserve">The approved Product Information (PI) current at the time this AusPAR was prepared can be found as Attachment 1. For the most recent </w:t>
      </w:r>
      <w:r w:rsidR="00133A1B">
        <w:t>PI,</w:t>
      </w:r>
      <w:r w:rsidRPr="00940A89">
        <w:t xml:space="preserve"> ple</w:t>
      </w:r>
      <w:r w:rsidR="00441C3F">
        <w:t>ase refer to the TGA website</w:t>
      </w:r>
      <w:r w:rsidR="00441C3F" w:rsidRPr="00441C3F">
        <w:t xml:space="preserve"> at &lt;</w:t>
      </w:r>
      <w:hyperlink r:id="rId14" w:history="1">
        <w:r w:rsidR="00441C3F" w:rsidRPr="00441C3F">
          <w:rPr>
            <w:rStyle w:val="Hyperlink"/>
          </w:rPr>
          <w:t>https://www.tga.gov.au/product-information-pi</w:t>
        </w:r>
      </w:hyperlink>
      <w:r w:rsidR="00441C3F">
        <w:t>&gt;</w:t>
      </w:r>
      <w:r w:rsidRPr="00940A89">
        <w:t>.</w:t>
      </w:r>
    </w:p>
    <w:p w:rsidR="008E7846" w:rsidRPr="003602A9" w:rsidRDefault="008E7846" w:rsidP="008E7846">
      <w:pPr>
        <w:pStyle w:val="Heading2"/>
        <w:ind w:left="-11"/>
      </w:pPr>
      <w:bookmarkStart w:id="28" w:name="_Toc466282926"/>
      <w:r>
        <w:lastRenderedPageBreak/>
        <w:t>II. Quality</w:t>
      </w:r>
      <w:bookmarkEnd w:id="5"/>
      <w:r>
        <w:t xml:space="preserve"> findings</w:t>
      </w:r>
      <w:bookmarkEnd w:id="26"/>
      <w:bookmarkEnd w:id="27"/>
      <w:bookmarkEnd w:id="28"/>
    </w:p>
    <w:p w:rsidR="00940A89" w:rsidRDefault="00940A89" w:rsidP="00940A89">
      <w:pPr>
        <w:pStyle w:val="Heading3"/>
      </w:pPr>
      <w:bookmarkStart w:id="29" w:name="_Toc247691507"/>
      <w:bookmarkStart w:id="30" w:name="_Toc314842488"/>
      <w:bookmarkStart w:id="31" w:name="_Toc466282927"/>
      <w:r w:rsidRPr="00940A89">
        <w:t>Introduction</w:t>
      </w:r>
      <w:bookmarkEnd w:id="31"/>
    </w:p>
    <w:p w:rsidR="00CA1330" w:rsidRPr="00CA1330" w:rsidRDefault="00CA1330" w:rsidP="00CA1330">
      <w:r w:rsidRPr="00CA1330">
        <w:t>The</w:t>
      </w:r>
      <w:r w:rsidR="00713BF1">
        <w:t xml:space="preserve"> active substance of </w:t>
      </w:r>
      <w:proofErr w:type="spellStart"/>
      <w:r w:rsidR="00713BF1">
        <w:t>Praxbind</w:t>
      </w:r>
      <w:proofErr w:type="spellEnd"/>
      <w:r w:rsidR="00713BF1">
        <w:t>/</w:t>
      </w:r>
      <w:proofErr w:type="spellStart"/>
      <w:r w:rsidR="00713BF1">
        <w:t>Pradturn</w:t>
      </w:r>
      <w:proofErr w:type="spellEnd"/>
      <w:r w:rsidRPr="00CA1330">
        <w:t xml:space="preserve">, </w:t>
      </w:r>
      <w:proofErr w:type="spellStart"/>
      <w:r w:rsidRPr="00CA1330">
        <w:t>idarucizumab</w:t>
      </w:r>
      <w:proofErr w:type="spellEnd"/>
      <w:r w:rsidRPr="00CA1330">
        <w:t>, is a humani</w:t>
      </w:r>
      <w:r w:rsidR="001D3A0B">
        <w:t>s</w:t>
      </w:r>
      <w:r w:rsidRPr="00CA1330">
        <w:t>ed murine Fab fragment whose target is the direct thrombin inhibitor dabigatran. The Fab molecule binds to dabigatran with a higher affinity than dabigatran binds to thrombin.</w:t>
      </w:r>
    </w:p>
    <w:p w:rsidR="00CA1330" w:rsidRPr="00CA1330" w:rsidRDefault="00CA1330" w:rsidP="00CA1330">
      <w:r w:rsidRPr="00CA1330">
        <w:t>Idarucizumab solution for injection/infusion (50 mg/mL) is a clear to slightly opalescent, colourless to slightly yellow solution presented as a nominal 50.0 mL fill volume in a 50 mL Type 1 glass vial in buffered, isotonic, preservative</w:t>
      </w:r>
      <w:r w:rsidR="00191C31">
        <w:t xml:space="preserve"> </w:t>
      </w:r>
      <w:r w:rsidRPr="00CA1330">
        <w:t>free solution.</w:t>
      </w:r>
    </w:p>
    <w:p w:rsidR="00CA1330" w:rsidRDefault="00CA1330" w:rsidP="00CA1330">
      <w:pPr>
        <w:autoSpaceDE w:val="0"/>
        <w:autoSpaceDN w:val="0"/>
        <w:adjustRightInd w:val="0"/>
        <w:spacing w:after="0"/>
        <w:ind w:right="-283"/>
        <w:rPr>
          <w:rFonts w:asciiTheme="minorHAnsi" w:eastAsia="TimesNewRoman" w:hAnsiTheme="minorHAnsi" w:cs="TimesNewRoman"/>
          <w:lang w:eastAsia="en-AU"/>
        </w:rPr>
      </w:pPr>
      <w:r w:rsidRPr="00DD3870">
        <w:rPr>
          <w:rFonts w:asciiTheme="minorHAnsi" w:eastAsia="TimesNewRoman" w:hAnsiTheme="minorHAnsi" w:cs="TimesNewRoman"/>
          <w:lang w:eastAsia="en-AU"/>
        </w:rPr>
        <w:t>Idarucizumab is a humani</w:t>
      </w:r>
      <w:r w:rsidR="001D3A0B">
        <w:rPr>
          <w:rFonts w:asciiTheme="minorHAnsi" w:eastAsia="TimesNewRoman" w:hAnsiTheme="minorHAnsi" w:cs="TimesNewRoman"/>
          <w:lang w:eastAsia="en-AU"/>
        </w:rPr>
        <w:t>s</w:t>
      </w:r>
      <w:r w:rsidRPr="00DD3870">
        <w:rPr>
          <w:rFonts w:asciiTheme="minorHAnsi" w:eastAsia="TimesNewRoman" w:hAnsiTheme="minorHAnsi" w:cs="TimesNewRoman"/>
          <w:lang w:eastAsia="en-AU"/>
        </w:rPr>
        <w:t>ed murine Fab fragment directed against the thrombin inhibitor</w:t>
      </w:r>
      <w:r w:rsidR="001D3A0B">
        <w:rPr>
          <w:rFonts w:asciiTheme="minorHAnsi" w:eastAsia="TimesNewRoman" w:hAnsiTheme="minorHAnsi" w:cs="TimesNewRoman"/>
          <w:lang w:eastAsia="en-AU"/>
        </w:rPr>
        <w:t>,</w:t>
      </w:r>
      <w:r>
        <w:rPr>
          <w:rFonts w:asciiTheme="minorHAnsi" w:eastAsia="TimesNewRoman" w:hAnsiTheme="minorHAnsi" w:cs="TimesNewRoman"/>
          <w:lang w:eastAsia="en-AU"/>
        </w:rPr>
        <w:t xml:space="preserve"> </w:t>
      </w:r>
      <w:r w:rsidRPr="00DD3870">
        <w:rPr>
          <w:rFonts w:asciiTheme="minorHAnsi" w:eastAsia="TimesNewRoman" w:hAnsiTheme="minorHAnsi" w:cs="TimesNewRoman"/>
          <w:lang w:eastAsia="en-AU"/>
        </w:rPr>
        <w:t>dabigatran.</w:t>
      </w:r>
    </w:p>
    <w:p w:rsidR="00CA1330" w:rsidRDefault="00CA1330" w:rsidP="00CA1330">
      <w:pPr>
        <w:autoSpaceDE w:val="0"/>
        <w:autoSpaceDN w:val="0"/>
        <w:adjustRightInd w:val="0"/>
        <w:spacing w:after="0"/>
        <w:rPr>
          <w:rFonts w:asciiTheme="minorHAnsi" w:eastAsia="TimesNewRoman" w:hAnsiTheme="minorHAnsi" w:cs="TimesNewRoman"/>
          <w:lang w:eastAsia="en-AU"/>
        </w:rPr>
      </w:pPr>
      <w:r w:rsidRPr="00DD3870">
        <w:rPr>
          <w:rFonts w:asciiTheme="minorHAnsi" w:eastAsia="TimesNewRoman" w:hAnsiTheme="minorHAnsi" w:cs="TimesNewRoman"/>
          <w:lang w:eastAsia="en-AU"/>
        </w:rPr>
        <w:t>The idarucizumab molecule is composed of the light chain</w:t>
      </w:r>
      <w:r w:rsidR="008F6A17">
        <w:rPr>
          <w:rFonts w:asciiTheme="minorHAnsi" w:eastAsia="TimesNewRoman" w:hAnsiTheme="minorHAnsi" w:cs="TimesNewRoman"/>
          <w:lang w:eastAsia="en-AU"/>
        </w:rPr>
        <w:t xml:space="preserve"> (LC, amino acids 1-219) and </w:t>
      </w:r>
      <w:r w:rsidRPr="00DD3870">
        <w:rPr>
          <w:rFonts w:asciiTheme="minorHAnsi" w:eastAsia="TimesNewRoman" w:hAnsiTheme="minorHAnsi" w:cs="TimesNewRoman"/>
          <w:lang w:eastAsia="en-AU"/>
        </w:rPr>
        <w:t>heavy chain (HC, amino acids 1-225)</w:t>
      </w:r>
      <w:r w:rsidR="00C768D5" w:rsidRPr="00C768D5">
        <w:rPr>
          <w:rFonts w:asciiTheme="minorHAnsi" w:eastAsia="TimesNewRoman" w:hAnsiTheme="minorHAnsi" w:cs="TimesNewRoman"/>
          <w:lang w:eastAsia="en-AU"/>
        </w:rPr>
        <w:t xml:space="preserve"> </w:t>
      </w:r>
      <w:r w:rsidR="00C768D5" w:rsidRPr="00DD3870">
        <w:rPr>
          <w:rFonts w:asciiTheme="minorHAnsi" w:eastAsia="TimesNewRoman" w:hAnsiTheme="minorHAnsi" w:cs="TimesNewRoman"/>
          <w:lang w:eastAsia="en-AU"/>
        </w:rPr>
        <w:t>fragment</w:t>
      </w:r>
      <w:r w:rsidRPr="00DD3870">
        <w:rPr>
          <w:rFonts w:asciiTheme="minorHAnsi" w:eastAsia="TimesNewRoman" w:hAnsiTheme="minorHAnsi" w:cs="TimesNewRoman"/>
          <w:lang w:eastAsia="en-AU"/>
        </w:rPr>
        <w:t xml:space="preserve">, covalently linked together by one </w:t>
      </w:r>
      <w:r>
        <w:rPr>
          <w:rFonts w:asciiTheme="minorHAnsi" w:eastAsia="TimesNewRoman" w:hAnsiTheme="minorHAnsi" w:cs="TimesNewRoman"/>
          <w:lang w:eastAsia="en-AU"/>
        </w:rPr>
        <w:t xml:space="preserve">disulphide </w:t>
      </w:r>
      <w:r w:rsidRPr="00DD3870">
        <w:rPr>
          <w:rFonts w:asciiTheme="minorHAnsi" w:eastAsia="TimesNewRoman" w:hAnsiTheme="minorHAnsi" w:cs="TimesNewRoman"/>
          <w:lang w:eastAsia="en-AU"/>
        </w:rPr>
        <w:t xml:space="preserve">bond between cysteine 225 of the heavy chain fragment and cysteine 219 of the light chain. Additional intramolecular </w:t>
      </w:r>
      <w:proofErr w:type="spellStart"/>
      <w:r w:rsidRPr="00DD3870">
        <w:rPr>
          <w:rFonts w:asciiTheme="minorHAnsi" w:eastAsia="TimesNewRoman" w:hAnsiTheme="minorHAnsi" w:cs="TimesNewRoman"/>
          <w:lang w:eastAsia="en-AU"/>
        </w:rPr>
        <w:t>disulfide</w:t>
      </w:r>
      <w:proofErr w:type="spellEnd"/>
      <w:r w:rsidRPr="00DD3870">
        <w:rPr>
          <w:rFonts w:asciiTheme="minorHAnsi" w:eastAsia="TimesNewRoman" w:hAnsiTheme="minorHAnsi" w:cs="TimesNewRoman"/>
          <w:lang w:eastAsia="en-AU"/>
        </w:rPr>
        <w:t xml:space="preserve"> bonds are formed between cysteine 23 and cysteine 93 of</w:t>
      </w:r>
      <w:r>
        <w:rPr>
          <w:rFonts w:asciiTheme="minorHAnsi" w:eastAsia="TimesNewRoman" w:hAnsiTheme="minorHAnsi" w:cs="TimesNewRoman"/>
          <w:lang w:eastAsia="en-AU"/>
        </w:rPr>
        <w:t xml:space="preserve"> </w:t>
      </w:r>
      <w:r w:rsidRPr="00DD3870">
        <w:rPr>
          <w:rFonts w:asciiTheme="minorHAnsi" w:eastAsia="TimesNewRoman" w:hAnsiTheme="minorHAnsi" w:cs="TimesNewRoman"/>
          <w:lang w:eastAsia="en-AU"/>
        </w:rPr>
        <w:t>the light chain (variable region), cysteine 139 and cysteine 199 of the light chain (constant</w:t>
      </w:r>
      <w:r>
        <w:rPr>
          <w:rFonts w:asciiTheme="minorHAnsi" w:eastAsia="TimesNewRoman" w:hAnsiTheme="minorHAnsi" w:cs="TimesNewRoman"/>
          <w:lang w:eastAsia="en-AU"/>
        </w:rPr>
        <w:t xml:space="preserve"> </w:t>
      </w:r>
      <w:r w:rsidRPr="00DD3870">
        <w:rPr>
          <w:rFonts w:asciiTheme="minorHAnsi" w:eastAsia="TimesNewRoman" w:hAnsiTheme="minorHAnsi" w:cs="TimesNewRoman"/>
          <w:lang w:eastAsia="en-AU"/>
        </w:rPr>
        <w:t>region), and between cysteine 22 and cysteine 95 of the heavy chain (variable region) and</w:t>
      </w:r>
      <w:r>
        <w:rPr>
          <w:rFonts w:asciiTheme="minorHAnsi" w:eastAsia="TimesNewRoman" w:hAnsiTheme="minorHAnsi" w:cs="TimesNewRoman"/>
          <w:lang w:eastAsia="en-AU"/>
        </w:rPr>
        <w:t xml:space="preserve"> </w:t>
      </w:r>
      <w:r w:rsidRPr="00DD3870">
        <w:rPr>
          <w:rFonts w:asciiTheme="minorHAnsi" w:eastAsia="TimesNewRoman" w:hAnsiTheme="minorHAnsi" w:cs="TimesNewRoman"/>
          <w:lang w:eastAsia="en-AU"/>
        </w:rPr>
        <w:t>cysteine 149 and cysteine 205 of the heavy chain (constant region).</w:t>
      </w:r>
    </w:p>
    <w:p w:rsidR="004267E0" w:rsidRPr="00DD3870" w:rsidRDefault="004267E0" w:rsidP="004267E0">
      <w:pPr>
        <w:pStyle w:val="Heading4"/>
      </w:pPr>
      <w:r>
        <w:t xml:space="preserve">Molecular </w:t>
      </w:r>
      <w:r w:rsidR="009A7609">
        <w:t>f</w:t>
      </w:r>
      <w:r>
        <w:t>ormula</w:t>
      </w:r>
    </w:p>
    <w:p w:rsidR="004267E0" w:rsidRPr="00DD3870" w:rsidRDefault="004267E0" w:rsidP="004267E0">
      <w:pPr>
        <w:autoSpaceDE w:val="0"/>
        <w:autoSpaceDN w:val="0"/>
        <w:adjustRightInd w:val="0"/>
        <w:spacing w:after="0"/>
        <w:ind w:right="-141"/>
        <w:rPr>
          <w:rFonts w:asciiTheme="minorHAnsi" w:hAnsiTheme="minorHAnsi" w:cs="Arial"/>
        </w:rPr>
      </w:pPr>
      <w:r w:rsidRPr="00DD3870">
        <w:rPr>
          <w:rFonts w:asciiTheme="minorHAnsi" w:eastAsia="TimesNewRoman" w:hAnsiTheme="minorHAnsi" w:cs="TimesNewRoman"/>
          <w:lang w:eastAsia="en-AU"/>
        </w:rPr>
        <w:t xml:space="preserve">Based on the predicted amino acid sequence, the molecular formula of the </w:t>
      </w:r>
      <w:proofErr w:type="spellStart"/>
      <w:r w:rsidRPr="00DD3870">
        <w:rPr>
          <w:rFonts w:asciiTheme="minorHAnsi" w:eastAsia="TimesNewRoman" w:hAnsiTheme="minorHAnsi" w:cs="TimesNewRoman"/>
          <w:lang w:eastAsia="en-AU"/>
        </w:rPr>
        <w:t>disulfide</w:t>
      </w:r>
      <w:proofErr w:type="spellEnd"/>
      <w:r w:rsidRPr="00DD3870">
        <w:rPr>
          <w:rFonts w:asciiTheme="minorHAnsi" w:eastAsia="TimesNewRoman" w:hAnsiTheme="minorHAnsi" w:cs="TimesNewRoman"/>
          <w:lang w:eastAsia="en-AU"/>
        </w:rPr>
        <w:t xml:space="preserve"> bonded</w:t>
      </w:r>
      <w:r>
        <w:rPr>
          <w:rFonts w:asciiTheme="minorHAnsi" w:eastAsia="TimesNewRoman" w:hAnsiTheme="minorHAnsi" w:cs="TimesNewRoman"/>
          <w:lang w:eastAsia="en-AU"/>
        </w:rPr>
        <w:t xml:space="preserve"> </w:t>
      </w:r>
      <w:proofErr w:type="spellStart"/>
      <w:r w:rsidRPr="00DD3870">
        <w:rPr>
          <w:rFonts w:asciiTheme="minorHAnsi" w:eastAsia="TimesNewRoman" w:hAnsiTheme="minorHAnsi" w:cs="TimesNewRoman"/>
          <w:lang w:eastAsia="en-AU"/>
        </w:rPr>
        <w:t>idarucizumab</w:t>
      </w:r>
      <w:proofErr w:type="spellEnd"/>
      <w:r w:rsidRPr="00DD3870">
        <w:rPr>
          <w:rFonts w:asciiTheme="minorHAnsi" w:eastAsia="TimesNewRoman" w:hAnsiTheme="minorHAnsi" w:cs="TimesNewRoman"/>
          <w:lang w:eastAsia="en-AU"/>
        </w:rPr>
        <w:t xml:space="preserve"> Fab molecule is C</w:t>
      </w:r>
      <w:r w:rsidRPr="00DD3870">
        <w:rPr>
          <w:rFonts w:asciiTheme="minorHAnsi" w:eastAsia="TimesNewRoman" w:hAnsiTheme="minorHAnsi" w:cs="TimesNewRoman"/>
          <w:vertAlign w:val="subscript"/>
          <w:lang w:eastAsia="en-AU"/>
        </w:rPr>
        <w:t>213</w:t>
      </w:r>
      <w:r w:rsidRPr="00DD3870">
        <w:rPr>
          <w:rFonts w:asciiTheme="minorHAnsi" w:eastAsia="TimesNewRoman" w:hAnsiTheme="minorHAnsi" w:cs="TimesNewRoman"/>
          <w:lang w:eastAsia="en-AU"/>
        </w:rPr>
        <w:t>1H</w:t>
      </w:r>
      <w:r w:rsidRPr="00DD3870">
        <w:rPr>
          <w:rFonts w:asciiTheme="minorHAnsi" w:eastAsia="TimesNewRoman" w:hAnsiTheme="minorHAnsi" w:cs="TimesNewRoman"/>
          <w:vertAlign w:val="subscript"/>
          <w:lang w:eastAsia="en-AU"/>
        </w:rPr>
        <w:t>3299</w:t>
      </w:r>
      <w:r w:rsidRPr="00DD3870">
        <w:rPr>
          <w:rFonts w:asciiTheme="minorHAnsi" w:eastAsia="TimesNewRoman" w:hAnsiTheme="minorHAnsi" w:cs="TimesNewRoman"/>
          <w:lang w:eastAsia="en-AU"/>
        </w:rPr>
        <w:t>N</w:t>
      </w:r>
      <w:r w:rsidRPr="00DD3870">
        <w:rPr>
          <w:rFonts w:asciiTheme="minorHAnsi" w:eastAsia="TimesNewRoman" w:hAnsiTheme="minorHAnsi" w:cs="TimesNewRoman"/>
          <w:vertAlign w:val="subscript"/>
          <w:lang w:eastAsia="en-AU"/>
        </w:rPr>
        <w:t>555</w:t>
      </w:r>
      <w:r w:rsidRPr="00DD3870">
        <w:rPr>
          <w:rFonts w:asciiTheme="minorHAnsi" w:eastAsia="TimesNewRoman" w:hAnsiTheme="minorHAnsi" w:cs="TimesNewRoman"/>
          <w:lang w:eastAsia="en-AU"/>
        </w:rPr>
        <w:t>O</w:t>
      </w:r>
      <w:r w:rsidRPr="00DD3870">
        <w:rPr>
          <w:rFonts w:asciiTheme="minorHAnsi" w:eastAsia="TimesNewRoman" w:hAnsiTheme="minorHAnsi" w:cs="TimesNewRoman"/>
          <w:vertAlign w:val="subscript"/>
          <w:lang w:eastAsia="en-AU"/>
        </w:rPr>
        <w:t>671</w:t>
      </w:r>
      <w:r w:rsidRPr="00DD3870">
        <w:rPr>
          <w:rFonts w:asciiTheme="minorHAnsi" w:eastAsia="TimesNewRoman" w:hAnsiTheme="minorHAnsi" w:cs="TimesNewRoman"/>
          <w:lang w:eastAsia="en-AU"/>
        </w:rPr>
        <w:t>S</w:t>
      </w:r>
      <w:r w:rsidRPr="00DD3870">
        <w:rPr>
          <w:rFonts w:asciiTheme="minorHAnsi" w:eastAsia="TimesNewRoman" w:hAnsiTheme="minorHAnsi" w:cs="TimesNewRoman"/>
          <w:vertAlign w:val="subscript"/>
          <w:lang w:eastAsia="en-AU"/>
        </w:rPr>
        <w:t>11</w:t>
      </w:r>
      <w:r w:rsidRPr="00DD3870">
        <w:rPr>
          <w:rFonts w:asciiTheme="minorHAnsi" w:eastAsia="TimesNewRoman" w:hAnsiTheme="minorHAnsi" w:cs="TimesNewRoman"/>
          <w:lang w:eastAsia="en-AU"/>
        </w:rPr>
        <w:t>.</w:t>
      </w:r>
    </w:p>
    <w:p w:rsidR="004267E0" w:rsidRPr="00DD3870" w:rsidRDefault="004267E0" w:rsidP="004267E0">
      <w:pPr>
        <w:pStyle w:val="Heading4"/>
      </w:pPr>
      <w:r>
        <w:t>Molecular weight/molecular mass</w:t>
      </w:r>
    </w:p>
    <w:p w:rsidR="004267E0" w:rsidRDefault="004267E0" w:rsidP="004267E0">
      <w:pPr>
        <w:autoSpaceDE w:val="0"/>
        <w:autoSpaceDN w:val="0"/>
        <w:adjustRightInd w:val="0"/>
        <w:spacing w:after="0"/>
        <w:ind w:right="-141"/>
        <w:rPr>
          <w:rFonts w:asciiTheme="minorHAnsi" w:eastAsia="TimesNewRoman" w:hAnsiTheme="minorHAnsi" w:cs="TimesNewRoman"/>
          <w:lang w:eastAsia="en-AU"/>
        </w:rPr>
      </w:pPr>
      <w:r w:rsidRPr="00DD3870">
        <w:rPr>
          <w:rFonts w:asciiTheme="minorHAnsi" w:eastAsia="TimesNewRoman" w:hAnsiTheme="minorHAnsi" w:cs="TimesNewRoman"/>
          <w:lang w:eastAsia="en-AU"/>
        </w:rPr>
        <w:t>The predicted molecular mass of idarucizumab corresponding to the formula above is 47,766</w:t>
      </w:r>
      <w:r>
        <w:rPr>
          <w:rFonts w:asciiTheme="minorHAnsi" w:eastAsia="TimesNewRoman" w:hAnsiTheme="minorHAnsi" w:cs="TimesNewRoman"/>
          <w:lang w:eastAsia="en-AU"/>
        </w:rPr>
        <w:t xml:space="preserve"> </w:t>
      </w:r>
      <w:r w:rsidRPr="00DD3870">
        <w:rPr>
          <w:rFonts w:asciiTheme="minorHAnsi" w:eastAsia="TimesNewRoman" w:hAnsiTheme="minorHAnsi" w:cs="TimesNewRoman"/>
          <w:lang w:eastAsia="en-AU"/>
        </w:rPr>
        <w:t xml:space="preserve">Da. It consists of one </w:t>
      </w:r>
      <w:r w:rsidR="00C768D5">
        <w:rPr>
          <w:rFonts w:asciiTheme="minorHAnsi" w:eastAsia="TimesNewRoman" w:hAnsiTheme="minorHAnsi" w:cs="TimesNewRoman"/>
          <w:lang w:eastAsia="en-AU"/>
        </w:rPr>
        <w:t>LC</w:t>
      </w:r>
      <w:r w:rsidRPr="00DD3870">
        <w:rPr>
          <w:rFonts w:asciiTheme="minorHAnsi" w:eastAsia="TimesNewRoman" w:hAnsiTheme="minorHAnsi" w:cs="TimesNewRoman"/>
          <w:lang w:eastAsia="en-AU"/>
        </w:rPr>
        <w:t xml:space="preserve"> polypeptide of theoretical average molecular weight of</w:t>
      </w:r>
      <w:r>
        <w:rPr>
          <w:rFonts w:asciiTheme="minorHAnsi" w:eastAsia="TimesNewRoman" w:hAnsiTheme="minorHAnsi" w:cs="TimesNewRoman"/>
          <w:lang w:eastAsia="en-AU"/>
        </w:rPr>
        <w:t xml:space="preserve"> </w:t>
      </w:r>
      <w:r w:rsidRPr="00DD3870">
        <w:rPr>
          <w:rFonts w:asciiTheme="minorHAnsi" w:eastAsia="TimesNewRoman" w:hAnsiTheme="minorHAnsi" w:cs="TimesNewRoman"/>
          <w:lang w:eastAsia="en-AU"/>
        </w:rPr>
        <w:t xml:space="preserve">24,043 Da (reduced) and one </w:t>
      </w:r>
      <w:r w:rsidR="00C768D5">
        <w:rPr>
          <w:rFonts w:asciiTheme="minorHAnsi" w:eastAsia="TimesNewRoman" w:hAnsiTheme="minorHAnsi" w:cs="TimesNewRoman"/>
          <w:lang w:eastAsia="en-AU"/>
        </w:rPr>
        <w:t>HC</w:t>
      </w:r>
      <w:r w:rsidRPr="00DD3870">
        <w:rPr>
          <w:rFonts w:asciiTheme="minorHAnsi" w:eastAsia="TimesNewRoman" w:hAnsiTheme="minorHAnsi" w:cs="TimesNewRoman"/>
          <w:lang w:eastAsia="en-AU"/>
        </w:rPr>
        <w:t xml:space="preserve"> fragment polypeptide of theoretical average</w:t>
      </w:r>
      <w:r>
        <w:rPr>
          <w:rFonts w:asciiTheme="minorHAnsi" w:eastAsia="TimesNewRoman" w:hAnsiTheme="minorHAnsi" w:cs="TimesNewRoman"/>
          <w:lang w:eastAsia="en-AU"/>
        </w:rPr>
        <w:t xml:space="preserve"> </w:t>
      </w:r>
      <w:r w:rsidRPr="00DD3870">
        <w:rPr>
          <w:rFonts w:asciiTheme="minorHAnsi" w:eastAsia="TimesNewRoman" w:hAnsiTheme="minorHAnsi" w:cs="TimesNewRoman"/>
          <w:lang w:eastAsia="en-AU"/>
        </w:rPr>
        <w:t>molecular weight of 23,733 Da (reduced).</w:t>
      </w:r>
    </w:p>
    <w:p w:rsidR="008E7846" w:rsidRDefault="008E7846" w:rsidP="00940A89">
      <w:pPr>
        <w:pStyle w:val="Heading3"/>
      </w:pPr>
      <w:bookmarkStart w:id="32" w:name="_Toc466282928"/>
      <w:r w:rsidRPr="008751DC">
        <w:t xml:space="preserve">Drug </w:t>
      </w:r>
      <w:r>
        <w:t>s</w:t>
      </w:r>
      <w:r w:rsidRPr="008751DC">
        <w:t>ubstance</w:t>
      </w:r>
      <w:r>
        <w:t xml:space="preserve"> (active ingredient)</w:t>
      </w:r>
      <w:bookmarkEnd w:id="29"/>
      <w:bookmarkEnd w:id="30"/>
      <w:bookmarkEnd w:id="32"/>
    </w:p>
    <w:p w:rsidR="00336B88" w:rsidRDefault="00336B88" w:rsidP="00336B88">
      <w:r w:rsidRPr="00336B88">
        <w:t>Idarucizumab drug substance is a colourless to slightly yellow, clear to slightly opalescent solution.</w:t>
      </w:r>
    </w:p>
    <w:p w:rsidR="00336B88" w:rsidRPr="00336B88" w:rsidRDefault="00336B88" w:rsidP="00336B88">
      <w:pPr>
        <w:rPr>
          <w:rFonts w:eastAsia="Times New Roman"/>
        </w:rPr>
      </w:pPr>
      <w:r w:rsidRPr="00336B88">
        <w:t>The p</w:t>
      </w:r>
      <w:r w:rsidRPr="00336B88">
        <w:rPr>
          <w:rFonts w:eastAsia="Times New Roman"/>
        </w:rPr>
        <w:t>hysicochemical characteristics are as follows:</w:t>
      </w:r>
    </w:p>
    <w:p w:rsidR="00336B88" w:rsidRPr="00336B88" w:rsidRDefault="00336B88" w:rsidP="009A7609">
      <w:pPr>
        <w:pStyle w:val="ListBullet"/>
      </w:pPr>
      <w:r>
        <w:t xml:space="preserve">pH: </w:t>
      </w:r>
      <w:r w:rsidRPr="00336B88">
        <w:t>5.5 (formulated drug substance)</w:t>
      </w:r>
    </w:p>
    <w:p w:rsidR="00336B88" w:rsidRPr="00336B88" w:rsidRDefault="00336B88" w:rsidP="00336B88">
      <w:pPr>
        <w:pStyle w:val="ListBullet"/>
      </w:pPr>
      <w:r>
        <w:t xml:space="preserve">Melting point: </w:t>
      </w:r>
      <w:r w:rsidRPr="00336B88">
        <w:t>84.4°C</w:t>
      </w:r>
    </w:p>
    <w:p w:rsidR="00336B88" w:rsidRPr="00336B88" w:rsidRDefault="00336B88" w:rsidP="00336B88">
      <w:pPr>
        <w:pStyle w:val="ListBullet"/>
      </w:pPr>
      <w:r>
        <w:t xml:space="preserve">Isoelectric point: </w:t>
      </w:r>
      <w:r w:rsidRPr="00336B88">
        <w:t>9.4 or 9.5 (experimentally)</w:t>
      </w:r>
    </w:p>
    <w:p w:rsidR="00336B88" w:rsidRPr="00336B88" w:rsidRDefault="00336B88" w:rsidP="00336B88">
      <w:pPr>
        <w:pStyle w:val="ListBullet"/>
      </w:pPr>
      <w:r>
        <w:t xml:space="preserve">Extinction coefficient: </w:t>
      </w:r>
      <w:r w:rsidRPr="00336B88">
        <w:t>1.54 cm</w:t>
      </w:r>
      <w:r w:rsidRPr="00336B88">
        <w:rPr>
          <w:vertAlign w:val="superscript"/>
        </w:rPr>
        <w:t>2</w:t>
      </w:r>
      <w:r w:rsidRPr="00336B88">
        <w:t xml:space="preserve"> * at 280 nm</w:t>
      </w:r>
    </w:p>
    <w:p w:rsidR="00336B88" w:rsidRPr="00336B88" w:rsidRDefault="00336B88" w:rsidP="00336B88">
      <w:pPr>
        <w:pStyle w:val="ListBullet"/>
      </w:pPr>
      <w:r>
        <w:t xml:space="preserve">Other characteristics: </w:t>
      </w:r>
      <w:r w:rsidRPr="00336B88">
        <w:t>humanised Fab derived from murine IgG1 isotype</w:t>
      </w:r>
      <w:r>
        <w:t xml:space="preserve"> </w:t>
      </w:r>
      <w:r w:rsidR="008F6A17">
        <w:t>one κ LC</w:t>
      </w:r>
      <w:r w:rsidRPr="00336B88">
        <w:t xml:space="preserve"> and</w:t>
      </w:r>
      <w:r w:rsidR="008F6A17">
        <w:t xml:space="preserve"> one γ HC fragment</w:t>
      </w:r>
      <w:r>
        <w:t xml:space="preserve"> </w:t>
      </w:r>
      <w:r w:rsidR="00D32AF7">
        <w:t xml:space="preserve">one inter </w:t>
      </w:r>
      <w:r w:rsidRPr="00336B88">
        <w:t xml:space="preserve">chain </w:t>
      </w:r>
      <w:proofErr w:type="spellStart"/>
      <w:r w:rsidRPr="00336B88">
        <w:t>disulfide</w:t>
      </w:r>
      <w:proofErr w:type="spellEnd"/>
      <w:r w:rsidRPr="00336B88">
        <w:t xml:space="preserve"> bond at Cys225 of HC and Cys219 of LC</w:t>
      </w:r>
      <w:r>
        <w:t xml:space="preserve"> </w:t>
      </w:r>
      <w:r w:rsidRPr="00336B88">
        <w:t xml:space="preserve">four </w:t>
      </w:r>
      <w:proofErr w:type="spellStart"/>
      <w:r w:rsidRPr="00336B88">
        <w:t>Cys</w:t>
      </w:r>
      <w:proofErr w:type="spellEnd"/>
      <w:r w:rsidRPr="00336B88">
        <w:t xml:space="preserve"> residues on each HC and LC forming</w:t>
      </w:r>
      <w:r w:rsidR="00D32AF7">
        <w:t xml:space="preserve"> intra </w:t>
      </w:r>
      <w:proofErr w:type="spellStart"/>
      <w:r w:rsidRPr="00336B88">
        <w:t>disulfide</w:t>
      </w:r>
      <w:proofErr w:type="spellEnd"/>
      <w:r w:rsidRPr="00336B88">
        <w:t xml:space="preserve"> bridges</w:t>
      </w:r>
      <w:r>
        <w:t xml:space="preserve"> </w:t>
      </w:r>
      <w:r w:rsidRPr="00336B88">
        <w:t>HC N-terminal glutamine is nearly completely cycli</w:t>
      </w:r>
      <w:r w:rsidR="000F4E64">
        <w:t>s</w:t>
      </w:r>
      <w:r w:rsidRPr="00336B88">
        <w:t>ed to pyroglutamate.</w:t>
      </w:r>
    </w:p>
    <w:p w:rsidR="00336B88" w:rsidRPr="00805D9F" w:rsidRDefault="00CA1330" w:rsidP="00336B88">
      <w:pPr>
        <w:pStyle w:val="Heading4"/>
      </w:pPr>
      <w:r>
        <w:lastRenderedPageBreak/>
        <w:t>Biological p</w:t>
      </w:r>
      <w:r w:rsidR="00336B88" w:rsidRPr="00805D9F">
        <w:t>roperties</w:t>
      </w:r>
    </w:p>
    <w:p w:rsidR="00336B88" w:rsidRDefault="00336B88" w:rsidP="00336B88">
      <w:r w:rsidRPr="00336B88">
        <w:t>Idarucizumab is directed against the direct thrombin inhibitor dabigatran. Idarucizumab binds to dabigatran with a higher affinity than that of thrombin. The biological activity of idarucizumab is determined by a thrombin clotting assay. The reversal of the anti</w:t>
      </w:r>
      <w:r w:rsidR="000F4E64">
        <w:t xml:space="preserve"> </w:t>
      </w:r>
      <w:proofErr w:type="spellStart"/>
      <w:r w:rsidRPr="00336B88">
        <w:t>coagulatory</w:t>
      </w:r>
      <w:proofErr w:type="spellEnd"/>
      <w:r w:rsidRPr="00336B88">
        <w:t xml:space="preserve"> effect of dabigatran can be monitored by measuring the clotting after adding idarucizumab to a mixture of synthetic thrombin and fibrinogen.</w:t>
      </w:r>
    </w:p>
    <w:p w:rsidR="00336B88" w:rsidRPr="00805D9F" w:rsidRDefault="00336B88" w:rsidP="00336B88">
      <w:pPr>
        <w:pStyle w:val="Heading4"/>
      </w:pPr>
      <w:r w:rsidRPr="00805D9F">
        <w:t>Immunological properties</w:t>
      </w:r>
    </w:p>
    <w:p w:rsidR="00336B88" w:rsidRDefault="00336B88" w:rsidP="00336B88">
      <w:r w:rsidRPr="00336B88">
        <w:t>Idarucizumab binds dabigatran in a concave region at the interface of the variable domains. All CDR loops except L2 are involved in dabigatran binding.</w:t>
      </w:r>
    </w:p>
    <w:p w:rsidR="00336B88" w:rsidRPr="00894534" w:rsidRDefault="00336B88" w:rsidP="00336B88">
      <w:pPr>
        <w:pStyle w:val="Heading4"/>
      </w:pPr>
      <w:r w:rsidRPr="00894534">
        <w:t xml:space="preserve">Drug </w:t>
      </w:r>
      <w:r>
        <w:t>s</w:t>
      </w:r>
      <w:r w:rsidRPr="00894534">
        <w:t>ubstance manufacture</w:t>
      </w:r>
    </w:p>
    <w:p w:rsidR="00CA1330" w:rsidRPr="00CA1330" w:rsidRDefault="00CA1330" w:rsidP="00CA1330">
      <w:r w:rsidRPr="00CA1330">
        <w:t>Idarucizumab is expressed in Chinese hamster ovary (CHO) cells. It is manufactured using standard mammalian cell culture techniques, followed by a series of protein purification steps including several chromatography steps, as well as steps for removal and inactivation of potential viruses.</w:t>
      </w:r>
    </w:p>
    <w:p w:rsidR="00336B88" w:rsidRDefault="00336B88" w:rsidP="00336B88">
      <w:r w:rsidRPr="00336B88">
        <w:t>The cell culture process begins with thawing a vial of the working cell bank (WCB). During multiple inoculum cultivation steps in shaker and rocking bag bioreactors in selective medium, the cells are repeatedly sub-cultivated (passaged) to provide sufficient cells to seed a production bioreactor which is operated in a fed batch mode to generate sufficient cell mass and product concentration.</w:t>
      </w:r>
    </w:p>
    <w:p w:rsidR="00336B88" w:rsidRDefault="00336B88" w:rsidP="00336B88">
      <w:r w:rsidRPr="00336B88">
        <w:t xml:space="preserve">Purification and formulation of idarucizumab consists of a series of chromatographic steps (affinity, anion and cation exchange chromatography), virus inactivation, virus filtration, </w:t>
      </w:r>
      <w:proofErr w:type="gramStart"/>
      <w:r w:rsidRPr="00336B88">
        <w:t>concentration</w:t>
      </w:r>
      <w:proofErr w:type="gramEnd"/>
      <w:r w:rsidRPr="00336B88">
        <w:t xml:space="preserve"> and buffer exchange by tangential flow filtration and final filtration through a filter.</w:t>
      </w:r>
    </w:p>
    <w:p w:rsidR="00DF6C1A" w:rsidRPr="00DF6C1A" w:rsidRDefault="00DF6C1A" w:rsidP="00DF6C1A">
      <w:r w:rsidRPr="00DF6C1A">
        <w:t>The sponsor proposed a shelf life of 30 months at -</w:t>
      </w:r>
      <w:r>
        <w:t>20°C</w:t>
      </w:r>
      <w:r w:rsidRPr="00DF6C1A">
        <w:t>.</w:t>
      </w:r>
      <w:r>
        <w:t xml:space="preserve"> </w:t>
      </w:r>
      <w:r w:rsidRPr="00DF6C1A">
        <w:t>Stability data have been generated under real time and stressed conditions to characterise the stability profile of the substance and to establish a shelf life.</w:t>
      </w:r>
      <w:r>
        <w:t xml:space="preserve"> </w:t>
      </w:r>
      <w:r w:rsidRPr="00DF6C1A">
        <w:t>Due to insufficient stability data, the recommended shelf life for the drug substance is 18 months</w:t>
      </w:r>
      <w:r>
        <w:t xml:space="preserve"> when stored at </w:t>
      </w:r>
      <w:r w:rsidRPr="00DF6C1A">
        <w:t>-20°C</w:t>
      </w:r>
      <w:r w:rsidR="000F4E64">
        <w:t>,</w:t>
      </w:r>
      <w:r w:rsidRPr="00DF6C1A">
        <w:t xml:space="preserve"> with a three months </w:t>
      </w:r>
      <w:r w:rsidR="009A7609">
        <w:t>mid-</w:t>
      </w:r>
      <w:r w:rsidR="009A7609" w:rsidRPr="00DF6C1A">
        <w:t>term</w:t>
      </w:r>
      <w:r w:rsidRPr="00DF6C1A">
        <w:t xml:space="preserve"> st</w:t>
      </w:r>
      <w:r>
        <w:t>orage conditions at 2-</w:t>
      </w:r>
      <w:r w:rsidRPr="00DF6C1A">
        <w:t>8°C.</w:t>
      </w:r>
    </w:p>
    <w:p w:rsidR="008E7846" w:rsidRDefault="008E7846" w:rsidP="008E7846">
      <w:pPr>
        <w:pStyle w:val="Heading3"/>
      </w:pPr>
      <w:bookmarkStart w:id="33" w:name="_Toc247691508"/>
      <w:bookmarkStart w:id="34" w:name="_Toc314842490"/>
      <w:bookmarkStart w:id="35" w:name="_Toc466282929"/>
      <w:r w:rsidRPr="008751DC">
        <w:t xml:space="preserve">Drug </w:t>
      </w:r>
      <w:r>
        <w:t>p</w:t>
      </w:r>
      <w:r w:rsidRPr="008751DC">
        <w:t>roduct</w:t>
      </w:r>
      <w:bookmarkEnd w:id="33"/>
      <w:bookmarkEnd w:id="34"/>
      <w:bookmarkEnd w:id="35"/>
    </w:p>
    <w:p w:rsidR="00336B88" w:rsidRDefault="00336B88" w:rsidP="00336B88">
      <w:r w:rsidRPr="00336B88">
        <w:t>Idarucizumab drug product manufacturing includes thawing of formulated drug substance, sterile filtration and filling, capping, visual inspection, labelling, and secondary packaging. All formulation is completed as part of drug substance manufacture.</w:t>
      </w:r>
    </w:p>
    <w:p w:rsidR="00DF6C1A" w:rsidRPr="00DF6C1A" w:rsidRDefault="00DF6C1A" w:rsidP="00DF6C1A">
      <w:r w:rsidRPr="0097482E">
        <w:t xml:space="preserve">Stability data have been generated under stressed and real time conditions to characterise </w:t>
      </w:r>
      <w:r w:rsidRPr="00DF6C1A">
        <w:t>the stability profile of the product.</w:t>
      </w:r>
    </w:p>
    <w:p w:rsidR="00DF6C1A" w:rsidRPr="00DF6C1A" w:rsidRDefault="00752255" w:rsidP="00DF6C1A">
      <w:r>
        <w:t>T</w:t>
      </w:r>
      <w:r w:rsidR="00DF6C1A" w:rsidRPr="00DF6C1A">
        <w:t xml:space="preserve">he product is not </w:t>
      </w:r>
      <w:proofErr w:type="spellStart"/>
      <w:r w:rsidR="00DF6C1A" w:rsidRPr="00DF6C1A">
        <w:t>photostable</w:t>
      </w:r>
      <w:proofErr w:type="spellEnd"/>
      <w:r w:rsidR="00DF6C1A" w:rsidRPr="00DF6C1A">
        <w:t xml:space="preserve">. The proposed shelf life is 30 months when stored at </w:t>
      </w:r>
      <w:r w:rsidR="00DF6C1A">
        <w:t>2-</w:t>
      </w:r>
      <w:r w:rsidR="00DF6C1A" w:rsidRPr="00DF6C1A">
        <w:t xml:space="preserve">8°C. In-use stability data have also been submitted. Due to insufficient stability data, the recommended shelf life for the drug product is 24 months when stored at </w:t>
      </w:r>
      <w:r w:rsidR="00DF6C1A">
        <w:t>2-</w:t>
      </w:r>
      <w:r w:rsidR="00DF6C1A" w:rsidRPr="00DF6C1A">
        <w:t>8°C with 3 months for processing and handling of drug product at 25°C.</w:t>
      </w:r>
    </w:p>
    <w:p w:rsidR="008E7846" w:rsidRDefault="008E7846" w:rsidP="008E7846">
      <w:pPr>
        <w:pStyle w:val="Heading3"/>
      </w:pPr>
      <w:bookmarkStart w:id="36" w:name="_Toc314842491"/>
      <w:bookmarkStart w:id="37" w:name="_Toc466282930"/>
      <w:r>
        <w:t>Biopharmaceutics</w:t>
      </w:r>
      <w:bookmarkEnd w:id="36"/>
      <w:bookmarkEnd w:id="37"/>
    </w:p>
    <w:p w:rsidR="00DF6C1A" w:rsidRPr="007852B2" w:rsidRDefault="00DF6C1A" w:rsidP="007852B2">
      <w:r w:rsidRPr="007852B2">
        <w:t>Biopharmaceutics data are not required as the product is administered by intravenous injection or infusion.</w:t>
      </w:r>
    </w:p>
    <w:p w:rsidR="008E7846" w:rsidRPr="008751DC" w:rsidRDefault="008E7846" w:rsidP="008E7846">
      <w:pPr>
        <w:pStyle w:val="Heading3"/>
      </w:pPr>
      <w:bookmarkStart w:id="38" w:name="_Toc247691509"/>
      <w:bookmarkStart w:id="39" w:name="_Toc314842493"/>
      <w:bookmarkStart w:id="40" w:name="_Toc466282931"/>
      <w:r>
        <w:lastRenderedPageBreak/>
        <w:t>Quality s</w:t>
      </w:r>
      <w:r w:rsidRPr="008751DC">
        <w:t>ummary</w:t>
      </w:r>
      <w:r>
        <w:t xml:space="preserve"> and conclusions</w:t>
      </w:r>
      <w:bookmarkEnd w:id="38"/>
      <w:bookmarkEnd w:id="39"/>
      <w:bookmarkEnd w:id="40"/>
    </w:p>
    <w:p w:rsidR="009A7609" w:rsidRDefault="00D23F96" w:rsidP="00D23F96">
      <w:r w:rsidRPr="00D23F96">
        <w:t xml:space="preserve">Good Manufacturing Practice (GMP) clearance </w:t>
      </w:r>
      <w:r w:rsidR="00C6660C">
        <w:t>wa</w:t>
      </w:r>
      <w:r>
        <w:t xml:space="preserve">s </w:t>
      </w:r>
      <w:r w:rsidR="00C6660C">
        <w:t xml:space="preserve">initially </w:t>
      </w:r>
      <w:r>
        <w:t>outsta</w:t>
      </w:r>
      <w:r w:rsidR="00C6660C">
        <w:t>nding for one manufacturing site</w:t>
      </w:r>
      <w:r w:rsidR="009A7609">
        <w:t>.</w:t>
      </w:r>
    </w:p>
    <w:p w:rsidR="00D23F96" w:rsidRDefault="00EB2D55" w:rsidP="00D23F96">
      <w:r>
        <w:t xml:space="preserve">On 5 April 2016, GMP clearance was updated. </w:t>
      </w:r>
      <w:r w:rsidR="00D93BFA">
        <w:t>There are</w:t>
      </w:r>
      <w:r w:rsidR="00D23F96">
        <w:t xml:space="preserve"> no outstanding GMP issues, hence, no objection to registration on quality grounds.</w:t>
      </w:r>
    </w:p>
    <w:p w:rsidR="008E7846" w:rsidRDefault="008E7846" w:rsidP="008E7846">
      <w:pPr>
        <w:pStyle w:val="Heading2"/>
      </w:pPr>
      <w:bookmarkStart w:id="41" w:name="_Toc196046439"/>
      <w:bookmarkStart w:id="42" w:name="_Toc247691510"/>
      <w:bookmarkStart w:id="43" w:name="_Toc314842494"/>
      <w:bookmarkStart w:id="44" w:name="_Toc466282932"/>
      <w:r>
        <w:t>III. Nonclinical</w:t>
      </w:r>
      <w:bookmarkEnd w:id="41"/>
      <w:r>
        <w:t xml:space="preserve"> findings</w:t>
      </w:r>
      <w:bookmarkEnd w:id="42"/>
      <w:bookmarkEnd w:id="43"/>
      <w:bookmarkEnd w:id="44"/>
    </w:p>
    <w:p w:rsidR="008E7846" w:rsidRDefault="008E7846" w:rsidP="00940A89">
      <w:pPr>
        <w:pStyle w:val="Heading3"/>
      </w:pPr>
      <w:bookmarkStart w:id="45" w:name="_Toc247691511"/>
      <w:bookmarkStart w:id="46" w:name="_Toc314842495"/>
      <w:bookmarkStart w:id="47" w:name="_Toc466282933"/>
      <w:r>
        <w:t>Introduction</w:t>
      </w:r>
      <w:bookmarkEnd w:id="45"/>
      <w:bookmarkEnd w:id="46"/>
      <w:bookmarkEnd w:id="47"/>
    </w:p>
    <w:p w:rsidR="00B15186" w:rsidRPr="00B15186" w:rsidRDefault="00B15186" w:rsidP="00B15186">
      <w:r w:rsidRPr="00B15186">
        <w:t>The scope of the nonclinical s</w:t>
      </w:r>
      <w:r w:rsidR="00286E67">
        <w:t>trategy was consistent with published guidelines</w:t>
      </w:r>
      <w:r w:rsidRPr="00B15186">
        <w:t>.</w:t>
      </w:r>
      <w:r w:rsidR="00286E67">
        <w:rPr>
          <w:rStyle w:val="FootnoteReference"/>
        </w:rPr>
        <w:footnoteReference w:id="2"/>
      </w:r>
      <w:r w:rsidRPr="00B15186">
        <w:t xml:space="preserve"> Although the complete </w:t>
      </w:r>
      <w:r w:rsidR="00FC5C3E">
        <w:t>battery system of Good Laboratory Practice (GLP)</w:t>
      </w:r>
      <w:r w:rsidRPr="00B15186">
        <w:t xml:space="preserve"> safety pharmacology studies was not provided, many of the relevant organ systems were examined in the general repeat dose toxicity studies. Overall, the quality of studies included in the nonclinical dossier was high and the nonclinical testing strategy appropriate for the proposed conditions of clinical use.</w:t>
      </w:r>
    </w:p>
    <w:p w:rsidR="008E7846" w:rsidRDefault="008E7846" w:rsidP="008E7846">
      <w:pPr>
        <w:pStyle w:val="Heading3"/>
      </w:pPr>
      <w:bookmarkStart w:id="48" w:name="_Toc247691512"/>
      <w:bookmarkStart w:id="49" w:name="_Toc314842496"/>
      <w:bookmarkStart w:id="50" w:name="_Toc466282934"/>
      <w:r w:rsidRPr="00020030">
        <w:t>Pharmacology</w:t>
      </w:r>
      <w:bookmarkEnd w:id="48"/>
      <w:bookmarkEnd w:id="49"/>
      <w:bookmarkEnd w:id="50"/>
    </w:p>
    <w:p w:rsidR="00B15186" w:rsidRPr="00EB69F1" w:rsidRDefault="00B15186" w:rsidP="00B15186">
      <w:pPr>
        <w:pStyle w:val="Heading4"/>
      </w:pPr>
      <w:r w:rsidRPr="00EB69F1">
        <w:t>Primary pharmacology</w:t>
      </w:r>
    </w:p>
    <w:p w:rsidR="009A7609" w:rsidRDefault="00B15186" w:rsidP="00B15186">
      <w:r w:rsidRPr="00B15186">
        <w:t>Idarucizumab is a humanised Fab fragment antibody that binds to the direct thrombin inhibitor, dabigatran, to neutralise its anticoagulant activi</w:t>
      </w:r>
      <w:r w:rsidR="006907AE">
        <w:t xml:space="preserve">ty. </w:t>
      </w:r>
      <w:r w:rsidRPr="00B15186">
        <w:t>Efficacy was assessed in a number of investigations that examined affinity and selectivity of idarucizumab, while in vitro and in vivo studies demonstrated neutralisation of the anticoagulant effects of dabigatran</w:t>
      </w:r>
      <w:r w:rsidR="009A7609">
        <w:t>.</w:t>
      </w:r>
    </w:p>
    <w:p w:rsidR="009A7609" w:rsidRDefault="00B15186" w:rsidP="00B15186">
      <w:r w:rsidRPr="00B15186">
        <w:t>The in vitro (and ex vivo) studies reported the following findings:</w:t>
      </w:r>
    </w:p>
    <w:p w:rsidR="00B15186" w:rsidRPr="00B15186" w:rsidRDefault="00B15186" w:rsidP="009A7609">
      <w:pPr>
        <w:pStyle w:val="ListBullet"/>
      </w:pPr>
      <w:proofErr w:type="spellStart"/>
      <w:r w:rsidRPr="00B15186">
        <w:t>Idarucizumab</w:t>
      </w:r>
      <w:proofErr w:type="spellEnd"/>
      <w:r w:rsidRPr="00B15186">
        <w:t xml:space="preserve"> has high affinity for dabigatran (</w:t>
      </w:r>
      <w:proofErr w:type="spellStart"/>
      <w:r w:rsidRPr="00B15186">
        <w:t>Kd</w:t>
      </w:r>
      <w:proofErr w:type="spellEnd"/>
      <w:r w:rsidRPr="00B15186">
        <w:t xml:space="preserve"> ≤ 62 </w:t>
      </w:r>
      <w:proofErr w:type="spellStart"/>
      <w:r w:rsidRPr="00B15186">
        <w:t>pM</w:t>
      </w:r>
      <w:proofErr w:type="spellEnd"/>
      <w:r w:rsidRPr="00B15186">
        <w:t xml:space="preserve">, pH ≥ 6) and does not bind with Factors V, VIII &amp; XIII, fibrinogen, von </w:t>
      </w:r>
      <w:proofErr w:type="spellStart"/>
      <w:r w:rsidRPr="00B15186">
        <w:t>Willebrand</w:t>
      </w:r>
      <w:proofErr w:type="spellEnd"/>
      <w:r w:rsidRPr="00B15186">
        <w:t xml:space="preserve"> Factor, PAR-1 peptide or protein C; idarucizumab (±</w:t>
      </w:r>
      <w:r w:rsidR="005127FC">
        <w:t xml:space="preserve"> </w:t>
      </w:r>
      <w:r w:rsidRPr="00B15186">
        <w:t>dabigatran) did not exhibit binding with human plasma or serum albumin</w:t>
      </w:r>
    </w:p>
    <w:p w:rsidR="00B15186" w:rsidRPr="00B15186" w:rsidRDefault="00B15186" w:rsidP="00B15186">
      <w:pPr>
        <w:pStyle w:val="ListBullet"/>
      </w:pPr>
      <w:r w:rsidRPr="00B15186">
        <w:t xml:space="preserve">Idarucizumab reversed anticoagulant activity of dabigatran (and its acyl </w:t>
      </w:r>
      <w:proofErr w:type="spellStart"/>
      <w:r w:rsidRPr="00B15186">
        <w:t>glucuronidated</w:t>
      </w:r>
      <w:proofErr w:type="spellEnd"/>
      <w:r w:rsidRPr="00B15186">
        <w:t xml:space="preserve"> metabolite) in human whole blood (IC50</w:t>
      </w:r>
      <w:r w:rsidR="003F062D">
        <w:t xml:space="preserve"> 11.3 </w:t>
      </w:r>
      <w:proofErr w:type="spellStart"/>
      <w:r w:rsidR="003F062D">
        <w:t>nM</w:t>
      </w:r>
      <w:proofErr w:type="spellEnd"/>
      <w:r w:rsidR="003F062D">
        <w:t>) or plasma (IC50 3.1-</w:t>
      </w:r>
      <w:r w:rsidRPr="00B15186">
        <w:t xml:space="preserve">11 </w:t>
      </w:r>
      <w:proofErr w:type="spellStart"/>
      <w:r w:rsidRPr="00B15186">
        <w:t>nM</w:t>
      </w:r>
      <w:proofErr w:type="spellEnd"/>
      <w:r w:rsidRPr="00B15186">
        <w:t xml:space="preserve">); </w:t>
      </w:r>
      <w:proofErr w:type="spellStart"/>
      <w:r w:rsidRPr="00B15186">
        <w:t>idarucizumab</w:t>
      </w:r>
      <w:proofErr w:type="spellEnd"/>
      <w:r w:rsidRPr="00B15186">
        <w:t xml:space="preserve"> itself did not exhibit any independent </w:t>
      </w:r>
      <w:proofErr w:type="spellStart"/>
      <w:r w:rsidRPr="00B15186">
        <w:t>prothrombotic</w:t>
      </w:r>
      <w:proofErr w:type="spellEnd"/>
      <w:r w:rsidRPr="00B15186">
        <w:t xml:space="preserve"> activity; Effects were specific for dabigatran with no neutralising effect observed against rivaroxaban, </w:t>
      </w:r>
      <w:proofErr w:type="spellStart"/>
      <w:r w:rsidRPr="00B15186">
        <w:t>apixaban</w:t>
      </w:r>
      <w:proofErr w:type="spellEnd"/>
      <w:r w:rsidRPr="00B15186">
        <w:t xml:space="preserve">, </w:t>
      </w:r>
      <w:proofErr w:type="spellStart"/>
      <w:r w:rsidRPr="00B15186">
        <w:t>hirudin</w:t>
      </w:r>
      <w:proofErr w:type="spellEnd"/>
      <w:r w:rsidRPr="00B15186">
        <w:t xml:space="preserve">, </w:t>
      </w:r>
      <w:proofErr w:type="spellStart"/>
      <w:r w:rsidRPr="00B15186">
        <w:t>ar</w:t>
      </w:r>
      <w:r w:rsidR="00402832">
        <w:t>gatroban</w:t>
      </w:r>
      <w:proofErr w:type="spellEnd"/>
      <w:r w:rsidR="00402832">
        <w:t xml:space="preserve">, heparin or enoxaparin </w:t>
      </w:r>
      <w:r w:rsidRPr="00B15186">
        <w:t>induced anticoagulation</w:t>
      </w:r>
    </w:p>
    <w:p w:rsidR="00B15186" w:rsidRPr="00B15186" w:rsidRDefault="00B15186" w:rsidP="00B15186">
      <w:r w:rsidRPr="00B15186">
        <w:t>In vivo studies utilised mouse, rat and pig models of haemostasis with animals pre-dosed with dabigatran to evoke anticoagulation with altered coagulation parameters serving as indices of haemostatic changes. Salient findings of these studies were as follows:</w:t>
      </w:r>
    </w:p>
    <w:p w:rsidR="00B15186" w:rsidRPr="00B15186" w:rsidRDefault="00B15186" w:rsidP="008A3773">
      <w:pPr>
        <w:pStyle w:val="ListBullet"/>
      </w:pPr>
      <w:r w:rsidRPr="00B15186">
        <w:t>Idarucizumab alone had no effect on coagulation param</w:t>
      </w:r>
      <w:r w:rsidR="005127FC">
        <w:t xml:space="preserve">eters (for example, </w:t>
      </w:r>
      <w:r w:rsidR="008A3773">
        <w:t>T</w:t>
      </w:r>
      <w:r w:rsidR="008A3773" w:rsidRPr="008A3773">
        <w:t xml:space="preserve">hrombin </w:t>
      </w:r>
      <w:r w:rsidR="008A3773">
        <w:t>T</w:t>
      </w:r>
      <w:r w:rsidR="008A3773" w:rsidRPr="008A3773">
        <w:t xml:space="preserve">ime </w:t>
      </w:r>
      <w:r w:rsidR="008A3773">
        <w:t xml:space="preserve">[TT] </w:t>
      </w:r>
      <w:r w:rsidR="005127FC">
        <w:t>and</w:t>
      </w:r>
      <w:r w:rsidRPr="00B15186">
        <w:t xml:space="preserve"> </w:t>
      </w:r>
      <w:r w:rsidR="00402832">
        <w:t>a</w:t>
      </w:r>
      <w:r w:rsidR="00402832" w:rsidRPr="00402832">
        <w:t xml:space="preserve">ctivated Partial Thromboplastin Time </w:t>
      </w:r>
      <w:r w:rsidR="00402832">
        <w:t>[</w:t>
      </w:r>
      <w:proofErr w:type="spellStart"/>
      <w:r w:rsidRPr="00B15186">
        <w:t>aPTT</w:t>
      </w:r>
      <w:proofErr w:type="spellEnd"/>
      <w:r w:rsidR="00402832">
        <w:t>]</w:t>
      </w:r>
      <w:r w:rsidRPr="00B15186">
        <w:t>) in animal models</w:t>
      </w:r>
    </w:p>
    <w:p w:rsidR="00B15186" w:rsidRPr="00B15186" w:rsidRDefault="00B15186" w:rsidP="00B15186">
      <w:pPr>
        <w:pStyle w:val="ListBullet"/>
      </w:pPr>
      <w:r w:rsidRPr="00B15186">
        <w:lastRenderedPageBreak/>
        <w:t>Idarucizumab rapidly reversed dabigatran</w:t>
      </w:r>
      <w:r w:rsidR="005127FC">
        <w:t xml:space="preserve"> </w:t>
      </w:r>
      <w:r w:rsidRPr="00B15186">
        <w:t xml:space="preserve">mediated anticoagulation in animals </w:t>
      </w:r>
      <w:proofErr w:type="spellStart"/>
      <w:r w:rsidRPr="00B15186">
        <w:t>pretreated</w:t>
      </w:r>
      <w:proofErr w:type="spellEnd"/>
      <w:r w:rsidRPr="00B15186">
        <w:t xml:space="preserve"> with dabigatran (mouse and rat tail bleed models, in mouse model of intracerebral haemorrhage and in pig blunt liver trauma model)</w:t>
      </w:r>
    </w:p>
    <w:p w:rsidR="00B15186" w:rsidRPr="00B15186" w:rsidRDefault="00B15186" w:rsidP="00B15186">
      <w:pPr>
        <w:pStyle w:val="ListBullet"/>
      </w:pPr>
      <w:r w:rsidRPr="00B15186">
        <w:t>Onset of reversal was apparent within minutes of idarucizumab dosing; neutralisation persisted for up to 30 mins in rats concomitantly infused with dabigatran</w:t>
      </w:r>
    </w:p>
    <w:p w:rsidR="00B15186" w:rsidRPr="00B15186" w:rsidRDefault="00B15186" w:rsidP="00B15186">
      <w:pPr>
        <w:pStyle w:val="ListBullet"/>
      </w:pPr>
      <w:r w:rsidRPr="00B15186">
        <w:t>Idarucizumab increased plasma levels of total dabigatran (inclusive of antibody-bound dabigatran and its metabolites) in all animal models; attributed to dabigatran redistributing from the extravascular space into blood vessels to bind with free idarucizumab</w:t>
      </w:r>
    </w:p>
    <w:p w:rsidR="00B15186" w:rsidRPr="00B15186" w:rsidRDefault="00B15186" w:rsidP="00B15186">
      <w:pPr>
        <w:pStyle w:val="ListBullet"/>
      </w:pPr>
      <w:r w:rsidRPr="00B15186">
        <w:t>Extent of neutralisation depends on stoichiometric considerations: if idarucizumab levels are less than equimolar to dabigatran, anticoagulant activity gradually re-emerges because extravascular dabigatran redistributes into circulation</w:t>
      </w:r>
      <w:r w:rsidR="00DB357F">
        <w:t xml:space="preserve"> and is not affected by already </w:t>
      </w:r>
      <w:r w:rsidRPr="00B15186">
        <w:t>bound idarucizumab</w:t>
      </w:r>
    </w:p>
    <w:p w:rsidR="00B15186" w:rsidRPr="00B15186" w:rsidRDefault="00B15186" w:rsidP="00B15186">
      <w:pPr>
        <w:pStyle w:val="ListBullet"/>
      </w:pPr>
      <w:r w:rsidRPr="00B15186">
        <w:t xml:space="preserve">In rats, the prolonged bleeding time elicited by dabigatran was slightly augmented by antiplatelet agents </w:t>
      </w:r>
      <w:proofErr w:type="spellStart"/>
      <w:r w:rsidRPr="00B15186">
        <w:t>ticagrelor</w:t>
      </w:r>
      <w:proofErr w:type="spellEnd"/>
      <w:r w:rsidRPr="00B15186">
        <w:t xml:space="preserve"> and </w:t>
      </w:r>
      <w:proofErr w:type="spellStart"/>
      <w:r w:rsidRPr="00B15186">
        <w:t>clopidogrel</w:t>
      </w:r>
      <w:proofErr w:type="spellEnd"/>
      <w:r w:rsidRPr="00B15186">
        <w:t xml:space="preserve">; </w:t>
      </w:r>
      <w:proofErr w:type="spellStart"/>
      <w:r w:rsidRPr="00B15186">
        <w:t>idarucizumab</w:t>
      </w:r>
      <w:proofErr w:type="spellEnd"/>
      <w:r w:rsidRPr="00B15186">
        <w:t xml:space="preserve"> prevented the prolonged bleeding attributed to dabigatran but did not affect the antiplatelet agent effects or anticoagulant activity of warfarin and enoxaparin</w:t>
      </w:r>
    </w:p>
    <w:p w:rsidR="00B15186" w:rsidRPr="00B15186" w:rsidRDefault="00B15186" w:rsidP="00B15186">
      <w:pPr>
        <w:pStyle w:val="ListBullet"/>
      </w:pPr>
      <w:r w:rsidRPr="00B15186">
        <w:t>Idaruciz</w:t>
      </w:r>
      <w:r w:rsidR="00DB357F">
        <w:t xml:space="preserve">umab given to dabigatran </w:t>
      </w:r>
      <w:r w:rsidRPr="00B15186">
        <w:t>treated animals within 15 minutes of acute injury improved survival rates and prevented extensive blood loss, as well as normalised coagulation parameters, MAP, platelet counts, haemoglobin and fibrinogen levels</w:t>
      </w:r>
    </w:p>
    <w:p w:rsidR="00B15186" w:rsidRPr="00B15186" w:rsidRDefault="00B15186" w:rsidP="00B15186">
      <w:pPr>
        <w:pStyle w:val="ListBullet"/>
      </w:pPr>
      <w:proofErr w:type="spellStart"/>
      <w:r w:rsidRPr="00B15186">
        <w:t>Haemodilution</w:t>
      </w:r>
      <w:proofErr w:type="spellEnd"/>
      <w:r w:rsidRPr="00B15186">
        <w:t xml:space="preserve"> and substances used as volume expand</w:t>
      </w:r>
      <w:r w:rsidR="00DB357F">
        <w:t xml:space="preserve">ers to treat hypovolaemia (for example, </w:t>
      </w:r>
      <w:r w:rsidRPr="00B15186">
        <w:t xml:space="preserve">6% HES, 4% </w:t>
      </w:r>
      <w:proofErr w:type="spellStart"/>
      <w:r w:rsidRPr="00B15186">
        <w:t>gelatin</w:t>
      </w:r>
      <w:proofErr w:type="spellEnd"/>
      <w:r w:rsidRPr="00B15186">
        <w:t>) did not interfere with the interaction between dabigatran and idarucizumab</w:t>
      </w:r>
    </w:p>
    <w:p w:rsidR="009A7609" w:rsidRDefault="00B15186" w:rsidP="00B15186">
      <w:r w:rsidRPr="00B15186">
        <w:t xml:space="preserve">Overall, pharmacodynamic studies demonstrated selective binding of idarucizumab to dabigatran (as well as its active </w:t>
      </w:r>
      <w:proofErr w:type="spellStart"/>
      <w:r w:rsidRPr="00B15186">
        <w:t>glucuronidated</w:t>
      </w:r>
      <w:proofErr w:type="spellEnd"/>
      <w:r w:rsidRPr="00B15186">
        <w:t xml:space="preserve"> metabolites) which reverses the anticoagulant actions of dabigatran</w:t>
      </w:r>
      <w:r w:rsidR="009A7609">
        <w:t>.</w:t>
      </w:r>
    </w:p>
    <w:p w:rsidR="00B15186" w:rsidRPr="00B15186" w:rsidRDefault="00B15186" w:rsidP="00B15186">
      <w:r w:rsidRPr="00B15186">
        <w:t>One potential concern is the very high affinity of idaruci</w:t>
      </w:r>
      <w:r w:rsidR="00147E32">
        <w:t>zumab for dabigatran (</w:t>
      </w:r>
      <w:proofErr w:type="spellStart"/>
      <w:r w:rsidR="00147E32">
        <w:t>Kd</w:t>
      </w:r>
      <w:proofErr w:type="spellEnd"/>
      <w:r w:rsidR="00147E32">
        <w:t xml:space="preserve"> 2.1 </w:t>
      </w:r>
      <w:proofErr w:type="spellStart"/>
      <w:r w:rsidR="00147E32">
        <w:t>pM</w:t>
      </w:r>
      <w:proofErr w:type="spellEnd"/>
      <w:r w:rsidR="00A5608D">
        <w:t xml:space="preserve">, compared to </w:t>
      </w:r>
      <w:r w:rsidRPr="00B15186">
        <w:t xml:space="preserve">affinity of dabigatran for thrombin 0.7 </w:t>
      </w:r>
      <w:proofErr w:type="spellStart"/>
      <w:r w:rsidRPr="00B15186">
        <w:t>nM</w:t>
      </w:r>
      <w:proofErr w:type="spellEnd"/>
      <w:r w:rsidRPr="00B15186">
        <w:t xml:space="preserve">) and whether this might present a </w:t>
      </w:r>
      <w:proofErr w:type="spellStart"/>
      <w:r w:rsidRPr="00B15186">
        <w:t>prothrombotic</w:t>
      </w:r>
      <w:proofErr w:type="spellEnd"/>
      <w:r w:rsidRPr="00B15186">
        <w:t xml:space="preserve"> risk. However, idarucizumab alone has no pharmacological activity under either in vitro or in vivo conditions. Moreover, some of the repeat</w:t>
      </w:r>
      <w:r w:rsidR="00911545">
        <w:t xml:space="preserve"> </w:t>
      </w:r>
      <w:r w:rsidRPr="00B15186">
        <w:t xml:space="preserve">dose toxicity studies monitored </w:t>
      </w:r>
      <w:proofErr w:type="spellStart"/>
      <w:r w:rsidRPr="00B15186">
        <w:t>prothrombotic</w:t>
      </w:r>
      <w:proofErr w:type="spellEnd"/>
      <w:r w:rsidRPr="00B15186">
        <w:t xml:space="preserve"> marker levels before and after idarucizumab administration and found no difference from levels in vehicle treated animals. Animal studies also indicated that stoichiometric considerations are important to the interaction between dabigatran and idarucizumab, such that plasma levels of antibody should be equimolar or in excess of dabigatran to sustain neutralisation of dabigatran, since in some studies a gradual return of anticoagulant activity was apparent.</w:t>
      </w:r>
    </w:p>
    <w:p w:rsidR="00B15186" w:rsidRPr="00EB69F1" w:rsidRDefault="00B15186" w:rsidP="00B15186">
      <w:pPr>
        <w:pStyle w:val="Heading4"/>
      </w:pPr>
      <w:r w:rsidRPr="00EB69F1">
        <w:t>Secondary pharmacodynamics and safety pharmacology</w:t>
      </w:r>
    </w:p>
    <w:p w:rsidR="00B15186" w:rsidRPr="00B15186" w:rsidRDefault="00B15186" w:rsidP="00B15186">
      <w:r w:rsidRPr="00B15186">
        <w:t xml:space="preserve">No secondary pharmacology studies were submitted. A number of the primary pharmacology studies reported no activity of </w:t>
      </w:r>
      <w:proofErr w:type="spellStart"/>
      <w:r w:rsidRPr="00B15186">
        <w:t>idarucizumab</w:t>
      </w:r>
      <w:proofErr w:type="spellEnd"/>
      <w:r w:rsidRPr="00B15186">
        <w:t xml:space="preserve"> against </w:t>
      </w:r>
      <w:r w:rsidR="009A7609" w:rsidRPr="00B15186">
        <w:t>we</w:t>
      </w:r>
      <w:r w:rsidR="009A7609">
        <w:t>ll-known</w:t>
      </w:r>
      <w:r w:rsidR="00911545">
        <w:t xml:space="preserve"> anticoagulant and </w:t>
      </w:r>
      <w:r w:rsidR="009A7609">
        <w:t>anti-</w:t>
      </w:r>
      <w:r w:rsidR="009A7609" w:rsidRPr="00B15186">
        <w:t>platelet</w:t>
      </w:r>
      <w:r w:rsidRPr="00B15186">
        <w:t xml:space="preserve"> agents. Furthermore, a tissue cross</w:t>
      </w:r>
      <w:r w:rsidR="00911545">
        <w:t xml:space="preserve"> </w:t>
      </w:r>
      <w:r w:rsidRPr="00B15186">
        <w:t>reactivity study against a panel of human and animal tissue found no evidence of reactivity of idarucizumab. As a substance exerting its actions solely within the vascular milieu</w:t>
      </w:r>
      <w:r w:rsidR="00911545">
        <w:t>,</w:t>
      </w:r>
      <w:r w:rsidRPr="00B15186">
        <w:t xml:space="preserve"> there is no evidence suggesting that idarucizumab interacts with anything other than its antigen (dabigatran).</w:t>
      </w:r>
    </w:p>
    <w:p w:rsidR="00B15186" w:rsidRPr="00B15186" w:rsidRDefault="00B15186" w:rsidP="00B15186">
      <w:r w:rsidRPr="00B15186">
        <w:t>Safety pharmacology assessment consisted of a dedicated GLP study on the respiratory system as well as CNS (Irwin test observations)</w:t>
      </w:r>
      <w:r w:rsidR="00911545">
        <w:t xml:space="preserve"> and cardiovascular system (electrocardiograph </w:t>
      </w:r>
      <w:r w:rsidRPr="00B15186">
        <w:t>waveform analyses) monitoring in some of the GLP repeat dose toxicity studies. No treatment</w:t>
      </w:r>
      <w:r w:rsidR="00911545">
        <w:t xml:space="preserve"> </w:t>
      </w:r>
      <w:r w:rsidRPr="00B15186">
        <w:t>related effects were noted for idarucizumab and overall there were no adverse findings suggestive of adverse effects on organ systems.</w:t>
      </w:r>
    </w:p>
    <w:p w:rsidR="008E7846" w:rsidRDefault="008E7846" w:rsidP="008E7846">
      <w:pPr>
        <w:pStyle w:val="Heading3"/>
      </w:pPr>
      <w:bookmarkStart w:id="51" w:name="_Toc247691513"/>
      <w:bookmarkStart w:id="52" w:name="_Toc314842497"/>
      <w:bookmarkStart w:id="53" w:name="_Toc466282935"/>
      <w:r>
        <w:lastRenderedPageBreak/>
        <w:t>Pharmacokinetics</w:t>
      </w:r>
      <w:bookmarkEnd w:id="51"/>
      <w:bookmarkEnd w:id="52"/>
      <w:bookmarkEnd w:id="53"/>
    </w:p>
    <w:p w:rsidR="009A7609" w:rsidRDefault="00B15186" w:rsidP="00B15186">
      <w:bookmarkStart w:id="54" w:name="_Toc247691514"/>
      <w:bookmarkStart w:id="55" w:name="_Toc314842498"/>
      <w:r w:rsidRPr="00B15186">
        <w:t>Pharmacokinetic parameters of idarucizumab were investigated in rats and Rhesus monkeys in the presence and absence of dabigatran and were compared to clinical data from healthy volunteers, elderly volunteers and patients with mild and moderate renal impairment. Dabigatran was always administered at least 15 minutes prior to idarucizumab dosing to ensure that anticoagulation was taking place</w:t>
      </w:r>
      <w:r w:rsidR="009A7609">
        <w:t>.</w:t>
      </w:r>
    </w:p>
    <w:p w:rsidR="00B15186" w:rsidRDefault="00B15186" w:rsidP="00B15186">
      <w:pPr>
        <w:pStyle w:val="Heading4"/>
      </w:pPr>
      <w:r w:rsidRPr="00F61728">
        <w:t>Absorption</w:t>
      </w:r>
      <w:r>
        <w:t xml:space="preserve"> and distribution</w:t>
      </w:r>
    </w:p>
    <w:p w:rsidR="00B15186" w:rsidRPr="00B15186" w:rsidRDefault="00B15186" w:rsidP="00B15186">
      <w:r w:rsidRPr="00B15186">
        <w:t xml:space="preserve">As a Fab fragment antibody substance, idarucizumab is intended for intravenous administration only and therefore has 100% bioavailability with peak plasma levels attained almost immediately following dosing. </w:t>
      </w:r>
      <w:proofErr w:type="gramStart"/>
      <w:r w:rsidRPr="00B15186">
        <w:t>A dose</w:t>
      </w:r>
      <w:r w:rsidR="00610A3A">
        <w:t xml:space="preserve"> </w:t>
      </w:r>
      <w:r w:rsidRPr="00B15186">
        <w:t>escalating study in monkeys (Study No.</w:t>
      </w:r>
      <w:proofErr w:type="gramEnd"/>
      <w:r w:rsidRPr="00B15186">
        <w:t xml:space="preserve"> DDB0127/11r090) tested three doses of idarucizumab and found plasma levels increased in a dose</w:t>
      </w:r>
      <w:r w:rsidR="00610A3A">
        <w:t xml:space="preserve"> </w:t>
      </w:r>
      <w:r w:rsidRPr="00B15186">
        <w:t>proportionate manner with no difference in exposure between male and females. Dabigatran dosing did not affect plasma idarucizumab. The plasma concentration</w:t>
      </w:r>
      <w:r w:rsidR="00610A3A">
        <w:t xml:space="preserve"> </w:t>
      </w:r>
      <w:r w:rsidRPr="00B15186">
        <w:t xml:space="preserve">time profile of idarucizumab exhibited biphasic kinetics with a rapid initial decline </w:t>
      </w:r>
      <w:r w:rsidR="004A44EF">
        <w:t xml:space="preserve">(short initial </w:t>
      </w:r>
      <w:r w:rsidR="009A7609">
        <w:t>half-life</w:t>
      </w:r>
      <w:r w:rsidR="00610A3A">
        <w:t>; 0.2-</w:t>
      </w:r>
      <w:r w:rsidRPr="00B15186">
        <w:t>0.75 h in all species) that paralleled distribution into the circulation, while the second phase showed a slower, more prolonged elimination p</w:t>
      </w:r>
      <w:r w:rsidR="00610A3A">
        <w:t>hase (terminal half-life; 4.3-</w:t>
      </w:r>
      <w:r w:rsidRPr="00B15186">
        <w:t>5.8 h in all species). Clearance of idarucizumab was si</w:t>
      </w:r>
      <w:r w:rsidR="00610A3A">
        <w:t>milar across all species (0.6-</w:t>
      </w:r>
      <w:r w:rsidRPr="00B15186">
        <w:t>2.3 mL/min/kg) and the volume of distribution at steady state was small (approximately equivalent to plasma volume,) confirming that idarucizumab exerts its actions strictly within the vascular milieu. Antibodies against idarucizumab were detected in all animal species that received multiple doses but did not appear to significantly affect exposure and efficacy of idarucizumab.</w:t>
      </w:r>
    </w:p>
    <w:p w:rsidR="009A7609" w:rsidRDefault="00B15186" w:rsidP="00B15186">
      <w:r w:rsidRPr="00B15186">
        <w:t xml:space="preserve">Plasma levels of (total) dabigatran were however affected by </w:t>
      </w:r>
      <w:proofErr w:type="gramStart"/>
      <w:r w:rsidRPr="00B15186">
        <w:t>idarucizumab,</w:t>
      </w:r>
      <w:proofErr w:type="gramEnd"/>
      <w:r w:rsidRPr="00B15186">
        <w:t xml:space="preserve"> with levels increasing ~ 2 fold when in th</w:t>
      </w:r>
      <w:r w:rsidR="004A44EF">
        <w:t>e presence of idarucizumab (</w:t>
      </w:r>
      <w:r w:rsidRPr="00B15186">
        <w:t xml:space="preserve">Study No. </w:t>
      </w:r>
      <w:proofErr w:type="gramStart"/>
      <w:r w:rsidRPr="00B15186">
        <w:t>DM-13-1030/U13-3577-01).</w:t>
      </w:r>
      <w:proofErr w:type="gramEnd"/>
      <w:r w:rsidRPr="00B15186">
        <w:t xml:space="preserve"> This effect was due to the emergence of dabigatran from the extravascular space in excess of that participating in anticoagulation. Because renal function plays a significant role in idarucizumab excretion (and also dabigatran), studies on rats models of renal impairment (5/6 nephrectomised rats) were also conducted. This animal model showed elevations in plasma exposures for both idarucizumab and dabigatran, relative to sham operated counterpart animals (Ratio of 2.32 and 1.89 folds of sham-operated animals, respectively)</w:t>
      </w:r>
      <w:r w:rsidR="009A7609">
        <w:t>.</w:t>
      </w:r>
    </w:p>
    <w:p w:rsidR="00B15186" w:rsidRDefault="00B15186" w:rsidP="00B15186">
      <w:pPr>
        <w:pStyle w:val="Heading4"/>
      </w:pPr>
      <w:r w:rsidRPr="00DC6F19">
        <w:t>Distribution</w:t>
      </w:r>
    </w:p>
    <w:p w:rsidR="00B15186" w:rsidRPr="00B15186" w:rsidRDefault="00B15186" w:rsidP="00B15186">
      <w:r w:rsidRPr="00B15186">
        <w:t xml:space="preserve">No specific studies were conducted to examine tissue distribution of idarucizumab. In view of the low volume of distribution noted across all species, idarucizumab is not likely to distribute in tissue compartments other than within the vasculature. A study on </w:t>
      </w:r>
      <w:proofErr w:type="spellStart"/>
      <w:r w:rsidRPr="00B15186">
        <w:t>cryosections</w:t>
      </w:r>
      <w:proofErr w:type="spellEnd"/>
      <w:r w:rsidRPr="00B15186">
        <w:t xml:space="preserve"> of tissues from rats, monkeys and hu</w:t>
      </w:r>
      <w:r w:rsidR="004A44EF">
        <w:t xml:space="preserve">mans found no evidence of cross </w:t>
      </w:r>
      <w:r w:rsidRPr="00B15186">
        <w:t>reactivity with idarucizumab and therefore idarucizumab is not expected to form complexes and deposits in tissues, even within the vascular milieu.</w:t>
      </w:r>
    </w:p>
    <w:p w:rsidR="00B15186" w:rsidRDefault="00B15186" w:rsidP="00B15186">
      <w:pPr>
        <w:pStyle w:val="Heading4"/>
      </w:pPr>
      <w:r w:rsidRPr="000B4434">
        <w:t>Metabolism</w:t>
      </w:r>
    </w:p>
    <w:p w:rsidR="00B15186" w:rsidRPr="00B15186" w:rsidRDefault="00B15186" w:rsidP="00B15186">
      <w:r w:rsidRPr="00B15186">
        <w:t>No specific studies on metabolism were conducted but it is anticipated that it undergoes protein catabolism similarly to other protein</w:t>
      </w:r>
      <w:r w:rsidR="004A44EF">
        <w:t xml:space="preserve"> </w:t>
      </w:r>
      <w:r w:rsidRPr="00B15186">
        <w:t>based pharmaceuticals.</w:t>
      </w:r>
    </w:p>
    <w:p w:rsidR="00B15186" w:rsidRDefault="00B15186" w:rsidP="00B15186">
      <w:pPr>
        <w:pStyle w:val="Heading4"/>
      </w:pPr>
      <w:r w:rsidRPr="00AA2A3F">
        <w:t>Excretion</w:t>
      </w:r>
    </w:p>
    <w:p w:rsidR="009A7609" w:rsidRDefault="00B15186" w:rsidP="00B15186">
      <w:r w:rsidRPr="00B15186">
        <w:t>In rats and monkeys</w:t>
      </w:r>
      <w:r w:rsidR="00074D4C">
        <w:t>,</w:t>
      </w:r>
      <w:r w:rsidRPr="00B15186">
        <w:t xml:space="preserve"> a sma</w:t>
      </w:r>
      <w:r w:rsidR="004A44EF">
        <w:t>ll percentage of idarucizumab (~10-</w:t>
      </w:r>
      <w:r w:rsidRPr="00B15186">
        <w:t>20%) was found to be excreted through urine unchanged. The remaining amount was likely also excreted through urine as catabolised protein, as expected for protein</w:t>
      </w:r>
      <w:r w:rsidR="00074D4C">
        <w:t xml:space="preserve"> </w:t>
      </w:r>
      <w:r w:rsidRPr="00B15186">
        <w:t xml:space="preserve">based pharmaceuticals. In humans extent of excretion was dependent on dose with ~10% of dose excreted </w:t>
      </w:r>
      <w:r w:rsidRPr="00B15186">
        <w:lastRenderedPageBreak/>
        <w:t>unchanged at 1 g idarucizumab, while at 4 g the amount was ~40%, an effect attributed to the saturable nature of renal tubule reuptake for catabolism</w:t>
      </w:r>
      <w:r w:rsidR="009A7609">
        <w:t>.</w:t>
      </w:r>
    </w:p>
    <w:p w:rsidR="00B15186" w:rsidRDefault="00B15186" w:rsidP="00B15186">
      <w:pPr>
        <w:pStyle w:val="Heading4"/>
      </w:pPr>
      <w:r>
        <w:t>Conclusion</w:t>
      </w:r>
    </w:p>
    <w:p w:rsidR="00B15186" w:rsidRPr="00B15186" w:rsidRDefault="00B15186" w:rsidP="00B15186">
      <w:r w:rsidRPr="00B15186">
        <w:t>Overall, there were sufficient similarities in the pharmacokinetic profiles of idarucizumab in rats, monkeys and humans (especially monkeys and humans) for these species to suitable serve as adequate models for the toxicity tests.</w:t>
      </w:r>
    </w:p>
    <w:p w:rsidR="00B15186" w:rsidRDefault="00B15186" w:rsidP="00B15186">
      <w:pPr>
        <w:pStyle w:val="Heading4"/>
      </w:pPr>
      <w:bookmarkStart w:id="56" w:name="_Toc294861725"/>
      <w:r w:rsidRPr="00EB69F1">
        <w:t>Pharmacokinetic drug interactions</w:t>
      </w:r>
      <w:bookmarkEnd w:id="56"/>
    </w:p>
    <w:p w:rsidR="00B15186" w:rsidRPr="00B15186" w:rsidRDefault="00B15186" w:rsidP="00B15186">
      <w:r w:rsidRPr="00B15186">
        <w:t>No specific studies on drug interaction potential of idarucizumab were conducted.</w:t>
      </w:r>
    </w:p>
    <w:p w:rsidR="001B5C90" w:rsidRDefault="008E7846" w:rsidP="001B5C90">
      <w:pPr>
        <w:pStyle w:val="Heading3"/>
      </w:pPr>
      <w:bookmarkStart w:id="57" w:name="_Toc466282936"/>
      <w:r>
        <w:t>Toxicology</w:t>
      </w:r>
      <w:bookmarkEnd w:id="54"/>
      <w:bookmarkEnd w:id="55"/>
      <w:bookmarkEnd w:id="57"/>
    </w:p>
    <w:p w:rsidR="00B15186" w:rsidRPr="00EB69F1" w:rsidRDefault="00B15186" w:rsidP="00B15186">
      <w:pPr>
        <w:pStyle w:val="Heading4"/>
      </w:pPr>
      <w:bookmarkStart w:id="58" w:name="_Toc294861727"/>
      <w:r w:rsidRPr="00EB69F1">
        <w:t>Acute toxicity</w:t>
      </w:r>
      <w:bookmarkEnd w:id="58"/>
    </w:p>
    <w:p w:rsidR="00B15186" w:rsidRPr="00B15186" w:rsidRDefault="00B15186" w:rsidP="00B15186">
      <w:r w:rsidRPr="00B15186">
        <w:t>A single dose toxicity study was conducted in rats that received one of</w:t>
      </w:r>
      <w:r w:rsidR="00074D4C">
        <w:t xml:space="preserve"> two doses of idarucizumab (50 and</w:t>
      </w:r>
      <w:r w:rsidRPr="00B15186">
        <w:t xml:space="preserve"> 175 mg/kg, IV) or drug diluent (50 </w:t>
      </w:r>
      <w:proofErr w:type="spellStart"/>
      <w:r w:rsidRPr="00B15186">
        <w:t>mM</w:t>
      </w:r>
      <w:proofErr w:type="spellEnd"/>
      <w:r w:rsidRPr="00B15186">
        <w:t xml:space="preserve"> sodium acetate </w:t>
      </w:r>
      <w:r w:rsidR="00074D4C">
        <w:t>and</w:t>
      </w:r>
      <w:r w:rsidRPr="00B15186">
        <w:t xml:space="preserve"> 200 </w:t>
      </w:r>
      <w:proofErr w:type="spellStart"/>
      <w:r w:rsidRPr="00B15186">
        <w:t>mM</w:t>
      </w:r>
      <w:proofErr w:type="spellEnd"/>
      <w:r w:rsidRPr="00B15186">
        <w:t xml:space="preserve"> sorbitol). There were no toxicological findings reported and all animals survived the till the term of observation period (14 days). Thus, overall idarucizumab exhibited a low order of acute toxicity.</w:t>
      </w:r>
    </w:p>
    <w:p w:rsidR="00B15186" w:rsidRPr="00EB69F1" w:rsidRDefault="00B15186" w:rsidP="00B15186">
      <w:pPr>
        <w:pStyle w:val="Heading4"/>
      </w:pPr>
      <w:bookmarkStart w:id="59" w:name="_Toc294861728"/>
      <w:r>
        <w:t xml:space="preserve">Repeat </w:t>
      </w:r>
      <w:r w:rsidRPr="00EB69F1">
        <w:t>dose toxicity</w:t>
      </w:r>
      <w:bookmarkEnd w:id="59"/>
    </w:p>
    <w:p w:rsidR="00B15186" w:rsidRPr="00B15186" w:rsidRDefault="00B15186" w:rsidP="00B15186">
      <w:r w:rsidRPr="00B15186">
        <w:t>Repeat dose toxicity studies were conducted in rats and Rhesus monkeys, using the clinical route (</w:t>
      </w:r>
      <w:r w:rsidR="00F62823">
        <w:t>IV</w:t>
      </w:r>
      <w:r w:rsidRPr="00B15186">
        <w:t xml:space="preserve"> administration). Studies were up to 4 weeks in rats and 2 weeks in monkeys. As an antidote to a chronically</w:t>
      </w:r>
      <w:r w:rsidR="001C20FA">
        <w:t xml:space="preserve"> </w:t>
      </w:r>
      <w:r w:rsidRPr="00B15186">
        <w:t>used active pharmaceutical, idarucizumab has single use only application, although the need for a second exposure may potentially arise. For short</w:t>
      </w:r>
      <w:r w:rsidR="00B63F0A">
        <w:t xml:space="preserve"> </w:t>
      </w:r>
      <w:r w:rsidRPr="00B15186">
        <w:t>term use biopharmaceuticals, such as idarucizumab, the</w:t>
      </w:r>
      <w:r w:rsidR="00B63F0A">
        <w:t xml:space="preserve"> published guidelines</w:t>
      </w:r>
      <w:r w:rsidR="00B63F0A">
        <w:rPr>
          <w:rStyle w:val="FootnoteReference"/>
        </w:rPr>
        <w:footnoteReference w:id="3"/>
      </w:r>
      <w:r w:rsidRPr="00B15186">
        <w:t xml:space="preserve"> suggests that studies up to 2 weeks duration are sufficient to support marketing authorisation; thus, the length of the studies in this submission is adequate.</w:t>
      </w:r>
    </w:p>
    <w:p w:rsidR="00B15186" w:rsidRPr="00EB69F1" w:rsidRDefault="00B15186" w:rsidP="00B15186">
      <w:pPr>
        <w:pStyle w:val="Heading5"/>
      </w:pPr>
      <w:r w:rsidRPr="00EB69F1">
        <w:t>Relative exposure</w:t>
      </w:r>
    </w:p>
    <w:p w:rsidR="00B15186" w:rsidRDefault="00B15186" w:rsidP="00B15186">
      <w:r w:rsidRPr="00B15186">
        <w:t xml:space="preserve">A comparative assessment of systemic exposure of idarucizumab from clinical studies against the animal values is </w:t>
      </w:r>
      <w:r w:rsidR="00502A84">
        <w:t>in Table 2</w:t>
      </w:r>
      <w:r w:rsidRPr="00B15186">
        <w:t>. Human reference values are taken from several studies and included data from different patient groups, including elderly patients and patients with impaired renal function. Relative exposures attained in the animal studies (as AUC) were moderately low.</w:t>
      </w:r>
    </w:p>
    <w:p w:rsidR="00B15186" w:rsidRPr="00B15186" w:rsidRDefault="00B15186" w:rsidP="009A7609">
      <w:pPr>
        <w:pStyle w:val="TableTitle"/>
      </w:pPr>
      <w:proofErr w:type="gramStart"/>
      <w:r>
        <w:lastRenderedPageBreak/>
        <w:t>Table 2.</w:t>
      </w:r>
      <w:proofErr w:type="gramEnd"/>
      <w:r w:rsidR="005D4F82">
        <w:t xml:space="preserve"> </w:t>
      </w:r>
      <w:proofErr w:type="gramStart"/>
      <w:r w:rsidR="005D4F82">
        <w:t>S</w:t>
      </w:r>
      <w:r w:rsidR="005D4F82" w:rsidRPr="00B15186">
        <w:t>ystemic exposure of idarucizumab from clinical studies</w:t>
      </w:r>
      <w:r w:rsidR="005D4F82">
        <w:t>.</w:t>
      </w:r>
      <w:proofErr w:type="gramEnd"/>
    </w:p>
    <w:tbl>
      <w:tblPr>
        <w:tblStyle w:val="TableTGAblue"/>
        <w:tblW w:w="0" w:type="auto"/>
        <w:tblLayout w:type="fixed"/>
        <w:tblLook w:val="04A0" w:firstRow="1" w:lastRow="0" w:firstColumn="1" w:lastColumn="0" w:noHBand="0" w:noVBand="1"/>
      </w:tblPr>
      <w:tblGrid>
        <w:gridCol w:w="1668"/>
        <w:gridCol w:w="1134"/>
        <w:gridCol w:w="1694"/>
        <w:gridCol w:w="1005"/>
        <w:gridCol w:w="927"/>
        <w:gridCol w:w="971"/>
        <w:gridCol w:w="1321"/>
      </w:tblGrid>
      <w:tr w:rsidR="00B15186" w:rsidRPr="009A7609" w:rsidTr="009A7609">
        <w:trPr>
          <w:cnfStyle w:val="100000000000" w:firstRow="1" w:lastRow="0" w:firstColumn="0" w:lastColumn="0" w:oddVBand="0" w:evenVBand="0" w:oddHBand="0" w:evenHBand="0" w:firstRowFirstColumn="0" w:firstRowLastColumn="0" w:lastRowFirstColumn="0" w:lastRowLastColumn="0"/>
        </w:trPr>
        <w:tc>
          <w:tcPr>
            <w:tcW w:w="4496" w:type="dxa"/>
            <w:gridSpan w:val="3"/>
            <w:vMerge w:val="restart"/>
          </w:tcPr>
          <w:p w:rsidR="00B15186" w:rsidRPr="009A7609" w:rsidRDefault="00B15186" w:rsidP="009A7609">
            <w:pPr>
              <w:rPr>
                <w:sz w:val="20"/>
                <w:szCs w:val="20"/>
              </w:rPr>
            </w:pPr>
          </w:p>
        </w:tc>
        <w:tc>
          <w:tcPr>
            <w:tcW w:w="4224" w:type="dxa"/>
            <w:gridSpan w:val="4"/>
          </w:tcPr>
          <w:p w:rsidR="00B15186" w:rsidRPr="009A7609" w:rsidRDefault="00B15186" w:rsidP="009A7609">
            <w:pPr>
              <w:rPr>
                <w:b w:val="0"/>
                <w:sz w:val="20"/>
                <w:szCs w:val="20"/>
              </w:rPr>
            </w:pPr>
            <w:r w:rsidRPr="009A7609">
              <w:rPr>
                <w:sz w:val="20"/>
                <w:szCs w:val="20"/>
              </w:rPr>
              <w:t>Clinical exposure multiples</w:t>
            </w:r>
          </w:p>
        </w:tc>
      </w:tr>
      <w:tr w:rsidR="00B15186" w:rsidRPr="009A7609" w:rsidTr="009A7609">
        <w:trPr>
          <w:cnfStyle w:val="100000000000" w:firstRow="1" w:lastRow="0" w:firstColumn="0" w:lastColumn="0" w:oddVBand="0" w:evenVBand="0" w:oddHBand="0" w:evenHBand="0" w:firstRowFirstColumn="0" w:firstRowLastColumn="0" w:lastRowFirstColumn="0" w:lastRowLastColumn="0"/>
        </w:trPr>
        <w:tc>
          <w:tcPr>
            <w:tcW w:w="4496" w:type="dxa"/>
            <w:gridSpan w:val="3"/>
            <w:vMerge/>
          </w:tcPr>
          <w:p w:rsidR="00B15186" w:rsidRPr="009A7609" w:rsidRDefault="00B15186" w:rsidP="009A7609">
            <w:pPr>
              <w:rPr>
                <w:sz w:val="20"/>
                <w:szCs w:val="20"/>
              </w:rPr>
            </w:pPr>
          </w:p>
        </w:tc>
        <w:tc>
          <w:tcPr>
            <w:tcW w:w="1932" w:type="dxa"/>
            <w:gridSpan w:val="2"/>
          </w:tcPr>
          <w:p w:rsidR="00B15186" w:rsidRPr="009A7609" w:rsidRDefault="00B15186" w:rsidP="009A7609">
            <w:pPr>
              <w:rPr>
                <w:b w:val="0"/>
                <w:sz w:val="20"/>
                <w:szCs w:val="20"/>
              </w:rPr>
            </w:pPr>
            <w:r w:rsidRPr="009A7609">
              <w:rPr>
                <w:sz w:val="20"/>
                <w:szCs w:val="20"/>
              </w:rPr>
              <w:t>Healthy volunteers</w:t>
            </w:r>
          </w:p>
        </w:tc>
        <w:tc>
          <w:tcPr>
            <w:tcW w:w="2292" w:type="dxa"/>
            <w:gridSpan w:val="2"/>
          </w:tcPr>
          <w:p w:rsidR="00B15186" w:rsidRPr="009A7609" w:rsidRDefault="00B15186" w:rsidP="009A7609">
            <w:pPr>
              <w:rPr>
                <w:b w:val="0"/>
                <w:sz w:val="20"/>
                <w:szCs w:val="20"/>
              </w:rPr>
            </w:pPr>
            <w:r w:rsidRPr="009A7609">
              <w:rPr>
                <w:sz w:val="20"/>
                <w:szCs w:val="20"/>
              </w:rPr>
              <w:t>Renal impairment</w:t>
            </w:r>
          </w:p>
        </w:tc>
      </w:tr>
      <w:tr w:rsidR="00B15186" w:rsidRPr="009A7609" w:rsidTr="009A7609">
        <w:trPr>
          <w:cnfStyle w:val="100000000000" w:firstRow="1" w:lastRow="0" w:firstColumn="0" w:lastColumn="0" w:oddVBand="0" w:evenVBand="0" w:oddHBand="0" w:evenHBand="0" w:firstRowFirstColumn="0" w:firstRowLastColumn="0" w:lastRowFirstColumn="0" w:lastRowLastColumn="0"/>
        </w:trPr>
        <w:tc>
          <w:tcPr>
            <w:tcW w:w="4496" w:type="dxa"/>
            <w:gridSpan w:val="3"/>
            <w:vMerge/>
          </w:tcPr>
          <w:p w:rsidR="00B15186" w:rsidRPr="009A7609" w:rsidRDefault="00B15186" w:rsidP="009A7609">
            <w:pPr>
              <w:rPr>
                <w:sz w:val="20"/>
                <w:szCs w:val="20"/>
              </w:rPr>
            </w:pPr>
          </w:p>
        </w:tc>
        <w:tc>
          <w:tcPr>
            <w:tcW w:w="1005" w:type="dxa"/>
          </w:tcPr>
          <w:p w:rsidR="00B15186" w:rsidRPr="009A7609" w:rsidRDefault="00B15186" w:rsidP="009A7609">
            <w:pPr>
              <w:rPr>
                <w:b w:val="0"/>
                <w:sz w:val="20"/>
                <w:szCs w:val="20"/>
              </w:rPr>
            </w:pPr>
            <w:r w:rsidRPr="009A7609">
              <w:rPr>
                <w:sz w:val="20"/>
                <w:szCs w:val="20"/>
              </w:rPr>
              <w:t>45 – 64 yrs</w:t>
            </w:r>
            <w:r w:rsidRPr="009A7609">
              <w:rPr>
                <w:sz w:val="20"/>
                <w:szCs w:val="20"/>
                <w:vertAlign w:val="superscript"/>
              </w:rPr>
              <w:t>1</w:t>
            </w:r>
          </w:p>
        </w:tc>
        <w:tc>
          <w:tcPr>
            <w:tcW w:w="927" w:type="dxa"/>
          </w:tcPr>
          <w:p w:rsidR="00B15186" w:rsidRPr="009A7609" w:rsidRDefault="00B15186" w:rsidP="009A7609">
            <w:pPr>
              <w:rPr>
                <w:b w:val="0"/>
                <w:sz w:val="20"/>
                <w:szCs w:val="20"/>
              </w:rPr>
            </w:pPr>
            <w:r w:rsidRPr="009A7609">
              <w:rPr>
                <w:sz w:val="20"/>
                <w:szCs w:val="20"/>
              </w:rPr>
              <w:t>&gt; 64 yrs</w:t>
            </w:r>
            <w:r w:rsidRPr="009A7609">
              <w:rPr>
                <w:sz w:val="20"/>
                <w:szCs w:val="20"/>
                <w:vertAlign w:val="superscript"/>
              </w:rPr>
              <w:t>2</w:t>
            </w:r>
          </w:p>
        </w:tc>
        <w:tc>
          <w:tcPr>
            <w:tcW w:w="971" w:type="dxa"/>
          </w:tcPr>
          <w:p w:rsidR="00B15186" w:rsidRPr="009A7609" w:rsidRDefault="00B15186" w:rsidP="009A7609">
            <w:pPr>
              <w:rPr>
                <w:b w:val="0"/>
                <w:sz w:val="20"/>
                <w:szCs w:val="20"/>
              </w:rPr>
            </w:pPr>
            <w:r w:rsidRPr="009A7609">
              <w:rPr>
                <w:sz w:val="20"/>
                <w:szCs w:val="20"/>
              </w:rPr>
              <w:t>Mild</w:t>
            </w:r>
            <w:r w:rsidRPr="009A7609">
              <w:rPr>
                <w:sz w:val="20"/>
                <w:szCs w:val="20"/>
                <w:vertAlign w:val="superscript"/>
              </w:rPr>
              <w:t>3</w:t>
            </w:r>
          </w:p>
        </w:tc>
        <w:tc>
          <w:tcPr>
            <w:tcW w:w="1321" w:type="dxa"/>
          </w:tcPr>
          <w:p w:rsidR="00B15186" w:rsidRPr="009A7609" w:rsidRDefault="00B15186" w:rsidP="009A7609">
            <w:pPr>
              <w:rPr>
                <w:b w:val="0"/>
                <w:sz w:val="20"/>
                <w:szCs w:val="20"/>
              </w:rPr>
            </w:pPr>
            <w:r w:rsidRPr="009A7609">
              <w:rPr>
                <w:sz w:val="20"/>
                <w:szCs w:val="20"/>
              </w:rPr>
              <w:t>Moderate</w:t>
            </w:r>
            <w:r w:rsidRPr="009A7609">
              <w:rPr>
                <w:sz w:val="20"/>
                <w:szCs w:val="20"/>
                <w:vertAlign w:val="superscript"/>
              </w:rPr>
              <w:t>4</w:t>
            </w:r>
          </w:p>
        </w:tc>
      </w:tr>
      <w:tr w:rsidR="00405581" w:rsidRPr="009A7609" w:rsidTr="009A7609">
        <w:trPr>
          <w:trHeight w:hRule="exact" w:val="825"/>
        </w:trPr>
        <w:tc>
          <w:tcPr>
            <w:tcW w:w="1668" w:type="dxa"/>
            <w:vMerge w:val="restart"/>
          </w:tcPr>
          <w:p w:rsidR="00B15186" w:rsidRPr="009A7609" w:rsidRDefault="00B15186" w:rsidP="009A7609">
            <w:pPr>
              <w:rPr>
                <w:sz w:val="20"/>
                <w:szCs w:val="20"/>
              </w:rPr>
            </w:pPr>
            <w:r w:rsidRPr="009A7609">
              <w:rPr>
                <w:sz w:val="20"/>
                <w:szCs w:val="20"/>
              </w:rPr>
              <w:t>Study No. DDB0136 (11R091)</w:t>
            </w:r>
            <w:r w:rsidR="009A7609">
              <w:rPr>
                <w:sz w:val="20"/>
                <w:szCs w:val="20"/>
              </w:rPr>
              <w:t xml:space="preserve"> </w:t>
            </w:r>
            <w:r w:rsidRPr="009A7609">
              <w:rPr>
                <w:sz w:val="20"/>
                <w:szCs w:val="20"/>
              </w:rPr>
              <w:t>Rat (</w:t>
            </w:r>
            <w:proofErr w:type="spellStart"/>
            <w:r w:rsidRPr="009A7609">
              <w:rPr>
                <w:sz w:val="20"/>
                <w:szCs w:val="20"/>
              </w:rPr>
              <w:t>Wistar</w:t>
            </w:r>
            <w:proofErr w:type="spellEnd"/>
            <w:r w:rsidRPr="009A7609">
              <w:rPr>
                <w:sz w:val="20"/>
                <w:szCs w:val="20"/>
              </w:rPr>
              <w:t xml:space="preserve"> Han)NOAEL: 500 mg/kg/day, IV</w:t>
            </w:r>
          </w:p>
        </w:tc>
        <w:tc>
          <w:tcPr>
            <w:tcW w:w="1134" w:type="dxa"/>
            <w:vMerge w:val="restart"/>
          </w:tcPr>
          <w:p w:rsidR="00B15186" w:rsidRPr="009A7609" w:rsidRDefault="00B15186" w:rsidP="009A7609">
            <w:pPr>
              <w:rPr>
                <w:sz w:val="20"/>
                <w:szCs w:val="20"/>
              </w:rPr>
            </w:pPr>
            <w:r w:rsidRPr="009A7609">
              <w:rPr>
                <w:sz w:val="20"/>
                <w:szCs w:val="20"/>
              </w:rPr>
              <w:t>500 mg/kg, IV</w:t>
            </w:r>
          </w:p>
        </w:tc>
        <w:tc>
          <w:tcPr>
            <w:tcW w:w="1694" w:type="dxa"/>
          </w:tcPr>
          <w:p w:rsidR="00B15186" w:rsidRPr="009A7609" w:rsidRDefault="00B15186" w:rsidP="009A7609">
            <w:pPr>
              <w:rPr>
                <w:sz w:val="20"/>
                <w:szCs w:val="20"/>
              </w:rPr>
            </w:pPr>
            <w:proofErr w:type="spellStart"/>
            <w:r w:rsidRPr="009A7609">
              <w:rPr>
                <w:sz w:val="20"/>
                <w:szCs w:val="20"/>
              </w:rPr>
              <w:t>C</w:t>
            </w:r>
            <w:r w:rsidRPr="009A7609">
              <w:rPr>
                <w:sz w:val="20"/>
                <w:szCs w:val="20"/>
                <w:vertAlign w:val="subscript"/>
              </w:rPr>
              <w:t>max</w:t>
            </w:r>
            <w:proofErr w:type="spellEnd"/>
            <w:r w:rsidRPr="009A7609">
              <w:rPr>
                <w:sz w:val="20"/>
                <w:szCs w:val="20"/>
              </w:rPr>
              <w:t xml:space="preserve">: 181500 </w:t>
            </w:r>
            <w:proofErr w:type="spellStart"/>
            <w:r w:rsidRPr="009A7609">
              <w:rPr>
                <w:sz w:val="20"/>
                <w:szCs w:val="20"/>
              </w:rPr>
              <w:t>nM</w:t>
            </w:r>
            <w:proofErr w:type="spellEnd"/>
          </w:p>
        </w:tc>
        <w:tc>
          <w:tcPr>
            <w:tcW w:w="1005" w:type="dxa"/>
          </w:tcPr>
          <w:p w:rsidR="00B15186" w:rsidRPr="009A7609" w:rsidRDefault="00B15186" w:rsidP="009A7609">
            <w:pPr>
              <w:rPr>
                <w:sz w:val="20"/>
                <w:szCs w:val="20"/>
              </w:rPr>
            </w:pPr>
            <w:r w:rsidRPr="009A7609">
              <w:rPr>
                <w:sz w:val="20"/>
                <w:szCs w:val="20"/>
              </w:rPr>
              <w:t>7</w:t>
            </w:r>
          </w:p>
        </w:tc>
        <w:tc>
          <w:tcPr>
            <w:tcW w:w="927" w:type="dxa"/>
          </w:tcPr>
          <w:p w:rsidR="00B15186" w:rsidRPr="009A7609" w:rsidRDefault="00B15186" w:rsidP="009A7609">
            <w:pPr>
              <w:rPr>
                <w:sz w:val="20"/>
                <w:szCs w:val="20"/>
              </w:rPr>
            </w:pPr>
            <w:r w:rsidRPr="009A7609">
              <w:rPr>
                <w:sz w:val="20"/>
                <w:szCs w:val="20"/>
              </w:rPr>
              <w:t>6</w:t>
            </w:r>
          </w:p>
        </w:tc>
        <w:tc>
          <w:tcPr>
            <w:tcW w:w="971" w:type="dxa"/>
          </w:tcPr>
          <w:p w:rsidR="00B15186" w:rsidRPr="009A7609" w:rsidRDefault="00B15186" w:rsidP="009A7609">
            <w:pPr>
              <w:rPr>
                <w:sz w:val="20"/>
                <w:szCs w:val="20"/>
              </w:rPr>
            </w:pPr>
            <w:r w:rsidRPr="009A7609">
              <w:rPr>
                <w:sz w:val="20"/>
                <w:szCs w:val="20"/>
              </w:rPr>
              <w:t>6</w:t>
            </w:r>
          </w:p>
        </w:tc>
        <w:tc>
          <w:tcPr>
            <w:tcW w:w="1321" w:type="dxa"/>
          </w:tcPr>
          <w:p w:rsidR="00B15186" w:rsidRPr="009A7609" w:rsidRDefault="00B15186" w:rsidP="009A7609">
            <w:pPr>
              <w:rPr>
                <w:sz w:val="20"/>
                <w:szCs w:val="20"/>
              </w:rPr>
            </w:pPr>
            <w:r w:rsidRPr="009A7609">
              <w:rPr>
                <w:sz w:val="20"/>
                <w:szCs w:val="20"/>
              </w:rPr>
              <w:t>7</w:t>
            </w:r>
          </w:p>
        </w:tc>
      </w:tr>
      <w:tr w:rsidR="00405581" w:rsidRPr="009A7609" w:rsidTr="009A7609">
        <w:trPr>
          <w:trHeight w:hRule="exact" w:val="1572"/>
        </w:trPr>
        <w:tc>
          <w:tcPr>
            <w:tcW w:w="1668" w:type="dxa"/>
            <w:vMerge/>
          </w:tcPr>
          <w:p w:rsidR="00B15186" w:rsidRPr="009A7609" w:rsidRDefault="00B15186" w:rsidP="009A7609">
            <w:pPr>
              <w:rPr>
                <w:sz w:val="20"/>
                <w:szCs w:val="20"/>
              </w:rPr>
            </w:pPr>
          </w:p>
        </w:tc>
        <w:tc>
          <w:tcPr>
            <w:tcW w:w="1134" w:type="dxa"/>
            <w:vMerge/>
          </w:tcPr>
          <w:p w:rsidR="00B15186" w:rsidRPr="009A7609" w:rsidRDefault="00B15186" w:rsidP="009A7609">
            <w:pPr>
              <w:rPr>
                <w:sz w:val="20"/>
                <w:szCs w:val="20"/>
              </w:rPr>
            </w:pPr>
          </w:p>
        </w:tc>
        <w:tc>
          <w:tcPr>
            <w:tcW w:w="1694" w:type="dxa"/>
          </w:tcPr>
          <w:p w:rsidR="00B15186" w:rsidRPr="009A7609" w:rsidRDefault="00405581" w:rsidP="009A7609">
            <w:pPr>
              <w:rPr>
                <w:sz w:val="20"/>
                <w:szCs w:val="20"/>
              </w:rPr>
            </w:pPr>
            <w:r w:rsidRPr="009A7609">
              <w:rPr>
                <w:sz w:val="20"/>
                <w:szCs w:val="20"/>
              </w:rPr>
              <w:t xml:space="preserve">AUC: 107500 </w:t>
            </w:r>
            <w:proofErr w:type="spellStart"/>
            <w:r w:rsidR="00B15186" w:rsidRPr="009A7609">
              <w:rPr>
                <w:sz w:val="20"/>
                <w:szCs w:val="20"/>
              </w:rPr>
              <w:t>nM</w:t>
            </w:r>
            <w:proofErr w:type="spellEnd"/>
          </w:p>
        </w:tc>
        <w:tc>
          <w:tcPr>
            <w:tcW w:w="1005" w:type="dxa"/>
          </w:tcPr>
          <w:p w:rsidR="00B15186" w:rsidRPr="009A7609" w:rsidRDefault="00B15186" w:rsidP="009A7609">
            <w:pPr>
              <w:rPr>
                <w:sz w:val="20"/>
                <w:szCs w:val="20"/>
              </w:rPr>
            </w:pPr>
            <w:r w:rsidRPr="009A7609">
              <w:rPr>
                <w:sz w:val="20"/>
                <w:szCs w:val="20"/>
              </w:rPr>
              <w:t>3</w:t>
            </w:r>
          </w:p>
        </w:tc>
        <w:tc>
          <w:tcPr>
            <w:tcW w:w="927" w:type="dxa"/>
          </w:tcPr>
          <w:p w:rsidR="00B15186" w:rsidRPr="009A7609" w:rsidRDefault="00B15186" w:rsidP="009A7609">
            <w:pPr>
              <w:rPr>
                <w:sz w:val="20"/>
                <w:szCs w:val="20"/>
              </w:rPr>
            </w:pPr>
            <w:r w:rsidRPr="009A7609">
              <w:rPr>
                <w:sz w:val="20"/>
                <w:szCs w:val="20"/>
              </w:rPr>
              <w:t>2</w:t>
            </w:r>
          </w:p>
        </w:tc>
        <w:tc>
          <w:tcPr>
            <w:tcW w:w="971" w:type="dxa"/>
          </w:tcPr>
          <w:p w:rsidR="00B15186" w:rsidRPr="009A7609" w:rsidRDefault="00B15186" w:rsidP="009A7609">
            <w:pPr>
              <w:rPr>
                <w:sz w:val="20"/>
                <w:szCs w:val="20"/>
              </w:rPr>
            </w:pPr>
            <w:r w:rsidRPr="009A7609">
              <w:rPr>
                <w:sz w:val="20"/>
                <w:szCs w:val="20"/>
              </w:rPr>
              <w:t>2</w:t>
            </w:r>
          </w:p>
        </w:tc>
        <w:tc>
          <w:tcPr>
            <w:tcW w:w="1321" w:type="dxa"/>
          </w:tcPr>
          <w:p w:rsidR="00B15186" w:rsidRPr="009A7609" w:rsidRDefault="00B15186" w:rsidP="009A7609">
            <w:pPr>
              <w:rPr>
                <w:sz w:val="20"/>
                <w:szCs w:val="20"/>
              </w:rPr>
            </w:pPr>
            <w:r w:rsidRPr="009A7609">
              <w:rPr>
                <w:sz w:val="20"/>
                <w:szCs w:val="20"/>
              </w:rPr>
              <w:t>2</w:t>
            </w:r>
          </w:p>
        </w:tc>
      </w:tr>
      <w:tr w:rsidR="00405581" w:rsidRPr="009A7609" w:rsidTr="009A7609">
        <w:trPr>
          <w:trHeight w:hRule="exact" w:val="701"/>
        </w:trPr>
        <w:tc>
          <w:tcPr>
            <w:tcW w:w="1668" w:type="dxa"/>
            <w:vMerge w:val="restart"/>
          </w:tcPr>
          <w:p w:rsidR="00B15186" w:rsidRPr="009A7609" w:rsidRDefault="00B15186" w:rsidP="009A7609">
            <w:pPr>
              <w:rPr>
                <w:sz w:val="20"/>
                <w:szCs w:val="20"/>
              </w:rPr>
            </w:pPr>
            <w:r w:rsidRPr="009A7609">
              <w:rPr>
                <w:sz w:val="20"/>
                <w:szCs w:val="20"/>
              </w:rPr>
              <w:t>Study No. U12-3328</w:t>
            </w:r>
            <w:r w:rsidR="009A7609" w:rsidRPr="009A7609">
              <w:rPr>
                <w:sz w:val="20"/>
                <w:szCs w:val="20"/>
              </w:rPr>
              <w:t xml:space="preserve"> </w:t>
            </w:r>
            <w:r w:rsidRPr="009A7609">
              <w:rPr>
                <w:sz w:val="20"/>
                <w:szCs w:val="20"/>
              </w:rPr>
              <w:t>Monkey</w:t>
            </w:r>
          </w:p>
        </w:tc>
        <w:tc>
          <w:tcPr>
            <w:tcW w:w="1134" w:type="dxa"/>
            <w:vMerge w:val="restart"/>
          </w:tcPr>
          <w:p w:rsidR="00B15186" w:rsidRPr="009A7609" w:rsidRDefault="00B15186" w:rsidP="009A7609">
            <w:pPr>
              <w:rPr>
                <w:sz w:val="20"/>
                <w:szCs w:val="20"/>
              </w:rPr>
            </w:pPr>
            <w:r w:rsidRPr="009A7609">
              <w:rPr>
                <w:sz w:val="20"/>
                <w:szCs w:val="20"/>
              </w:rPr>
              <w:t>150 mg/kg, IV</w:t>
            </w:r>
          </w:p>
        </w:tc>
        <w:tc>
          <w:tcPr>
            <w:tcW w:w="1694" w:type="dxa"/>
          </w:tcPr>
          <w:p w:rsidR="00B15186" w:rsidRPr="009A7609" w:rsidRDefault="00B15186" w:rsidP="009A7609">
            <w:pPr>
              <w:rPr>
                <w:sz w:val="20"/>
                <w:szCs w:val="20"/>
              </w:rPr>
            </w:pPr>
            <w:proofErr w:type="spellStart"/>
            <w:r w:rsidRPr="009A7609">
              <w:rPr>
                <w:sz w:val="20"/>
                <w:szCs w:val="20"/>
              </w:rPr>
              <w:t>C</w:t>
            </w:r>
            <w:r w:rsidRPr="009A7609">
              <w:rPr>
                <w:sz w:val="20"/>
                <w:szCs w:val="20"/>
                <w:vertAlign w:val="subscript"/>
              </w:rPr>
              <w:t>max</w:t>
            </w:r>
            <w:proofErr w:type="spellEnd"/>
            <w:r w:rsidRPr="009A7609">
              <w:rPr>
                <w:sz w:val="20"/>
                <w:szCs w:val="20"/>
              </w:rPr>
              <w:t xml:space="preserve">: 48750 </w:t>
            </w:r>
            <w:proofErr w:type="spellStart"/>
            <w:r w:rsidRPr="009A7609">
              <w:rPr>
                <w:sz w:val="20"/>
                <w:szCs w:val="20"/>
              </w:rPr>
              <w:t>nM</w:t>
            </w:r>
            <w:proofErr w:type="spellEnd"/>
          </w:p>
        </w:tc>
        <w:tc>
          <w:tcPr>
            <w:tcW w:w="1005" w:type="dxa"/>
          </w:tcPr>
          <w:p w:rsidR="00B15186" w:rsidRPr="009A7609" w:rsidRDefault="00B15186" w:rsidP="009A7609">
            <w:pPr>
              <w:rPr>
                <w:sz w:val="20"/>
                <w:szCs w:val="20"/>
              </w:rPr>
            </w:pPr>
            <w:r w:rsidRPr="009A7609">
              <w:rPr>
                <w:sz w:val="20"/>
                <w:szCs w:val="20"/>
              </w:rPr>
              <w:t>2</w:t>
            </w:r>
          </w:p>
        </w:tc>
        <w:tc>
          <w:tcPr>
            <w:tcW w:w="927" w:type="dxa"/>
          </w:tcPr>
          <w:p w:rsidR="00B15186" w:rsidRPr="009A7609" w:rsidRDefault="00B15186" w:rsidP="009A7609">
            <w:pPr>
              <w:rPr>
                <w:sz w:val="20"/>
                <w:szCs w:val="20"/>
              </w:rPr>
            </w:pPr>
            <w:r w:rsidRPr="009A7609">
              <w:rPr>
                <w:sz w:val="20"/>
                <w:szCs w:val="20"/>
              </w:rPr>
              <w:t>2</w:t>
            </w:r>
          </w:p>
        </w:tc>
        <w:tc>
          <w:tcPr>
            <w:tcW w:w="971" w:type="dxa"/>
          </w:tcPr>
          <w:p w:rsidR="00B15186" w:rsidRPr="009A7609" w:rsidRDefault="00B15186" w:rsidP="009A7609">
            <w:pPr>
              <w:rPr>
                <w:sz w:val="20"/>
                <w:szCs w:val="20"/>
              </w:rPr>
            </w:pPr>
            <w:r w:rsidRPr="009A7609">
              <w:rPr>
                <w:sz w:val="20"/>
                <w:szCs w:val="20"/>
              </w:rPr>
              <w:t>2</w:t>
            </w:r>
          </w:p>
        </w:tc>
        <w:tc>
          <w:tcPr>
            <w:tcW w:w="1321" w:type="dxa"/>
          </w:tcPr>
          <w:p w:rsidR="00B15186" w:rsidRPr="009A7609" w:rsidRDefault="00B15186" w:rsidP="009A7609">
            <w:pPr>
              <w:rPr>
                <w:sz w:val="20"/>
                <w:szCs w:val="20"/>
              </w:rPr>
            </w:pPr>
            <w:r w:rsidRPr="009A7609">
              <w:rPr>
                <w:sz w:val="20"/>
                <w:szCs w:val="20"/>
              </w:rPr>
              <w:t>2</w:t>
            </w:r>
          </w:p>
        </w:tc>
      </w:tr>
      <w:tr w:rsidR="00405581" w:rsidRPr="009A7609" w:rsidTr="009A7609">
        <w:trPr>
          <w:trHeight w:hRule="exact" w:val="697"/>
        </w:trPr>
        <w:tc>
          <w:tcPr>
            <w:tcW w:w="1668" w:type="dxa"/>
            <w:vMerge/>
          </w:tcPr>
          <w:p w:rsidR="00B15186" w:rsidRPr="009A7609" w:rsidRDefault="00B15186" w:rsidP="009A7609">
            <w:pPr>
              <w:rPr>
                <w:sz w:val="20"/>
                <w:szCs w:val="20"/>
              </w:rPr>
            </w:pPr>
          </w:p>
        </w:tc>
        <w:tc>
          <w:tcPr>
            <w:tcW w:w="1134" w:type="dxa"/>
            <w:vMerge/>
          </w:tcPr>
          <w:p w:rsidR="00B15186" w:rsidRPr="009A7609" w:rsidRDefault="00B15186" w:rsidP="009A7609">
            <w:pPr>
              <w:rPr>
                <w:sz w:val="20"/>
                <w:szCs w:val="20"/>
              </w:rPr>
            </w:pPr>
          </w:p>
        </w:tc>
        <w:tc>
          <w:tcPr>
            <w:tcW w:w="1694" w:type="dxa"/>
          </w:tcPr>
          <w:p w:rsidR="00B15186" w:rsidRPr="009A7609" w:rsidRDefault="00B15186" w:rsidP="009A7609">
            <w:pPr>
              <w:rPr>
                <w:sz w:val="20"/>
                <w:szCs w:val="20"/>
              </w:rPr>
            </w:pPr>
            <w:r w:rsidRPr="009A7609">
              <w:rPr>
                <w:sz w:val="20"/>
                <w:szCs w:val="20"/>
              </w:rPr>
              <w:t xml:space="preserve">AUC: 49400 </w:t>
            </w:r>
            <w:proofErr w:type="spellStart"/>
            <w:r w:rsidRPr="009A7609">
              <w:rPr>
                <w:sz w:val="20"/>
                <w:szCs w:val="20"/>
              </w:rPr>
              <w:t>nM</w:t>
            </w:r>
            <w:proofErr w:type="spellEnd"/>
          </w:p>
        </w:tc>
        <w:tc>
          <w:tcPr>
            <w:tcW w:w="1005" w:type="dxa"/>
          </w:tcPr>
          <w:p w:rsidR="00B15186" w:rsidRPr="009A7609" w:rsidRDefault="00B15186" w:rsidP="009A7609">
            <w:pPr>
              <w:rPr>
                <w:sz w:val="20"/>
                <w:szCs w:val="20"/>
              </w:rPr>
            </w:pPr>
            <w:r w:rsidRPr="009A7609">
              <w:rPr>
                <w:sz w:val="20"/>
                <w:szCs w:val="20"/>
              </w:rPr>
              <w:t>1</w:t>
            </w:r>
          </w:p>
        </w:tc>
        <w:tc>
          <w:tcPr>
            <w:tcW w:w="927" w:type="dxa"/>
          </w:tcPr>
          <w:p w:rsidR="00B15186" w:rsidRPr="009A7609" w:rsidRDefault="00B15186" w:rsidP="009A7609">
            <w:pPr>
              <w:rPr>
                <w:sz w:val="20"/>
                <w:szCs w:val="20"/>
              </w:rPr>
            </w:pPr>
            <w:r w:rsidRPr="009A7609">
              <w:rPr>
                <w:sz w:val="20"/>
                <w:szCs w:val="20"/>
              </w:rPr>
              <w:t>1</w:t>
            </w:r>
          </w:p>
        </w:tc>
        <w:tc>
          <w:tcPr>
            <w:tcW w:w="971" w:type="dxa"/>
          </w:tcPr>
          <w:p w:rsidR="00B15186" w:rsidRPr="009A7609" w:rsidRDefault="00B15186" w:rsidP="009A7609">
            <w:pPr>
              <w:rPr>
                <w:sz w:val="20"/>
                <w:szCs w:val="20"/>
              </w:rPr>
            </w:pPr>
            <w:r w:rsidRPr="009A7609">
              <w:rPr>
                <w:sz w:val="20"/>
                <w:szCs w:val="20"/>
              </w:rPr>
              <w:t>1</w:t>
            </w:r>
          </w:p>
        </w:tc>
        <w:tc>
          <w:tcPr>
            <w:tcW w:w="1321" w:type="dxa"/>
          </w:tcPr>
          <w:p w:rsidR="00B15186" w:rsidRPr="009A7609" w:rsidRDefault="00B15186" w:rsidP="009A7609">
            <w:pPr>
              <w:rPr>
                <w:sz w:val="20"/>
                <w:szCs w:val="20"/>
              </w:rPr>
            </w:pPr>
            <w:r w:rsidRPr="009A7609">
              <w:rPr>
                <w:sz w:val="20"/>
                <w:szCs w:val="20"/>
              </w:rPr>
              <w:t>1</w:t>
            </w:r>
          </w:p>
        </w:tc>
      </w:tr>
      <w:tr w:rsidR="00405581" w:rsidRPr="009A7609" w:rsidTr="009A7609">
        <w:trPr>
          <w:trHeight w:hRule="exact" w:val="708"/>
        </w:trPr>
        <w:tc>
          <w:tcPr>
            <w:tcW w:w="1668" w:type="dxa"/>
            <w:vMerge/>
          </w:tcPr>
          <w:p w:rsidR="00B15186" w:rsidRPr="009A7609" w:rsidRDefault="00B15186" w:rsidP="009A7609">
            <w:pPr>
              <w:rPr>
                <w:sz w:val="20"/>
                <w:szCs w:val="20"/>
              </w:rPr>
            </w:pPr>
          </w:p>
        </w:tc>
        <w:tc>
          <w:tcPr>
            <w:tcW w:w="1134" w:type="dxa"/>
            <w:vMerge w:val="restart"/>
          </w:tcPr>
          <w:p w:rsidR="00B15186" w:rsidRPr="009A7609" w:rsidRDefault="00B15186" w:rsidP="009A7609">
            <w:pPr>
              <w:rPr>
                <w:sz w:val="20"/>
                <w:szCs w:val="20"/>
              </w:rPr>
            </w:pPr>
            <w:r w:rsidRPr="009A7609">
              <w:rPr>
                <w:sz w:val="20"/>
                <w:szCs w:val="20"/>
              </w:rPr>
              <w:t>500 mg/kg, IV</w:t>
            </w:r>
          </w:p>
        </w:tc>
        <w:tc>
          <w:tcPr>
            <w:tcW w:w="1694" w:type="dxa"/>
          </w:tcPr>
          <w:p w:rsidR="00B15186" w:rsidRPr="009A7609" w:rsidRDefault="00B15186" w:rsidP="009A7609">
            <w:pPr>
              <w:rPr>
                <w:sz w:val="20"/>
                <w:szCs w:val="20"/>
              </w:rPr>
            </w:pPr>
            <w:proofErr w:type="spellStart"/>
            <w:r w:rsidRPr="009A7609">
              <w:rPr>
                <w:sz w:val="20"/>
                <w:szCs w:val="20"/>
              </w:rPr>
              <w:t>C</w:t>
            </w:r>
            <w:r w:rsidRPr="009A7609">
              <w:rPr>
                <w:sz w:val="20"/>
                <w:szCs w:val="20"/>
                <w:vertAlign w:val="subscript"/>
              </w:rPr>
              <w:t>max</w:t>
            </w:r>
            <w:proofErr w:type="spellEnd"/>
            <w:r w:rsidRPr="009A7609">
              <w:rPr>
                <w:sz w:val="20"/>
                <w:szCs w:val="20"/>
              </w:rPr>
              <w:t xml:space="preserve">: 235000 </w:t>
            </w:r>
            <w:proofErr w:type="spellStart"/>
            <w:r w:rsidRPr="009A7609">
              <w:rPr>
                <w:sz w:val="20"/>
                <w:szCs w:val="20"/>
              </w:rPr>
              <w:t>nM</w:t>
            </w:r>
            <w:proofErr w:type="spellEnd"/>
          </w:p>
        </w:tc>
        <w:tc>
          <w:tcPr>
            <w:tcW w:w="1005" w:type="dxa"/>
          </w:tcPr>
          <w:p w:rsidR="00B15186" w:rsidRPr="009A7609" w:rsidRDefault="00B15186" w:rsidP="009A7609">
            <w:pPr>
              <w:rPr>
                <w:sz w:val="20"/>
                <w:szCs w:val="20"/>
              </w:rPr>
            </w:pPr>
            <w:r w:rsidRPr="009A7609">
              <w:rPr>
                <w:sz w:val="20"/>
                <w:szCs w:val="20"/>
              </w:rPr>
              <w:t>9</w:t>
            </w:r>
          </w:p>
        </w:tc>
        <w:tc>
          <w:tcPr>
            <w:tcW w:w="927" w:type="dxa"/>
          </w:tcPr>
          <w:p w:rsidR="00B15186" w:rsidRPr="009A7609" w:rsidRDefault="00B15186" w:rsidP="009A7609">
            <w:pPr>
              <w:rPr>
                <w:sz w:val="20"/>
                <w:szCs w:val="20"/>
              </w:rPr>
            </w:pPr>
            <w:r w:rsidRPr="009A7609">
              <w:rPr>
                <w:sz w:val="20"/>
                <w:szCs w:val="20"/>
              </w:rPr>
              <w:t>8</w:t>
            </w:r>
          </w:p>
        </w:tc>
        <w:tc>
          <w:tcPr>
            <w:tcW w:w="971" w:type="dxa"/>
          </w:tcPr>
          <w:p w:rsidR="00B15186" w:rsidRPr="009A7609" w:rsidRDefault="00B15186" w:rsidP="009A7609">
            <w:pPr>
              <w:rPr>
                <w:sz w:val="20"/>
                <w:szCs w:val="20"/>
              </w:rPr>
            </w:pPr>
            <w:r w:rsidRPr="009A7609">
              <w:rPr>
                <w:sz w:val="20"/>
                <w:szCs w:val="20"/>
              </w:rPr>
              <w:t>7</w:t>
            </w:r>
          </w:p>
        </w:tc>
        <w:tc>
          <w:tcPr>
            <w:tcW w:w="1321" w:type="dxa"/>
          </w:tcPr>
          <w:p w:rsidR="00B15186" w:rsidRPr="009A7609" w:rsidRDefault="00B15186" w:rsidP="009A7609">
            <w:pPr>
              <w:rPr>
                <w:sz w:val="20"/>
                <w:szCs w:val="20"/>
              </w:rPr>
            </w:pPr>
            <w:r w:rsidRPr="009A7609">
              <w:rPr>
                <w:sz w:val="20"/>
                <w:szCs w:val="20"/>
              </w:rPr>
              <w:t>9</w:t>
            </w:r>
          </w:p>
        </w:tc>
      </w:tr>
      <w:tr w:rsidR="00405581" w:rsidRPr="009A7609" w:rsidTr="009A7609">
        <w:trPr>
          <w:trHeight w:hRule="exact" w:val="704"/>
        </w:trPr>
        <w:tc>
          <w:tcPr>
            <w:tcW w:w="1668" w:type="dxa"/>
            <w:vMerge/>
          </w:tcPr>
          <w:p w:rsidR="00B15186" w:rsidRPr="009A7609" w:rsidRDefault="00B15186" w:rsidP="009A7609">
            <w:pPr>
              <w:rPr>
                <w:sz w:val="20"/>
                <w:szCs w:val="20"/>
              </w:rPr>
            </w:pPr>
          </w:p>
        </w:tc>
        <w:tc>
          <w:tcPr>
            <w:tcW w:w="1134" w:type="dxa"/>
            <w:vMerge/>
          </w:tcPr>
          <w:p w:rsidR="00B15186" w:rsidRPr="009A7609" w:rsidRDefault="00B15186" w:rsidP="009A7609">
            <w:pPr>
              <w:rPr>
                <w:sz w:val="20"/>
                <w:szCs w:val="20"/>
              </w:rPr>
            </w:pPr>
          </w:p>
        </w:tc>
        <w:tc>
          <w:tcPr>
            <w:tcW w:w="1694" w:type="dxa"/>
          </w:tcPr>
          <w:p w:rsidR="00B15186" w:rsidRPr="009A7609" w:rsidRDefault="00B15186" w:rsidP="009A7609">
            <w:pPr>
              <w:rPr>
                <w:sz w:val="20"/>
                <w:szCs w:val="20"/>
              </w:rPr>
            </w:pPr>
            <w:r w:rsidRPr="009A7609">
              <w:rPr>
                <w:sz w:val="20"/>
                <w:szCs w:val="20"/>
              </w:rPr>
              <w:t xml:space="preserve">AUC: 223000 </w:t>
            </w:r>
            <w:proofErr w:type="spellStart"/>
            <w:r w:rsidRPr="009A7609">
              <w:rPr>
                <w:sz w:val="20"/>
                <w:szCs w:val="20"/>
              </w:rPr>
              <w:t>nM</w:t>
            </w:r>
            <w:proofErr w:type="spellEnd"/>
          </w:p>
        </w:tc>
        <w:tc>
          <w:tcPr>
            <w:tcW w:w="1005" w:type="dxa"/>
          </w:tcPr>
          <w:p w:rsidR="00B15186" w:rsidRPr="009A7609" w:rsidRDefault="00B15186" w:rsidP="009A7609">
            <w:pPr>
              <w:rPr>
                <w:sz w:val="20"/>
                <w:szCs w:val="20"/>
              </w:rPr>
            </w:pPr>
            <w:r w:rsidRPr="009A7609">
              <w:rPr>
                <w:sz w:val="20"/>
                <w:szCs w:val="20"/>
              </w:rPr>
              <w:t>6</w:t>
            </w:r>
          </w:p>
        </w:tc>
        <w:tc>
          <w:tcPr>
            <w:tcW w:w="927" w:type="dxa"/>
          </w:tcPr>
          <w:p w:rsidR="00B15186" w:rsidRPr="009A7609" w:rsidRDefault="00B15186" w:rsidP="009A7609">
            <w:pPr>
              <w:rPr>
                <w:sz w:val="20"/>
                <w:szCs w:val="20"/>
              </w:rPr>
            </w:pPr>
            <w:r w:rsidRPr="009A7609">
              <w:rPr>
                <w:sz w:val="20"/>
                <w:szCs w:val="20"/>
              </w:rPr>
              <w:t>5</w:t>
            </w:r>
          </w:p>
        </w:tc>
        <w:tc>
          <w:tcPr>
            <w:tcW w:w="971" w:type="dxa"/>
          </w:tcPr>
          <w:p w:rsidR="00B15186" w:rsidRPr="009A7609" w:rsidRDefault="00B15186" w:rsidP="009A7609">
            <w:pPr>
              <w:rPr>
                <w:sz w:val="20"/>
                <w:szCs w:val="20"/>
              </w:rPr>
            </w:pPr>
            <w:r w:rsidRPr="009A7609">
              <w:rPr>
                <w:sz w:val="20"/>
                <w:szCs w:val="20"/>
              </w:rPr>
              <w:t>4</w:t>
            </w:r>
          </w:p>
        </w:tc>
        <w:tc>
          <w:tcPr>
            <w:tcW w:w="1321" w:type="dxa"/>
          </w:tcPr>
          <w:p w:rsidR="00B15186" w:rsidRPr="009A7609" w:rsidRDefault="00B15186" w:rsidP="009A7609">
            <w:pPr>
              <w:rPr>
                <w:sz w:val="20"/>
                <w:szCs w:val="20"/>
              </w:rPr>
            </w:pPr>
            <w:r w:rsidRPr="009A7609">
              <w:rPr>
                <w:sz w:val="20"/>
                <w:szCs w:val="20"/>
              </w:rPr>
              <w:t>3</w:t>
            </w:r>
          </w:p>
        </w:tc>
      </w:tr>
      <w:tr w:rsidR="00405581" w:rsidRPr="009A7609" w:rsidTr="009A7609">
        <w:trPr>
          <w:trHeight w:hRule="exact" w:val="556"/>
        </w:trPr>
        <w:tc>
          <w:tcPr>
            <w:tcW w:w="1668" w:type="dxa"/>
            <w:vMerge w:val="restart"/>
          </w:tcPr>
          <w:p w:rsidR="00B15186" w:rsidRPr="009A7609" w:rsidRDefault="00B15186" w:rsidP="009A7609">
            <w:pPr>
              <w:rPr>
                <w:sz w:val="20"/>
                <w:szCs w:val="20"/>
              </w:rPr>
            </w:pPr>
            <w:r w:rsidRPr="009A7609">
              <w:rPr>
                <w:sz w:val="20"/>
                <w:szCs w:val="20"/>
              </w:rPr>
              <w:t>Study No. U13-3376</w:t>
            </w:r>
            <w:r w:rsidR="009A7609" w:rsidRPr="009A7609">
              <w:rPr>
                <w:sz w:val="20"/>
                <w:szCs w:val="20"/>
              </w:rPr>
              <w:t xml:space="preserve"> </w:t>
            </w:r>
            <w:r w:rsidRPr="009A7609">
              <w:rPr>
                <w:sz w:val="20"/>
                <w:szCs w:val="20"/>
              </w:rPr>
              <w:t>Monkey</w:t>
            </w:r>
          </w:p>
        </w:tc>
        <w:tc>
          <w:tcPr>
            <w:tcW w:w="1134" w:type="dxa"/>
            <w:vMerge w:val="restart"/>
          </w:tcPr>
          <w:p w:rsidR="00B15186" w:rsidRPr="009A7609" w:rsidRDefault="00B15186" w:rsidP="009A7609">
            <w:pPr>
              <w:rPr>
                <w:sz w:val="20"/>
                <w:szCs w:val="20"/>
              </w:rPr>
            </w:pPr>
            <w:r w:rsidRPr="009A7609">
              <w:rPr>
                <w:sz w:val="20"/>
                <w:szCs w:val="20"/>
              </w:rPr>
              <w:t>no dabigatran</w:t>
            </w:r>
          </w:p>
        </w:tc>
        <w:tc>
          <w:tcPr>
            <w:tcW w:w="1694" w:type="dxa"/>
          </w:tcPr>
          <w:p w:rsidR="00B15186" w:rsidRPr="009A7609" w:rsidRDefault="00B15186" w:rsidP="009A7609">
            <w:pPr>
              <w:rPr>
                <w:sz w:val="20"/>
                <w:szCs w:val="20"/>
              </w:rPr>
            </w:pPr>
            <w:proofErr w:type="spellStart"/>
            <w:r w:rsidRPr="009A7609">
              <w:rPr>
                <w:sz w:val="20"/>
                <w:szCs w:val="20"/>
              </w:rPr>
              <w:t>C</w:t>
            </w:r>
            <w:r w:rsidRPr="009A7609">
              <w:rPr>
                <w:sz w:val="20"/>
                <w:szCs w:val="20"/>
                <w:vertAlign w:val="subscript"/>
              </w:rPr>
              <w:t>max</w:t>
            </w:r>
            <w:proofErr w:type="spellEnd"/>
            <w:r w:rsidRPr="009A7609">
              <w:rPr>
                <w:sz w:val="20"/>
                <w:szCs w:val="20"/>
              </w:rPr>
              <w:t xml:space="preserve">: 159750 </w:t>
            </w:r>
            <w:proofErr w:type="spellStart"/>
            <w:r w:rsidRPr="009A7609">
              <w:rPr>
                <w:sz w:val="20"/>
                <w:szCs w:val="20"/>
              </w:rPr>
              <w:t>nM</w:t>
            </w:r>
            <w:proofErr w:type="spellEnd"/>
          </w:p>
        </w:tc>
        <w:tc>
          <w:tcPr>
            <w:tcW w:w="1005" w:type="dxa"/>
          </w:tcPr>
          <w:p w:rsidR="00B15186" w:rsidRPr="009A7609" w:rsidRDefault="00B15186" w:rsidP="009A7609">
            <w:pPr>
              <w:rPr>
                <w:sz w:val="20"/>
                <w:szCs w:val="20"/>
              </w:rPr>
            </w:pPr>
            <w:r w:rsidRPr="009A7609">
              <w:rPr>
                <w:sz w:val="20"/>
                <w:szCs w:val="20"/>
              </w:rPr>
              <w:t>6</w:t>
            </w:r>
          </w:p>
        </w:tc>
        <w:tc>
          <w:tcPr>
            <w:tcW w:w="927" w:type="dxa"/>
          </w:tcPr>
          <w:p w:rsidR="00B15186" w:rsidRPr="009A7609" w:rsidRDefault="00B15186" w:rsidP="009A7609">
            <w:pPr>
              <w:rPr>
                <w:sz w:val="20"/>
                <w:szCs w:val="20"/>
              </w:rPr>
            </w:pPr>
            <w:r w:rsidRPr="009A7609">
              <w:rPr>
                <w:sz w:val="20"/>
                <w:szCs w:val="20"/>
              </w:rPr>
              <w:t>6</w:t>
            </w:r>
          </w:p>
        </w:tc>
        <w:tc>
          <w:tcPr>
            <w:tcW w:w="971" w:type="dxa"/>
          </w:tcPr>
          <w:p w:rsidR="00B15186" w:rsidRPr="009A7609" w:rsidRDefault="00B15186" w:rsidP="009A7609">
            <w:pPr>
              <w:rPr>
                <w:sz w:val="20"/>
                <w:szCs w:val="20"/>
              </w:rPr>
            </w:pPr>
            <w:r w:rsidRPr="009A7609">
              <w:rPr>
                <w:sz w:val="20"/>
                <w:szCs w:val="20"/>
              </w:rPr>
              <w:t>5</w:t>
            </w:r>
          </w:p>
        </w:tc>
        <w:tc>
          <w:tcPr>
            <w:tcW w:w="1321" w:type="dxa"/>
          </w:tcPr>
          <w:p w:rsidR="00B15186" w:rsidRPr="009A7609" w:rsidRDefault="00B15186" w:rsidP="009A7609">
            <w:pPr>
              <w:rPr>
                <w:sz w:val="20"/>
                <w:szCs w:val="20"/>
              </w:rPr>
            </w:pPr>
            <w:r w:rsidRPr="009A7609">
              <w:rPr>
                <w:sz w:val="20"/>
                <w:szCs w:val="20"/>
              </w:rPr>
              <w:t>6</w:t>
            </w:r>
          </w:p>
        </w:tc>
      </w:tr>
      <w:tr w:rsidR="00405581" w:rsidRPr="009A7609" w:rsidTr="009A7609">
        <w:trPr>
          <w:trHeight w:hRule="exact" w:val="566"/>
        </w:trPr>
        <w:tc>
          <w:tcPr>
            <w:tcW w:w="1668" w:type="dxa"/>
            <w:vMerge/>
          </w:tcPr>
          <w:p w:rsidR="00B15186" w:rsidRPr="009A7609" w:rsidRDefault="00B15186" w:rsidP="009A7609">
            <w:pPr>
              <w:rPr>
                <w:sz w:val="20"/>
                <w:szCs w:val="20"/>
              </w:rPr>
            </w:pPr>
          </w:p>
        </w:tc>
        <w:tc>
          <w:tcPr>
            <w:tcW w:w="1134" w:type="dxa"/>
            <w:vMerge/>
          </w:tcPr>
          <w:p w:rsidR="00B15186" w:rsidRPr="009A7609" w:rsidRDefault="00B15186" w:rsidP="009A7609">
            <w:pPr>
              <w:rPr>
                <w:sz w:val="20"/>
                <w:szCs w:val="20"/>
              </w:rPr>
            </w:pPr>
          </w:p>
        </w:tc>
        <w:tc>
          <w:tcPr>
            <w:tcW w:w="1694" w:type="dxa"/>
          </w:tcPr>
          <w:p w:rsidR="00B15186" w:rsidRPr="009A7609" w:rsidRDefault="00B15186" w:rsidP="009A7609">
            <w:pPr>
              <w:rPr>
                <w:sz w:val="20"/>
                <w:szCs w:val="20"/>
              </w:rPr>
            </w:pPr>
            <w:r w:rsidRPr="009A7609">
              <w:rPr>
                <w:sz w:val="20"/>
                <w:szCs w:val="20"/>
              </w:rPr>
              <w:t xml:space="preserve">AUC: 173157 </w:t>
            </w:r>
            <w:proofErr w:type="spellStart"/>
            <w:r w:rsidRPr="009A7609">
              <w:rPr>
                <w:sz w:val="20"/>
                <w:szCs w:val="20"/>
              </w:rPr>
              <w:t>nM</w:t>
            </w:r>
            <w:proofErr w:type="spellEnd"/>
          </w:p>
        </w:tc>
        <w:tc>
          <w:tcPr>
            <w:tcW w:w="1005" w:type="dxa"/>
          </w:tcPr>
          <w:p w:rsidR="00B15186" w:rsidRPr="009A7609" w:rsidRDefault="00B15186" w:rsidP="009A7609">
            <w:pPr>
              <w:rPr>
                <w:sz w:val="20"/>
                <w:szCs w:val="20"/>
              </w:rPr>
            </w:pPr>
            <w:r w:rsidRPr="009A7609">
              <w:rPr>
                <w:sz w:val="20"/>
                <w:szCs w:val="20"/>
              </w:rPr>
              <w:t>5</w:t>
            </w:r>
          </w:p>
        </w:tc>
        <w:tc>
          <w:tcPr>
            <w:tcW w:w="927" w:type="dxa"/>
          </w:tcPr>
          <w:p w:rsidR="00B15186" w:rsidRPr="009A7609" w:rsidRDefault="00B15186" w:rsidP="009A7609">
            <w:pPr>
              <w:rPr>
                <w:sz w:val="20"/>
                <w:szCs w:val="20"/>
              </w:rPr>
            </w:pPr>
            <w:r w:rsidRPr="009A7609">
              <w:rPr>
                <w:sz w:val="20"/>
                <w:szCs w:val="20"/>
              </w:rPr>
              <w:t>4</w:t>
            </w:r>
          </w:p>
        </w:tc>
        <w:tc>
          <w:tcPr>
            <w:tcW w:w="971" w:type="dxa"/>
          </w:tcPr>
          <w:p w:rsidR="00B15186" w:rsidRPr="009A7609" w:rsidRDefault="00B15186" w:rsidP="009A7609">
            <w:pPr>
              <w:rPr>
                <w:sz w:val="20"/>
                <w:szCs w:val="20"/>
              </w:rPr>
            </w:pPr>
            <w:r w:rsidRPr="009A7609">
              <w:rPr>
                <w:sz w:val="20"/>
                <w:szCs w:val="20"/>
              </w:rPr>
              <w:t>3</w:t>
            </w:r>
          </w:p>
        </w:tc>
        <w:tc>
          <w:tcPr>
            <w:tcW w:w="1321" w:type="dxa"/>
          </w:tcPr>
          <w:p w:rsidR="00B15186" w:rsidRPr="009A7609" w:rsidRDefault="00B15186" w:rsidP="009A7609">
            <w:pPr>
              <w:rPr>
                <w:sz w:val="20"/>
                <w:szCs w:val="20"/>
              </w:rPr>
            </w:pPr>
            <w:r w:rsidRPr="009A7609">
              <w:rPr>
                <w:sz w:val="20"/>
                <w:szCs w:val="20"/>
              </w:rPr>
              <w:t>3</w:t>
            </w:r>
          </w:p>
        </w:tc>
      </w:tr>
      <w:tr w:rsidR="00405581" w:rsidRPr="009A7609" w:rsidTr="009A7609">
        <w:trPr>
          <w:trHeight w:hRule="exact" w:val="589"/>
        </w:trPr>
        <w:tc>
          <w:tcPr>
            <w:tcW w:w="1668" w:type="dxa"/>
            <w:vMerge/>
          </w:tcPr>
          <w:p w:rsidR="00B15186" w:rsidRPr="009A7609" w:rsidRDefault="00B15186" w:rsidP="009A7609">
            <w:pPr>
              <w:rPr>
                <w:sz w:val="20"/>
                <w:szCs w:val="20"/>
              </w:rPr>
            </w:pPr>
          </w:p>
        </w:tc>
        <w:tc>
          <w:tcPr>
            <w:tcW w:w="1134" w:type="dxa"/>
            <w:vMerge w:val="restart"/>
          </w:tcPr>
          <w:p w:rsidR="00B15186" w:rsidRPr="009A7609" w:rsidRDefault="00B15186" w:rsidP="009A7609">
            <w:pPr>
              <w:rPr>
                <w:sz w:val="20"/>
                <w:szCs w:val="20"/>
              </w:rPr>
            </w:pPr>
            <w:r w:rsidRPr="009A7609">
              <w:rPr>
                <w:sz w:val="20"/>
                <w:szCs w:val="20"/>
              </w:rPr>
              <w:t>dabigatran</w:t>
            </w:r>
          </w:p>
        </w:tc>
        <w:tc>
          <w:tcPr>
            <w:tcW w:w="1694" w:type="dxa"/>
          </w:tcPr>
          <w:p w:rsidR="00B15186" w:rsidRPr="009A7609" w:rsidRDefault="00B15186" w:rsidP="009A7609">
            <w:pPr>
              <w:rPr>
                <w:sz w:val="20"/>
                <w:szCs w:val="20"/>
              </w:rPr>
            </w:pPr>
            <w:proofErr w:type="spellStart"/>
            <w:r w:rsidRPr="009A7609">
              <w:rPr>
                <w:sz w:val="20"/>
                <w:szCs w:val="20"/>
              </w:rPr>
              <w:t>C</w:t>
            </w:r>
            <w:r w:rsidRPr="009A7609">
              <w:rPr>
                <w:sz w:val="20"/>
                <w:szCs w:val="20"/>
                <w:vertAlign w:val="subscript"/>
              </w:rPr>
              <w:t>max</w:t>
            </w:r>
            <w:proofErr w:type="spellEnd"/>
            <w:r w:rsidRPr="009A7609">
              <w:rPr>
                <w:sz w:val="20"/>
                <w:szCs w:val="20"/>
              </w:rPr>
              <w:t xml:space="preserve">: 163000 </w:t>
            </w:r>
            <w:proofErr w:type="spellStart"/>
            <w:r w:rsidRPr="009A7609">
              <w:rPr>
                <w:sz w:val="20"/>
                <w:szCs w:val="20"/>
              </w:rPr>
              <w:t>nM</w:t>
            </w:r>
            <w:proofErr w:type="spellEnd"/>
          </w:p>
        </w:tc>
        <w:tc>
          <w:tcPr>
            <w:tcW w:w="1005" w:type="dxa"/>
          </w:tcPr>
          <w:p w:rsidR="00B15186" w:rsidRPr="009A7609" w:rsidRDefault="00B15186" w:rsidP="009A7609">
            <w:pPr>
              <w:rPr>
                <w:sz w:val="20"/>
                <w:szCs w:val="20"/>
              </w:rPr>
            </w:pPr>
            <w:r w:rsidRPr="009A7609">
              <w:rPr>
                <w:sz w:val="20"/>
                <w:szCs w:val="20"/>
              </w:rPr>
              <w:t>7</w:t>
            </w:r>
          </w:p>
        </w:tc>
        <w:tc>
          <w:tcPr>
            <w:tcW w:w="927" w:type="dxa"/>
          </w:tcPr>
          <w:p w:rsidR="00B15186" w:rsidRPr="009A7609" w:rsidRDefault="00B15186" w:rsidP="009A7609">
            <w:pPr>
              <w:rPr>
                <w:sz w:val="20"/>
                <w:szCs w:val="20"/>
              </w:rPr>
            </w:pPr>
            <w:r w:rsidRPr="009A7609">
              <w:rPr>
                <w:sz w:val="20"/>
                <w:szCs w:val="20"/>
              </w:rPr>
              <w:t>6</w:t>
            </w:r>
          </w:p>
        </w:tc>
        <w:tc>
          <w:tcPr>
            <w:tcW w:w="971" w:type="dxa"/>
          </w:tcPr>
          <w:p w:rsidR="00B15186" w:rsidRPr="009A7609" w:rsidRDefault="00B15186" w:rsidP="009A7609">
            <w:pPr>
              <w:rPr>
                <w:sz w:val="20"/>
                <w:szCs w:val="20"/>
              </w:rPr>
            </w:pPr>
            <w:r w:rsidRPr="009A7609">
              <w:rPr>
                <w:sz w:val="20"/>
                <w:szCs w:val="20"/>
              </w:rPr>
              <w:t>5</w:t>
            </w:r>
          </w:p>
        </w:tc>
        <w:tc>
          <w:tcPr>
            <w:tcW w:w="1321" w:type="dxa"/>
          </w:tcPr>
          <w:p w:rsidR="00B15186" w:rsidRPr="009A7609" w:rsidRDefault="00B15186" w:rsidP="009A7609">
            <w:pPr>
              <w:rPr>
                <w:sz w:val="20"/>
                <w:szCs w:val="20"/>
              </w:rPr>
            </w:pPr>
            <w:r w:rsidRPr="009A7609">
              <w:rPr>
                <w:sz w:val="20"/>
                <w:szCs w:val="20"/>
              </w:rPr>
              <w:t>6</w:t>
            </w:r>
          </w:p>
        </w:tc>
      </w:tr>
      <w:tr w:rsidR="00405581" w:rsidRPr="009A7609" w:rsidTr="009A7609">
        <w:trPr>
          <w:trHeight w:hRule="exact" w:val="695"/>
        </w:trPr>
        <w:tc>
          <w:tcPr>
            <w:tcW w:w="1668" w:type="dxa"/>
            <w:vMerge/>
          </w:tcPr>
          <w:p w:rsidR="00B15186" w:rsidRPr="009A7609" w:rsidRDefault="00B15186" w:rsidP="009A7609">
            <w:pPr>
              <w:rPr>
                <w:sz w:val="20"/>
                <w:szCs w:val="20"/>
              </w:rPr>
            </w:pPr>
          </w:p>
        </w:tc>
        <w:tc>
          <w:tcPr>
            <w:tcW w:w="1134" w:type="dxa"/>
            <w:vMerge/>
          </w:tcPr>
          <w:p w:rsidR="00B15186" w:rsidRPr="009A7609" w:rsidRDefault="00B15186" w:rsidP="009A7609">
            <w:pPr>
              <w:rPr>
                <w:sz w:val="20"/>
                <w:szCs w:val="20"/>
              </w:rPr>
            </w:pPr>
          </w:p>
        </w:tc>
        <w:tc>
          <w:tcPr>
            <w:tcW w:w="1694" w:type="dxa"/>
          </w:tcPr>
          <w:p w:rsidR="00B15186" w:rsidRPr="009A7609" w:rsidRDefault="00B15186" w:rsidP="009A7609">
            <w:pPr>
              <w:rPr>
                <w:sz w:val="20"/>
                <w:szCs w:val="20"/>
              </w:rPr>
            </w:pPr>
            <w:r w:rsidRPr="009A7609">
              <w:rPr>
                <w:sz w:val="20"/>
                <w:szCs w:val="20"/>
              </w:rPr>
              <w:t xml:space="preserve">AUC:  171000 </w:t>
            </w:r>
            <w:proofErr w:type="spellStart"/>
            <w:r w:rsidRPr="009A7609">
              <w:rPr>
                <w:sz w:val="20"/>
                <w:szCs w:val="20"/>
              </w:rPr>
              <w:t>nM</w:t>
            </w:r>
            <w:proofErr w:type="spellEnd"/>
          </w:p>
        </w:tc>
        <w:tc>
          <w:tcPr>
            <w:tcW w:w="1005" w:type="dxa"/>
          </w:tcPr>
          <w:p w:rsidR="00B15186" w:rsidRPr="009A7609" w:rsidRDefault="00B15186" w:rsidP="009A7609">
            <w:pPr>
              <w:rPr>
                <w:sz w:val="20"/>
                <w:szCs w:val="20"/>
              </w:rPr>
            </w:pPr>
            <w:r w:rsidRPr="009A7609">
              <w:rPr>
                <w:sz w:val="20"/>
                <w:szCs w:val="20"/>
              </w:rPr>
              <w:t>5</w:t>
            </w:r>
          </w:p>
        </w:tc>
        <w:tc>
          <w:tcPr>
            <w:tcW w:w="927" w:type="dxa"/>
          </w:tcPr>
          <w:p w:rsidR="00B15186" w:rsidRPr="009A7609" w:rsidRDefault="00B15186" w:rsidP="009A7609">
            <w:pPr>
              <w:rPr>
                <w:sz w:val="20"/>
                <w:szCs w:val="20"/>
              </w:rPr>
            </w:pPr>
            <w:r w:rsidRPr="009A7609">
              <w:rPr>
                <w:sz w:val="20"/>
                <w:szCs w:val="20"/>
              </w:rPr>
              <w:t>4</w:t>
            </w:r>
          </w:p>
        </w:tc>
        <w:tc>
          <w:tcPr>
            <w:tcW w:w="971" w:type="dxa"/>
          </w:tcPr>
          <w:p w:rsidR="00B15186" w:rsidRPr="009A7609" w:rsidRDefault="00B15186" w:rsidP="009A7609">
            <w:pPr>
              <w:rPr>
                <w:sz w:val="20"/>
                <w:szCs w:val="20"/>
              </w:rPr>
            </w:pPr>
            <w:r w:rsidRPr="009A7609">
              <w:rPr>
                <w:sz w:val="20"/>
                <w:szCs w:val="20"/>
              </w:rPr>
              <w:t>3</w:t>
            </w:r>
          </w:p>
        </w:tc>
        <w:tc>
          <w:tcPr>
            <w:tcW w:w="1321" w:type="dxa"/>
          </w:tcPr>
          <w:p w:rsidR="00B15186" w:rsidRPr="009A7609" w:rsidRDefault="00B15186" w:rsidP="009A7609">
            <w:pPr>
              <w:rPr>
                <w:sz w:val="20"/>
                <w:szCs w:val="20"/>
              </w:rPr>
            </w:pPr>
            <w:r w:rsidRPr="009A7609">
              <w:rPr>
                <w:sz w:val="20"/>
                <w:szCs w:val="20"/>
              </w:rPr>
              <w:t>3</w:t>
            </w:r>
          </w:p>
        </w:tc>
      </w:tr>
      <w:tr w:rsidR="00405581" w:rsidRPr="009A7609" w:rsidTr="009A7609">
        <w:trPr>
          <w:trHeight w:hRule="exact" w:val="705"/>
        </w:trPr>
        <w:tc>
          <w:tcPr>
            <w:tcW w:w="1668" w:type="dxa"/>
            <w:vMerge w:val="restart"/>
          </w:tcPr>
          <w:p w:rsidR="00B15186" w:rsidRPr="009A7609" w:rsidRDefault="00B15186" w:rsidP="009A7609">
            <w:pPr>
              <w:rPr>
                <w:sz w:val="20"/>
                <w:szCs w:val="20"/>
              </w:rPr>
            </w:pPr>
            <w:r w:rsidRPr="009A7609">
              <w:rPr>
                <w:sz w:val="20"/>
                <w:szCs w:val="20"/>
              </w:rPr>
              <w:t>Study No. n00230533</w:t>
            </w:r>
            <w:r w:rsidR="009A7609" w:rsidRPr="009A7609">
              <w:rPr>
                <w:sz w:val="20"/>
                <w:szCs w:val="20"/>
              </w:rPr>
              <w:t xml:space="preserve"> </w:t>
            </w:r>
            <w:r w:rsidRPr="009A7609">
              <w:rPr>
                <w:sz w:val="20"/>
                <w:szCs w:val="20"/>
              </w:rPr>
              <w:t>Monkey</w:t>
            </w:r>
          </w:p>
        </w:tc>
        <w:tc>
          <w:tcPr>
            <w:tcW w:w="1134" w:type="dxa"/>
            <w:vMerge w:val="restart"/>
          </w:tcPr>
          <w:p w:rsidR="00B15186" w:rsidRPr="009A7609" w:rsidRDefault="00B15186" w:rsidP="009A7609">
            <w:pPr>
              <w:rPr>
                <w:sz w:val="20"/>
                <w:szCs w:val="20"/>
              </w:rPr>
            </w:pPr>
            <w:r w:rsidRPr="009A7609">
              <w:rPr>
                <w:sz w:val="20"/>
                <w:szCs w:val="20"/>
              </w:rPr>
              <w:t>no dabigatran</w:t>
            </w:r>
          </w:p>
        </w:tc>
        <w:tc>
          <w:tcPr>
            <w:tcW w:w="1694" w:type="dxa"/>
          </w:tcPr>
          <w:p w:rsidR="00B15186" w:rsidRPr="009A7609" w:rsidRDefault="00B15186" w:rsidP="009A7609">
            <w:pPr>
              <w:rPr>
                <w:sz w:val="20"/>
                <w:szCs w:val="20"/>
              </w:rPr>
            </w:pPr>
            <w:proofErr w:type="spellStart"/>
            <w:r w:rsidRPr="009A7609">
              <w:rPr>
                <w:sz w:val="20"/>
                <w:szCs w:val="20"/>
              </w:rPr>
              <w:t>C</w:t>
            </w:r>
            <w:r w:rsidRPr="009A7609">
              <w:rPr>
                <w:sz w:val="20"/>
                <w:szCs w:val="20"/>
                <w:vertAlign w:val="subscript"/>
              </w:rPr>
              <w:t>max</w:t>
            </w:r>
            <w:proofErr w:type="spellEnd"/>
            <w:r w:rsidRPr="009A7609">
              <w:rPr>
                <w:sz w:val="20"/>
                <w:szCs w:val="20"/>
              </w:rPr>
              <w:t xml:space="preserve">: 174500 </w:t>
            </w:r>
            <w:proofErr w:type="spellStart"/>
            <w:r w:rsidRPr="009A7609">
              <w:rPr>
                <w:sz w:val="20"/>
                <w:szCs w:val="20"/>
              </w:rPr>
              <w:t>nM</w:t>
            </w:r>
            <w:proofErr w:type="spellEnd"/>
          </w:p>
        </w:tc>
        <w:tc>
          <w:tcPr>
            <w:tcW w:w="1005" w:type="dxa"/>
          </w:tcPr>
          <w:p w:rsidR="00B15186" w:rsidRPr="009A7609" w:rsidRDefault="00B15186" w:rsidP="009A7609">
            <w:pPr>
              <w:rPr>
                <w:sz w:val="20"/>
                <w:szCs w:val="20"/>
              </w:rPr>
            </w:pPr>
            <w:r w:rsidRPr="009A7609">
              <w:rPr>
                <w:sz w:val="20"/>
                <w:szCs w:val="20"/>
              </w:rPr>
              <w:t>7</w:t>
            </w:r>
          </w:p>
        </w:tc>
        <w:tc>
          <w:tcPr>
            <w:tcW w:w="927" w:type="dxa"/>
          </w:tcPr>
          <w:p w:rsidR="00B15186" w:rsidRPr="009A7609" w:rsidRDefault="00B15186" w:rsidP="009A7609">
            <w:pPr>
              <w:rPr>
                <w:sz w:val="20"/>
                <w:szCs w:val="20"/>
              </w:rPr>
            </w:pPr>
            <w:r w:rsidRPr="009A7609">
              <w:rPr>
                <w:sz w:val="20"/>
                <w:szCs w:val="20"/>
              </w:rPr>
              <w:t>6</w:t>
            </w:r>
          </w:p>
        </w:tc>
        <w:tc>
          <w:tcPr>
            <w:tcW w:w="971" w:type="dxa"/>
          </w:tcPr>
          <w:p w:rsidR="00B15186" w:rsidRPr="009A7609" w:rsidRDefault="00B15186" w:rsidP="009A7609">
            <w:pPr>
              <w:rPr>
                <w:sz w:val="20"/>
                <w:szCs w:val="20"/>
              </w:rPr>
            </w:pPr>
            <w:r w:rsidRPr="009A7609">
              <w:rPr>
                <w:sz w:val="20"/>
                <w:szCs w:val="20"/>
              </w:rPr>
              <w:t>5</w:t>
            </w:r>
          </w:p>
        </w:tc>
        <w:tc>
          <w:tcPr>
            <w:tcW w:w="1321" w:type="dxa"/>
          </w:tcPr>
          <w:p w:rsidR="00B15186" w:rsidRPr="009A7609" w:rsidRDefault="00B15186" w:rsidP="009A7609">
            <w:pPr>
              <w:rPr>
                <w:sz w:val="20"/>
                <w:szCs w:val="20"/>
              </w:rPr>
            </w:pPr>
            <w:r w:rsidRPr="009A7609">
              <w:rPr>
                <w:sz w:val="20"/>
                <w:szCs w:val="20"/>
              </w:rPr>
              <w:t>7</w:t>
            </w:r>
          </w:p>
        </w:tc>
      </w:tr>
      <w:tr w:rsidR="00405581" w:rsidRPr="009A7609" w:rsidTr="009A7609">
        <w:trPr>
          <w:trHeight w:hRule="exact" w:val="716"/>
        </w:trPr>
        <w:tc>
          <w:tcPr>
            <w:tcW w:w="1668" w:type="dxa"/>
            <w:vMerge/>
          </w:tcPr>
          <w:p w:rsidR="00B15186" w:rsidRPr="009A7609" w:rsidRDefault="00B15186" w:rsidP="009A7609">
            <w:pPr>
              <w:rPr>
                <w:sz w:val="20"/>
                <w:szCs w:val="20"/>
                <w:highlight w:val="yellow"/>
              </w:rPr>
            </w:pPr>
          </w:p>
        </w:tc>
        <w:tc>
          <w:tcPr>
            <w:tcW w:w="1134" w:type="dxa"/>
            <w:vMerge/>
          </w:tcPr>
          <w:p w:rsidR="00B15186" w:rsidRPr="009A7609" w:rsidRDefault="00B15186" w:rsidP="009A7609">
            <w:pPr>
              <w:rPr>
                <w:sz w:val="20"/>
                <w:szCs w:val="20"/>
              </w:rPr>
            </w:pPr>
          </w:p>
        </w:tc>
        <w:tc>
          <w:tcPr>
            <w:tcW w:w="1694" w:type="dxa"/>
          </w:tcPr>
          <w:p w:rsidR="00B15186" w:rsidRPr="009A7609" w:rsidRDefault="00B15186" w:rsidP="009A7609">
            <w:pPr>
              <w:rPr>
                <w:sz w:val="20"/>
                <w:szCs w:val="20"/>
              </w:rPr>
            </w:pPr>
            <w:r w:rsidRPr="009A7609">
              <w:rPr>
                <w:sz w:val="20"/>
                <w:szCs w:val="20"/>
              </w:rPr>
              <w:t xml:space="preserve">AUC: 202000 </w:t>
            </w:r>
            <w:proofErr w:type="spellStart"/>
            <w:r w:rsidRPr="009A7609">
              <w:rPr>
                <w:sz w:val="20"/>
                <w:szCs w:val="20"/>
              </w:rPr>
              <w:t>nM</w:t>
            </w:r>
            <w:proofErr w:type="spellEnd"/>
          </w:p>
        </w:tc>
        <w:tc>
          <w:tcPr>
            <w:tcW w:w="1005" w:type="dxa"/>
          </w:tcPr>
          <w:p w:rsidR="00B15186" w:rsidRPr="009A7609" w:rsidRDefault="00B15186" w:rsidP="009A7609">
            <w:pPr>
              <w:rPr>
                <w:sz w:val="20"/>
                <w:szCs w:val="20"/>
              </w:rPr>
            </w:pPr>
            <w:r w:rsidRPr="009A7609">
              <w:rPr>
                <w:sz w:val="20"/>
                <w:szCs w:val="20"/>
              </w:rPr>
              <w:t>5</w:t>
            </w:r>
          </w:p>
        </w:tc>
        <w:tc>
          <w:tcPr>
            <w:tcW w:w="927" w:type="dxa"/>
          </w:tcPr>
          <w:p w:rsidR="00B15186" w:rsidRPr="009A7609" w:rsidRDefault="00B15186" w:rsidP="009A7609">
            <w:pPr>
              <w:rPr>
                <w:sz w:val="20"/>
                <w:szCs w:val="20"/>
              </w:rPr>
            </w:pPr>
            <w:r w:rsidRPr="009A7609">
              <w:rPr>
                <w:sz w:val="20"/>
                <w:szCs w:val="20"/>
              </w:rPr>
              <w:t>5</w:t>
            </w:r>
          </w:p>
        </w:tc>
        <w:tc>
          <w:tcPr>
            <w:tcW w:w="971" w:type="dxa"/>
          </w:tcPr>
          <w:p w:rsidR="00B15186" w:rsidRPr="009A7609" w:rsidRDefault="00B15186" w:rsidP="009A7609">
            <w:pPr>
              <w:rPr>
                <w:sz w:val="20"/>
                <w:szCs w:val="20"/>
              </w:rPr>
            </w:pPr>
            <w:r w:rsidRPr="009A7609">
              <w:rPr>
                <w:sz w:val="20"/>
                <w:szCs w:val="20"/>
              </w:rPr>
              <w:t>4</w:t>
            </w:r>
          </w:p>
        </w:tc>
        <w:tc>
          <w:tcPr>
            <w:tcW w:w="1321" w:type="dxa"/>
          </w:tcPr>
          <w:p w:rsidR="00B15186" w:rsidRPr="009A7609" w:rsidRDefault="00B15186" w:rsidP="009A7609">
            <w:pPr>
              <w:rPr>
                <w:sz w:val="20"/>
                <w:szCs w:val="20"/>
              </w:rPr>
            </w:pPr>
            <w:r w:rsidRPr="009A7609">
              <w:rPr>
                <w:sz w:val="20"/>
                <w:szCs w:val="20"/>
              </w:rPr>
              <w:t>3</w:t>
            </w:r>
          </w:p>
        </w:tc>
      </w:tr>
      <w:tr w:rsidR="00405581" w:rsidRPr="009A7609" w:rsidTr="009A7609">
        <w:trPr>
          <w:trHeight w:hRule="exact" w:val="697"/>
        </w:trPr>
        <w:tc>
          <w:tcPr>
            <w:tcW w:w="1668" w:type="dxa"/>
            <w:vMerge/>
          </w:tcPr>
          <w:p w:rsidR="00B15186" w:rsidRPr="009A7609" w:rsidRDefault="00B15186" w:rsidP="009A7609">
            <w:pPr>
              <w:rPr>
                <w:sz w:val="20"/>
                <w:szCs w:val="20"/>
                <w:highlight w:val="yellow"/>
              </w:rPr>
            </w:pPr>
          </w:p>
        </w:tc>
        <w:tc>
          <w:tcPr>
            <w:tcW w:w="1134" w:type="dxa"/>
            <w:vMerge w:val="restart"/>
          </w:tcPr>
          <w:p w:rsidR="00B15186" w:rsidRPr="009A7609" w:rsidRDefault="00B15186" w:rsidP="009A7609">
            <w:pPr>
              <w:rPr>
                <w:sz w:val="20"/>
                <w:szCs w:val="20"/>
              </w:rPr>
            </w:pPr>
            <w:r w:rsidRPr="009A7609">
              <w:rPr>
                <w:sz w:val="20"/>
                <w:szCs w:val="20"/>
              </w:rPr>
              <w:t>dabigatran</w:t>
            </w:r>
          </w:p>
        </w:tc>
        <w:tc>
          <w:tcPr>
            <w:tcW w:w="1694" w:type="dxa"/>
          </w:tcPr>
          <w:p w:rsidR="00B15186" w:rsidRPr="009A7609" w:rsidRDefault="00B15186" w:rsidP="009A7609">
            <w:pPr>
              <w:rPr>
                <w:sz w:val="20"/>
                <w:szCs w:val="20"/>
              </w:rPr>
            </w:pPr>
            <w:proofErr w:type="spellStart"/>
            <w:r w:rsidRPr="009A7609">
              <w:rPr>
                <w:sz w:val="20"/>
                <w:szCs w:val="20"/>
              </w:rPr>
              <w:t>C</w:t>
            </w:r>
            <w:r w:rsidRPr="009A7609">
              <w:rPr>
                <w:sz w:val="20"/>
                <w:szCs w:val="20"/>
                <w:vertAlign w:val="subscript"/>
              </w:rPr>
              <w:t>max</w:t>
            </w:r>
            <w:proofErr w:type="spellEnd"/>
            <w:r w:rsidRPr="009A7609">
              <w:rPr>
                <w:sz w:val="20"/>
                <w:szCs w:val="20"/>
              </w:rPr>
              <w:t xml:space="preserve">: 172500 </w:t>
            </w:r>
            <w:proofErr w:type="spellStart"/>
            <w:r w:rsidRPr="009A7609">
              <w:rPr>
                <w:sz w:val="20"/>
                <w:szCs w:val="20"/>
              </w:rPr>
              <w:t>nM</w:t>
            </w:r>
            <w:proofErr w:type="spellEnd"/>
          </w:p>
        </w:tc>
        <w:tc>
          <w:tcPr>
            <w:tcW w:w="1005" w:type="dxa"/>
          </w:tcPr>
          <w:p w:rsidR="00B15186" w:rsidRPr="009A7609" w:rsidRDefault="00B15186" w:rsidP="009A7609">
            <w:pPr>
              <w:rPr>
                <w:sz w:val="20"/>
                <w:szCs w:val="20"/>
              </w:rPr>
            </w:pPr>
            <w:r w:rsidRPr="009A7609">
              <w:rPr>
                <w:sz w:val="20"/>
                <w:szCs w:val="20"/>
              </w:rPr>
              <w:t>7</w:t>
            </w:r>
          </w:p>
        </w:tc>
        <w:tc>
          <w:tcPr>
            <w:tcW w:w="927" w:type="dxa"/>
          </w:tcPr>
          <w:p w:rsidR="00B15186" w:rsidRPr="009A7609" w:rsidRDefault="00B15186" w:rsidP="009A7609">
            <w:pPr>
              <w:rPr>
                <w:sz w:val="20"/>
                <w:szCs w:val="20"/>
              </w:rPr>
            </w:pPr>
            <w:r w:rsidRPr="009A7609">
              <w:rPr>
                <w:sz w:val="20"/>
                <w:szCs w:val="20"/>
              </w:rPr>
              <w:t>6</w:t>
            </w:r>
          </w:p>
        </w:tc>
        <w:tc>
          <w:tcPr>
            <w:tcW w:w="971" w:type="dxa"/>
          </w:tcPr>
          <w:p w:rsidR="00B15186" w:rsidRPr="009A7609" w:rsidRDefault="00B15186" w:rsidP="009A7609">
            <w:pPr>
              <w:rPr>
                <w:sz w:val="20"/>
                <w:szCs w:val="20"/>
              </w:rPr>
            </w:pPr>
            <w:r w:rsidRPr="009A7609">
              <w:rPr>
                <w:sz w:val="20"/>
                <w:szCs w:val="20"/>
              </w:rPr>
              <w:t>5</w:t>
            </w:r>
          </w:p>
        </w:tc>
        <w:tc>
          <w:tcPr>
            <w:tcW w:w="1321" w:type="dxa"/>
          </w:tcPr>
          <w:p w:rsidR="00B15186" w:rsidRPr="009A7609" w:rsidRDefault="00B15186" w:rsidP="009A7609">
            <w:pPr>
              <w:rPr>
                <w:sz w:val="20"/>
                <w:szCs w:val="20"/>
              </w:rPr>
            </w:pPr>
            <w:r w:rsidRPr="009A7609">
              <w:rPr>
                <w:sz w:val="20"/>
                <w:szCs w:val="20"/>
              </w:rPr>
              <w:t>7</w:t>
            </w:r>
          </w:p>
        </w:tc>
      </w:tr>
      <w:tr w:rsidR="00405581" w:rsidRPr="009A7609" w:rsidTr="009A7609">
        <w:trPr>
          <w:trHeight w:hRule="exact" w:val="705"/>
        </w:trPr>
        <w:tc>
          <w:tcPr>
            <w:tcW w:w="1668" w:type="dxa"/>
            <w:vMerge/>
          </w:tcPr>
          <w:p w:rsidR="00B15186" w:rsidRPr="009A7609" w:rsidRDefault="00B15186" w:rsidP="009A7609">
            <w:pPr>
              <w:rPr>
                <w:sz w:val="20"/>
                <w:szCs w:val="20"/>
                <w:highlight w:val="yellow"/>
              </w:rPr>
            </w:pPr>
          </w:p>
        </w:tc>
        <w:tc>
          <w:tcPr>
            <w:tcW w:w="1134" w:type="dxa"/>
            <w:vMerge/>
          </w:tcPr>
          <w:p w:rsidR="00B15186" w:rsidRPr="009A7609" w:rsidRDefault="00B15186" w:rsidP="009A7609">
            <w:pPr>
              <w:rPr>
                <w:sz w:val="20"/>
                <w:szCs w:val="20"/>
              </w:rPr>
            </w:pPr>
          </w:p>
        </w:tc>
        <w:tc>
          <w:tcPr>
            <w:tcW w:w="1694" w:type="dxa"/>
          </w:tcPr>
          <w:p w:rsidR="00B15186" w:rsidRPr="009A7609" w:rsidRDefault="00B15186" w:rsidP="009A7609">
            <w:pPr>
              <w:rPr>
                <w:sz w:val="20"/>
                <w:szCs w:val="20"/>
              </w:rPr>
            </w:pPr>
            <w:r w:rsidRPr="009A7609">
              <w:rPr>
                <w:sz w:val="20"/>
                <w:szCs w:val="20"/>
              </w:rPr>
              <w:t xml:space="preserve">AUC: 202000 </w:t>
            </w:r>
            <w:proofErr w:type="spellStart"/>
            <w:r w:rsidRPr="009A7609">
              <w:rPr>
                <w:sz w:val="20"/>
                <w:szCs w:val="20"/>
              </w:rPr>
              <w:t>nM</w:t>
            </w:r>
            <w:proofErr w:type="spellEnd"/>
          </w:p>
        </w:tc>
        <w:tc>
          <w:tcPr>
            <w:tcW w:w="1005" w:type="dxa"/>
          </w:tcPr>
          <w:p w:rsidR="00B15186" w:rsidRPr="009A7609" w:rsidRDefault="00B15186" w:rsidP="009A7609">
            <w:pPr>
              <w:rPr>
                <w:sz w:val="20"/>
                <w:szCs w:val="20"/>
              </w:rPr>
            </w:pPr>
            <w:r w:rsidRPr="009A7609">
              <w:rPr>
                <w:sz w:val="20"/>
                <w:szCs w:val="20"/>
              </w:rPr>
              <w:t>5</w:t>
            </w:r>
          </w:p>
        </w:tc>
        <w:tc>
          <w:tcPr>
            <w:tcW w:w="927" w:type="dxa"/>
          </w:tcPr>
          <w:p w:rsidR="00B15186" w:rsidRPr="009A7609" w:rsidRDefault="00B15186" w:rsidP="009A7609">
            <w:pPr>
              <w:rPr>
                <w:sz w:val="20"/>
                <w:szCs w:val="20"/>
              </w:rPr>
            </w:pPr>
            <w:r w:rsidRPr="009A7609">
              <w:rPr>
                <w:sz w:val="20"/>
                <w:szCs w:val="20"/>
              </w:rPr>
              <w:t>5</w:t>
            </w:r>
          </w:p>
        </w:tc>
        <w:tc>
          <w:tcPr>
            <w:tcW w:w="971" w:type="dxa"/>
          </w:tcPr>
          <w:p w:rsidR="00B15186" w:rsidRPr="009A7609" w:rsidRDefault="00B15186" w:rsidP="009A7609">
            <w:pPr>
              <w:rPr>
                <w:sz w:val="20"/>
                <w:szCs w:val="20"/>
              </w:rPr>
            </w:pPr>
            <w:r w:rsidRPr="009A7609">
              <w:rPr>
                <w:sz w:val="20"/>
                <w:szCs w:val="20"/>
              </w:rPr>
              <w:t>4</w:t>
            </w:r>
          </w:p>
        </w:tc>
        <w:tc>
          <w:tcPr>
            <w:tcW w:w="1321" w:type="dxa"/>
          </w:tcPr>
          <w:p w:rsidR="00B15186" w:rsidRPr="009A7609" w:rsidRDefault="00B15186" w:rsidP="009A7609">
            <w:pPr>
              <w:rPr>
                <w:sz w:val="20"/>
                <w:szCs w:val="20"/>
              </w:rPr>
            </w:pPr>
            <w:r w:rsidRPr="009A7609">
              <w:rPr>
                <w:sz w:val="20"/>
                <w:szCs w:val="20"/>
              </w:rPr>
              <w:t>3</w:t>
            </w:r>
          </w:p>
        </w:tc>
      </w:tr>
    </w:tbl>
    <w:p w:rsidR="00B15186" w:rsidRPr="00947178" w:rsidRDefault="00B15186" w:rsidP="00B15186">
      <w:pPr>
        <w:pStyle w:val="TableDescription"/>
      </w:pPr>
      <w:r w:rsidRPr="00947178">
        <w:t>1. Study No. c02742738 (Trial No. 1</w:t>
      </w:r>
      <w:r w:rsidR="001C20FA">
        <w:t>321.2) – Healthy volunteers 45-</w:t>
      </w:r>
      <w:r w:rsidRPr="00947178">
        <w:t xml:space="preserve">64 </w:t>
      </w:r>
      <w:proofErr w:type="spellStart"/>
      <w:r w:rsidRPr="00947178">
        <w:t>yrs</w:t>
      </w:r>
      <w:proofErr w:type="spellEnd"/>
      <w:r w:rsidRPr="00947178">
        <w:t xml:space="preserve">, 5 g/day IV, </w:t>
      </w:r>
      <w:proofErr w:type="spellStart"/>
      <w:r w:rsidRPr="00947178">
        <w:t>C</w:t>
      </w:r>
      <w:r w:rsidRPr="00947178">
        <w:rPr>
          <w:vertAlign w:val="subscript"/>
        </w:rPr>
        <w:t>max</w:t>
      </w:r>
      <w:proofErr w:type="spellEnd"/>
      <w:r w:rsidRPr="00947178">
        <w:t xml:space="preserve">: 25000 </w:t>
      </w:r>
      <w:proofErr w:type="spellStart"/>
      <w:r w:rsidRPr="00947178">
        <w:t>nM</w:t>
      </w:r>
      <w:proofErr w:type="spellEnd"/>
      <w:r w:rsidRPr="00947178">
        <w:t>, AUC</w:t>
      </w:r>
      <w:r w:rsidRPr="00947178">
        <w:rPr>
          <w:vertAlign w:val="subscript"/>
        </w:rPr>
        <w:t>0-</w:t>
      </w:r>
      <w:r w:rsidRPr="00947178">
        <w:rPr>
          <w:vertAlign w:val="subscript"/>
        </w:rPr>
        <w:sym w:font="Symbol" w:char="F0A5"/>
      </w:r>
      <w:r w:rsidRPr="00947178">
        <w:t xml:space="preserve">: </w:t>
      </w:r>
      <w:proofErr w:type="gramStart"/>
      <w:r w:rsidRPr="00947178">
        <w:t xml:space="preserve">37000 </w:t>
      </w:r>
      <w:proofErr w:type="spellStart"/>
      <w:r w:rsidRPr="00947178">
        <w:t>nM.h</w:t>
      </w:r>
      <w:proofErr w:type="spellEnd"/>
      <w:proofErr w:type="gramEnd"/>
    </w:p>
    <w:p w:rsidR="00B15186" w:rsidRPr="00947178" w:rsidRDefault="00B15186" w:rsidP="00B15186">
      <w:pPr>
        <w:pStyle w:val="TableDescription"/>
      </w:pPr>
      <w:r w:rsidRPr="00947178">
        <w:t xml:space="preserve">2. Study No. c02742738 (Trial No. 1321.2) – Healthy </w:t>
      </w:r>
      <w:proofErr w:type="gramStart"/>
      <w:r w:rsidRPr="00947178">
        <w:t>volunteers</w:t>
      </w:r>
      <w:proofErr w:type="gramEnd"/>
      <w:r w:rsidRPr="00947178">
        <w:t xml:space="preserve"> &gt; 64 </w:t>
      </w:r>
      <w:proofErr w:type="spellStart"/>
      <w:r w:rsidRPr="00947178">
        <w:t>yrs</w:t>
      </w:r>
      <w:proofErr w:type="spellEnd"/>
      <w:r w:rsidRPr="00947178">
        <w:t xml:space="preserve">, 5 g/day IV, </w:t>
      </w:r>
      <w:proofErr w:type="spellStart"/>
      <w:r w:rsidRPr="00947178">
        <w:t>C</w:t>
      </w:r>
      <w:r w:rsidRPr="00947178">
        <w:rPr>
          <w:vertAlign w:val="subscript"/>
        </w:rPr>
        <w:t>max</w:t>
      </w:r>
      <w:proofErr w:type="spellEnd"/>
      <w:r w:rsidRPr="00947178">
        <w:t xml:space="preserve">: 28300 </w:t>
      </w:r>
      <w:proofErr w:type="spellStart"/>
      <w:r w:rsidRPr="00947178">
        <w:t>nM</w:t>
      </w:r>
      <w:proofErr w:type="spellEnd"/>
      <w:r w:rsidRPr="00947178">
        <w:t>, AUC</w:t>
      </w:r>
      <w:r w:rsidRPr="00947178">
        <w:rPr>
          <w:vertAlign w:val="subscript"/>
        </w:rPr>
        <w:t>0-</w:t>
      </w:r>
      <w:r w:rsidRPr="00947178">
        <w:rPr>
          <w:vertAlign w:val="subscript"/>
        </w:rPr>
        <w:sym w:font="Symbol" w:char="F0A5"/>
      </w:r>
      <w:r w:rsidRPr="00947178">
        <w:t xml:space="preserve">: 43900 </w:t>
      </w:r>
      <w:proofErr w:type="spellStart"/>
      <w:r w:rsidRPr="00947178">
        <w:t>nM.h</w:t>
      </w:r>
      <w:proofErr w:type="spellEnd"/>
    </w:p>
    <w:p w:rsidR="00B15186" w:rsidRPr="00947178" w:rsidRDefault="00B15186" w:rsidP="00B15186">
      <w:pPr>
        <w:pStyle w:val="TableDescription"/>
      </w:pPr>
      <w:r w:rsidRPr="00947178">
        <w:lastRenderedPageBreak/>
        <w:t xml:space="preserve">3. Study No. c02742738 (Trial No. 1321.2) – Renal impairment, mild, 5 g/day IV, </w:t>
      </w:r>
      <w:proofErr w:type="spellStart"/>
      <w:r w:rsidRPr="00947178">
        <w:t>C</w:t>
      </w:r>
      <w:r w:rsidRPr="00947178">
        <w:rPr>
          <w:vertAlign w:val="subscript"/>
        </w:rPr>
        <w:t>max</w:t>
      </w:r>
      <w:proofErr w:type="spellEnd"/>
      <w:r w:rsidRPr="00947178">
        <w:t xml:space="preserve">: 32100 </w:t>
      </w:r>
      <w:proofErr w:type="spellStart"/>
      <w:r w:rsidRPr="00947178">
        <w:t>nM</w:t>
      </w:r>
      <w:proofErr w:type="spellEnd"/>
      <w:r w:rsidRPr="00947178">
        <w:t>, AUC</w:t>
      </w:r>
      <w:r w:rsidRPr="00947178">
        <w:rPr>
          <w:vertAlign w:val="subscript"/>
        </w:rPr>
        <w:t>0-</w:t>
      </w:r>
      <w:r w:rsidRPr="00947178">
        <w:rPr>
          <w:vertAlign w:val="subscript"/>
        </w:rPr>
        <w:sym w:font="Symbol" w:char="F0A5"/>
      </w:r>
      <w:r w:rsidRPr="00947178">
        <w:t xml:space="preserve">: </w:t>
      </w:r>
      <w:proofErr w:type="gramStart"/>
      <w:r w:rsidRPr="00947178">
        <w:t xml:space="preserve">53100 </w:t>
      </w:r>
      <w:proofErr w:type="spellStart"/>
      <w:r w:rsidRPr="00947178">
        <w:t>nM.h</w:t>
      </w:r>
      <w:proofErr w:type="spellEnd"/>
      <w:proofErr w:type="gramEnd"/>
    </w:p>
    <w:p w:rsidR="00B15186" w:rsidRPr="00947178" w:rsidRDefault="00B15186" w:rsidP="00B15186">
      <w:pPr>
        <w:pStyle w:val="TableDescription"/>
      </w:pPr>
      <w:r w:rsidRPr="00947178">
        <w:t xml:space="preserve">4. Study No. c02742738 (Trial No. 1321.2) – Renal impairment, moderate, 5 g/day IV, </w:t>
      </w:r>
      <w:proofErr w:type="spellStart"/>
      <w:r w:rsidRPr="00947178">
        <w:t>C</w:t>
      </w:r>
      <w:r w:rsidRPr="00947178">
        <w:rPr>
          <w:vertAlign w:val="subscript"/>
        </w:rPr>
        <w:t>max</w:t>
      </w:r>
      <w:proofErr w:type="spellEnd"/>
      <w:r w:rsidRPr="00947178">
        <w:t xml:space="preserve">: 25600 </w:t>
      </w:r>
      <w:proofErr w:type="spellStart"/>
      <w:r w:rsidRPr="00947178">
        <w:t>nM</w:t>
      </w:r>
      <w:proofErr w:type="spellEnd"/>
      <w:r w:rsidRPr="00947178">
        <w:t>, AUC</w:t>
      </w:r>
      <w:r w:rsidRPr="00947178">
        <w:rPr>
          <w:vertAlign w:val="subscript"/>
        </w:rPr>
        <w:t>0-</w:t>
      </w:r>
      <w:r w:rsidRPr="00947178">
        <w:rPr>
          <w:vertAlign w:val="subscript"/>
        </w:rPr>
        <w:sym w:font="Symbol" w:char="F0A5"/>
      </w:r>
      <w:r w:rsidRPr="00947178">
        <w:t xml:space="preserve">: </w:t>
      </w:r>
      <w:proofErr w:type="gramStart"/>
      <w:r w:rsidRPr="00947178">
        <w:t xml:space="preserve">67900 </w:t>
      </w:r>
      <w:proofErr w:type="spellStart"/>
      <w:r w:rsidRPr="00947178">
        <w:t>nM.h</w:t>
      </w:r>
      <w:proofErr w:type="spellEnd"/>
      <w:proofErr w:type="gramEnd"/>
    </w:p>
    <w:p w:rsidR="00B15186" w:rsidRPr="00EB69F1" w:rsidRDefault="00B15186" w:rsidP="00405581">
      <w:pPr>
        <w:pStyle w:val="Heading5"/>
      </w:pPr>
      <w:r w:rsidRPr="00EB69F1">
        <w:t>Major toxicities</w:t>
      </w:r>
    </w:p>
    <w:p w:rsidR="009A7609" w:rsidRDefault="00B15186" w:rsidP="00405581">
      <w:r w:rsidRPr="00405581">
        <w:t>There were no major toxicity findings in any of the repeat-dose studies</w:t>
      </w:r>
      <w:r w:rsidR="009A7609">
        <w:t>.</w:t>
      </w:r>
    </w:p>
    <w:p w:rsidR="00B15186" w:rsidRPr="00405581" w:rsidRDefault="00B15186" w:rsidP="00405581">
      <w:r w:rsidRPr="00405581">
        <w:t>In the rat study, significant treatment</w:t>
      </w:r>
      <w:r w:rsidR="005901C1">
        <w:t xml:space="preserve"> </w:t>
      </w:r>
      <w:r w:rsidRPr="00405581">
        <w:t>related changes to haematological and serum chemistry parameters were reported. However, these differences were slight and did not result in any adverse outcomes in the test animals nor did they correspond</w:t>
      </w:r>
      <w:r w:rsidR="005901C1">
        <w:t xml:space="preserve"> to any notable or related post </w:t>
      </w:r>
      <w:r w:rsidRPr="00405581">
        <w:t>mortem findings; these are not regarded as toxicologically significant. As expected, immunogenicity occ</w:t>
      </w:r>
      <w:r w:rsidR="005901C1">
        <w:t>urred in both dose groups (150 and</w:t>
      </w:r>
      <w:r w:rsidRPr="00405581">
        <w:t xml:space="preserve"> 500 mg/kg/day) at the end of treatment (</w:t>
      </w:r>
      <w:r w:rsidR="009E75FC">
        <w:t>D</w:t>
      </w:r>
      <w:r w:rsidRPr="00405581">
        <w:t>ays 28 to 30) and at the end of recovery (</w:t>
      </w:r>
      <w:r w:rsidR="005901C1">
        <w:t>D</w:t>
      </w:r>
      <w:r w:rsidRPr="00405581">
        <w:t>ay 57); however, there was a slightly higher rate of false positives (average ~13% positive samples in pre-dosed animals).</w:t>
      </w:r>
    </w:p>
    <w:p w:rsidR="009A7609" w:rsidRDefault="00B15186" w:rsidP="00405581">
      <w:r w:rsidRPr="00405581">
        <w:t>In the monkey studies</w:t>
      </w:r>
      <w:r w:rsidR="009E75FC">
        <w:t>,</w:t>
      </w:r>
      <w:r w:rsidRPr="00405581">
        <w:t xml:space="preserve"> idarucizumab doses of up to 500 mg/kg/day IV (with or without dabigatran treatme</w:t>
      </w:r>
      <w:r w:rsidR="009E75FC">
        <w:t xml:space="preserve">nt) did not cause any treatment </w:t>
      </w:r>
      <w:r w:rsidRPr="00405581">
        <w:t>related effects. Increased thymus weights relative to control groups were noted in all groups that received idarucizumab in a 2 day study that was followed by a 2 week recovery period (Study No. DDB0230). Treated animals in the recovery group did not show any difference to control animals, indicating that the change in thymus weight was reversible. However, there were no corresponding gross or histopathological changes in the thymus of affected animals and there were no similar observations made in other monkey studies that used a similar or longer dosing regimen. Therefore</w:t>
      </w:r>
      <w:r w:rsidR="009E75FC">
        <w:t>,</w:t>
      </w:r>
      <w:r w:rsidRPr="00405581">
        <w:t xml:space="preserve"> this is unlikely to be toxicologically significant. One male treated with idarucizumab (500 mg/kg/day, IV) and dabigatran in a 2 day dosing study (Study No. U12-3328-01) exhibited renal function changes with elevations in plasma urea, creatinine and phosphorus, decreased plasma sodium, potassium and chloride and dilated cortical tubules. This finding prompted further examination of kidney tissue and function (</w:t>
      </w:r>
      <w:r w:rsidR="00337A05">
        <w:t>Study No. DDB0230 and</w:t>
      </w:r>
      <w:r w:rsidR="009E75FC">
        <w:t xml:space="preserve"> DDB0331) since</w:t>
      </w:r>
      <w:r w:rsidRPr="00405581">
        <w:t xml:space="preserve"> idarucizumab is excreted via urinary excretion directly or as catabolised pro</w:t>
      </w:r>
      <w:r w:rsidR="009E75FC">
        <w:t>tein</w:t>
      </w:r>
      <w:r w:rsidRPr="00405581">
        <w:t>. However, neither of these studies found any treatment</w:t>
      </w:r>
      <w:r w:rsidR="00B90E62">
        <w:t xml:space="preserve"> </w:t>
      </w:r>
      <w:r w:rsidRPr="00405581">
        <w:t xml:space="preserve">related findings of note; the latter study conducted additional </w:t>
      </w:r>
      <w:proofErr w:type="spellStart"/>
      <w:r w:rsidRPr="00405581">
        <w:t>immunohistochemical</w:t>
      </w:r>
      <w:proofErr w:type="spellEnd"/>
      <w:r w:rsidRPr="00405581">
        <w:t xml:space="preserve"> assessments of kidney sections and found no evidence of immune complex formation by idarucizumab within the proximal tubule epithelium</w:t>
      </w:r>
      <w:r w:rsidR="009A7609">
        <w:t>.</w:t>
      </w:r>
    </w:p>
    <w:p w:rsidR="00B15186" w:rsidRPr="00405581" w:rsidRDefault="00B15186" w:rsidP="00405581">
      <w:r w:rsidRPr="00405581">
        <w:t>Immunogenicity was also noted in all of the monkey studies. None of the animals from the main repeat dose toxicity studies showed any hypersensitivity reactions. However, one monkey from a PD/PK study (Study No. DM-12-1103/DDB0210/U13-3539-01) displayed clinical signs indicative o</w:t>
      </w:r>
      <w:r w:rsidR="00337A05">
        <w:t>f a hypersensitivity reaction (increased</w:t>
      </w:r>
      <w:r w:rsidR="00B90E62">
        <w:t xml:space="preserve"> respiratory rate, heart rate and </w:t>
      </w:r>
      <w:r w:rsidRPr="00405581">
        <w:t xml:space="preserve">pale mucous membranes) upon receiving a third dose of idarucizumab (30 and 60 mg/kg, IV) and was subsequently </w:t>
      </w:r>
      <w:r w:rsidR="00A1592A" w:rsidRPr="00405581">
        <w:t>euthani</w:t>
      </w:r>
      <w:r w:rsidR="00A1592A">
        <w:t>s</w:t>
      </w:r>
      <w:r w:rsidR="00A1592A" w:rsidRPr="00405581">
        <w:t>ed</w:t>
      </w:r>
      <w:r w:rsidRPr="00405581">
        <w:t>. The animal developed antibodies against idarucizumab after intermittent dosing over a one month period. In contrast, although animals that received daily dosing of idarucizumab also developed anti</w:t>
      </w:r>
      <w:r w:rsidR="00A1592A">
        <w:t xml:space="preserve"> </w:t>
      </w:r>
      <w:r w:rsidRPr="00405581">
        <w:t>idarucizumab antibodies, none exhibited signs of an adverse immunogenic reaction under the conditions of study. It is therefore unclear whether the intermittent pattern of exposure precipitated hypersensitivity in this animal. The clinical use of idarucizumab is not normally expected to occur more than once, although its use during surgical procedures could conceivably necessitate repeat use. However, the immunogenic reactivity to humanised protein in animal species is not predictive of a corresponding response in humans, and given the isolated incidence of hypersensitivity reaction in an animal species, the immunogenic potential of idarucizumab in humans is likely to be low.</w:t>
      </w:r>
    </w:p>
    <w:p w:rsidR="00B15186" w:rsidRPr="00405581" w:rsidRDefault="00B15186" w:rsidP="00405581">
      <w:r w:rsidRPr="00405581">
        <w:t>Overall, the observations in both test species were generally benign with findings being mainly associated with the method of administration (injection site reaction) in all groups.</w:t>
      </w:r>
    </w:p>
    <w:p w:rsidR="00B15186" w:rsidRPr="00EB69F1" w:rsidRDefault="00B15186" w:rsidP="00405581">
      <w:pPr>
        <w:pStyle w:val="Heading5"/>
      </w:pPr>
      <w:bookmarkStart w:id="60" w:name="_Toc294861730"/>
      <w:r>
        <w:lastRenderedPageBreak/>
        <w:t xml:space="preserve">Genotoxicity </w:t>
      </w:r>
      <w:r w:rsidR="00A1592A">
        <w:t xml:space="preserve">and </w:t>
      </w:r>
      <w:r w:rsidR="00405581">
        <w:t>c</w:t>
      </w:r>
      <w:r w:rsidRPr="00EB69F1">
        <w:t>arcinogenicity</w:t>
      </w:r>
      <w:bookmarkEnd w:id="60"/>
    </w:p>
    <w:p w:rsidR="00B15186" w:rsidRPr="00405581" w:rsidRDefault="00B15186" w:rsidP="00405581">
      <w:r w:rsidRPr="00405581">
        <w:t xml:space="preserve">The genotoxic potential of </w:t>
      </w:r>
      <w:proofErr w:type="spellStart"/>
      <w:r w:rsidRPr="00405581">
        <w:t>idarucizumab</w:t>
      </w:r>
      <w:proofErr w:type="spellEnd"/>
      <w:r w:rsidRPr="00405581">
        <w:t xml:space="preserve"> was not examined in dedicated nonclinical studies, which is acceptable according</w:t>
      </w:r>
      <w:r w:rsidR="005A04C8">
        <w:t xml:space="preserve"> to ICH guidelines.</w:t>
      </w:r>
      <w:r w:rsidR="007800AF">
        <w:rPr>
          <w:rStyle w:val="FootnoteReference"/>
        </w:rPr>
        <w:footnoteReference w:id="4"/>
      </w:r>
    </w:p>
    <w:p w:rsidR="00B15186" w:rsidRPr="00405581" w:rsidRDefault="00B15186" w:rsidP="00405581">
      <w:r w:rsidRPr="00405581">
        <w:t>The absence of carcinogenicity studies is also acceptable since idarucizumab is not intended for chronic use and standard lifetime rodent studies would not provide useful information or be feasible because of the likely antibody development following repeat administration.</w:t>
      </w:r>
    </w:p>
    <w:p w:rsidR="00B15186" w:rsidRPr="00EB69F1" w:rsidRDefault="00B15186" w:rsidP="00405581">
      <w:pPr>
        <w:pStyle w:val="Heading5"/>
      </w:pPr>
      <w:r w:rsidRPr="00EB69F1">
        <w:t>Reproductive toxicity</w:t>
      </w:r>
    </w:p>
    <w:p w:rsidR="00B15186" w:rsidRPr="00405581" w:rsidRDefault="00B15186" w:rsidP="00405581">
      <w:r w:rsidRPr="00405581">
        <w:t>The sponsor did not conduct any reproductive toxicity studies on idarucizumab on the basis that it is indicated as an antidote under emergency medical conditions and therefore considerations about f</w:t>
      </w:r>
      <w:r w:rsidR="00BA1992">
        <w:t>o</w:t>
      </w:r>
      <w:r w:rsidRPr="00405581">
        <w:t xml:space="preserve">etal exposure are likely to be secondary to treating a life-threatening condition. Although not explicitly contraindicated in use during pregnancy, the </w:t>
      </w:r>
      <w:r w:rsidR="00BA1992">
        <w:t>PI</w:t>
      </w:r>
      <w:r w:rsidRPr="00405581">
        <w:t xml:space="preserve"> fo</w:t>
      </w:r>
      <w:r w:rsidR="00BA1992">
        <w:t>r dabigatran etexilate (Pradaxa</w:t>
      </w:r>
      <w:r w:rsidRPr="00405581">
        <w:t>) advises against use during pregnancy. Thus the sponsor’s justification for not conducting reproductive toxicity studies based on the unlikelihood of pregnant women taking dabigatran etexilate and the single-use, emergency indication of idarucizumab, is acceptable.</w:t>
      </w:r>
    </w:p>
    <w:p w:rsidR="00B15186" w:rsidRPr="00EB69F1" w:rsidRDefault="00B15186" w:rsidP="00405581">
      <w:pPr>
        <w:pStyle w:val="Heading6"/>
      </w:pPr>
      <w:r w:rsidRPr="00EB69F1">
        <w:t>Pregnancy classification</w:t>
      </w:r>
    </w:p>
    <w:p w:rsidR="00B15186" w:rsidRPr="00405581" w:rsidRDefault="00B15186" w:rsidP="00405581">
      <w:r w:rsidRPr="00405581">
        <w:t>The sponsor has proposed Pregnancy Category B2.</w:t>
      </w:r>
      <w:r w:rsidR="00405581">
        <w:rPr>
          <w:rStyle w:val="FootnoteReference"/>
        </w:rPr>
        <w:footnoteReference w:id="5"/>
      </w:r>
      <w:r w:rsidRPr="00405581">
        <w:t xml:space="preserve"> In the absence of animal reproductive toxicity data, the low likelihood of use during </w:t>
      </w:r>
      <w:r w:rsidR="00044773">
        <w:t>pregnancy and the fact that Fab</w:t>
      </w:r>
      <w:r w:rsidRPr="00405581">
        <w:t xml:space="preserve"> fragment antibody is unlikely to interact with the </w:t>
      </w:r>
      <w:proofErr w:type="spellStart"/>
      <w:r w:rsidRPr="00405581">
        <w:t>FcRn</w:t>
      </w:r>
      <w:proofErr w:type="spellEnd"/>
      <w:r w:rsidRPr="00405581">
        <w:t xml:space="preserve"> receptor to enable placental transfer to the developing f</w:t>
      </w:r>
      <w:r w:rsidR="00405581">
        <w:t>o</w:t>
      </w:r>
      <w:r w:rsidRPr="00405581">
        <w:t>etus, the proposed category is considered appropriate.</w:t>
      </w:r>
    </w:p>
    <w:p w:rsidR="00B15186" w:rsidRPr="00EB69F1" w:rsidRDefault="00B15186" w:rsidP="00405581">
      <w:pPr>
        <w:pStyle w:val="Heading5"/>
      </w:pPr>
      <w:r w:rsidRPr="00EB69F1">
        <w:t>Local toleran</w:t>
      </w:r>
      <w:r>
        <w:t>ce</w:t>
      </w:r>
    </w:p>
    <w:p w:rsidR="009A7609" w:rsidRDefault="00B15186" w:rsidP="00405581">
      <w:r w:rsidRPr="00405581">
        <w:t>A dedicated investigation on local tolerance was conducted in rabbits where idarucizumab was injected into the peri</w:t>
      </w:r>
      <w:r w:rsidR="00405581">
        <w:t xml:space="preserve"> </w:t>
      </w:r>
      <w:r w:rsidRPr="00405581">
        <w:t>venous milieu and monitored for reactivity. No dermal reactions were noted or</w:t>
      </w:r>
      <w:r w:rsidR="00405581">
        <w:t xml:space="preserve"> treatment related macro</w:t>
      </w:r>
      <w:r w:rsidRPr="00405581">
        <w:t xml:space="preserve"> or histological observations reported. Similarly, none of the general toxicity studies found evidence of local tolerance reactions, as injection site reactions (haemorrhage and/or inflammation at the site of administration) were common to all groups including vehicle treated animals. Overall, idarucizumab is not anticipated to evoke tolerance reactions within the peri</w:t>
      </w:r>
      <w:r w:rsidR="00405581">
        <w:t xml:space="preserve"> </w:t>
      </w:r>
      <w:r w:rsidRPr="00405581">
        <w:t>venous milieu</w:t>
      </w:r>
      <w:r w:rsidR="009A7609">
        <w:t>.</w:t>
      </w:r>
    </w:p>
    <w:p w:rsidR="00B15186" w:rsidRPr="00EB69F1" w:rsidRDefault="00B15186" w:rsidP="00405581">
      <w:pPr>
        <w:pStyle w:val="Heading5"/>
      </w:pPr>
      <w:r w:rsidRPr="00EB69F1">
        <w:t>Paediatric use</w:t>
      </w:r>
    </w:p>
    <w:p w:rsidR="00B15186" w:rsidRPr="00405581" w:rsidRDefault="00B15186" w:rsidP="00405581">
      <w:r w:rsidRPr="00405581">
        <w:t>No specific studies in juvenile animals were submitted.</w:t>
      </w:r>
    </w:p>
    <w:p w:rsidR="008E7846" w:rsidRDefault="008E7846" w:rsidP="008E7846">
      <w:pPr>
        <w:pStyle w:val="Heading3"/>
      </w:pPr>
      <w:bookmarkStart w:id="61" w:name="_Toc247691515"/>
      <w:bookmarkStart w:id="62" w:name="_Toc314842499"/>
      <w:bookmarkStart w:id="63" w:name="_Toc466282937"/>
      <w:r>
        <w:t>Nonclinical summary and conclusions</w:t>
      </w:r>
      <w:bookmarkEnd w:id="61"/>
      <w:bookmarkEnd w:id="62"/>
      <w:bookmarkEnd w:id="63"/>
    </w:p>
    <w:p w:rsidR="001239BB" w:rsidRPr="00347B8E" w:rsidRDefault="001239BB" w:rsidP="00347B8E">
      <w:pPr>
        <w:pStyle w:val="ListBullet"/>
      </w:pPr>
      <w:r w:rsidRPr="00347B8E">
        <w:t>The quality of studies was high and the nonclinical testing strategy was appropriate for the proposed product and its pre</w:t>
      </w:r>
      <w:r w:rsidR="00044773">
        <w:t xml:space="preserve">scribed conditions of use (that is, </w:t>
      </w:r>
      <w:r w:rsidRPr="00347B8E">
        <w:t>single dose use).</w:t>
      </w:r>
    </w:p>
    <w:p w:rsidR="009A7609" w:rsidRDefault="001239BB" w:rsidP="00347B8E">
      <w:pPr>
        <w:pStyle w:val="ListBullet"/>
      </w:pPr>
      <w:r w:rsidRPr="00347B8E">
        <w:t>Idarucizumab affinity for dabigatran (</w:t>
      </w:r>
      <w:proofErr w:type="spellStart"/>
      <w:proofErr w:type="gramStart"/>
      <w:r w:rsidRPr="00347B8E">
        <w:t>Kd</w:t>
      </w:r>
      <w:proofErr w:type="spellEnd"/>
      <w:proofErr w:type="gramEnd"/>
      <w:r w:rsidRPr="00347B8E">
        <w:t xml:space="preserve"> ≤ 62 </w:t>
      </w:r>
      <w:proofErr w:type="spellStart"/>
      <w:r w:rsidRPr="00347B8E">
        <w:t>pM</w:t>
      </w:r>
      <w:proofErr w:type="spellEnd"/>
      <w:r w:rsidRPr="00347B8E">
        <w:t xml:space="preserve"> at pH ≥ 6) was higher than the affinity of dabigatran for thrombin (</w:t>
      </w:r>
      <w:proofErr w:type="spellStart"/>
      <w:r w:rsidRPr="00347B8E">
        <w:t>Kd</w:t>
      </w:r>
      <w:proofErr w:type="spellEnd"/>
      <w:r w:rsidRPr="00347B8E">
        <w:t xml:space="preserve"> 0.7 </w:t>
      </w:r>
      <w:proofErr w:type="spellStart"/>
      <w:r w:rsidRPr="00347B8E">
        <w:t>nM</w:t>
      </w:r>
      <w:proofErr w:type="spellEnd"/>
      <w:r w:rsidRPr="00347B8E">
        <w:t xml:space="preserve">). Anticoagulant activity of dabigatran and its acyl </w:t>
      </w:r>
      <w:proofErr w:type="spellStart"/>
      <w:r w:rsidRPr="00347B8E">
        <w:t>glucuronidated</w:t>
      </w:r>
      <w:proofErr w:type="spellEnd"/>
      <w:r w:rsidRPr="00347B8E">
        <w:t xml:space="preserve"> active metabolites was reversed by idarucizumab in whole blood and plasma. Idarucizumab did not reverse rivaroxaban, </w:t>
      </w:r>
      <w:proofErr w:type="spellStart"/>
      <w:r w:rsidRPr="00347B8E">
        <w:t>apixaban</w:t>
      </w:r>
      <w:proofErr w:type="spellEnd"/>
      <w:r w:rsidRPr="00347B8E">
        <w:t xml:space="preserve">, </w:t>
      </w:r>
      <w:proofErr w:type="spellStart"/>
      <w:r w:rsidRPr="00347B8E">
        <w:t>hirudin</w:t>
      </w:r>
      <w:proofErr w:type="spellEnd"/>
      <w:r w:rsidRPr="00347B8E">
        <w:t xml:space="preserve">, </w:t>
      </w:r>
      <w:proofErr w:type="spellStart"/>
      <w:proofErr w:type="gramStart"/>
      <w:r w:rsidRPr="00347B8E">
        <w:lastRenderedPageBreak/>
        <w:t>argatroban</w:t>
      </w:r>
      <w:proofErr w:type="spellEnd"/>
      <w:r w:rsidRPr="00347B8E">
        <w:t>,</w:t>
      </w:r>
      <w:proofErr w:type="gramEnd"/>
      <w:r w:rsidRPr="00347B8E">
        <w:t xml:space="preserve"> heparin or enoxaparin</w:t>
      </w:r>
      <w:r w:rsidR="00044773">
        <w:t xml:space="preserve"> </w:t>
      </w:r>
      <w:r w:rsidRPr="00347B8E">
        <w:t>induced anticoagulation and did not exhibit pharmacological/</w:t>
      </w:r>
      <w:proofErr w:type="spellStart"/>
      <w:r w:rsidRPr="00347B8E">
        <w:t>prothrombotic</w:t>
      </w:r>
      <w:proofErr w:type="spellEnd"/>
      <w:r w:rsidRPr="00347B8E">
        <w:t xml:space="preserve"> activity on its own</w:t>
      </w:r>
      <w:r w:rsidR="009A7609">
        <w:t>.</w:t>
      </w:r>
    </w:p>
    <w:p w:rsidR="009A7609" w:rsidRDefault="001239BB" w:rsidP="00347B8E">
      <w:pPr>
        <w:pStyle w:val="ListBullet"/>
      </w:pPr>
      <w:proofErr w:type="spellStart"/>
      <w:r w:rsidRPr="00347B8E">
        <w:t>Idarucizumab</w:t>
      </w:r>
      <w:proofErr w:type="spellEnd"/>
      <w:r w:rsidRPr="00347B8E">
        <w:t xml:space="preserve"> rapidly reversed dabigatran</w:t>
      </w:r>
      <w:r w:rsidR="00044773">
        <w:t xml:space="preserve"> </w:t>
      </w:r>
      <w:r w:rsidRPr="00347B8E">
        <w:t>mediated anticoagulation in animal bleed models. It did not affect the activity of antiplatelet agents (</w:t>
      </w:r>
      <w:proofErr w:type="spellStart"/>
      <w:r w:rsidRPr="00347B8E">
        <w:t>ticagrelor</w:t>
      </w:r>
      <w:proofErr w:type="spellEnd"/>
      <w:r w:rsidRPr="00347B8E">
        <w:t xml:space="preserve">, </w:t>
      </w:r>
      <w:proofErr w:type="spellStart"/>
      <w:r w:rsidRPr="00347B8E">
        <w:t>clopidogrel</w:t>
      </w:r>
      <w:proofErr w:type="spellEnd"/>
      <w:r w:rsidRPr="00347B8E">
        <w:t xml:space="preserve">) or anticoagulants (warfarin, enoxaparin). </w:t>
      </w:r>
      <w:proofErr w:type="spellStart"/>
      <w:r w:rsidRPr="00347B8E">
        <w:t>Haemodilu</w:t>
      </w:r>
      <w:r w:rsidR="00044773">
        <w:t>tion</w:t>
      </w:r>
      <w:proofErr w:type="spellEnd"/>
      <w:r w:rsidR="00044773">
        <w:t xml:space="preserve"> and volume expanders (for example, </w:t>
      </w:r>
      <w:r w:rsidRPr="00347B8E">
        <w:t xml:space="preserve">4% hydroxyethyl starch) did not affect dabigatran binding with </w:t>
      </w:r>
      <w:proofErr w:type="spellStart"/>
      <w:r w:rsidRPr="00347B8E">
        <w:t>idarucizumab</w:t>
      </w:r>
      <w:proofErr w:type="spellEnd"/>
      <w:r w:rsidR="009A7609">
        <w:t>.</w:t>
      </w:r>
    </w:p>
    <w:p w:rsidR="001239BB" w:rsidRPr="00347B8E" w:rsidRDefault="001239BB" w:rsidP="00347B8E">
      <w:pPr>
        <w:pStyle w:val="ListBullet"/>
      </w:pPr>
      <w:r w:rsidRPr="00347B8E">
        <w:t>Total plasma dabigatran increased following idarucizumab dosing due to redistribution of extravascular dabigatran back into the circulation, where it is available to interact with idarucizumab. For this reason stoichiometric considerations are important to the interaction between dabigatran and idarucizumab, such that plasma levels of antibody should be equimolar or in excess of dabigatran to sustain neutralisation of dabigatran, since in some animal model studies a gradual return of anticoagulant activity was noted.</w:t>
      </w:r>
    </w:p>
    <w:p w:rsidR="001239BB" w:rsidRPr="00347B8E" w:rsidRDefault="001239BB" w:rsidP="00347B8E">
      <w:pPr>
        <w:pStyle w:val="ListBullet"/>
      </w:pPr>
      <w:r w:rsidRPr="00347B8E">
        <w:t>No adverse findings were reported with idarucizumab in GLP studies on respiratory, cardiovascular and CNS systems, therefore clinically relevant effects on these organ systems are not anticipated.</w:t>
      </w:r>
    </w:p>
    <w:p w:rsidR="009A7609" w:rsidRDefault="001239BB" w:rsidP="00347B8E">
      <w:pPr>
        <w:pStyle w:val="ListBullet"/>
      </w:pPr>
      <w:r w:rsidRPr="00347B8E">
        <w:t xml:space="preserve">Intravenously administered idarucizumab exhibited similar pharmacokinetic parameters in the presence and absence of dabigatran in all species, while total dabigatran plasma levels (including bound and unbound) were increased by idarucizumab. Idarucizumab distribution was confined to the vascular milieu. Excretion of idarucizumab was through the urinary route with a small fraction excreted unchanged, while the remainder was through excretion of catabolised protein. Renal impairment increased plasma exposure to both </w:t>
      </w:r>
      <w:proofErr w:type="spellStart"/>
      <w:r w:rsidRPr="00347B8E">
        <w:t>idarucizumab</w:t>
      </w:r>
      <w:proofErr w:type="spellEnd"/>
      <w:r w:rsidRPr="00347B8E">
        <w:t xml:space="preserve"> and dabigatran</w:t>
      </w:r>
      <w:r w:rsidR="009A7609">
        <w:t>.</w:t>
      </w:r>
    </w:p>
    <w:p w:rsidR="001239BB" w:rsidRPr="00347B8E" w:rsidRDefault="001239BB" w:rsidP="00347B8E">
      <w:pPr>
        <w:pStyle w:val="ListBullet"/>
      </w:pPr>
      <w:r w:rsidRPr="00347B8E">
        <w:t>Repeat dose IV toxicity studies of up to 4 weeks in rats and 2 weeks in monkeys found no evidence of systemic toxicity. In the rat, altered haematological and serum chemistry parameters did</w:t>
      </w:r>
      <w:r w:rsidR="00044773">
        <w:t xml:space="preserve"> not correspond to notable post </w:t>
      </w:r>
      <w:r w:rsidRPr="00347B8E">
        <w:t xml:space="preserve">mortem findings. In the monkey, the only adverse findings were from a male from a 2 day dosing study with renal function changes, which </w:t>
      </w:r>
      <w:r w:rsidR="00044773">
        <w:t xml:space="preserve">did not correspond to treatment </w:t>
      </w:r>
      <w:r w:rsidRPr="00347B8E">
        <w:t>related findings of note. Relative exposures attained in the animal studies were low (≥ 6 times the clinical AUC).</w:t>
      </w:r>
    </w:p>
    <w:p w:rsidR="001239BB" w:rsidRPr="00347B8E" w:rsidRDefault="001239BB" w:rsidP="00347B8E">
      <w:pPr>
        <w:pStyle w:val="ListBullet"/>
      </w:pPr>
      <w:r w:rsidRPr="00347B8E">
        <w:t>Development of antibodies against idarucizumab was seen in both species. There were no adverse findings in animals from the main repeat dose toxicity studies associated with immunogenic reactions aside from an isolated hypersensitivity reaction in a monkey intermittently dosed with idarucizumab.</w:t>
      </w:r>
    </w:p>
    <w:p w:rsidR="001239BB" w:rsidRPr="00347B8E" w:rsidRDefault="001239BB" w:rsidP="00347B8E">
      <w:pPr>
        <w:pStyle w:val="ListBullet"/>
      </w:pPr>
      <w:r w:rsidRPr="00347B8E">
        <w:t>The potential genotoxicity and carcinogenicity of idarucizumab was not examined, which is acceptable according to guidelines on biotechnology-derived products. The absence of reproductive toxicity studies is also acceptable based on the infrequent pattern of use and its proposed use as an antidote under emergency medical conditions.</w:t>
      </w:r>
    </w:p>
    <w:p w:rsidR="001239BB" w:rsidRPr="00347B8E" w:rsidRDefault="001239BB" w:rsidP="00347B8E">
      <w:pPr>
        <w:pStyle w:val="ListBullet"/>
      </w:pPr>
      <w:r w:rsidRPr="00347B8E">
        <w:t xml:space="preserve">Overall there are no nonclinical objections to the registration of </w:t>
      </w:r>
      <w:proofErr w:type="spellStart"/>
      <w:r w:rsidRPr="00347B8E">
        <w:t>idarucizumab</w:t>
      </w:r>
      <w:proofErr w:type="spellEnd"/>
      <w:r w:rsidRPr="00347B8E">
        <w:t xml:space="preserve"> (</w:t>
      </w:r>
      <w:proofErr w:type="spellStart"/>
      <w:r w:rsidRPr="00347B8E">
        <w:t>Praxbind</w:t>
      </w:r>
      <w:proofErr w:type="spellEnd"/>
      <w:r w:rsidRPr="00347B8E">
        <w:t>/</w:t>
      </w:r>
      <w:proofErr w:type="spellStart"/>
      <w:r w:rsidRPr="00347B8E">
        <w:t>Pradturn</w:t>
      </w:r>
      <w:proofErr w:type="spellEnd"/>
      <w:r w:rsidRPr="00347B8E">
        <w:t>). The draft PI should be amended as directed.</w:t>
      </w:r>
    </w:p>
    <w:p w:rsidR="008E7846" w:rsidRPr="00254787" w:rsidRDefault="008E7846" w:rsidP="009A7609">
      <w:pPr>
        <w:pStyle w:val="Heading2"/>
        <w:pageBreakBefore/>
      </w:pPr>
      <w:bookmarkStart w:id="64" w:name="_Toc196046462"/>
      <w:bookmarkStart w:id="65" w:name="_Toc247691516"/>
      <w:bookmarkStart w:id="66" w:name="_Toc314842500"/>
      <w:bookmarkStart w:id="67" w:name="_Toc163441353"/>
      <w:bookmarkStart w:id="68" w:name="_Toc163441348"/>
      <w:bookmarkStart w:id="69" w:name="_Toc466282938"/>
      <w:r>
        <w:lastRenderedPageBreak/>
        <w:t xml:space="preserve">IV. </w:t>
      </w:r>
      <w:r w:rsidRPr="00254787">
        <w:t>Clinical</w:t>
      </w:r>
      <w:bookmarkEnd w:id="64"/>
      <w:r>
        <w:t xml:space="preserve"> </w:t>
      </w:r>
      <w:r w:rsidR="003A7F6C">
        <w:t>f</w:t>
      </w:r>
      <w:r>
        <w:t>indings</w:t>
      </w:r>
      <w:bookmarkEnd w:id="65"/>
      <w:bookmarkEnd w:id="66"/>
      <w:bookmarkEnd w:id="69"/>
    </w:p>
    <w:p w:rsidR="00C80137" w:rsidRDefault="00C80137" w:rsidP="00D425BB">
      <w:bookmarkStart w:id="70"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71" w:name="_Toc247691517"/>
      <w:bookmarkStart w:id="72" w:name="_Toc314842501"/>
      <w:bookmarkStart w:id="73" w:name="_Toc466282939"/>
      <w:r w:rsidRPr="00254787">
        <w:t>Introduction</w:t>
      </w:r>
      <w:bookmarkEnd w:id="70"/>
      <w:bookmarkEnd w:id="71"/>
      <w:bookmarkEnd w:id="72"/>
      <w:bookmarkEnd w:id="73"/>
    </w:p>
    <w:p w:rsidR="00605AD4" w:rsidRDefault="00605AD4" w:rsidP="00605AD4">
      <w:pPr>
        <w:pStyle w:val="Heading4"/>
      </w:pPr>
      <w:bookmarkStart w:id="74" w:name="_Toc196046464"/>
      <w:bookmarkStart w:id="75" w:name="_Toc247691518"/>
      <w:bookmarkStart w:id="76" w:name="_Toc314842502"/>
      <w:r w:rsidRPr="00605AD4">
        <w:t xml:space="preserve">Clinical </w:t>
      </w:r>
      <w:r w:rsidR="00F45446">
        <w:t>r</w:t>
      </w:r>
      <w:r w:rsidRPr="00605AD4">
        <w:t>ationale</w:t>
      </w:r>
    </w:p>
    <w:p w:rsidR="007A2E32" w:rsidRPr="007A2E32" w:rsidRDefault="007A2E32" w:rsidP="007A2E32">
      <w:r w:rsidRPr="007A2E32">
        <w:t>Dabigatran etexilate (Pradaxa) is an oral pro</w:t>
      </w:r>
      <w:r w:rsidR="00044773">
        <w:t xml:space="preserve"> </w:t>
      </w:r>
      <w:r w:rsidRPr="007A2E32">
        <w:t>drug of dabigatran, a direct-acting thrombin inhibitor that has been shown to be effective in the prevention or reduction of thrombot</w:t>
      </w:r>
      <w:r w:rsidR="00044773">
        <w:t xml:space="preserve">ic events in: patients with </w:t>
      </w:r>
      <w:r w:rsidR="009A7609">
        <w:t>non-</w:t>
      </w:r>
      <w:r w:rsidR="009A7609" w:rsidRPr="007A2E32">
        <w:t>valvular</w:t>
      </w:r>
      <w:r w:rsidRPr="007A2E32">
        <w:t xml:space="preserve"> atrial fibrillation; patients with deep vein thrombosis or pulmonary embolism who have been treated with a parenteral anticoagulant for 5-10 days; patients who have previously received anticoagulant therapy for treatment of venous thromboembolism in orthopaedic surgery patients at risk for </w:t>
      </w:r>
      <w:r w:rsidR="009A7609" w:rsidRPr="007A2E32">
        <w:t>post</w:t>
      </w:r>
      <w:r w:rsidR="009A7609">
        <w:t>-operative</w:t>
      </w:r>
      <w:r w:rsidR="00044AAB">
        <w:t xml:space="preserve"> deep vein thrombosis</w:t>
      </w:r>
      <w:r w:rsidRPr="007A2E32">
        <w:t>.</w:t>
      </w:r>
    </w:p>
    <w:p w:rsidR="007A2E32" w:rsidRPr="007A2E32" w:rsidRDefault="007A2E32" w:rsidP="007A2E32">
      <w:r w:rsidRPr="007A2E32">
        <w:t xml:space="preserve">Anticoagulation therapy is a mainstay of treatment and prevention of pathologic thrombosis in these different clinical settings. However, as with all anticoagulants, bleeding is a potential side effect especially during emergency surgery or other urgent invasive procedures with </w:t>
      </w:r>
      <w:proofErr w:type="gramStart"/>
      <w:r w:rsidRPr="007A2E32">
        <w:t>dabigatran .</w:t>
      </w:r>
      <w:proofErr w:type="gramEnd"/>
      <w:r w:rsidRPr="007A2E32">
        <w:t xml:space="preserve"> In RE-LY, in patients with atrial fibrillation, the annualised rate of emergency surgery was 1.5% and 1.7% for patients treated with </w:t>
      </w:r>
      <w:r w:rsidR="00592D6E" w:rsidRPr="00592D6E">
        <w:t>dabigatran etexilate</w:t>
      </w:r>
      <w:r w:rsidRPr="007A2E32">
        <w:t xml:space="preserve"> 150 </w:t>
      </w:r>
      <w:r w:rsidR="00592D6E">
        <w:t xml:space="preserve">mg </w:t>
      </w:r>
      <w:r w:rsidRPr="007A2E32">
        <w:t xml:space="preserve">and </w:t>
      </w:r>
      <w:r w:rsidR="00592D6E" w:rsidRPr="00592D6E">
        <w:t>dabigatran etexilate</w:t>
      </w:r>
      <w:r w:rsidRPr="007A2E32">
        <w:t xml:space="preserve"> 110</w:t>
      </w:r>
      <w:r w:rsidR="00592D6E">
        <w:t xml:space="preserve"> mg</w:t>
      </w:r>
      <w:r w:rsidRPr="007A2E32">
        <w:t>, respectively.  The major bleeding rates in patients treated with dabigatran etexilate 150 mg bid</w:t>
      </w:r>
      <w:r w:rsidR="00C613B7">
        <w:t xml:space="preserve"> (twice daily)</w:t>
      </w:r>
      <w:r w:rsidRPr="007A2E32">
        <w:t xml:space="preserve"> in RE-LY were approximately 3% per year (3 events per 100 patient</w:t>
      </w:r>
      <w:r w:rsidR="00592D6E">
        <w:t xml:space="preserve"> </w:t>
      </w:r>
      <w:r w:rsidRPr="007A2E32">
        <w:t>years), of which half (1.5%) were categorised as life</w:t>
      </w:r>
      <w:r w:rsidR="00592D6E">
        <w:t xml:space="preserve"> </w:t>
      </w:r>
      <w:r w:rsidRPr="007A2E32">
        <w:t>threatening and in rare cases (0.2%), the bleed</w:t>
      </w:r>
      <w:r w:rsidR="00750E11">
        <w:t>ing was fatal.</w:t>
      </w:r>
      <w:r w:rsidR="00750E11">
        <w:rPr>
          <w:rStyle w:val="FootnoteReference"/>
        </w:rPr>
        <w:footnoteReference w:id="6"/>
      </w:r>
    </w:p>
    <w:p w:rsidR="007A2E32" w:rsidRPr="007A2E32" w:rsidRDefault="007A2E32" w:rsidP="007A2E32">
      <w:r w:rsidRPr="007A2E32">
        <w:t>To date, acute management of serious bleeding in patients on dabig</w:t>
      </w:r>
      <w:r w:rsidR="00750E11">
        <w:t xml:space="preserve">atran etexilate, including life </w:t>
      </w:r>
      <w:r w:rsidRPr="007A2E32">
        <w:t xml:space="preserve">threatening </w:t>
      </w:r>
      <w:proofErr w:type="gramStart"/>
      <w:r w:rsidRPr="007A2E32">
        <w:t>bleeds,</w:t>
      </w:r>
      <w:proofErr w:type="gramEnd"/>
      <w:r w:rsidRPr="007A2E32">
        <w:t xml:space="preserve"> is limited to supportive care, administration of blood or blood products and, in suitable patients, consideration of haemodialysis to remove </w:t>
      </w:r>
      <w:r w:rsidR="00750E11">
        <w:t>the drug</w:t>
      </w:r>
      <w:r w:rsidRPr="007A2E32">
        <w:t>.</w:t>
      </w:r>
      <w:r w:rsidR="00750E11">
        <w:rPr>
          <w:rStyle w:val="FootnoteReference"/>
        </w:rPr>
        <w:footnoteReference w:id="7"/>
      </w:r>
      <w:r w:rsidRPr="007A2E32">
        <w:t xml:space="preserve"> Similarly, there are no other alternatives for the management of dabigatran-associated peri-operative bleeds. Until now, there has been no treatment that directly reverses the pharmacological effect of dabigatran. The ability to safely reverse the anticoagulant effect of dabigatran in patients who require rapid reversal could improve the surgical risk of patients requiring emergency surgery, improve the management of serious bleeding events and further increase the overall safety profile of anticoagulation therapy with dabigatran.</w:t>
      </w:r>
    </w:p>
    <w:p w:rsidR="009A7609" w:rsidRDefault="007A2E32" w:rsidP="007A2E32">
      <w:r w:rsidRPr="007A2E32">
        <w:t>Idarucizumab directly, rapidly and specifically neutralises dabigatran’s anticoagulant effect due to its very high affinity for dabigatran (</w:t>
      </w:r>
      <w:proofErr w:type="spellStart"/>
      <w:proofErr w:type="gramStart"/>
      <w:r w:rsidRPr="007A2E32">
        <w:t>Kd</w:t>
      </w:r>
      <w:proofErr w:type="spellEnd"/>
      <w:proofErr w:type="gramEnd"/>
      <w:r w:rsidRPr="007A2E32">
        <w:t xml:space="preserve"> = 2.1pM). This affinity is approximately 300</w:t>
      </w:r>
      <w:r w:rsidR="00750E11">
        <w:t xml:space="preserve"> </w:t>
      </w:r>
      <w:r w:rsidRPr="007A2E32">
        <w:t>fold higher than the affinity of dabigatran for thrombin (</w:t>
      </w:r>
      <w:proofErr w:type="spellStart"/>
      <w:proofErr w:type="gramStart"/>
      <w:r w:rsidRPr="007A2E32">
        <w:t>Kd</w:t>
      </w:r>
      <w:proofErr w:type="spellEnd"/>
      <w:proofErr w:type="gramEnd"/>
      <w:r w:rsidRPr="007A2E32">
        <w:t xml:space="preserve"> = 0.7 </w:t>
      </w:r>
      <w:proofErr w:type="spellStart"/>
      <w:r w:rsidRPr="007A2E32">
        <w:t>nM</w:t>
      </w:r>
      <w:proofErr w:type="spellEnd"/>
      <w:r w:rsidRPr="007A2E32">
        <w:t>). This high affinity for dabigatran means any unbound dabigatran will preferentially bind to idarucizumab. In dynamic equilibrium, any thrombin-bound dabigatran (or other plasma protein-bound dabigatran) will equilibrate with unbound dabigatran and rapidly thereafter be bound by any free idarucizumab. Idarucizumab itself has no known pharmacologic effect and preclinical data have shown that it does not bind to factors in the coagulation cas</w:t>
      </w:r>
      <w:r w:rsidR="00750E11">
        <w:t xml:space="preserve">cade or other </w:t>
      </w:r>
      <w:proofErr w:type="spellStart"/>
      <w:r w:rsidR="00750E11">
        <w:t>antithrombotics</w:t>
      </w:r>
      <w:proofErr w:type="spellEnd"/>
      <w:r w:rsidR="00750E11">
        <w:t xml:space="preserve">. </w:t>
      </w:r>
      <w:r w:rsidRPr="007A2E32">
        <w:t xml:space="preserve">The clinical development program consists </w:t>
      </w:r>
      <w:r w:rsidRPr="007A2E32">
        <w:lastRenderedPageBreak/>
        <w:t>of three completed studies in volunteers (</w:t>
      </w:r>
      <w:r w:rsidR="00750E11">
        <w:t>S</w:t>
      </w:r>
      <w:r w:rsidRPr="007A2E32">
        <w:t>tudies 1321.1, 1321.2 and 1321.5) and one ongoing study in patients (1321.3). Each Phase I study in volunteers documented the safety of idarucizumab over a range of doses and also explored the dose</w:t>
      </w:r>
      <w:r w:rsidR="00750E11">
        <w:t xml:space="preserve"> </w:t>
      </w:r>
      <w:r w:rsidRPr="007A2E32">
        <w:t>response for reversal of da</w:t>
      </w:r>
      <w:r w:rsidR="00750E11">
        <w:t xml:space="preserve">bigatran anticoagulant effect. </w:t>
      </w:r>
      <w:r w:rsidRPr="007A2E32">
        <w:t>Clinical studies evaluated pharmacologic reversal of the anticoagulant effect of dabigatran</w:t>
      </w:r>
      <w:r w:rsidR="009A7609">
        <w:t>.</w:t>
      </w:r>
    </w:p>
    <w:p w:rsidR="00605AD4" w:rsidRDefault="00605AD4" w:rsidP="009A7609">
      <w:pPr>
        <w:pStyle w:val="Heading4"/>
      </w:pPr>
      <w:r w:rsidRPr="00605AD4">
        <w:t>Guidance</w:t>
      </w:r>
    </w:p>
    <w:p w:rsidR="009A7609" w:rsidRDefault="00135FA0" w:rsidP="00135FA0">
      <w:r w:rsidRPr="00135FA0">
        <w:t>The strategy of demonstrating reversibility in healthy volunteers, with ratification of a pharmacodynamic endpoint in a small number of patients, in an uncontrolled study in the target indication, was accepted by the European Medicines Agency (EMA) as described in their Scientific Advice letter from Nov</w:t>
      </w:r>
      <w:r w:rsidR="00750E11">
        <w:t>ember</w:t>
      </w:r>
      <w:r w:rsidRPr="00135FA0">
        <w:t xml:space="preserve"> 2013. It was also accepted by Japanese Pharmaceutical and Medical Devices Agency (PMDA) in Dec</w:t>
      </w:r>
      <w:r w:rsidR="00750E11">
        <w:t>ember 2012 and</w:t>
      </w:r>
      <w:r w:rsidRPr="00135FA0">
        <w:t xml:space="preserve"> Dec</w:t>
      </w:r>
      <w:r w:rsidR="00750E11">
        <w:t>ember</w:t>
      </w:r>
      <w:r w:rsidRPr="00135FA0">
        <w:t xml:space="preserve"> 2014, provided that some Japanese patients were included in </w:t>
      </w:r>
      <w:r w:rsidR="00750E11">
        <w:t>S</w:t>
      </w:r>
      <w:r w:rsidRPr="00135FA0">
        <w:t>tudy 1321.3. Consultation with US Food and Drug Administration (FDA) in Oct</w:t>
      </w:r>
      <w:r w:rsidR="00750E11">
        <w:t>ober</w:t>
      </w:r>
      <w:r w:rsidRPr="00135FA0">
        <w:t xml:space="preserve"> 2014 indicated that the Agency may consider approval based on a surrogate endpoint in volunteer trials for the assessment of clinical benefit of idarucizumab as a reversal agent for the anticoagulant effect of dabigatran</w:t>
      </w:r>
      <w:r w:rsidR="009A7609">
        <w:t>.</w:t>
      </w:r>
    </w:p>
    <w:p w:rsidR="00135FA0" w:rsidRPr="00135FA0" w:rsidRDefault="00135FA0" w:rsidP="00135FA0">
      <w:pPr>
        <w:ind w:left="720"/>
        <w:rPr>
          <w:i/>
        </w:rPr>
      </w:pPr>
      <w:r w:rsidRPr="00135FA0">
        <w:rPr>
          <w:i/>
        </w:rPr>
        <w:t>Comments: In its pre-submission meeting with the TGA dated  25 Nov, 2014, the proposed approach by the sponsors (to demonstrate reversal of dabigatran-induced anticoagulant effect in the 3 Phase 1 studies in healthy volunteers and an ongoing, uncontrolled, open-label, case-series study in patients) was acceptable.</w:t>
      </w:r>
    </w:p>
    <w:p w:rsidR="00605AD4" w:rsidRDefault="00605AD4" w:rsidP="00605AD4">
      <w:pPr>
        <w:pStyle w:val="Heading4"/>
      </w:pPr>
      <w:r w:rsidRPr="00605AD4">
        <w:t>Contents of the clinical dossier</w:t>
      </w:r>
    </w:p>
    <w:p w:rsidR="008C16F6" w:rsidRPr="008C16F6" w:rsidRDefault="008C16F6" w:rsidP="008C16F6">
      <w:r w:rsidRPr="008C16F6">
        <w:t>The submission contained the following clinical information:</w:t>
      </w:r>
    </w:p>
    <w:p w:rsidR="008C16F6" w:rsidRPr="008C16F6" w:rsidRDefault="008C16F6" w:rsidP="008C16F6">
      <w:pPr>
        <w:pStyle w:val="ListBullet"/>
      </w:pPr>
      <w:r w:rsidRPr="008C16F6">
        <w:t>Three clinical pharmacology studies which provided both pharmacokinetic and pharmacodynamic da</w:t>
      </w:r>
      <w:r w:rsidR="00750E11">
        <w:t xml:space="preserve">ta. Three </w:t>
      </w:r>
      <w:proofErr w:type="gramStart"/>
      <w:r w:rsidR="00750E11">
        <w:t>Phase</w:t>
      </w:r>
      <w:proofErr w:type="gramEnd"/>
      <w:r w:rsidR="00750E11">
        <w:t xml:space="preserve"> I</w:t>
      </w:r>
      <w:r w:rsidRPr="008C16F6">
        <w:t xml:space="preserve"> studies (1321.1, 1321.2 and 1321.5) in 283 healthy volunteers documented the safety of idarucizumab over a range of doses but also explored the dose-response for reversal of dabigatran anticoagulant effect.</w:t>
      </w:r>
    </w:p>
    <w:p w:rsidR="008C16F6" w:rsidRPr="008C16F6" w:rsidRDefault="008C16F6" w:rsidP="008C16F6">
      <w:pPr>
        <w:pStyle w:val="ListBullet"/>
      </w:pPr>
      <w:r w:rsidRPr="008C16F6">
        <w:t>One population pharmacokinetic analyses (01-02-05).</w:t>
      </w:r>
    </w:p>
    <w:p w:rsidR="008C16F6" w:rsidRPr="008C16F6" w:rsidRDefault="00750E11" w:rsidP="008C16F6">
      <w:pPr>
        <w:pStyle w:val="ListBullet"/>
      </w:pPr>
      <w:r>
        <w:t>One pivotal Phase III</w:t>
      </w:r>
      <w:r w:rsidR="008C16F6" w:rsidRPr="008C16F6">
        <w:t xml:space="preserve"> efficacy/safety, uncontrolled, open</w:t>
      </w:r>
      <w:r>
        <w:t xml:space="preserve"> </w:t>
      </w:r>
      <w:r w:rsidR="008C16F6" w:rsidRPr="008C16F6">
        <w:t>label, case</w:t>
      </w:r>
      <w:r>
        <w:t xml:space="preserve"> </w:t>
      </w:r>
      <w:r w:rsidR="008C16F6" w:rsidRPr="008C16F6">
        <w:t>series study (1321.3) which is still ongoing; only interim report (cut off was 2 Dec</w:t>
      </w:r>
      <w:r>
        <w:t>ember</w:t>
      </w:r>
      <w:r w:rsidR="008C16F6" w:rsidRPr="008C16F6">
        <w:t xml:space="preserve"> 2014) from first 26 patients was provided in this submission. This is the only study in patients evaluating efficacy of idarucizumab in emergency situations, when rapid and safe reversal of the anticoagulant effects of dabigatran is required.</w:t>
      </w:r>
    </w:p>
    <w:p w:rsidR="008C16F6" w:rsidRPr="008C16F6" w:rsidRDefault="008C16F6" w:rsidP="008C16F6">
      <w:pPr>
        <w:pStyle w:val="ListBullet"/>
      </w:pPr>
      <w:r w:rsidRPr="008C16F6">
        <w:t>Pool</w:t>
      </w:r>
      <w:r w:rsidR="00750E11">
        <w:t xml:space="preserve">ed analyses of the three </w:t>
      </w:r>
      <w:proofErr w:type="gramStart"/>
      <w:r w:rsidR="00750E11">
        <w:t>Phase</w:t>
      </w:r>
      <w:proofErr w:type="gramEnd"/>
      <w:r w:rsidR="00750E11">
        <w:t xml:space="preserve"> I</w:t>
      </w:r>
      <w:r w:rsidRPr="008C16F6">
        <w:t xml:space="preserve"> studies in healthy volunteers, integrated summary of efficacy and safety.</w:t>
      </w:r>
    </w:p>
    <w:p w:rsidR="009A7609" w:rsidRDefault="008C16F6" w:rsidP="008C16F6">
      <w:pPr>
        <w:ind w:left="720"/>
        <w:rPr>
          <w:i/>
        </w:rPr>
      </w:pPr>
      <w:r w:rsidRPr="008C16F6">
        <w:rPr>
          <w:i/>
        </w:rPr>
        <w:t>Comments: A 4</w:t>
      </w:r>
      <w:r w:rsidR="00750E11">
        <w:rPr>
          <w:i/>
        </w:rPr>
        <w:t xml:space="preserve"> </w:t>
      </w:r>
      <w:r w:rsidRPr="008C16F6">
        <w:rPr>
          <w:i/>
        </w:rPr>
        <w:t>month safety update summarises safety and efficacy data from this ongoing study and provides data</w:t>
      </w:r>
      <w:r w:rsidR="00750E11">
        <w:rPr>
          <w:i/>
        </w:rPr>
        <w:t xml:space="preserve"> in 123 patients</w:t>
      </w:r>
      <w:r w:rsidRPr="008C16F6">
        <w:rPr>
          <w:i/>
        </w:rPr>
        <w:t xml:space="preserve">. However, the cover letter, clinical overview and clinical summary of efficacy in the current dossier only summarise data in 26 patients from </w:t>
      </w:r>
      <w:r w:rsidR="00750E11">
        <w:rPr>
          <w:i/>
        </w:rPr>
        <w:t>s</w:t>
      </w:r>
      <w:r w:rsidRPr="008C16F6">
        <w:rPr>
          <w:i/>
        </w:rPr>
        <w:t>tudy 1321.3. The sponsors have been asked to provide clarification on why data from the 123 patients was not included in the summary of efficacy or overview especially considering fact that both FDA and EMA mention data from 123 patients in their approval statements and labelling</w:t>
      </w:r>
      <w:r w:rsidR="009A7609">
        <w:rPr>
          <w:i/>
        </w:rPr>
        <w:t>.</w:t>
      </w:r>
    </w:p>
    <w:p w:rsidR="00605AD4" w:rsidRDefault="00605AD4" w:rsidP="00605AD4">
      <w:pPr>
        <w:pStyle w:val="Heading4"/>
      </w:pPr>
      <w:r w:rsidRPr="00605AD4">
        <w:t>Paediatric data</w:t>
      </w:r>
    </w:p>
    <w:p w:rsidR="00DF04B2" w:rsidRPr="00DF04B2" w:rsidRDefault="00DF04B2" w:rsidP="00DF04B2">
      <w:r w:rsidRPr="00DF04B2">
        <w:t>The submission did not include paediatric data. As P</w:t>
      </w:r>
      <w:r w:rsidR="00897722">
        <w:t>radaxa</w:t>
      </w:r>
      <w:r w:rsidR="00682676">
        <w:t xml:space="preserve"> </w:t>
      </w:r>
      <w:r w:rsidRPr="00DF04B2">
        <w:t xml:space="preserve">is used in adults only, there is no paediatric data for idarucizumab since the use of idarucizumab in the paediatric population is considered not relevant. A protocol to treat children who may be treated </w:t>
      </w:r>
      <w:r w:rsidRPr="00DF04B2">
        <w:lastRenderedPageBreak/>
        <w:t xml:space="preserve">with dabigatran within a clinical trial is in development, in agreement with the </w:t>
      </w:r>
      <w:r w:rsidR="00660E85" w:rsidRPr="00660E85">
        <w:t>Paediatric Committee</w:t>
      </w:r>
      <w:r w:rsidR="00660E85">
        <w:t xml:space="preserve"> (PDCO) </w:t>
      </w:r>
      <w:r w:rsidRPr="00DF04B2">
        <w:t xml:space="preserve">in the </w:t>
      </w:r>
      <w:r w:rsidR="00682676">
        <w:t>EU</w:t>
      </w:r>
      <w:r w:rsidRPr="00DF04B2">
        <w:t>.</w:t>
      </w:r>
    </w:p>
    <w:p w:rsidR="00605AD4" w:rsidRDefault="00605AD4" w:rsidP="00605AD4">
      <w:pPr>
        <w:pStyle w:val="Heading4"/>
      </w:pPr>
      <w:r w:rsidRPr="00605AD4">
        <w:t>Good clinical practice</w:t>
      </w:r>
    </w:p>
    <w:p w:rsidR="00933BBD" w:rsidRPr="00933BBD" w:rsidRDefault="00933BBD" w:rsidP="00933BBD">
      <w:bookmarkStart w:id="77" w:name="_Toc241374282"/>
      <w:r w:rsidRPr="00933BBD">
        <w:t>The trials were carried out in compliance with the clinical trial protocol (CTP), in accordance with the principles of the Declaration of Helsinki, in accordance with the ICH-GCP, and in accordance with applicable regulatory requirements and Boehringer Ingelheim (BI) standard operating procedures (SOPs).</w:t>
      </w:r>
    </w:p>
    <w:p w:rsidR="008E7846" w:rsidRDefault="008E7846" w:rsidP="00605AD4">
      <w:pPr>
        <w:pStyle w:val="Heading3"/>
      </w:pPr>
      <w:bookmarkStart w:id="78" w:name="_Toc466282940"/>
      <w:bookmarkEnd w:id="77"/>
      <w:r w:rsidRPr="00254787">
        <w:t>Pharmacokinetics</w:t>
      </w:r>
      <w:bookmarkEnd w:id="67"/>
      <w:bookmarkEnd w:id="74"/>
      <w:bookmarkEnd w:id="75"/>
      <w:bookmarkEnd w:id="76"/>
      <w:bookmarkEnd w:id="78"/>
    </w:p>
    <w:p w:rsidR="00232A97" w:rsidRDefault="00232A97" w:rsidP="00232A97">
      <w:pPr>
        <w:pStyle w:val="Heading4"/>
      </w:pPr>
      <w:r>
        <w:t>Studies providing pharmacokinetic data</w:t>
      </w:r>
    </w:p>
    <w:p w:rsidR="00232A97" w:rsidRDefault="00454102" w:rsidP="00232A97">
      <w:r w:rsidRPr="00454102">
        <w:t xml:space="preserve">Table </w:t>
      </w:r>
      <w:r>
        <w:t>3</w:t>
      </w:r>
      <w:r w:rsidRPr="00454102">
        <w:t xml:space="preserve"> below shows the studies relating to each pharmacokinetic topic and the location of each study summary.</w:t>
      </w:r>
    </w:p>
    <w:p w:rsidR="00454102" w:rsidRDefault="00454102" w:rsidP="005A7247">
      <w:pPr>
        <w:pStyle w:val="TableTitle"/>
      </w:pPr>
      <w:proofErr w:type="gramStart"/>
      <w:r>
        <w:t>Table 3.</w:t>
      </w:r>
      <w:proofErr w:type="gramEnd"/>
      <w:r>
        <w:t xml:space="preserve"> </w:t>
      </w:r>
      <w:proofErr w:type="gramStart"/>
      <w:r w:rsidR="005A7247" w:rsidRPr="005A7247">
        <w:t>Submitted pharmacokinetic studies.</w:t>
      </w:r>
      <w:proofErr w:type="gramEnd"/>
    </w:p>
    <w:tbl>
      <w:tblPr>
        <w:tblStyle w:val="TableTGAblue"/>
        <w:tblW w:w="8472" w:type="dxa"/>
        <w:tblLayout w:type="fixed"/>
        <w:tblLook w:val="04A0" w:firstRow="1" w:lastRow="0" w:firstColumn="1" w:lastColumn="0" w:noHBand="0" w:noVBand="1"/>
      </w:tblPr>
      <w:tblGrid>
        <w:gridCol w:w="1558"/>
        <w:gridCol w:w="1527"/>
        <w:gridCol w:w="1276"/>
        <w:gridCol w:w="4111"/>
      </w:tblGrid>
      <w:tr w:rsidR="00454102" w:rsidRPr="00454102" w:rsidTr="009A7609">
        <w:trPr>
          <w:cnfStyle w:val="100000000000" w:firstRow="1" w:lastRow="0" w:firstColumn="0" w:lastColumn="0" w:oddVBand="0" w:evenVBand="0" w:oddHBand="0" w:evenHBand="0" w:firstRowFirstColumn="0" w:firstRowLastColumn="0" w:lastRowFirstColumn="0" w:lastRowLastColumn="0"/>
        </w:trPr>
        <w:tc>
          <w:tcPr>
            <w:tcW w:w="1558" w:type="dxa"/>
          </w:tcPr>
          <w:p w:rsidR="00454102" w:rsidRPr="00454102" w:rsidRDefault="00454102" w:rsidP="009A7609">
            <w:pPr>
              <w:ind w:left="0"/>
            </w:pPr>
            <w:r w:rsidRPr="00454102">
              <w:t>PK topic</w:t>
            </w:r>
          </w:p>
        </w:tc>
        <w:tc>
          <w:tcPr>
            <w:tcW w:w="1527" w:type="dxa"/>
          </w:tcPr>
          <w:p w:rsidR="00454102" w:rsidRPr="00454102" w:rsidRDefault="00454102" w:rsidP="009A7609">
            <w:pPr>
              <w:ind w:left="2"/>
            </w:pPr>
            <w:r w:rsidRPr="00454102">
              <w:t>Subtopic</w:t>
            </w:r>
          </w:p>
        </w:tc>
        <w:tc>
          <w:tcPr>
            <w:tcW w:w="1276" w:type="dxa"/>
          </w:tcPr>
          <w:p w:rsidR="00454102" w:rsidRPr="00454102" w:rsidRDefault="00454102" w:rsidP="009A7609">
            <w:pPr>
              <w:ind w:left="0"/>
            </w:pPr>
            <w:r w:rsidRPr="00454102">
              <w:t>Study ID</w:t>
            </w:r>
          </w:p>
        </w:tc>
        <w:tc>
          <w:tcPr>
            <w:tcW w:w="4111" w:type="dxa"/>
          </w:tcPr>
          <w:p w:rsidR="00454102" w:rsidRPr="00454102" w:rsidRDefault="00454102" w:rsidP="009A7609">
            <w:r w:rsidRPr="00454102">
              <w:t>*</w:t>
            </w:r>
          </w:p>
        </w:tc>
      </w:tr>
      <w:tr w:rsidR="00454102" w:rsidRPr="00454102" w:rsidTr="009A7609">
        <w:tc>
          <w:tcPr>
            <w:tcW w:w="1558" w:type="dxa"/>
            <w:vMerge w:val="restart"/>
          </w:tcPr>
          <w:p w:rsidR="00454102" w:rsidRPr="00454102" w:rsidRDefault="00454102" w:rsidP="009A7609">
            <w:pPr>
              <w:ind w:left="0"/>
            </w:pPr>
            <w:r w:rsidRPr="00454102">
              <w:t>PK in healthy adults</w:t>
            </w:r>
          </w:p>
        </w:tc>
        <w:tc>
          <w:tcPr>
            <w:tcW w:w="1527" w:type="dxa"/>
          </w:tcPr>
          <w:p w:rsidR="00454102" w:rsidRPr="00454102" w:rsidRDefault="00454102" w:rsidP="009A7609">
            <w:pPr>
              <w:ind w:left="2"/>
            </w:pPr>
            <w:r w:rsidRPr="00454102">
              <w:t>Safety, tolerability, and PKs</w:t>
            </w:r>
          </w:p>
        </w:tc>
        <w:tc>
          <w:tcPr>
            <w:tcW w:w="1276" w:type="dxa"/>
          </w:tcPr>
          <w:p w:rsidR="00454102" w:rsidRPr="00454102" w:rsidRDefault="00454102" w:rsidP="009A7609">
            <w:pPr>
              <w:ind w:left="0"/>
            </w:pPr>
            <w:r w:rsidRPr="00454102">
              <w:t>1321.1</w:t>
            </w:r>
          </w:p>
        </w:tc>
        <w:tc>
          <w:tcPr>
            <w:tcW w:w="4111" w:type="dxa"/>
          </w:tcPr>
          <w:p w:rsidR="00454102" w:rsidRPr="00454102" w:rsidRDefault="00454102" w:rsidP="009A7609">
            <w:r w:rsidRPr="00454102">
              <w:t>PKs of IV doses of idarucizumab and to explore the effect of different doses of idarucizumab administered on the steady state PK/PD of dabigatran</w:t>
            </w:r>
          </w:p>
        </w:tc>
      </w:tr>
      <w:tr w:rsidR="00454102" w:rsidRPr="00454102" w:rsidTr="009A7609">
        <w:tc>
          <w:tcPr>
            <w:tcW w:w="1558" w:type="dxa"/>
            <w:vMerge/>
          </w:tcPr>
          <w:p w:rsidR="00454102" w:rsidRPr="00454102" w:rsidRDefault="00454102" w:rsidP="009A7609">
            <w:pPr>
              <w:ind w:left="0"/>
            </w:pPr>
          </w:p>
        </w:tc>
        <w:tc>
          <w:tcPr>
            <w:tcW w:w="1527" w:type="dxa"/>
          </w:tcPr>
          <w:p w:rsidR="00454102" w:rsidRPr="00454102" w:rsidRDefault="00454102" w:rsidP="009A7609">
            <w:pPr>
              <w:ind w:left="2"/>
            </w:pPr>
          </w:p>
        </w:tc>
        <w:tc>
          <w:tcPr>
            <w:tcW w:w="1276" w:type="dxa"/>
          </w:tcPr>
          <w:p w:rsidR="00454102" w:rsidRPr="00454102" w:rsidRDefault="00454102" w:rsidP="009A7609">
            <w:pPr>
              <w:ind w:left="0"/>
            </w:pPr>
            <w:r w:rsidRPr="00454102">
              <w:t>1321.2</w:t>
            </w:r>
          </w:p>
        </w:tc>
        <w:tc>
          <w:tcPr>
            <w:tcW w:w="4111" w:type="dxa"/>
          </w:tcPr>
          <w:p w:rsidR="00454102" w:rsidRPr="00454102" w:rsidRDefault="00454102" w:rsidP="009A7609">
            <w:r w:rsidRPr="00454102">
              <w:t>PKs and PDs of idarucizumab and to establish the idarucizumab dose(s) effective in reversing dabigatran-induced prolongation of blood coagulation time.</w:t>
            </w:r>
          </w:p>
        </w:tc>
      </w:tr>
      <w:tr w:rsidR="00454102" w:rsidRPr="00454102" w:rsidTr="009A7609">
        <w:tc>
          <w:tcPr>
            <w:tcW w:w="1558" w:type="dxa"/>
          </w:tcPr>
          <w:p w:rsidR="00454102" w:rsidRPr="00454102" w:rsidRDefault="00454102" w:rsidP="009A7609">
            <w:pPr>
              <w:ind w:left="0"/>
            </w:pPr>
            <w:r w:rsidRPr="00454102">
              <w:t>PK in special populations</w:t>
            </w:r>
          </w:p>
        </w:tc>
        <w:tc>
          <w:tcPr>
            <w:tcW w:w="1527" w:type="dxa"/>
          </w:tcPr>
          <w:p w:rsidR="00454102" w:rsidRPr="00454102" w:rsidRDefault="00454102" w:rsidP="009A7609">
            <w:pPr>
              <w:ind w:left="2"/>
            </w:pPr>
            <w:r w:rsidRPr="00454102">
              <w:t>Healthy Japanese subjects</w:t>
            </w:r>
          </w:p>
        </w:tc>
        <w:tc>
          <w:tcPr>
            <w:tcW w:w="1276" w:type="dxa"/>
          </w:tcPr>
          <w:p w:rsidR="00454102" w:rsidRPr="00454102" w:rsidRDefault="00454102" w:rsidP="009A7609">
            <w:pPr>
              <w:ind w:left="0"/>
            </w:pPr>
            <w:r w:rsidRPr="00454102">
              <w:t>1321.5</w:t>
            </w:r>
          </w:p>
        </w:tc>
        <w:tc>
          <w:tcPr>
            <w:tcW w:w="4111" w:type="dxa"/>
          </w:tcPr>
          <w:p w:rsidR="00454102" w:rsidRPr="00454102" w:rsidRDefault="00454102" w:rsidP="009A7609">
            <w:r w:rsidRPr="00454102">
              <w:t>PKs of idarucizumab and to explore the effect of different doses of idarucizumab administered at or close to the steady state of dabigatran</w:t>
            </w:r>
          </w:p>
        </w:tc>
      </w:tr>
      <w:tr w:rsidR="00454102" w:rsidRPr="00454102" w:rsidTr="009A7609">
        <w:tc>
          <w:tcPr>
            <w:tcW w:w="1558" w:type="dxa"/>
          </w:tcPr>
          <w:p w:rsidR="00454102" w:rsidRPr="00454102" w:rsidRDefault="00454102" w:rsidP="009A7609">
            <w:pPr>
              <w:ind w:left="0"/>
            </w:pPr>
            <w:r w:rsidRPr="00454102">
              <w:t>Population PK analyses</w:t>
            </w:r>
          </w:p>
        </w:tc>
        <w:tc>
          <w:tcPr>
            <w:tcW w:w="1527" w:type="dxa"/>
          </w:tcPr>
          <w:p w:rsidR="00454102" w:rsidRPr="00454102" w:rsidRDefault="00454102" w:rsidP="009A7609">
            <w:pPr>
              <w:ind w:left="2"/>
            </w:pPr>
            <w:r w:rsidRPr="00454102">
              <w:t>Healthy subjects</w:t>
            </w:r>
          </w:p>
        </w:tc>
        <w:tc>
          <w:tcPr>
            <w:tcW w:w="1276" w:type="dxa"/>
          </w:tcPr>
          <w:p w:rsidR="00454102" w:rsidRPr="00454102" w:rsidRDefault="00454102" w:rsidP="009A7609">
            <w:pPr>
              <w:ind w:left="0"/>
            </w:pPr>
            <w:r w:rsidRPr="00454102">
              <w:t>01-02-05</w:t>
            </w:r>
          </w:p>
        </w:tc>
        <w:tc>
          <w:tcPr>
            <w:tcW w:w="4111" w:type="dxa"/>
          </w:tcPr>
          <w:p w:rsidR="00454102" w:rsidRPr="00454102" w:rsidRDefault="00454102" w:rsidP="009A7609">
            <w:r w:rsidRPr="00454102">
              <w:t xml:space="preserve">Characterise the </w:t>
            </w:r>
            <w:proofErr w:type="spellStart"/>
            <w:r w:rsidRPr="00454102">
              <w:t>PopPK</w:t>
            </w:r>
            <w:proofErr w:type="spellEnd"/>
            <w:r w:rsidRPr="00454102">
              <w:t xml:space="preserve"> of </w:t>
            </w:r>
            <w:proofErr w:type="spellStart"/>
            <w:r w:rsidRPr="00454102">
              <w:t>idarucizumab</w:t>
            </w:r>
            <w:proofErr w:type="spellEnd"/>
            <w:r w:rsidRPr="00454102">
              <w:t xml:space="preserve"> and its binding interaction with dabigatran and to provide PK/PD simulations</w:t>
            </w:r>
          </w:p>
        </w:tc>
      </w:tr>
    </w:tbl>
    <w:p w:rsidR="00454102" w:rsidRPr="00A12A2B" w:rsidRDefault="00454102" w:rsidP="00454102">
      <w:pPr>
        <w:pStyle w:val="TableDescription"/>
      </w:pPr>
      <w:r w:rsidRPr="00A12A2B">
        <w:t>* Indicates the primary aim of the study.</w:t>
      </w:r>
    </w:p>
    <w:p w:rsidR="00454102" w:rsidRPr="00454102" w:rsidRDefault="00454102" w:rsidP="00454102">
      <w:r w:rsidRPr="00454102">
        <w:t>None of the pharmacokinetic studies had deficiencies that excluded their results from consideration.</w:t>
      </w:r>
    </w:p>
    <w:p w:rsidR="00605AD4" w:rsidRDefault="00605AD4" w:rsidP="00605AD4">
      <w:pPr>
        <w:pStyle w:val="Heading4"/>
      </w:pPr>
      <w:r>
        <w:t>Evaluator’s conclusions on pharmacokinetics</w:t>
      </w:r>
    </w:p>
    <w:p w:rsidR="009A7609" w:rsidRDefault="00393A68" w:rsidP="00393A68">
      <w:pPr>
        <w:pStyle w:val="ListBullet"/>
      </w:pPr>
      <w:r w:rsidRPr="00393A68">
        <w:t>Idarucizumab is a humanised monoclonal antibody fragment, which is administered via IV injection or infusion</w:t>
      </w:r>
      <w:r w:rsidR="009A7609">
        <w:t>.</w:t>
      </w:r>
    </w:p>
    <w:p w:rsidR="00393A68" w:rsidRDefault="00393A68" w:rsidP="009A7609">
      <w:pPr>
        <w:pageBreakBefore/>
        <w:rPr>
          <w:rStyle w:val="Heading5Char"/>
          <w:rFonts w:eastAsia="Cambria"/>
        </w:rPr>
      </w:pPr>
      <w:r w:rsidRPr="00393A68">
        <w:rPr>
          <w:rStyle w:val="Heading5Char"/>
          <w:rFonts w:eastAsia="Cambria"/>
        </w:rPr>
        <w:lastRenderedPageBreak/>
        <w:t>ADME</w:t>
      </w:r>
    </w:p>
    <w:p w:rsidR="00393A68" w:rsidRPr="00393A68" w:rsidRDefault="00393A68" w:rsidP="00393A68">
      <w:pPr>
        <w:pStyle w:val="ListBullet"/>
      </w:pPr>
      <w:r w:rsidRPr="00393A68">
        <w:t xml:space="preserve">Following administration of 5 mg (the proposed dose) of idarucizumab to healthy subjects aged 45 to 64 years the median </w:t>
      </w:r>
      <w:proofErr w:type="spellStart"/>
      <w:r w:rsidRPr="00393A68">
        <w:t>Tmax</w:t>
      </w:r>
      <w:proofErr w:type="spellEnd"/>
      <w:r w:rsidRPr="00393A68">
        <w:t xml:space="preserve"> (range) of </w:t>
      </w:r>
      <w:proofErr w:type="spellStart"/>
      <w:r w:rsidRPr="00393A68">
        <w:t>idaruci</w:t>
      </w:r>
      <w:r w:rsidR="00C20D04">
        <w:t>zumab</w:t>
      </w:r>
      <w:proofErr w:type="spellEnd"/>
      <w:r w:rsidR="00C20D04">
        <w:t xml:space="preserve"> occurred at 0.1 h (0.100-</w:t>
      </w:r>
      <w:r w:rsidRPr="00393A68">
        <w:t>0.250) after dosing.</w:t>
      </w:r>
    </w:p>
    <w:p w:rsidR="00393A68" w:rsidRPr="00393A68" w:rsidRDefault="00393A68" w:rsidP="00393A68">
      <w:pPr>
        <w:pStyle w:val="ListBullet"/>
      </w:pPr>
      <w:r w:rsidRPr="00393A68">
        <w:t xml:space="preserve">Following a 60 min infusion of IV </w:t>
      </w:r>
      <w:proofErr w:type="spellStart"/>
      <w:r w:rsidRPr="00393A68">
        <w:t>idarucizumab</w:t>
      </w:r>
      <w:proofErr w:type="spellEnd"/>
      <w:r w:rsidRPr="00393A68">
        <w:t xml:space="preserve">, geometric mean </w:t>
      </w:r>
      <w:proofErr w:type="spellStart"/>
      <w:r w:rsidRPr="00393A68">
        <w:t>Cmax</w:t>
      </w:r>
      <w:proofErr w:type="spellEnd"/>
      <w:r w:rsidRPr="00393A68">
        <w:t xml:space="preserve"> and AUC0-inf increased proportionally with dose from </w:t>
      </w:r>
      <w:proofErr w:type="spellStart"/>
      <w:r w:rsidRPr="00393A68">
        <w:t>Cmax</w:t>
      </w:r>
      <w:proofErr w:type="spellEnd"/>
      <w:r w:rsidRPr="00393A68">
        <w:t xml:space="preserve"> values of 79.9 </w:t>
      </w:r>
      <w:proofErr w:type="spellStart"/>
      <w:r w:rsidRPr="00393A68">
        <w:t>nmol</w:t>
      </w:r>
      <w:proofErr w:type="spellEnd"/>
      <w:r w:rsidRPr="00393A68">
        <w:t>/L (</w:t>
      </w:r>
      <w:proofErr w:type="spellStart"/>
      <w:r w:rsidRPr="00393A68">
        <w:t>gCV</w:t>
      </w:r>
      <w:proofErr w:type="spellEnd"/>
      <w:r w:rsidRPr="00393A68">
        <w:t xml:space="preserve">: 15.1%) to 33900 </w:t>
      </w:r>
      <w:proofErr w:type="spellStart"/>
      <w:r w:rsidRPr="00393A68">
        <w:t>nmol</w:t>
      </w:r>
      <w:proofErr w:type="spellEnd"/>
      <w:r w:rsidRPr="00393A68">
        <w:t>/L (</w:t>
      </w:r>
      <w:proofErr w:type="spellStart"/>
      <w:r w:rsidRPr="00393A68">
        <w:t>gCV</w:t>
      </w:r>
      <w:proofErr w:type="spellEnd"/>
      <w:r w:rsidRPr="00393A68">
        <w:t>: 13.2%) and from AUC</w:t>
      </w:r>
      <w:r w:rsidRPr="00ED6DB1">
        <w:rPr>
          <w:vertAlign w:val="subscript"/>
        </w:rPr>
        <w:t xml:space="preserve">0-inf </w:t>
      </w:r>
      <w:r w:rsidRPr="00393A68">
        <w:t xml:space="preserve">values of 146 </w:t>
      </w:r>
      <w:proofErr w:type="spellStart"/>
      <w:r w:rsidRPr="00393A68">
        <w:t>nmol.h</w:t>
      </w:r>
      <w:proofErr w:type="spellEnd"/>
      <w:r w:rsidRPr="00393A68">
        <w:t>/L (</w:t>
      </w:r>
      <w:proofErr w:type="spellStart"/>
      <w:r w:rsidRPr="00393A68">
        <w:t>gCV</w:t>
      </w:r>
      <w:proofErr w:type="spellEnd"/>
      <w:r w:rsidRPr="00393A68">
        <w:t xml:space="preserve">: 19.8%) to 63800 </w:t>
      </w:r>
      <w:proofErr w:type="spellStart"/>
      <w:r w:rsidRPr="00393A68">
        <w:t>nmol.h</w:t>
      </w:r>
      <w:proofErr w:type="spellEnd"/>
      <w:r w:rsidRPr="00393A68">
        <w:t>/L (</w:t>
      </w:r>
      <w:proofErr w:type="spellStart"/>
      <w:r w:rsidRPr="00393A68">
        <w:t>gCV</w:t>
      </w:r>
      <w:proofErr w:type="spellEnd"/>
      <w:r w:rsidRPr="00393A68">
        <w:t>: 15.6%) after infusion of 20 mg to 8 g idarucizumab.</w:t>
      </w:r>
    </w:p>
    <w:p w:rsidR="00393A68" w:rsidRPr="00393A68" w:rsidRDefault="00393A68" w:rsidP="00393A68">
      <w:pPr>
        <w:pStyle w:val="ListBullet"/>
      </w:pPr>
      <w:r w:rsidRPr="00393A68">
        <w:t>Following administration of a single IV dos</w:t>
      </w:r>
      <w:r w:rsidR="00704466">
        <w:t>e of 4 g idarucizumab as a long</w:t>
      </w:r>
      <w:r w:rsidR="00C20D04">
        <w:t xml:space="preserve"> (60 min, Part 1) or as a short </w:t>
      </w:r>
      <w:r w:rsidRPr="00393A68">
        <w:t>infusion (5 min, Part 2) to healthy males the mean volume of distribution (%</w:t>
      </w:r>
      <w:proofErr w:type="spellStart"/>
      <w:r w:rsidRPr="00393A68">
        <w:t>gCV</w:t>
      </w:r>
      <w:proofErr w:type="spellEnd"/>
      <w:r w:rsidRPr="00393A68">
        <w:t>) was 6.96 L (17.8) and 8.25 L (26.3), respectively.</w:t>
      </w:r>
    </w:p>
    <w:p w:rsidR="00393A68" w:rsidRPr="00393A68" w:rsidRDefault="00393A68" w:rsidP="00393A68">
      <w:pPr>
        <w:pStyle w:val="ListBullet"/>
      </w:pPr>
      <w:r w:rsidRPr="00393A68">
        <w:t>Idarucizumab alone and the idarucizumab-dabigatran complex do not bind to albumin or to other plasma proteins.</w:t>
      </w:r>
    </w:p>
    <w:p w:rsidR="00393A68" w:rsidRPr="00393A68" w:rsidRDefault="00393A68" w:rsidP="00393A68">
      <w:pPr>
        <w:pStyle w:val="ListBullet"/>
      </w:pPr>
      <w:r w:rsidRPr="00393A68">
        <w:t>The volume of distribution indicates that idarucizumab is unlikely to be distributed to the tissues.</w:t>
      </w:r>
    </w:p>
    <w:p w:rsidR="009A7609" w:rsidRDefault="00704466" w:rsidP="00393A68">
      <w:pPr>
        <w:pStyle w:val="ListBullet"/>
      </w:pPr>
      <w:r>
        <w:t xml:space="preserve">The inter </w:t>
      </w:r>
      <w:r w:rsidR="00393A68" w:rsidRPr="00393A68">
        <w:t xml:space="preserve">subject coefficient of variation values for </w:t>
      </w:r>
      <w:proofErr w:type="spellStart"/>
      <w:r w:rsidR="00393A68" w:rsidRPr="00393A68">
        <w:t>idarucizumab</w:t>
      </w:r>
      <w:proofErr w:type="spellEnd"/>
      <w:r w:rsidR="00393A68" w:rsidRPr="00393A68">
        <w:t xml:space="preserve"> </w:t>
      </w:r>
      <w:proofErr w:type="spellStart"/>
      <w:r w:rsidR="00393A68" w:rsidRPr="00393A68">
        <w:t>Cmax</w:t>
      </w:r>
      <w:proofErr w:type="spellEnd"/>
      <w:r w:rsidR="00393A68" w:rsidRPr="00393A68">
        <w:t xml:space="preserve"> and </w:t>
      </w:r>
      <w:r w:rsidRPr="00393A68">
        <w:t>AUC</w:t>
      </w:r>
      <w:r w:rsidRPr="00ED6DB1">
        <w:rPr>
          <w:vertAlign w:val="subscript"/>
        </w:rPr>
        <w:t xml:space="preserve">0-inf </w:t>
      </w:r>
      <w:r w:rsidR="00393A68" w:rsidRPr="00393A68">
        <w:t>following a single 5 g dose in healthy subjects were 16.9% and 18.4%, respectively</w:t>
      </w:r>
      <w:r w:rsidR="009A7609">
        <w:t>.</w:t>
      </w:r>
    </w:p>
    <w:p w:rsidR="00393A68" w:rsidRPr="00393A68" w:rsidRDefault="00704466" w:rsidP="00393A68">
      <w:pPr>
        <w:pStyle w:val="ListBullet"/>
      </w:pPr>
      <w:r>
        <w:t xml:space="preserve">The estimated inter </w:t>
      </w:r>
      <w:r w:rsidR="00393A68" w:rsidRPr="00393A68">
        <w:t xml:space="preserve">subject variability on </w:t>
      </w:r>
      <w:proofErr w:type="spellStart"/>
      <w:r w:rsidR="00393A68" w:rsidRPr="00393A68">
        <w:t>idarucizumab</w:t>
      </w:r>
      <w:proofErr w:type="spellEnd"/>
      <w:r w:rsidR="00393A68" w:rsidRPr="00393A68">
        <w:t xml:space="preserve"> CL, </w:t>
      </w:r>
      <w:proofErr w:type="spellStart"/>
      <w:proofErr w:type="gramStart"/>
      <w:r w:rsidR="00393A68" w:rsidRPr="00393A68">
        <w:t>Vc</w:t>
      </w:r>
      <w:proofErr w:type="spellEnd"/>
      <w:proofErr w:type="gramEnd"/>
      <w:r w:rsidR="00393A68" w:rsidRPr="00393A68">
        <w:t xml:space="preserve"> and V2 were 11.9%, 14.8% and 322%, where</w:t>
      </w:r>
      <w:r>
        <w:t xml:space="preserve">as, the estimated proportional and additive </w:t>
      </w:r>
      <w:r w:rsidR="00393A68" w:rsidRPr="00393A68">
        <w:t>residual errors were 0.176 and 0.062, respectively.</w:t>
      </w:r>
    </w:p>
    <w:p w:rsidR="00393A68" w:rsidRDefault="00393A68" w:rsidP="00393A68">
      <w:pPr>
        <w:pStyle w:val="Heading5"/>
      </w:pPr>
      <w:r w:rsidRPr="000F6DB2">
        <w:t>Renal impairment</w:t>
      </w:r>
    </w:p>
    <w:p w:rsidR="00393A68" w:rsidRPr="00393A68" w:rsidRDefault="00393A68" w:rsidP="00393A68">
      <w:pPr>
        <w:pStyle w:val="ListBullet"/>
      </w:pPr>
      <w:r w:rsidRPr="00393A68">
        <w:t xml:space="preserve">In subjects with mild renal impairment </w:t>
      </w:r>
      <w:proofErr w:type="spellStart"/>
      <w:r w:rsidRPr="00393A68">
        <w:t>Cmax</w:t>
      </w:r>
      <w:proofErr w:type="spellEnd"/>
      <w:r w:rsidRPr="00393A68">
        <w:t xml:space="preserve"> and </w:t>
      </w:r>
      <w:r w:rsidR="00704466" w:rsidRPr="00393A68">
        <w:t>AUC</w:t>
      </w:r>
      <w:r w:rsidR="00704466" w:rsidRPr="00ED6DB1">
        <w:rPr>
          <w:vertAlign w:val="subscript"/>
        </w:rPr>
        <w:t xml:space="preserve">0-inf </w:t>
      </w:r>
      <w:r w:rsidRPr="00393A68">
        <w:t>were increas</w:t>
      </w:r>
      <w:r w:rsidR="00704466">
        <w:t xml:space="preserve">ed approximately 1.28 and 1.44 </w:t>
      </w:r>
      <w:r w:rsidRPr="00393A68">
        <w:t>fold, respectively compared to healthy subjects and for subjects with moderate renal impairment 2.04</w:t>
      </w:r>
      <w:r w:rsidR="00704466">
        <w:t xml:space="preserve"> and 1.84 </w:t>
      </w:r>
      <w:r w:rsidRPr="00393A68">
        <w:t>fold, respectively compared to healthy subjects.</w:t>
      </w:r>
    </w:p>
    <w:p w:rsidR="00393A68" w:rsidRPr="00393A68" w:rsidRDefault="00393A68" w:rsidP="00393A68">
      <w:pPr>
        <w:pStyle w:val="ListBullet"/>
      </w:pPr>
      <w:r w:rsidRPr="00393A68">
        <w:t>Idarucizumab CL was reduced from 47.1 mL/min in healthy subjects to 32.8 mL/min and 25.7 mL/min in subjects with mild and moderate renal impairment, respectively.</w:t>
      </w:r>
    </w:p>
    <w:p w:rsidR="00393A68" w:rsidRDefault="00393A68" w:rsidP="00393A68">
      <w:pPr>
        <w:pStyle w:val="Heading5"/>
      </w:pPr>
      <w:r w:rsidRPr="000F6DB2">
        <w:t>Effect of age</w:t>
      </w:r>
    </w:p>
    <w:p w:rsidR="00393A68" w:rsidRDefault="00393A68" w:rsidP="00393A68">
      <w:pPr>
        <w:pStyle w:val="ListBullet"/>
      </w:pPr>
      <w:r w:rsidRPr="000F6DB2">
        <w:t xml:space="preserve">In healthy elderly subjects aged 65 to 80 years, </w:t>
      </w:r>
      <w:proofErr w:type="spellStart"/>
      <w:r w:rsidRPr="000F6DB2">
        <w:t>idarucizumab</w:t>
      </w:r>
      <w:proofErr w:type="spellEnd"/>
      <w:r w:rsidRPr="000F6DB2">
        <w:t xml:space="preserve"> </w:t>
      </w:r>
      <w:proofErr w:type="spellStart"/>
      <w:r w:rsidRPr="000F6DB2">
        <w:t>Cmax</w:t>
      </w:r>
      <w:proofErr w:type="spellEnd"/>
      <w:r w:rsidRPr="000F6DB2">
        <w:t xml:space="preserve"> and AUC</w:t>
      </w:r>
      <w:r w:rsidRPr="000F6DB2">
        <w:rPr>
          <w:vertAlign w:val="subscript"/>
        </w:rPr>
        <w:t>0-inf</w:t>
      </w:r>
      <w:r w:rsidR="00704466">
        <w:t xml:space="preserve"> were increased 1.13 and 1.19 </w:t>
      </w:r>
      <w:r w:rsidRPr="000F6DB2">
        <w:t xml:space="preserve">fold, respectively compared to healthy subjects aged 45 to 64 years following </w:t>
      </w:r>
      <w:r>
        <w:t>a single 5 g dose idarucizumab.</w:t>
      </w:r>
    </w:p>
    <w:p w:rsidR="00393A68" w:rsidRPr="000F6DB2" w:rsidRDefault="00393A68" w:rsidP="00393A68">
      <w:pPr>
        <w:pStyle w:val="ListBullet"/>
      </w:pPr>
      <w:r w:rsidRPr="000F6DB2">
        <w:t>Idarucizumab CL was reduced from 47.1 mL/min in healthy subjects aged 45 to 64 years to 39.6 mL/min in healthy subjects aged 65 to 80 years.</w:t>
      </w:r>
    </w:p>
    <w:p w:rsidR="00393A68" w:rsidRDefault="00393A68" w:rsidP="00393A68">
      <w:pPr>
        <w:pStyle w:val="Heading5"/>
      </w:pPr>
      <w:r w:rsidRPr="000F6DB2">
        <w:t>Japanese subjects</w:t>
      </w:r>
    </w:p>
    <w:p w:rsidR="00393A68" w:rsidRPr="00393A68" w:rsidRDefault="00393A68" w:rsidP="00393A68">
      <w:pPr>
        <w:pStyle w:val="ListBullet"/>
      </w:pPr>
      <w:r w:rsidRPr="00393A68">
        <w:t xml:space="preserve">In Japanese subjects following a 4 g IV infusion, the </w:t>
      </w:r>
      <w:proofErr w:type="spellStart"/>
      <w:r w:rsidRPr="00393A68">
        <w:t>Cmax</w:t>
      </w:r>
      <w:proofErr w:type="spellEnd"/>
      <w:r w:rsidRPr="00393A68">
        <w:t xml:space="preserve"> and AUC</w:t>
      </w:r>
      <w:r w:rsidRPr="00704466">
        <w:rPr>
          <w:vertAlign w:val="subscript"/>
        </w:rPr>
        <w:t>0-inf</w:t>
      </w:r>
      <w:r w:rsidRPr="00393A68">
        <w:t xml:space="preserve"> of </w:t>
      </w:r>
      <w:proofErr w:type="spellStart"/>
      <w:r w:rsidRPr="00393A68">
        <w:t>idarucizumab</w:t>
      </w:r>
      <w:proofErr w:type="spellEnd"/>
      <w:r w:rsidRPr="00393A68">
        <w:t xml:space="preserve"> were </w:t>
      </w:r>
      <w:proofErr w:type="gramStart"/>
      <w:r w:rsidRPr="00393A68">
        <w:t xml:space="preserve">28100 </w:t>
      </w:r>
      <w:proofErr w:type="spellStart"/>
      <w:r w:rsidRPr="00393A68">
        <w:t>nmol</w:t>
      </w:r>
      <w:proofErr w:type="spellEnd"/>
      <w:r w:rsidRPr="00393A68">
        <w:t>/L</w:t>
      </w:r>
      <w:proofErr w:type="gramEnd"/>
      <w:r w:rsidRPr="00393A68">
        <w:t xml:space="preserve"> and 37600 </w:t>
      </w:r>
      <w:proofErr w:type="spellStart"/>
      <w:r w:rsidRPr="00393A68">
        <w:t>nmol.h</w:t>
      </w:r>
      <w:proofErr w:type="spellEnd"/>
      <w:r w:rsidRPr="00393A68">
        <w:t xml:space="preserve">/L, respectively. The corresponding values in white males were </w:t>
      </w:r>
      <w:proofErr w:type="gramStart"/>
      <w:r w:rsidRPr="00393A68">
        <w:t xml:space="preserve">15700 </w:t>
      </w:r>
      <w:proofErr w:type="spellStart"/>
      <w:r w:rsidRPr="00393A68">
        <w:t>nmol</w:t>
      </w:r>
      <w:proofErr w:type="spellEnd"/>
      <w:r w:rsidRPr="00393A68">
        <w:t>/h</w:t>
      </w:r>
      <w:proofErr w:type="gramEnd"/>
      <w:r w:rsidRPr="00393A68">
        <w:t xml:space="preserve"> and 31000 </w:t>
      </w:r>
      <w:proofErr w:type="spellStart"/>
      <w:r w:rsidRPr="00393A68">
        <w:t>nmol.h</w:t>
      </w:r>
      <w:proofErr w:type="spellEnd"/>
      <w:r w:rsidRPr="00393A68">
        <w:t>/L, respectively indicating that idarucizumab exposure was higher in Japanese subjects than in White subjects.</w:t>
      </w:r>
    </w:p>
    <w:p w:rsidR="00393A68" w:rsidRDefault="00393A68" w:rsidP="00393A68">
      <w:pPr>
        <w:pStyle w:val="Heading5"/>
      </w:pPr>
      <w:r w:rsidRPr="000F6DB2">
        <w:t>Effect of dabigatran on idarucizumab PKs</w:t>
      </w:r>
    </w:p>
    <w:p w:rsidR="00393A68" w:rsidRPr="00393A68" w:rsidRDefault="00393A68" w:rsidP="00393A68">
      <w:pPr>
        <w:pStyle w:val="ListBullet"/>
      </w:pPr>
      <w:r w:rsidRPr="00393A68">
        <w:t xml:space="preserve">Overall, the results from the 3 Phase I clinical trials and </w:t>
      </w:r>
      <w:proofErr w:type="spellStart"/>
      <w:r w:rsidRPr="00393A68">
        <w:t>PopPK</w:t>
      </w:r>
      <w:proofErr w:type="spellEnd"/>
      <w:r w:rsidRPr="00393A68">
        <w:t xml:space="preserve"> study indicate that idarucizumab PKs may be slightly affected by administration with steady</w:t>
      </w:r>
      <w:r w:rsidR="00184226">
        <w:t xml:space="preserve"> </w:t>
      </w:r>
      <w:r w:rsidRPr="00393A68">
        <w:t>state dabigatran (up to 1.20</w:t>
      </w:r>
      <w:r w:rsidR="00184226">
        <w:t xml:space="preserve"> </w:t>
      </w:r>
      <w:r w:rsidRPr="00393A68">
        <w:t>fold). However, any differences in idarucizumab exposure following administration with or in the absence of dabigatran are unlikely to be clinically significant.</w:t>
      </w:r>
    </w:p>
    <w:p w:rsidR="00393A68" w:rsidRDefault="00393A68" w:rsidP="00393A68">
      <w:pPr>
        <w:pStyle w:val="Heading5"/>
        <w:rPr>
          <w:rFonts w:eastAsia="TimesNewRoman"/>
        </w:rPr>
      </w:pPr>
      <w:r w:rsidRPr="000F6DB2">
        <w:rPr>
          <w:rFonts w:eastAsia="TimesNewRoman"/>
        </w:rPr>
        <w:lastRenderedPageBreak/>
        <w:t>Effect of idarucizumab on dabigatran PKs</w:t>
      </w:r>
    </w:p>
    <w:p w:rsidR="009A7609" w:rsidRDefault="00393A68" w:rsidP="00393A68">
      <w:pPr>
        <w:pStyle w:val="ListBullet"/>
      </w:pPr>
      <w:r w:rsidRPr="00393A68">
        <w:t xml:space="preserve">All three Phase I studies indicate that unbound sum dabigatran plasma concentrations decreased to approximately or to below the LLOQ immediately following IV infusion with all </w:t>
      </w:r>
      <w:r w:rsidR="0070449B">
        <w:t>3</w:t>
      </w:r>
      <w:r w:rsidRPr="00393A68">
        <w:t xml:space="preserve"> </w:t>
      </w:r>
      <w:r w:rsidR="00184226">
        <w:t xml:space="preserve">doses of idarucizumab (that is, </w:t>
      </w:r>
      <w:r w:rsidR="00022C0B">
        <w:t xml:space="preserve">1 g, 2g and </w:t>
      </w:r>
      <w:r w:rsidRPr="00393A68">
        <w:t xml:space="preserve">4 g) and that this decrease was </w:t>
      </w:r>
      <w:proofErr w:type="spellStart"/>
      <w:r w:rsidRPr="00393A68">
        <w:t>idarucizumab</w:t>
      </w:r>
      <w:proofErr w:type="spellEnd"/>
      <w:r w:rsidRPr="00393A68">
        <w:t xml:space="preserve"> dose</w:t>
      </w:r>
      <w:r w:rsidR="0048112C">
        <w:t xml:space="preserve"> </w:t>
      </w:r>
      <w:r w:rsidRPr="00393A68">
        <w:t>dependent</w:t>
      </w:r>
      <w:r w:rsidR="009A7609">
        <w:t>.</w:t>
      </w:r>
    </w:p>
    <w:p w:rsidR="00393A68" w:rsidRPr="00393A68" w:rsidRDefault="00184226" w:rsidP="00393A68">
      <w:pPr>
        <w:pStyle w:val="ListBullet"/>
      </w:pPr>
      <w:r>
        <w:t xml:space="preserve">The dose </w:t>
      </w:r>
      <w:r w:rsidR="00393A68" w:rsidRPr="00393A68">
        <w:t>dependent decrease in unbound sum dabigatran wa</w:t>
      </w:r>
      <w:r>
        <w:t xml:space="preserve">s accompanied by </w:t>
      </w:r>
      <w:proofErr w:type="gramStart"/>
      <w:r>
        <w:t>a</w:t>
      </w:r>
      <w:proofErr w:type="gramEnd"/>
      <w:r>
        <w:t xml:space="preserve"> idarucizumab dose </w:t>
      </w:r>
      <w:r w:rsidR="00393A68" w:rsidRPr="00393A68">
        <w:t>dependent increase in sum dabigatran.</w:t>
      </w:r>
    </w:p>
    <w:p w:rsidR="00393A68" w:rsidRPr="00393A68" w:rsidRDefault="00393A68" w:rsidP="00393A68">
      <w:pPr>
        <w:pStyle w:val="ListBullet"/>
      </w:pPr>
      <w:r w:rsidRPr="00393A68">
        <w:t>Urinary excretion of dabigatran was transiently reduced in the presence of idarucizumab compared to the urinary excretion in absence of idarucizumab.</w:t>
      </w:r>
    </w:p>
    <w:p w:rsidR="00393A68" w:rsidRPr="00393A68" w:rsidRDefault="00393A68" w:rsidP="00393A68">
      <w:pPr>
        <w:pStyle w:val="ListBullet"/>
      </w:pPr>
      <w:r w:rsidRPr="00393A68">
        <w:t xml:space="preserve">Re-exposure to dabigatran </w:t>
      </w:r>
      <w:r w:rsidR="00184226">
        <w:t>24 h</w:t>
      </w:r>
      <w:r w:rsidRPr="00393A68">
        <w:t xml:space="preserve"> following idarucizumab administration resulted in dabigatran exposure similar to that seen prior to idarucizumab dosing.</w:t>
      </w:r>
    </w:p>
    <w:p w:rsidR="00393A68" w:rsidRPr="00393A68" w:rsidRDefault="00393A68" w:rsidP="00393A68">
      <w:pPr>
        <w:pStyle w:val="ListBullet"/>
      </w:pPr>
      <w:r w:rsidRPr="00393A68">
        <w:t>In vitro studies indicate that a range of blood coagulation factors had no effect on the ability of idarucizumab to reverse the effects of dabigatran. Idarucizumab had no effect on the anticoagulant activity of other clinically used agents.</w:t>
      </w:r>
    </w:p>
    <w:p w:rsidR="00393A68" w:rsidRPr="00393A68" w:rsidRDefault="00393A68" w:rsidP="00393A68">
      <w:pPr>
        <w:pStyle w:val="ListBullet"/>
      </w:pPr>
      <w:r w:rsidRPr="00393A68">
        <w:t>Results from an in vivo bleeding model indicated that idarucizumab only partially reversed the effects of dabigatran when dabigatran was co-administered with platelet agents.</w:t>
      </w:r>
    </w:p>
    <w:p w:rsidR="00393A68" w:rsidRDefault="00393A68" w:rsidP="00393A68">
      <w:pPr>
        <w:pStyle w:val="Heading5"/>
      </w:pPr>
      <w:proofErr w:type="spellStart"/>
      <w:r w:rsidRPr="000F6DB2">
        <w:t>PopPK</w:t>
      </w:r>
      <w:proofErr w:type="spellEnd"/>
      <w:r w:rsidRPr="000F6DB2">
        <w:t xml:space="preserve"> analysis</w:t>
      </w:r>
    </w:p>
    <w:p w:rsidR="00393A68" w:rsidRPr="00393A68" w:rsidRDefault="00393A68" w:rsidP="00393A68">
      <w:pPr>
        <w:pStyle w:val="ListBullet"/>
      </w:pPr>
      <w:r w:rsidRPr="00393A68">
        <w:t>Idarucizumab disposition after IV administration was best described with a linear, three compartment model and was not influenced by binding to dabigatran.</w:t>
      </w:r>
    </w:p>
    <w:p w:rsidR="00393A68" w:rsidRPr="00393A68" w:rsidRDefault="00393A68" w:rsidP="00393A68">
      <w:pPr>
        <w:pStyle w:val="ListBullet"/>
      </w:pPr>
      <w:proofErr w:type="spellStart"/>
      <w:r w:rsidRPr="00393A68">
        <w:t>PopPK</w:t>
      </w:r>
      <w:proofErr w:type="spellEnd"/>
      <w:r w:rsidRPr="00393A68">
        <w:t xml:space="preserve"> analysis indicated that idarucizumab CL was a function of renal clearance and provided a population median idarucizumab CL of 2.3 L/h. Results indicated that idarucizumab clearance ranged from 1.59 L/h in subjects with renal impairment (</w:t>
      </w:r>
      <w:proofErr w:type="spellStart"/>
      <w:r w:rsidRPr="00393A68">
        <w:t>CrCL</w:t>
      </w:r>
      <w:proofErr w:type="spellEnd"/>
      <w:r w:rsidR="00D3522E">
        <w:t xml:space="preserve"> </w:t>
      </w:r>
      <w:r w:rsidRPr="00393A68">
        <w:t>=</w:t>
      </w:r>
      <w:r w:rsidR="00D3522E">
        <w:t xml:space="preserve"> </w:t>
      </w:r>
      <w:r w:rsidRPr="00393A68">
        <w:t>40 mL/min) to 2.62 L/h in healthy subjects (</w:t>
      </w:r>
      <w:proofErr w:type="spellStart"/>
      <w:r w:rsidRPr="00393A68">
        <w:t>CrCL</w:t>
      </w:r>
      <w:proofErr w:type="spellEnd"/>
      <w:r w:rsidR="00D3522E">
        <w:t xml:space="preserve"> </w:t>
      </w:r>
      <w:r w:rsidRPr="00393A68">
        <w:t>=</w:t>
      </w:r>
      <w:r w:rsidR="00D3522E">
        <w:t xml:space="preserve"> </w:t>
      </w:r>
      <w:r w:rsidRPr="00393A68">
        <w:t>120 mL/min).</w:t>
      </w:r>
    </w:p>
    <w:p w:rsidR="00393A68" w:rsidRPr="00393A68" w:rsidRDefault="00393A68" w:rsidP="00393A68">
      <w:pPr>
        <w:pStyle w:val="ListBullet"/>
      </w:pPr>
      <w:r w:rsidRPr="00393A68">
        <w:t xml:space="preserve">In addition, </w:t>
      </w:r>
      <w:proofErr w:type="spellStart"/>
      <w:r w:rsidRPr="00393A68">
        <w:t>idarucizumab</w:t>
      </w:r>
      <w:proofErr w:type="spellEnd"/>
      <w:r w:rsidRPr="00393A68">
        <w:t xml:space="preserve"> fractional central </w:t>
      </w:r>
      <w:proofErr w:type="spellStart"/>
      <w:proofErr w:type="gramStart"/>
      <w:r w:rsidRPr="00393A68">
        <w:t>Vd</w:t>
      </w:r>
      <w:proofErr w:type="spellEnd"/>
      <w:proofErr w:type="gramEnd"/>
      <w:r w:rsidRPr="00393A68">
        <w:t xml:space="preserve"> (3.3 L) was a function of body weight and increased from 0.78 for a 50 kg individual to 1.34 for a 120 kg individual. By contrast, sex, age and body weight were not significantly correlated with idarucizumab clearance after adding </w:t>
      </w:r>
      <w:proofErr w:type="spellStart"/>
      <w:r w:rsidRPr="00393A68">
        <w:t>CrCL</w:t>
      </w:r>
      <w:proofErr w:type="spellEnd"/>
      <w:r w:rsidRPr="00393A68">
        <w:t xml:space="preserve"> to the model, whereas clearance, was approximately 11% lower in Japanese subjects when compared to </w:t>
      </w:r>
      <w:proofErr w:type="spellStart"/>
      <w:r w:rsidRPr="00393A68">
        <w:t>non</w:t>
      </w:r>
      <w:r w:rsidR="009B506D">
        <w:t xml:space="preserve"> </w:t>
      </w:r>
      <w:r w:rsidRPr="00393A68">
        <w:t>Japanese</w:t>
      </w:r>
      <w:proofErr w:type="spellEnd"/>
      <w:r w:rsidRPr="00393A68">
        <w:t xml:space="preserve"> subjects.</w:t>
      </w:r>
    </w:p>
    <w:p w:rsidR="00393A68" w:rsidRPr="00393A68" w:rsidRDefault="00393A68" w:rsidP="00393A68">
      <w:pPr>
        <w:pStyle w:val="Heading5"/>
      </w:pPr>
      <w:r w:rsidRPr="00393A68">
        <w:t>Limitations of PK studies</w:t>
      </w:r>
    </w:p>
    <w:p w:rsidR="00393A68" w:rsidRPr="00393A68" w:rsidRDefault="00393A68" w:rsidP="00393A68">
      <w:pPr>
        <w:pStyle w:val="ListBullet"/>
      </w:pPr>
      <w:r w:rsidRPr="00393A68">
        <w:t>Limited PK studies were undertaken in the target population.</w:t>
      </w:r>
    </w:p>
    <w:p w:rsidR="00393A68" w:rsidRPr="00393A68" w:rsidRDefault="00393A68" w:rsidP="00393A68">
      <w:pPr>
        <w:pStyle w:val="ListBullet"/>
      </w:pPr>
      <w:r w:rsidRPr="00393A68">
        <w:t>No clinical studies examined the interaction of idarucizumab with drugs other than dabigatran.</w:t>
      </w:r>
    </w:p>
    <w:p w:rsidR="008E7846" w:rsidRDefault="008E7846" w:rsidP="008E7846">
      <w:pPr>
        <w:pStyle w:val="Heading3"/>
      </w:pPr>
      <w:bookmarkStart w:id="79" w:name="_Toc196046481"/>
      <w:bookmarkStart w:id="80" w:name="_Toc247691520"/>
      <w:bookmarkStart w:id="81" w:name="_Toc314842503"/>
      <w:bookmarkStart w:id="82" w:name="_Toc466282941"/>
      <w:r w:rsidRPr="00254787">
        <w:t>Pharmacodynamics</w:t>
      </w:r>
      <w:bookmarkEnd w:id="68"/>
      <w:bookmarkEnd w:id="79"/>
      <w:bookmarkEnd w:id="80"/>
      <w:bookmarkEnd w:id="81"/>
      <w:bookmarkEnd w:id="82"/>
    </w:p>
    <w:p w:rsidR="00605AD4" w:rsidRDefault="00605AD4" w:rsidP="00605AD4">
      <w:pPr>
        <w:pStyle w:val="Heading4"/>
      </w:pPr>
      <w:r>
        <w:t>Studies providing pharmacodynamic data</w:t>
      </w:r>
    </w:p>
    <w:p w:rsidR="00232A97" w:rsidRPr="00232A97" w:rsidRDefault="0040194E" w:rsidP="00232A97">
      <w:r w:rsidRPr="0040194E">
        <w:t>All of the studies that provide PD findings also contain PK data and therefore have been previously summarised in this report.</w:t>
      </w:r>
    </w:p>
    <w:p w:rsidR="00605AD4" w:rsidRDefault="00605AD4" w:rsidP="00605AD4">
      <w:pPr>
        <w:pStyle w:val="Heading4"/>
      </w:pPr>
      <w:r>
        <w:t>Evaluator’s conclusions on pharmacodynamics</w:t>
      </w:r>
    </w:p>
    <w:p w:rsidR="0055444D" w:rsidRPr="0055444D" w:rsidRDefault="0055444D" w:rsidP="0055444D">
      <w:pPr>
        <w:pStyle w:val="ListBullet"/>
      </w:pPr>
      <w:r w:rsidRPr="0055444D">
        <w:t>Idarucizumab acts by selectively and potently binding to dabigatran a</w:t>
      </w:r>
      <w:r w:rsidR="00D3522E">
        <w:t xml:space="preserve">nd thereby reversing dabigatran </w:t>
      </w:r>
      <w:r w:rsidRPr="0055444D">
        <w:t>induced prolongation of blood clotting times.</w:t>
      </w:r>
    </w:p>
    <w:p w:rsidR="009A7609" w:rsidRDefault="0055444D" w:rsidP="0055444D">
      <w:pPr>
        <w:pStyle w:val="ListBullet"/>
      </w:pPr>
      <w:r w:rsidRPr="0055444D">
        <w:t xml:space="preserve">In the absence of dabigatran, idarucizumab </w:t>
      </w:r>
      <w:proofErr w:type="gramStart"/>
      <w:r w:rsidRPr="0055444D">
        <w:t>administration  had</w:t>
      </w:r>
      <w:proofErr w:type="gramEnd"/>
      <w:r w:rsidRPr="0055444D">
        <w:t xml:space="preserve"> no effect on coagulation parameters nor did it have a </w:t>
      </w:r>
      <w:proofErr w:type="spellStart"/>
      <w:r w:rsidRPr="0055444D">
        <w:t>prothrombotic</w:t>
      </w:r>
      <w:proofErr w:type="spellEnd"/>
      <w:r w:rsidRPr="0055444D">
        <w:t xml:space="preserve"> effect</w:t>
      </w:r>
      <w:r w:rsidR="009A7609">
        <w:t>.</w:t>
      </w:r>
    </w:p>
    <w:p w:rsidR="0055444D" w:rsidRPr="0055444D" w:rsidRDefault="0055444D" w:rsidP="0055444D">
      <w:pPr>
        <w:pStyle w:val="ListBullet"/>
      </w:pPr>
      <w:r w:rsidRPr="0055444D">
        <w:lastRenderedPageBreak/>
        <w:t xml:space="preserve">Dabigatran consistently prolonged the clotting times of all clotting parameters.  In healthy subjects, all doses of idarucizumab tested (1 g to 5 g) resulted in an immediate and </w:t>
      </w:r>
      <w:r w:rsidR="00D3522E">
        <w:t xml:space="preserve">complete reversal of dabigatran </w:t>
      </w:r>
      <w:r w:rsidRPr="0055444D">
        <w:t>induced anticoagulant effects. In addition, the duratio</w:t>
      </w:r>
      <w:r w:rsidR="00D3522E">
        <w:t xml:space="preserve">n of the reversal of dabigatran </w:t>
      </w:r>
      <w:r w:rsidRPr="0055444D">
        <w:t>induced elongation of clotting times was dependent on idarucizumab dose with a higher dose of idarucizumab correlating with a longer duration of reversal.</w:t>
      </w:r>
    </w:p>
    <w:p w:rsidR="0055444D" w:rsidRPr="0055444D" w:rsidRDefault="0055444D" w:rsidP="0055444D">
      <w:pPr>
        <w:pStyle w:val="ListBullet"/>
      </w:pPr>
      <w:r w:rsidRPr="0055444D">
        <w:t>The duratio</w:t>
      </w:r>
      <w:r w:rsidR="00D3522E">
        <w:t xml:space="preserve">n of the reversal of dabigatran </w:t>
      </w:r>
      <w:r w:rsidRPr="0055444D">
        <w:t xml:space="preserve">induced </w:t>
      </w:r>
      <w:proofErr w:type="spellStart"/>
      <w:r w:rsidRPr="0055444D">
        <w:t>dTT</w:t>
      </w:r>
      <w:proofErr w:type="spellEnd"/>
      <w:r w:rsidRPr="0055444D">
        <w:t xml:space="preserve"> elongation was shorter following re-exposure to 2.5 g idarucizumab (2 months following the initial exposure) compared to the initial exposure (up to 4h compared to at least 24 h, respectively), whereas, the duration of reversal of ECT was at least 24 h following both the initial exposure and re-exposure.</w:t>
      </w:r>
    </w:p>
    <w:p w:rsidR="0055444D" w:rsidRPr="0055444D" w:rsidRDefault="0055444D" w:rsidP="0055444D">
      <w:pPr>
        <w:pStyle w:val="ListBullet"/>
      </w:pPr>
      <w:r w:rsidRPr="0055444D">
        <w:t>Pre-treatment with dabigatran and restart of dabigatran treatment 24 h after infusion of placebo or idarucizumab to healthy subjects resulted</w:t>
      </w:r>
      <w:r w:rsidR="00D3522E">
        <w:t xml:space="preserve"> in similar trough and 2 h post </w:t>
      </w:r>
      <w:r w:rsidRPr="0055444D">
        <w:t xml:space="preserve">dose values of </w:t>
      </w:r>
      <w:proofErr w:type="spellStart"/>
      <w:r w:rsidRPr="0055444D">
        <w:t>dTT</w:t>
      </w:r>
      <w:proofErr w:type="spellEnd"/>
      <w:r w:rsidRPr="0055444D">
        <w:t xml:space="preserve">, ECT, </w:t>
      </w:r>
      <w:proofErr w:type="spellStart"/>
      <w:r w:rsidRPr="0055444D">
        <w:t>aPTT</w:t>
      </w:r>
      <w:proofErr w:type="spellEnd"/>
      <w:r w:rsidRPr="0055444D">
        <w:t>, and TT ratio to baseline.</w:t>
      </w:r>
    </w:p>
    <w:p w:rsidR="0055444D" w:rsidRPr="0055444D" w:rsidRDefault="00D3522E" w:rsidP="0055444D">
      <w:pPr>
        <w:pStyle w:val="ListBullet"/>
      </w:pPr>
      <w:r>
        <w:t xml:space="preserve">Idarucizumab </w:t>
      </w:r>
      <w:r w:rsidR="0055444D" w:rsidRPr="0055444D">
        <w:t>induced reversal of dabi</w:t>
      </w:r>
      <w:r>
        <w:t xml:space="preserve">gatran anticoagulation was dose </w:t>
      </w:r>
      <w:r w:rsidR="0055444D" w:rsidRPr="0055444D">
        <w:t>dependent in healthy males. For instance, although plac</w:t>
      </w:r>
      <w:r>
        <w:t xml:space="preserve">ebo had no effect on dabigatran </w:t>
      </w:r>
      <w:r w:rsidR="0055444D" w:rsidRPr="0055444D">
        <w:t xml:space="preserve">induced </w:t>
      </w:r>
      <w:proofErr w:type="spellStart"/>
      <w:r w:rsidR="0055444D" w:rsidRPr="0055444D">
        <w:t>dTT</w:t>
      </w:r>
      <w:proofErr w:type="spellEnd"/>
      <w:r w:rsidR="0055444D" w:rsidRPr="0055444D">
        <w:t xml:space="preserve"> elongation (AUEC</w:t>
      </w:r>
      <w:r w:rsidR="0055444D" w:rsidRPr="0055444D">
        <w:rPr>
          <w:vertAlign w:val="subscript"/>
        </w:rPr>
        <w:t xml:space="preserve">above,2-12 </w:t>
      </w:r>
      <w:r w:rsidR="0055444D" w:rsidRPr="0055444D">
        <w:t>ratio = 1.01), the corresponding ratios following administration of 1 g, 2g or 4 g idarucizumab were 0.26, 0.06 and 0.02, respectively.</w:t>
      </w:r>
    </w:p>
    <w:p w:rsidR="009A7609" w:rsidRDefault="0055444D" w:rsidP="0055444D">
      <w:pPr>
        <w:pStyle w:val="ListBullet"/>
      </w:pPr>
      <w:r w:rsidRPr="0055444D">
        <w:t xml:space="preserve">A close linear relationship between unbound sum dabigatran plasma concentration and </w:t>
      </w:r>
      <w:proofErr w:type="spellStart"/>
      <w:r w:rsidRPr="0055444D">
        <w:t>aPTT</w:t>
      </w:r>
      <w:proofErr w:type="spellEnd"/>
      <w:r w:rsidRPr="0055444D">
        <w:t xml:space="preserve">, </w:t>
      </w:r>
      <w:proofErr w:type="spellStart"/>
      <w:r w:rsidRPr="0055444D">
        <w:t>dTT</w:t>
      </w:r>
      <w:proofErr w:type="spellEnd"/>
      <w:r w:rsidRPr="0055444D">
        <w:t>, TT and ECT in healthy Japanese males was identified</w:t>
      </w:r>
      <w:r w:rsidR="009A7609">
        <w:t>.</w:t>
      </w:r>
    </w:p>
    <w:p w:rsidR="0055444D" w:rsidRPr="0055444D" w:rsidRDefault="0055444D" w:rsidP="0055444D">
      <w:pPr>
        <w:pStyle w:val="ListBullet"/>
      </w:pPr>
      <w:r w:rsidRPr="0055444D">
        <w:t>There appeared to be no influence of sex, age, or renal impairment on the proportion of subjects a</w:t>
      </w:r>
      <w:r w:rsidR="00D3522E">
        <w:t xml:space="preserve">ttaining reversal of dabigatran </w:t>
      </w:r>
      <w:r w:rsidRPr="0055444D">
        <w:t>induced coagulation based on the investigated assays.</w:t>
      </w:r>
    </w:p>
    <w:p w:rsidR="0055444D" w:rsidRPr="0055444D" w:rsidRDefault="0055444D" w:rsidP="0055444D">
      <w:pPr>
        <w:pStyle w:val="ListBullet"/>
      </w:pPr>
      <w:r w:rsidRPr="0055444D">
        <w:t xml:space="preserve">Simulation results, undertaken as part of the </w:t>
      </w:r>
      <w:proofErr w:type="spellStart"/>
      <w:r w:rsidRPr="0055444D">
        <w:t>PopPK</w:t>
      </w:r>
      <w:proofErr w:type="spellEnd"/>
      <w:r w:rsidRPr="0055444D">
        <w:t xml:space="preserve"> analysis, indicated that </w:t>
      </w:r>
      <w:proofErr w:type="spellStart"/>
      <w:r w:rsidRPr="0055444D">
        <w:t>CrCL</w:t>
      </w:r>
      <w:proofErr w:type="spellEnd"/>
      <w:r w:rsidRPr="0055444D">
        <w:t xml:space="preserve"> had no effect on the ability of idarucizumab to reverse dabigatran</w:t>
      </w:r>
      <w:r w:rsidR="00D3522E">
        <w:t xml:space="preserve"> </w:t>
      </w:r>
      <w:r w:rsidRPr="0055444D">
        <w:t xml:space="preserve">induced elongation of ECT or </w:t>
      </w:r>
      <w:proofErr w:type="spellStart"/>
      <w:r w:rsidRPr="0055444D">
        <w:t>dTT</w:t>
      </w:r>
      <w:proofErr w:type="spellEnd"/>
      <w:r w:rsidRPr="0055444D">
        <w:t>.</w:t>
      </w:r>
    </w:p>
    <w:p w:rsidR="0055444D" w:rsidRDefault="0055444D" w:rsidP="0055444D">
      <w:pPr>
        <w:pStyle w:val="Heading5"/>
      </w:pPr>
      <w:r w:rsidRPr="00186E82">
        <w:t>Limitations of PD studies</w:t>
      </w:r>
    </w:p>
    <w:p w:rsidR="0055444D" w:rsidRPr="0055444D" w:rsidRDefault="0055444D" w:rsidP="0055444D">
      <w:pPr>
        <w:pStyle w:val="ListBullet"/>
      </w:pPr>
      <w:r w:rsidRPr="0055444D">
        <w:t>No studies examined the secondary PD effects of idarucizumab.</w:t>
      </w:r>
    </w:p>
    <w:p w:rsidR="009A7609" w:rsidRDefault="00D3522E" w:rsidP="0055444D">
      <w:pPr>
        <w:pStyle w:val="ListBullet"/>
      </w:pPr>
      <w:r>
        <w:t xml:space="preserve">Repeat </w:t>
      </w:r>
      <w:r w:rsidR="0055444D" w:rsidRPr="0055444D">
        <w:t xml:space="preserve">dose exposure was only undertaken in 6 healthy subjects and these subjects were only administered half of the dose strength proposed for registration, therefore it is difficult to suggest that these results provide an adequate demonstration of safety and efficacy of </w:t>
      </w:r>
      <w:proofErr w:type="spellStart"/>
      <w:r w:rsidR="0055444D" w:rsidRPr="0055444D">
        <w:t>idarucizumab</w:t>
      </w:r>
      <w:proofErr w:type="spellEnd"/>
      <w:r w:rsidR="0055444D" w:rsidRPr="0055444D">
        <w:t xml:space="preserve"> with repeat dosing</w:t>
      </w:r>
      <w:r w:rsidR="009A7609">
        <w:t>.</w:t>
      </w:r>
    </w:p>
    <w:p w:rsidR="0055444D" w:rsidRPr="0055444D" w:rsidRDefault="0055444D" w:rsidP="0055444D">
      <w:pPr>
        <w:pStyle w:val="ListBullet"/>
      </w:pPr>
      <w:r w:rsidRPr="0055444D">
        <w:t>Little to no information is provided regarding idarucizumab antibody formation following re-exposure.</w:t>
      </w:r>
    </w:p>
    <w:p w:rsidR="0055444D" w:rsidRPr="0055444D" w:rsidRDefault="0055444D" w:rsidP="0055444D">
      <w:pPr>
        <w:pStyle w:val="ListBullet"/>
      </w:pPr>
      <w:r w:rsidRPr="0055444D">
        <w:t>No studies examined the PD interactions between idarucizumab and drugs other than dabigatran.</w:t>
      </w:r>
    </w:p>
    <w:p w:rsidR="008E7846" w:rsidRDefault="00605AD4" w:rsidP="00605AD4">
      <w:pPr>
        <w:pStyle w:val="Heading3"/>
      </w:pPr>
      <w:bookmarkStart w:id="83" w:name="_Toc466282942"/>
      <w:r>
        <w:t>Dosage selection for the pivotal studies</w:t>
      </w:r>
      <w:bookmarkEnd w:id="83"/>
    </w:p>
    <w:p w:rsidR="009A7609" w:rsidRDefault="002A0B0C" w:rsidP="0055444D">
      <w:r>
        <w:t xml:space="preserve">Study 1321.1 was a Phase I, randomised, double blind, placebo </w:t>
      </w:r>
      <w:r w:rsidR="0055444D" w:rsidRPr="0055444D">
        <w:t xml:space="preserve">controlled Phase I study in 157 healthy male volunteers to investigate safety, tolerability and pharmacokinetics of </w:t>
      </w:r>
      <w:r w:rsidR="0055444D" w:rsidRPr="004D711A">
        <w:t>single rising dose</w:t>
      </w:r>
      <w:r w:rsidRPr="004D711A">
        <w:t xml:space="preserve">s (20 mg to 8 g) </w:t>
      </w:r>
      <w:r w:rsidR="004D711A" w:rsidRPr="004D711A">
        <w:t>of idarucizumab (Part 1) and to explore different doses of idarucizumab to reverse dabigatran anticoagulant activity in subjects pre-treated with dabigatran etixilate (Parts 2 and 3). The study design, endpoints, randomisation, blinding and details of the PK and PD results are provided</w:t>
      </w:r>
      <w:r w:rsidR="009A7609">
        <w:t>.</w:t>
      </w:r>
    </w:p>
    <w:p w:rsidR="009A7609" w:rsidRDefault="0055444D" w:rsidP="0055444D">
      <w:r w:rsidRPr="0055444D">
        <w:t>In the absence of dabigatran, idarucizumab had no apparent effect on clotting parameters. In Parts 2 and 3, following administrat</w:t>
      </w:r>
      <w:r w:rsidR="004D711A">
        <w:t>ion of dabigatran 220</w:t>
      </w:r>
      <w:r w:rsidR="004C3657">
        <w:t xml:space="preserve"> </w:t>
      </w:r>
      <w:r w:rsidR="004D711A">
        <w:t>mg BID on Day 1 to D</w:t>
      </w:r>
      <w:r w:rsidRPr="0055444D">
        <w:t>ay 3 and 220m</w:t>
      </w:r>
      <w:r w:rsidR="005D3CAF">
        <w:t xml:space="preserve">g OD on Day 4,  median 2 h post </w:t>
      </w:r>
      <w:r w:rsidRPr="0055444D">
        <w:t xml:space="preserve">dose sum dabigatran concentrations were </w:t>
      </w:r>
      <w:r w:rsidRPr="0055444D">
        <w:lastRenderedPageBreak/>
        <w:t xml:space="preserve">comparable with the median exposure previously observed in patients with atrial fibrillation after 150 mg </w:t>
      </w:r>
      <w:r w:rsidR="00592D6E">
        <w:t>dabigatran etexilate</w:t>
      </w:r>
      <w:r w:rsidRPr="0055444D">
        <w:t xml:space="preserve"> </w:t>
      </w:r>
      <w:r w:rsidR="00813F52">
        <w:t xml:space="preserve">(DE) </w:t>
      </w:r>
      <w:r w:rsidRPr="0055444D">
        <w:t xml:space="preserve">twice daily dosing.  Idarucizumab infusion resulted in reduction of unbound sum dabigatran concentrations to or below the LLOQ. The effect of idarucizumab on unbound sum dabigatran concentrations was dose-dependent over doses evaluated in this study (1g, 2g and 4g). When an at least equimolar dose of </w:t>
      </w:r>
      <w:proofErr w:type="spellStart"/>
      <w:r w:rsidRPr="0055444D">
        <w:t>idarucizumab</w:t>
      </w:r>
      <w:proofErr w:type="spellEnd"/>
      <w:r w:rsidRPr="0055444D">
        <w:t xml:space="preserve"> (≥2 g) was administered, </w:t>
      </w:r>
      <w:proofErr w:type="spellStart"/>
      <w:r w:rsidRPr="0055444D">
        <w:t>gMean</w:t>
      </w:r>
      <w:proofErr w:type="spellEnd"/>
      <w:r w:rsidRPr="0055444D">
        <w:t xml:space="preserve"> unbound sum dabigatran concentrations remained </w:t>
      </w:r>
      <w:proofErr w:type="gramStart"/>
      <w:r w:rsidRPr="0055444D">
        <w:t>below 10 ng/mL</w:t>
      </w:r>
      <w:proofErr w:type="gramEnd"/>
      <w:r w:rsidRPr="0055444D">
        <w:t xml:space="preserve"> over the entire observati</w:t>
      </w:r>
      <w:r w:rsidR="00E35EF2">
        <w:t>on period of 72 h</w:t>
      </w:r>
      <w:r w:rsidR="009A7609">
        <w:t>.</w:t>
      </w:r>
    </w:p>
    <w:p w:rsidR="0055444D" w:rsidRDefault="0055444D" w:rsidP="0055444D">
      <w:pPr>
        <w:autoSpaceDE w:val="0"/>
        <w:autoSpaceDN w:val="0"/>
        <w:adjustRightInd w:val="0"/>
      </w:pPr>
      <w:r w:rsidRPr="0055444D">
        <w:t xml:space="preserve">In line with the reduction </w:t>
      </w:r>
      <w:r w:rsidR="00D3522E">
        <w:t xml:space="preserve">in </w:t>
      </w:r>
      <w:r w:rsidR="00D3522E" w:rsidRPr="0055444D">
        <w:t xml:space="preserve">concentration </w:t>
      </w:r>
      <w:r w:rsidRPr="0055444D">
        <w:t>of unbound sum dabigatran, administration of ≥2 g idarucizumab resulted in immediate,</w:t>
      </w:r>
      <w:r>
        <w:rPr>
          <w:rStyle w:val="FootnoteReference"/>
        </w:rPr>
        <w:footnoteReference w:id="8"/>
      </w:r>
      <w:r w:rsidRPr="0055444D">
        <w:t xml:space="preserve"> complete,</w:t>
      </w:r>
      <w:r>
        <w:rPr>
          <w:rStyle w:val="FootnoteReference"/>
        </w:rPr>
        <w:footnoteReference w:id="9"/>
      </w:r>
      <w:r w:rsidRPr="0055444D">
        <w:t xml:space="preserve"> and sustained</w:t>
      </w:r>
      <w:r>
        <w:rPr>
          <w:rStyle w:val="FootnoteReference"/>
        </w:rPr>
        <w:footnoteReference w:id="10"/>
      </w:r>
      <w:r w:rsidRPr="0055444D">
        <w:t xml:space="preserve"> reversal of dabigatran anticoagulation based on </w:t>
      </w:r>
      <w:proofErr w:type="spellStart"/>
      <w:r w:rsidRPr="0055444D">
        <w:t>dTT</w:t>
      </w:r>
      <w:proofErr w:type="spellEnd"/>
      <w:r w:rsidRPr="0055444D">
        <w:t xml:space="preserve"> and </w:t>
      </w:r>
      <w:proofErr w:type="spellStart"/>
      <w:r w:rsidRPr="0055444D">
        <w:t>aPTT</w:t>
      </w:r>
      <w:proofErr w:type="spellEnd"/>
      <w:r w:rsidRPr="0055444D">
        <w:t>.</w:t>
      </w:r>
      <w:r>
        <w:t xml:space="preserve"> </w:t>
      </w:r>
      <w:r w:rsidRPr="0055444D">
        <w:t>Specifically, administration of:</w:t>
      </w:r>
    </w:p>
    <w:p w:rsidR="0055444D" w:rsidRDefault="0055444D" w:rsidP="0055444D">
      <w:pPr>
        <w:pStyle w:val="ListBullet"/>
      </w:pPr>
      <w:r w:rsidRPr="0055444D">
        <w:t xml:space="preserve">1 g idarucizumab resulted in immediate and complete reversal with subsequent partial return of the dabigatran anticoagulant effect starting between 30 min to 2 h after the end of the infusion as determined by </w:t>
      </w:r>
      <w:proofErr w:type="spellStart"/>
      <w:r w:rsidRPr="0055444D">
        <w:t>dTT</w:t>
      </w:r>
      <w:proofErr w:type="spellEnd"/>
      <w:r w:rsidRPr="0055444D">
        <w:t xml:space="preserve">, </w:t>
      </w:r>
      <w:r>
        <w:t xml:space="preserve">ECT, </w:t>
      </w:r>
      <w:proofErr w:type="spellStart"/>
      <w:r>
        <w:t>aPTT</w:t>
      </w:r>
      <w:proofErr w:type="spellEnd"/>
      <w:r>
        <w:t xml:space="preserve"> and TT;</w:t>
      </w:r>
    </w:p>
    <w:p w:rsidR="0055444D" w:rsidRDefault="0055444D" w:rsidP="0055444D">
      <w:pPr>
        <w:pStyle w:val="ListBullet"/>
      </w:pPr>
      <w:r w:rsidRPr="0055444D">
        <w:t>2 g i</w:t>
      </w:r>
      <w:r w:rsidR="000548B8">
        <w:t>darucizumab (that is,</w:t>
      </w:r>
      <w:r w:rsidRPr="0055444D">
        <w:t xml:space="preserve"> the dose calculated to be approximately equimolar to total dabigatran body load) resulted in immediate, complete, and sustained reversal with the clotting assays </w:t>
      </w:r>
      <w:proofErr w:type="spellStart"/>
      <w:r w:rsidRPr="0055444D">
        <w:t>dTT</w:t>
      </w:r>
      <w:proofErr w:type="spellEnd"/>
      <w:r w:rsidRPr="0055444D">
        <w:t xml:space="preserve"> and </w:t>
      </w:r>
      <w:proofErr w:type="spellStart"/>
      <w:r w:rsidRPr="0055444D">
        <w:t>aPTT</w:t>
      </w:r>
      <w:proofErr w:type="spellEnd"/>
      <w:r w:rsidRPr="0055444D">
        <w:t>, while the mean ECT and TT values were slightly above the ULN from 6 to 16 h and 2 to 24 h after end of the idarucizumab infusion, respectively.</w:t>
      </w:r>
    </w:p>
    <w:p w:rsidR="0055444D" w:rsidRDefault="0055444D" w:rsidP="0055444D">
      <w:pPr>
        <w:pStyle w:val="ListBullet"/>
      </w:pPr>
      <w:r w:rsidRPr="0055444D">
        <w:t xml:space="preserve">4 g idarucizumab resulted in immediate, complete and sustained reversal with </w:t>
      </w:r>
      <w:proofErr w:type="spellStart"/>
      <w:r w:rsidRPr="0055444D">
        <w:t>dTT</w:t>
      </w:r>
      <w:proofErr w:type="spellEnd"/>
      <w:r w:rsidRPr="0055444D">
        <w:t xml:space="preserve">, ECT and </w:t>
      </w:r>
      <w:proofErr w:type="spellStart"/>
      <w:r w:rsidRPr="0055444D">
        <w:t>aPTT</w:t>
      </w:r>
      <w:proofErr w:type="spellEnd"/>
      <w:r w:rsidRPr="0055444D">
        <w:t>; TT values were slightly above the ULN from 12 to 24 h after end of the idarucizumab infusion</w:t>
      </w:r>
    </w:p>
    <w:p w:rsidR="009A7609" w:rsidRDefault="0055444D" w:rsidP="0055444D">
      <w:pPr>
        <w:pStyle w:val="ListBullet"/>
      </w:pPr>
      <w:r w:rsidRPr="0055444D">
        <w:t xml:space="preserve">5 g + 2.5 g idarucizumab resulted in immediate, complete, and sustained reversal with </w:t>
      </w:r>
      <w:proofErr w:type="spellStart"/>
      <w:r w:rsidRPr="0055444D">
        <w:t>dTT</w:t>
      </w:r>
      <w:proofErr w:type="spellEnd"/>
      <w:r w:rsidRPr="0055444D">
        <w:t xml:space="preserve">, ECT, </w:t>
      </w:r>
      <w:proofErr w:type="spellStart"/>
      <w:r w:rsidRPr="0055444D">
        <w:t>aPTT</w:t>
      </w:r>
      <w:proofErr w:type="spellEnd"/>
      <w:r w:rsidRPr="0055444D">
        <w:t>, and TT</w:t>
      </w:r>
      <w:r w:rsidR="009A7609">
        <w:t>.</w:t>
      </w:r>
    </w:p>
    <w:p w:rsidR="009A7609" w:rsidRDefault="0055444D" w:rsidP="00652DB5">
      <w:r w:rsidRPr="00652DB5">
        <w:t>T</w:t>
      </w:r>
      <w:r w:rsidR="000D6433">
        <w:t xml:space="preserve">he main objective of the Phase </w:t>
      </w:r>
      <w:proofErr w:type="spellStart"/>
      <w:r w:rsidR="000D6433">
        <w:t>I</w:t>
      </w:r>
      <w:r w:rsidR="008C26F6">
        <w:t>b</w:t>
      </w:r>
      <w:proofErr w:type="spellEnd"/>
      <w:r w:rsidR="008C26F6">
        <w:t xml:space="preserve">, randomised, double blind, placebo controlled, two </w:t>
      </w:r>
      <w:r w:rsidRPr="00652DB5">
        <w:t xml:space="preserve">way, crossover </w:t>
      </w:r>
      <w:r w:rsidR="008C26F6">
        <w:t>S</w:t>
      </w:r>
      <w:r w:rsidRPr="00652DB5">
        <w:t>tudy 1321.2 was to investigate safety, tolerability, PKs, and PDs of idarucizumab (1g, 2.5g and 5g single dose infusion) and to establish the idarucizumab dose(s) effe</w:t>
      </w:r>
      <w:r w:rsidR="008C26F6">
        <w:t xml:space="preserve">ctive to reverse the dabigatran </w:t>
      </w:r>
      <w:r w:rsidRPr="00652DB5">
        <w:t>induced prolongation of the blood coagulation time in populations resembling the target patient population with respect to age and r</w:t>
      </w:r>
      <w:r w:rsidR="00C706B0">
        <w:t>enal function</w:t>
      </w:r>
      <w:r w:rsidR="009A7609">
        <w:t>.</w:t>
      </w:r>
    </w:p>
    <w:p w:rsidR="009A7609" w:rsidRDefault="0055444D" w:rsidP="00652DB5">
      <w:r w:rsidRPr="00652DB5">
        <w:t>After the end of infusion of all idarucizumab doses and in all populations unbound sum dabigatran plasma concentrations dropped to or below the LLOQ of 1 ng/mL concomitantly with abolished or nearly abolished dabigatran anticoagulation activity. The duration of the effect of idarucizumab on unbound sum dabigatran conce</w:t>
      </w:r>
      <w:r w:rsidR="00326308">
        <w:t xml:space="preserve">ntrations increased with dose. </w:t>
      </w:r>
      <w:r w:rsidRPr="00652DB5">
        <w:t xml:space="preserve">When higher idarucizumab doses (2.5 g or 5 g) were infused, </w:t>
      </w:r>
      <w:proofErr w:type="spellStart"/>
      <w:r w:rsidRPr="00652DB5">
        <w:t>gMean</w:t>
      </w:r>
      <w:proofErr w:type="spellEnd"/>
      <w:r w:rsidRPr="00652DB5">
        <w:t xml:space="preserve"> concentrations of unbound sum dabigatran remained </w:t>
      </w:r>
      <w:proofErr w:type="gramStart"/>
      <w:r w:rsidRPr="00652DB5">
        <w:t>below 11 ng/mL</w:t>
      </w:r>
      <w:proofErr w:type="gramEnd"/>
      <w:r w:rsidRPr="00652DB5">
        <w:t xml:space="preserve"> for the entire ob</w:t>
      </w:r>
      <w:r w:rsidR="00E35EF2">
        <w:t>servation periods</w:t>
      </w:r>
      <w:r w:rsidR="009A7609">
        <w:t>.</w:t>
      </w:r>
    </w:p>
    <w:p w:rsidR="009A7609" w:rsidRDefault="0055444D" w:rsidP="00652DB5">
      <w:r w:rsidRPr="00652DB5">
        <w:t>Complete reversal of individual dabigatran</w:t>
      </w:r>
      <w:r w:rsidR="00812F94">
        <w:t xml:space="preserve"> </w:t>
      </w:r>
      <w:r w:rsidRPr="00652DB5">
        <w:t xml:space="preserve">induced clotting time prolongation within 10 min after end of idarucizumab infusion was observed for all subjects of all dose groups for the clotting  parameters </w:t>
      </w:r>
      <w:proofErr w:type="spellStart"/>
      <w:r w:rsidRPr="00652DB5">
        <w:t>dTT</w:t>
      </w:r>
      <w:proofErr w:type="spellEnd"/>
      <w:r w:rsidRPr="00652DB5">
        <w:t xml:space="preserve"> and ECT (primary analysis), as well as for </w:t>
      </w:r>
      <w:proofErr w:type="spellStart"/>
      <w:r w:rsidRPr="00652DB5">
        <w:t>aPTT</w:t>
      </w:r>
      <w:proofErr w:type="spellEnd"/>
      <w:r w:rsidRPr="00652DB5">
        <w:t xml:space="preserve"> and TT. Placebo infusion had no effect on the clotting parameters. Duration of reversal after idarucizumab infusion was dependent on the idarucizumab dose. Infusion of a total dose of 5 g idarucizumab resulted in sustained reversal of dabigatran</w:t>
      </w:r>
      <w:r w:rsidR="00812F94">
        <w:t xml:space="preserve"> </w:t>
      </w:r>
      <w:r w:rsidRPr="00652DB5">
        <w:t xml:space="preserve">induced clotting time prolongation over the entire observation period in healthy subjects (45-64 years) and healthy elderly (65-80 years) as well as subjects with mild renal impairment. When </w:t>
      </w:r>
      <w:r w:rsidRPr="00652DB5">
        <w:lastRenderedPageBreak/>
        <w:t>administered to subjects with moderate renal impairment, the total dose of 5 g was split into 2 times 2.5 g idarucizumab administered 1 h apart. Immediate, complete and sustained (in between infusions) reversal was observed after the first i</w:t>
      </w:r>
      <w:r w:rsidR="00C706B0">
        <w:t>nfusion of 2.5 g</w:t>
      </w:r>
      <w:r w:rsidRPr="00652DB5">
        <w:t xml:space="preserve">. </w:t>
      </w:r>
    </w:p>
    <w:p w:rsidR="0055444D" w:rsidRPr="00652DB5" w:rsidRDefault="0055444D" w:rsidP="00652DB5">
      <w:pPr>
        <w:ind w:left="720"/>
        <w:rPr>
          <w:i/>
        </w:rPr>
      </w:pPr>
      <w:r w:rsidRPr="00652DB5">
        <w:rPr>
          <w:i/>
        </w:rPr>
        <w:t>Comments:</w:t>
      </w:r>
      <w:r w:rsidR="00652DB5" w:rsidRPr="00652DB5">
        <w:rPr>
          <w:i/>
        </w:rPr>
        <w:t xml:space="preserve"> </w:t>
      </w:r>
      <w:r w:rsidRPr="00652DB5">
        <w:rPr>
          <w:i/>
        </w:rPr>
        <w:t xml:space="preserve">PD results from study 1321.2 confirm that 5 g idarucizumab is an efficacious dose that reverses dabigatran’s anticoagulant activity at exposures in healthy subjects, elderly and subjects with mild or moderate renal impairment matching median exposures observed in patients with atrial fibrillation after 150 mg </w:t>
      </w:r>
      <w:r w:rsidR="00592D6E">
        <w:rPr>
          <w:i/>
        </w:rPr>
        <w:t>dabigatran etexilate</w:t>
      </w:r>
      <w:r w:rsidRPr="00652DB5">
        <w:rPr>
          <w:i/>
        </w:rPr>
        <w:t xml:space="preserve"> twice daily dosing.</w:t>
      </w:r>
    </w:p>
    <w:p w:rsidR="009A7609" w:rsidRDefault="00326308" w:rsidP="00652DB5">
      <w:r>
        <w:t>In the Phase I</w:t>
      </w:r>
      <w:r w:rsidR="0055444D" w:rsidRPr="00652DB5">
        <w:t>, randomised, double</w:t>
      </w:r>
      <w:r w:rsidR="004E2637">
        <w:t xml:space="preserve"> </w:t>
      </w:r>
      <w:r w:rsidR="0055444D" w:rsidRPr="00652DB5">
        <w:t>blind within dose</w:t>
      </w:r>
      <w:r w:rsidR="004E2637">
        <w:t xml:space="preserve"> </w:t>
      </w:r>
      <w:r w:rsidR="0055444D" w:rsidRPr="00652DB5">
        <w:t>groups, placebo</w:t>
      </w:r>
      <w:r w:rsidR="004E2637">
        <w:t xml:space="preserve"> </w:t>
      </w:r>
      <w:r w:rsidR="0055444D" w:rsidRPr="00652DB5">
        <w:t xml:space="preserve">controlled, single centre </w:t>
      </w:r>
      <w:r w:rsidR="004E2637">
        <w:t>S</w:t>
      </w:r>
      <w:r w:rsidR="0055444D" w:rsidRPr="00652DB5">
        <w:t xml:space="preserve">tudy </w:t>
      </w:r>
      <w:proofErr w:type="gramStart"/>
      <w:r w:rsidR="0055444D" w:rsidRPr="00652DB5">
        <w:t>1321.5 ,</w:t>
      </w:r>
      <w:proofErr w:type="gramEnd"/>
      <w:r w:rsidR="0055444D" w:rsidRPr="00652DB5">
        <w:t xml:space="preserve"> single doses of idarucizumab and multiple doses of dabigatran etexilate (Part 2,only) were administered to Japanese young he</w:t>
      </w:r>
      <w:r w:rsidR="004E2637">
        <w:t xml:space="preserve">althy male volunteers. Part 1 (n </w:t>
      </w:r>
      <w:r w:rsidR="0055444D" w:rsidRPr="00652DB5">
        <w:t>=</w:t>
      </w:r>
      <w:r w:rsidR="004E2637">
        <w:t xml:space="preserve"> 32) and Part 2 (n </w:t>
      </w:r>
      <w:r w:rsidR="0055444D" w:rsidRPr="00652DB5">
        <w:t>=</w:t>
      </w:r>
      <w:r w:rsidR="004E2637">
        <w:t xml:space="preserve"> </w:t>
      </w:r>
      <w:r w:rsidR="0055444D" w:rsidRPr="00652DB5">
        <w:t xml:space="preserve">48) had a single rising dose design. The following doses of idarucizumab were administered: Part 1: 1, 2 and 4 g administered as 5 min infusion and 8 g administered as 1 h infusion; Part 2: 1, 2 and 4 g; as well as 2.5 g followed by 2.5 g 15 min later; all administered as 5 min infusion at steady state of a 220 mg dabigatran </w:t>
      </w:r>
      <w:proofErr w:type="spellStart"/>
      <w:r w:rsidR="0055444D" w:rsidRPr="00652DB5">
        <w:t>etexilate</w:t>
      </w:r>
      <w:proofErr w:type="spellEnd"/>
      <w:r w:rsidR="0055444D" w:rsidRPr="00652DB5">
        <w:t xml:space="preserve"> </w:t>
      </w:r>
      <w:r w:rsidR="00C706B0">
        <w:t>bid dosing regimen</w:t>
      </w:r>
      <w:r w:rsidR="009A7609">
        <w:t>.</w:t>
      </w:r>
    </w:p>
    <w:p w:rsidR="0055444D" w:rsidRPr="00652DB5" w:rsidRDefault="0055444D" w:rsidP="00652DB5">
      <w:r w:rsidRPr="00652DB5">
        <w:t xml:space="preserve">During </w:t>
      </w:r>
      <w:proofErr w:type="spellStart"/>
      <w:r w:rsidRPr="00652DB5">
        <w:t>idarucizumab</w:t>
      </w:r>
      <w:proofErr w:type="spellEnd"/>
      <w:r w:rsidRPr="00652DB5">
        <w:t xml:space="preserve"> infusion, a rapid and substantial decline of unbound sum dabigatran concentrations to at least the LLOQ (1 ng/mL) was observed. The duration of the effect of idarucizumab on unbound sum dabigatran concentrations in</w:t>
      </w:r>
      <w:r w:rsidR="00E35EF2">
        <w:t>creased with dose</w:t>
      </w:r>
      <w:r w:rsidRPr="00652DB5">
        <w:t xml:space="preserve">, whereby </w:t>
      </w:r>
      <w:proofErr w:type="spellStart"/>
      <w:r w:rsidRPr="00652DB5">
        <w:t>gMean</w:t>
      </w:r>
      <w:proofErr w:type="spellEnd"/>
      <w:r w:rsidRPr="00652DB5">
        <w:t xml:space="preserve"> concentrations of unbound sum dabigatran remained </w:t>
      </w:r>
      <w:proofErr w:type="gramStart"/>
      <w:r w:rsidRPr="00652DB5">
        <w:t>below 15 ng/mL</w:t>
      </w:r>
      <w:proofErr w:type="gramEnd"/>
      <w:r w:rsidRPr="00652DB5">
        <w:t xml:space="preserve"> after infusion of 2 g idarucizumab and below 4 ng/mL after infusion of higher idarucizumab doses.</w:t>
      </w:r>
    </w:p>
    <w:p w:rsidR="00652DB5" w:rsidRDefault="0055444D" w:rsidP="00652DB5">
      <w:r w:rsidRPr="00652DB5">
        <w:t xml:space="preserve">In Part 2 of this study, </w:t>
      </w:r>
      <w:r w:rsidR="00592D6E">
        <w:t>dabigatran etexilate</w:t>
      </w:r>
      <w:r w:rsidRPr="00652DB5">
        <w:t xml:space="preserve"> administration consistently prolonged clotting times of all clotting parameters in the absence of idarucizumab. Administration of:</w:t>
      </w:r>
    </w:p>
    <w:p w:rsidR="00652DB5" w:rsidRPr="00652DB5" w:rsidRDefault="0055444D" w:rsidP="00652DB5">
      <w:pPr>
        <w:pStyle w:val="ListBullet"/>
      </w:pPr>
      <w:r w:rsidRPr="00652DB5">
        <w:t xml:space="preserve">1 g idarucizumab resulted in immediate and complete reversal as determined by </w:t>
      </w:r>
      <w:proofErr w:type="spellStart"/>
      <w:r w:rsidRPr="00652DB5">
        <w:t>dTT</w:t>
      </w:r>
      <w:proofErr w:type="spellEnd"/>
      <w:r w:rsidRPr="00652DB5">
        <w:t xml:space="preserve">, ECT, </w:t>
      </w:r>
      <w:proofErr w:type="spellStart"/>
      <w:r w:rsidRPr="00652DB5">
        <w:t>aPTT</w:t>
      </w:r>
      <w:proofErr w:type="spellEnd"/>
      <w:r w:rsidRPr="00652DB5">
        <w:t xml:space="preserve"> and TT. By 1 h after end of infusion, all clotting parameters showed a partial return of the dabigatran anticoagulant effect.</w:t>
      </w:r>
    </w:p>
    <w:p w:rsidR="00652DB5" w:rsidRPr="00652DB5" w:rsidRDefault="0055444D" w:rsidP="00652DB5">
      <w:pPr>
        <w:pStyle w:val="ListBullet"/>
      </w:pPr>
      <w:r w:rsidRPr="00652DB5">
        <w:t xml:space="preserve">2 g idarucizumab resulted in immediate and complete reversal as determined by </w:t>
      </w:r>
      <w:proofErr w:type="spellStart"/>
      <w:r w:rsidRPr="00652DB5">
        <w:t>dTT</w:t>
      </w:r>
      <w:proofErr w:type="spellEnd"/>
      <w:r w:rsidRPr="00652DB5">
        <w:t xml:space="preserve">, ECT, </w:t>
      </w:r>
      <w:proofErr w:type="spellStart"/>
      <w:r w:rsidRPr="00652DB5">
        <w:t>aPTT</w:t>
      </w:r>
      <w:proofErr w:type="spellEnd"/>
      <w:r w:rsidRPr="00652DB5">
        <w:t xml:space="preserve"> and TT. By 2 h after end of infusion, all clotting parameters showed a partial return of the dabigatran anticoagulant effect.</w:t>
      </w:r>
    </w:p>
    <w:p w:rsidR="0055444D" w:rsidRPr="00652DB5" w:rsidRDefault="0055444D" w:rsidP="00652DB5">
      <w:pPr>
        <w:pStyle w:val="ListBullet"/>
      </w:pPr>
      <w:r w:rsidRPr="00652DB5">
        <w:t xml:space="preserve">4 g and 2.5 + 2.5 g idarucizumab resulted in immediate, complete, and sustained reversal with </w:t>
      </w:r>
      <w:proofErr w:type="spellStart"/>
      <w:r w:rsidRPr="00652DB5">
        <w:t>dTT</w:t>
      </w:r>
      <w:proofErr w:type="spellEnd"/>
      <w:r w:rsidRPr="00652DB5">
        <w:t xml:space="preserve">, ECT and </w:t>
      </w:r>
      <w:proofErr w:type="spellStart"/>
      <w:r w:rsidRPr="00652DB5">
        <w:t>aPTT</w:t>
      </w:r>
      <w:proofErr w:type="spellEnd"/>
      <w:r w:rsidRPr="00652DB5">
        <w:t>. For TT, a partial return of dabigatran anticoagulation was observed between 24 to 48 h (4 g idarucizumab) and at 48 h (2.5 + 2.5 g idarucizumab) after infusion.</w:t>
      </w:r>
    </w:p>
    <w:p w:rsidR="0055444D" w:rsidRPr="00652DB5" w:rsidRDefault="0055444D" w:rsidP="00652DB5">
      <w:r w:rsidRPr="00652DB5">
        <w:t xml:space="preserve">The selection of the clinical dose for patients and the demonstration of dose-response </w:t>
      </w:r>
      <w:proofErr w:type="gramStart"/>
      <w:r w:rsidRPr="00652DB5">
        <w:t>was</w:t>
      </w:r>
      <w:proofErr w:type="gramEnd"/>
      <w:r w:rsidRPr="00652DB5">
        <w:t xml:space="preserve"> based on biomarker response to different doses of idarucizumab and the concomitant reduction of the unbound sum dabigatran. PK/PD modelling was used to further substantiate dosing considerations. Clinical outcome data were not used in the estimation of the dosing.  The calculation of the required dose of idarucizumab is based on a 1:1 stoichiometry of the binding of idarucizumab to dabigatran and the calculated total body load of dabigatran, reflected by the plasma concentrations and estimated volume of distribution. The target clinical dose of 5 g idarucizumab was selected based on the most extreme dabigatran concentrations seen in the RE-LY subgroup with high concentrations, e.g. 99th percentile of concentrations observed in subjects with moderate renal dysfunction based on a population pharmacokinetic model of data from this study and the range of observed trough concentrations (</w:t>
      </w:r>
      <w:proofErr w:type="spellStart"/>
      <w:r w:rsidRPr="00652DB5">
        <w:t>C</w:t>
      </w:r>
      <w:r w:rsidRPr="00B2291F">
        <w:rPr>
          <w:vertAlign w:val="subscript"/>
        </w:rPr>
        <w:t>pre</w:t>
      </w:r>
      <w:proofErr w:type="gramStart"/>
      <w:r w:rsidRPr="00B2291F">
        <w:rPr>
          <w:vertAlign w:val="subscript"/>
        </w:rPr>
        <w:t>,ss</w:t>
      </w:r>
      <w:proofErr w:type="spellEnd"/>
      <w:proofErr w:type="gramEnd"/>
      <w:r w:rsidRPr="00652DB5">
        <w:t>) from that study (U09-3249-02). The 99th percentiles of trough and peak concentrations in patients with moderate renal failure were 543 and 861 ng/mL, respectively. These patients will have the highest dabigatran body loads. This coverage with 5 g idarucizumab is regarded as an overwhelming dose. Lower and higher idarucizumab doses have been tested in the Phase I studies.</w:t>
      </w:r>
    </w:p>
    <w:p w:rsidR="0055444D" w:rsidRPr="00652DB5" w:rsidRDefault="00652DB5" w:rsidP="00652DB5">
      <w:pPr>
        <w:ind w:left="720"/>
        <w:rPr>
          <w:i/>
        </w:rPr>
      </w:pPr>
      <w:r w:rsidRPr="00652DB5">
        <w:rPr>
          <w:i/>
        </w:rPr>
        <w:lastRenderedPageBreak/>
        <w:t xml:space="preserve">Comments: </w:t>
      </w:r>
      <w:r w:rsidR="0055444D" w:rsidRPr="00652DB5">
        <w:rPr>
          <w:i/>
        </w:rPr>
        <w:t xml:space="preserve">Immediate and complete reversal was observed on the basis of the unbound fraction of sum dabigatran and coagulation parameters of </w:t>
      </w:r>
      <w:proofErr w:type="spellStart"/>
      <w:r w:rsidR="0055444D" w:rsidRPr="00652DB5">
        <w:rPr>
          <w:i/>
        </w:rPr>
        <w:t>dTT</w:t>
      </w:r>
      <w:proofErr w:type="spellEnd"/>
      <w:r w:rsidR="0055444D" w:rsidRPr="00652DB5">
        <w:rPr>
          <w:i/>
        </w:rPr>
        <w:t xml:space="preserve">, ECT, TT and </w:t>
      </w:r>
      <w:proofErr w:type="spellStart"/>
      <w:r w:rsidR="0055444D" w:rsidRPr="00652DB5">
        <w:rPr>
          <w:i/>
        </w:rPr>
        <w:t>aPTT</w:t>
      </w:r>
      <w:proofErr w:type="spellEnd"/>
      <w:r w:rsidR="0055444D" w:rsidRPr="00652DB5">
        <w:rPr>
          <w:i/>
        </w:rPr>
        <w:t xml:space="preserve"> after administration of idarucizumab at steady state of dabigatran in all dose groups. The reversal effect was sustained at 4 g and the proposed therapeutic dose of 5</w:t>
      </w:r>
      <w:r w:rsidR="006939E4">
        <w:rPr>
          <w:i/>
        </w:rPr>
        <w:t xml:space="preserve"> </w:t>
      </w:r>
      <w:r w:rsidR="0055444D" w:rsidRPr="00652DB5">
        <w:rPr>
          <w:i/>
        </w:rPr>
        <w:t>g. Overall, the proposed dose of 5</w:t>
      </w:r>
      <w:r w:rsidR="006939E4">
        <w:rPr>
          <w:i/>
        </w:rPr>
        <w:t xml:space="preserve"> </w:t>
      </w:r>
      <w:r w:rsidR="0055444D" w:rsidRPr="00652DB5">
        <w:rPr>
          <w:i/>
        </w:rPr>
        <w:t>g (2</w:t>
      </w:r>
      <w:r w:rsidR="006939E4">
        <w:rPr>
          <w:i/>
        </w:rPr>
        <w:t xml:space="preserve"> </w:t>
      </w:r>
      <w:r w:rsidR="0055444D" w:rsidRPr="00652DB5">
        <w:rPr>
          <w:i/>
        </w:rPr>
        <w:t>x</w:t>
      </w:r>
      <w:r w:rsidR="006939E4">
        <w:rPr>
          <w:i/>
        </w:rPr>
        <w:t xml:space="preserve"> </w:t>
      </w:r>
      <w:r w:rsidR="0055444D" w:rsidRPr="00652DB5">
        <w:rPr>
          <w:i/>
        </w:rPr>
        <w:t>2.5</w:t>
      </w:r>
      <w:r w:rsidR="006939E4">
        <w:rPr>
          <w:i/>
        </w:rPr>
        <w:t xml:space="preserve"> </w:t>
      </w:r>
      <w:r w:rsidR="0055444D" w:rsidRPr="00652DB5">
        <w:rPr>
          <w:i/>
        </w:rPr>
        <w:t>g) idarucizumab is appropriate and is bein</w:t>
      </w:r>
      <w:r w:rsidR="00B2291F">
        <w:rPr>
          <w:i/>
        </w:rPr>
        <w:t>g tested in the on</w:t>
      </w:r>
      <w:r w:rsidR="006A1D39">
        <w:rPr>
          <w:i/>
        </w:rPr>
        <w:t>going Phase III</w:t>
      </w:r>
      <w:r w:rsidR="0055444D" w:rsidRPr="00652DB5">
        <w:rPr>
          <w:i/>
        </w:rPr>
        <w:t xml:space="preserve"> </w:t>
      </w:r>
      <w:r w:rsidR="006939E4">
        <w:rPr>
          <w:i/>
        </w:rPr>
        <w:t>S</w:t>
      </w:r>
      <w:r w:rsidR="0055444D" w:rsidRPr="00652DB5">
        <w:rPr>
          <w:i/>
        </w:rPr>
        <w:t>tudy 1321.3 in the target patient population.</w:t>
      </w:r>
    </w:p>
    <w:p w:rsidR="008E7846" w:rsidRPr="00254787" w:rsidRDefault="008E7846" w:rsidP="008E7846">
      <w:pPr>
        <w:pStyle w:val="Heading3"/>
      </w:pPr>
      <w:bookmarkStart w:id="84" w:name="_Toc163441372"/>
      <w:bookmarkStart w:id="85" w:name="_Toc196046485"/>
      <w:bookmarkStart w:id="86" w:name="_Toc247691521"/>
      <w:bookmarkStart w:id="87" w:name="_Toc314842504"/>
      <w:bookmarkStart w:id="88" w:name="_Toc466282943"/>
      <w:r w:rsidRPr="00254787">
        <w:t>Efficacy</w:t>
      </w:r>
      <w:bookmarkEnd w:id="84"/>
      <w:bookmarkEnd w:id="85"/>
      <w:bookmarkEnd w:id="86"/>
      <w:bookmarkEnd w:id="87"/>
      <w:bookmarkEnd w:id="88"/>
    </w:p>
    <w:p w:rsidR="00605AD4" w:rsidRDefault="00605AD4" w:rsidP="00605AD4">
      <w:pPr>
        <w:pStyle w:val="Heading4"/>
      </w:pPr>
      <w:bookmarkStart w:id="89" w:name="_Toc184439992"/>
      <w:bookmarkStart w:id="90" w:name="_Toc184440279"/>
      <w:bookmarkStart w:id="91" w:name="_Toc184444657"/>
      <w:bookmarkStart w:id="92" w:name="_Toc196046487"/>
      <w:r>
        <w:t>Studies providing efficacy data</w:t>
      </w:r>
    </w:p>
    <w:p w:rsidR="009A7609" w:rsidRDefault="00286BFF" w:rsidP="00286BFF">
      <w:bookmarkStart w:id="93" w:name="_Ref243301615"/>
      <w:bookmarkStart w:id="94" w:name="_Ref271040927"/>
      <w:bookmarkStart w:id="95" w:name="_Ref271040932"/>
      <w:bookmarkStart w:id="96" w:name="_Toc272414653"/>
      <w:bookmarkStart w:id="97" w:name="_Toc290846275"/>
      <w:bookmarkStart w:id="98" w:name="_Toc442359324"/>
      <w:r w:rsidRPr="00286BFF">
        <w:t xml:space="preserve">Study </w:t>
      </w:r>
      <w:bookmarkEnd w:id="93"/>
      <w:bookmarkEnd w:id="94"/>
      <w:bookmarkEnd w:id="95"/>
      <w:bookmarkEnd w:id="96"/>
      <w:bookmarkEnd w:id="97"/>
      <w:r w:rsidRPr="00286BFF">
        <w:t>1321.3</w:t>
      </w:r>
      <w:bookmarkEnd w:id="98"/>
      <w:r w:rsidR="00253C04">
        <w:t xml:space="preserve"> was a Phase III</w:t>
      </w:r>
      <w:r w:rsidRPr="00286BFF">
        <w:t>, open</w:t>
      </w:r>
      <w:r w:rsidR="000D4114">
        <w:t xml:space="preserve"> </w:t>
      </w:r>
      <w:r w:rsidRPr="00286BFF">
        <w:t>label, uncontrolled, case series, multicentre  study of the reversal of the anticoagulant effects of dabigatran by</w:t>
      </w:r>
      <w:r w:rsidR="00BD51C6">
        <w:t xml:space="preserve"> IV</w:t>
      </w:r>
      <w:r w:rsidRPr="00286BFF">
        <w:t xml:space="preserve"> administration of 5.0 g idarucizumab (BI 655075) in patients treated with dabigatran etexilate who have uncontrolled bleeding or require emergency surgery or procedures. RE-VERSE AD trial (A study of the RE-</w:t>
      </w:r>
      <w:proofErr w:type="spellStart"/>
      <w:r w:rsidRPr="00286BFF">
        <w:t>VERSal</w:t>
      </w:r>
      <w:proofErr w:type="spellEnd"/>
      <w:r w:rsidRPr="00286BFF">
        <w:t xml:space="preserve"> Effects of </w:t>
      </w:r>
      <w:proofErr w:type="spellStart"/>
      <w:r w:rsidRPr="00286BFF">
        <w:t>Idarucizumab</w:t>
      </w:r>
      <w:proofErr w:type="spellEnd"/>
      <w:r w:rsidRPr="00286BFF">
        <w:t xml:space="preserve"> on Active Dabigatran). It is planned to treat approximately 200 to 300 patients with a total dose of 5 g (two 2.5</w:t>
      </w:r>
      <w:r w:rsidR="00E746AE">
        <w:t xml:space="preserve"> </w:t>
      </w:r>
      <w:r w:rsidRPr="00286BFF">
        <w:t xml:space="preserve">g vials) of </w:t>
      </w:r>
      <w:proofErr w:type="spellStart"/>
      <w:r w:rsidRPr="00286BFF">
        <w:t>idarucizumab</w:t>
      </w:r>
      <w:proofErr w:type="spellEnd"/>
      <w:r w:rsidR="009A7609">
        <w:t>.</w:t>
      </w:r>
    </w:p>
    <w:p w:rsidR="008E7846" w:rsidRDefault="00605AD4" w:rsidP="00605AD4">
      <w:pPr>
        <w:pStyle w:val="Heading4"/>
      </w:pPr>
      <w:r>
        <w:t>Evaluator’s conclusions on efficacy</w:t>
      </w:r>
    </w:p>
    <w:p w:rsidR="0066759F" w:rsidRDefault="00286BFF" w:rsidP="00286BFF">
      <w:r w:rsidRPr="00286BFF">
        <w:t>Efficacy of idarucizum</w:t>
      </w:r>
      <w:r w:rsidR="0066759F">
        <w:t>ab for the proposed indication:</w:t>
      </w:r>
    </w:p>
    <w:p w:rsidR="00286BFF" w:rsidRPr="0066759F" w:rsidRDefault="00E230A3" w:rsidP="0066759F">
      <w:pPr>
        <w:ind w:left="720"/>
        <w:rPr>
          <w:i/>
        </w:rPr>
      </w:pPr>
      <w:r>
        <w:rPr>
          <w:i/>
        </w:rPr>
        <w:t>W</w:t>
      </w:r>
      <w:r w:rsidR="00286BFF" w:rsidRPr="0066759F">
        <w:rPr>
          <w:i/>
        </w:rPr>
        <w:t>hen rapid reversal of the anticoagulant effects of dabigatran is required:</w:t>
      </w:r>
    </w:p>
    <w:p w:rsidR="00286BFF" w:rsidRPr="0066759F" w:rsidRDefault="00286BFF" w:rsidP="0066759F">
      <w:pPr>
        <w:pStyle w:val="ListBullet3"/>
        <w:rPr>
          <w:i/>
        </w:rPr>
      </w:pPr>
      <w:r w:rsidRPr="0066759F">
        <w:rPr>
          <w:i/>
        </w:rPr>
        <w:t>for emergency surgery/urgent procedures;</w:t>
      </w:r>
    </w:p>
    <w:p w:rsidR="00286BFF" w:rsidRPr="0066759F" w:rsidRDefault="00286BFF" w:rsidP="0066759F">
      <w:pPr>
        <w:pStyle w:val="ListBullet3"/>
        <w:rPr>
          <w:i/>
        </w:rPr>
      </w:pPr>
      <w:r w:rsidRPr="0066759F">
        <w:rPr>
          <w:i/>
        </w:rPr>
        <w:t>in life-threatening or uncontrolled bleeding</w:t>
      </w:r>
    </w:p>
    <w:p w:rsidR="009A7609" w:rsidRDefault="00286BFF" w:rsidP="00286BFF">
      <w:proofErr w:type="gramStart"/>
      <w:r w:rsidRPr="00286BFF">
        <w:t>was</w:t>
      </w:r>
      <w:proofErr w:type="gramEnd"/>
      <w:r w:rsidRPr="00286BFF">
        <w:t xml:space="preserve"> assessed, based on the reversal of dabigatran</w:t>
      </w:r>
      <w:r w:rsidR="00BD51C6">
        <w:t xml:space="preserve"> </w:t>
      </w:r>
      <w:r w:rsidRPr="00286BFF">
        <w:t>induced anticoagulation as measured by biomarker tests and the level of unbound sum dabigatran</w:t>
      </w:r>
      <w:r w:rsidR="009A7609">
        <w:t>.</w:t>
      </w:r>
    </w:p>
    <w:p w:rsidR="00286BFF" w:rsidRPr="00286BFF" w:rsidRDefault="00286BFF" w:rsidP="00286BFF">
      <w:r w:rsidRPr="00286BFF">
        <w:t>The selection of the clinical dose for patients and the demonstration of dose-response are based on biomarker response to different doses of idarucizumab and the concomitant reduction of the unbound sum dabigatran. PK/PD modelling was used to further substantiate dosing considerations. Clinical outcome data were not used in the estimation of the dosing. The recommended dose for patients is 5 g idarucizumab.</w:t>
      </w:r>
    </w:p>
    <w:p w:rsidR="00286BFF" w:rsidRPr="00286BFF" w:rsidRDefault="00286BFF" w:rsidP="00286BFF">
      <w:pPr>
        <w:ind w:left="720"/>
        <w:rPr>
          <w:i/>
        </w:rPr>
      </w:pPr>
      <w:r w:rsidRPr="00286BFF">
        <w:rPr>
          <w:i/>
        </w:rPr>
        <w:t xml:space="preserve">Comments: Overall, the combined analysis of the three Phase 1 studies supports the proposed total dose of 5 g. It provides evidence that idarucizumab administered at doses of 2.5 g or higher achieves complete reversal in 100% of subjects within about 5 to 6 min after start of infusion. The effect was durable with a median </w:t>
      </w:r>
      <w:r w:rsidR="00A52299">
        <w:rPr>
          <w:i/>
        </w:rPr>
        <w:t>duration of reversal of 72 h</w:t>
      </w:r>
      <w:r w:rsidRPr="00286BFF">
        <w:rPr>
          <w:i/>
        </w:rPr>
        <w:t>. The reversal of anticoagulant effect based on biomarkers was substantiated by pharmacokinetic observations of low plasma levels of unbound sum dabigatran. The assay of unbound sum dabigatran provides an important, independent verification of reversal in addition to the coagulation assays. For example, the sub-therapeutic dose of 1g idarucizumab, after initial complete reversal, shows a rise in unbound sum dabigatran in parallel with a partial return of anticoagulant effect</w:t>
      </w:r>
    </w:p>
    <w:p w:rsidR="00286BFF" w:rsidRPr="00286BFF" w:rsidRDefault="00286BFF" w:rsidP="00286BFF">
      <w:r w:rsidRPr="00286BFF">
        <w:t xml:space="preserve">In the ongoing Phase </w:t>
      </w:r>
      <w:r w:rsidR="00A353CF">
        <w:t>III</w:t>
      </w:r>
      <w:r w:rsidRPr="00286BFF">
        <w:t xml:space="preserve"> </w:t>
      </w:r>
      <w:r w:rsidR="00A52299">
        <w:t>S</w:t>
      </w:r>
      <w:r w:rsidRPr="00286BFF">
        <w:t xml:space="preserve">tudy 1321.3 (RE-VERSE AD), clinical data were available for 123 patients and central laboratory data for assessment of efficacy were available for 90 patients: 51 patients in Group A (bleeding) and 49 patients in Group B (surgery). Efficacy assessment in this study is based primarily on changes in clotting tests after administration of idarucizumab. Each patient served as his own control so an extent of reversibility could be calculated. Verification that changes in clotting tests reflected the </w:t>
      </w:r>
      <w:r w:rsidRPr="00286BFF">
        <w:lastRenderedPageBreak/>
        <w:t>binding and inactivation of dabigatran was accomplished by simultaneous HPLC/MS measurement of unbound sum dabigatran in the same samples. Clinical outcomes such as time to cessation of bleeding, level of haemostasis during surgery, thrombotic events and deaths were also recorded.</w:t>
      </w:r>
    </w:p>
    <w:p w:rsidR="009A7609" w:rsidRDefault="00286BFF" w:rsidP="00286BFF">
      <w:r w:rsidRPr="00286BFF">
        <w:t>In a patient population treated with dabigatran who may need emergency surgery or treatment for uncontrolled bleeding, idarucizumab achieved a median maximum reversal of the anticoagulant effect of dab</w:t>
      </w:r>
      <w:r w:rsidR="0066759F">
        <w:t>igatran within the first 4 h</w:t>
      </w:r>
      <w:r w:rsidRPr="00286BFF">
        <w:t xml:space="preserve"> of 100%. Complete reversal of the clotting tests was achieved within minutes and the reversal was sustained in approximately </w:t>
      </w:r>
      <w:r w:rsidR="0066759F">
        <w:t>80% of the patients for 24 h</w:t>
      </w:r>
      <w:r w:rsidRPr="00286BFF">
        <w:t>. This was confirmed by the fact that unbound dabigatran decreased to below the lower limit of quantitation in parallel with the reduction in clotting. Even in the subset of patients where clotting tests were above the ULN at 12 or 24 h, the reductions in anticoagulant effect were still substantial. These findings confirm that 5 g of idarucizumab represents an overwhelming dose which is sufficient to reverse the anticoagulant effect of dabigatran in almost all patients. This reversal of elevated anti</w:t>
      </w:r>
      <w:r w:rsidR="004A1F43">
        <w:t xml:space="preserve">coagulation tests in dabigatran </w:t>
      </w:r>
      <w:r w:rsidRPr="00286BFF">
        <w:t>treated patients is a surrogate for clinical efficacy</w:t>
      </w:r>
      <w:r w:rsidR="009A7609">
        <w:t>.</w:t>
      </w:r>
    </w:p>
    <w:p w:rsidR="009A7609" w:rsidRDefault="00286BFF" w:rsidP="00286BFF">
      <w:r w:rsidRPr="00286BFF">
        <w:t xml:space="preserve">A clinical benefit of this reversal depends on the individual patient situation. In this interim analysis, it was difficult to objectively determine the efficacy in stopping bleeding because the bleeds were frequently not visible and difficult to </w:t>
      </w:r>
      <w:r w:rsidR="004A1F43">
        <w:t xml:space="preserve">assess, for example, </w:t>
      </w:r>
      <w:r w:rsidRPr="00286BFF">
        <w:t>in the case of ICH, some gastrointestinal bleeds or retroperitoneal bleeds. Cessation was subjective and based upon whatever the investigator could visualise or measure.  Despite these limitations, bleeding did stop in 44 of 48 evaluable patie</w:t>
      </w:r>
      <w:r w:rsidR="004A1F43">
        <w:t>nts within 72 h</w:t>
      </w:r>
      <w:r w:rsidRPr="00286BFF">
        <w:t xml:space="preserve"> and the median time to ces</w:t>
      </w:r>
      <w:r w:rsidR="004A1F43">
        <w:t>sation of bleeding was 9.8 h</w:t>
      </w:r>
      <w:r w:rsidRPr="00286BFF">
        <w:t>. In the case of emergency surgery, 33 out of 36 evaluable patients had normal haemostasis during surgery. The very short time between treatment with idarucizumab and start of su</w:t>
      </w:r>
      <w:r w:rsidR="004A1F43">
        <w:t>rgery (median 1.7 h</w:t>
      </w:r>
      <w:r w:rsidRPr="00286BFF">
        <w:t>) also allowed rapid surgical/procedural intervention. However, in this single cohort study there is no control group so any conclusions based solely on clinical outcomes are limited at best</w:t>
      </w:r>
      <w:r w:rsidR="009A7609">
        <w:t>.</w:t>
      </w:r>
    </w:p>
    <w:p w:rsidR="008E7846" w:rsidRPr="002E238E" w:rsidRDefault="008E7846" w:rsidP="008E7846">
      <w:pPr>
        <w:pStyle w:val="Heading3"/>
      </w:pPr>
      <w:bookmarkStart w:id="99" w:name="_Toc163441378"/>
      <w:bookmarkStart w:id="100" w:name="_Toc196046495"/>
      <w:bookmarkStart w:id="101" w:name="_Toc247691522"/>
      <w:bookmarkStart w:id="102" w:name="_Toc314842505"/>
      <w:bookmarkStart w:id="103" w:name="_Toc466282944"/>
      <w:bookmarkEnd w:id="89"/>
      <w:bookmarkEnd w:id="90"/>
      <w:bookmarkEnd w:id="91"/>
      <w:bookmarkEnd w:id="92"/>
      <w:r w:rsidRPr="002E238E">
        <w:t>Safety</w:t>
      </w:r>
      <w:bookmarkEnd w:id="99"/>
      <w:bookmarkEnd w:id="100"/>
      <w:bookmarkEnd w:id="101"/>
      <w:bookmarkEnd w:id="102"/>
      <w:bookmarkEnd w:id="103"/>
    </w:p>
    <w:p w:rsidR="00605AD4" w:rsidRDefault="00605AD4" w:rsidP="00605AD4">
      <w:pPr>
        <w:pStyle w:val="Heading4"/>
      </w:pPr>
      <w:bookmarkStart w:id="104" w:name="_Toc247691524"/>
      <w:bookmarkStart w:id="105" w:name="_Toc314842508"/>
      <w:bookmarkStart w:id="106" w:name="_Toc196046504"/>
      <w:bookmarkStart w:id="107" w:name="_Toc163441390"/>
      <w:r w:rsidRPr="00605AD4">
        <w:t>Studies providing safety data</w:t>
      </w:r>
    </w:p>
    <w:p w:rsidR="00254756" w:rsidRPr="00254756" w:rsidRDefault="00254756" w:rsidP="00254756">
      <w:bookmarkStart w:id="108" w:name="_Ref268776745"/>
      <w:r w:rsidRPr="00254756">
        <w:t>The following studies provided evaluable safety data:</w:t>
      </w:r>
    </w:p>
    <w:p w:rsidR="00DB10AC" w:rsidRDefault="00254756" w:rsidP="00254756">
      <w:pPr>
        <w:rPr>
          <w:rStyle w:val="Heading5Char"/>
          <w:rFonts w:eastAsia="Cambria"/>
        </w:rPr>
      </w:pPr>
      <w:r w:rsidRPr="00254756">
        <w:rPr>
          <w:rStyle w:val="Heading5Char"/>
          <w:rFonts w:eastAsia="Cambria"/>
        </w:rPr>
        <w:t>Pivotal efficacy studies</w:t>
      </w:r>
      <w:bookmarkEnd w:id="108"/>
    </w:p>
    <w:p w:rsidR="00254756" w:rsidRPr="00254756" w:rsidRDefault="00DB10AC" w:rsidP="00254756">
      <w:r>
        <w:t xml:space="preserve">Study </w:t>
      </w:r>
      <w:r w:rsidR="00254756" w:rsidRPr="00254756">
        <w:t xml:space="preserve">1321.3 was the only Phase </w:t>
      </w:r>
      <w:r>
        <w:t>III</w:t>
      </w:r>
      <w:r w:rsidR="00254756" w:rsidRPr="00254756">
        <w:t xml:space="preserve"> study conducted in the target patient population.</w:t>
      </w:r>
    </w:p>
    <w:p w:rsidR="00254756" w:rsidRPr="00254756" w:rsidRDefault="00254756" w:rsidP="00254756">
      <w:r w:rsidRPr="00254756">
        <w:t>The following safety data w</w:t>
      </w:r>
      <w:r w:rsidR="005B5E7D">
        <w:t xml:space="preserve">as collected in the Phase </w:t>
      </w:r>
      <w:r w:rsidR="005926EE">
        <w:t>III</w:t>
      </w:r>
      <w:r w:rsidRPr="00254756">
        <w:t xml:space="preserve"> study:</w:t>
      </w:r>
    </w:p>
    <w:p w:rsidR="00254756" w:rsidRPr="00254756" w:rsidRDefault="00254756" w:rsidP="00254756">
      <w:pPr>
        <w:pStyle w:val="ListBullet"/>
      </w:pPr>
      <w:r w:rsidRPr="00254756">
        <w:t>General adverse events (AEs): All AEs occurring before infusion of the first vial idarucizumab were assigned to the screening period. All AEs recorded after the first vial of idarucizumab and until 5 days after the last dose of idarucizumab were assigned to the treatment period. All AEs occurring thereafter until the cut-off date were assigned to the post-treatment period. In addition, AEs with an onset date before start of the trial treatment but with worsening in intensity during the treatment were also assigned to the treatment period. Treatment-emergent AEs are presented for the treatment period (including a washout period of 5 days after last administration of study medication) and the post-treatment period (starting 6 days after last administration of study medication).</w:t>
      </w:r>
    </w:p>
    <w:p w:rsidR="009A7609" w:rsidRDefault="00254756" w:rsidP="00254756">
      <w:r w:rsidRPr="00254756">
        <w:t>Worsening of the underlying disease or of other pre-existing conditions was recorded as an (S</w:t>
      </w:r>
      <w:proofErr w:type="gramStart"/>
      <w:r w:rsidRPr="00254756">
        <w:t>)AE</w:t>
      </w:r>
      <w:proofErr w:type="gramEnd"/>
      <w:r w:rsidRPr="00254756">
        <w:t xml:space="preserve"> in trial 1321.3. Worsening of vital signs, ECG, physical examination and laboratory test results was recorded as an (S</w:t>
      </w:r>
      <w:proofErr w:type="gramStart"/>
      <w:r w:rsidRPr="00254756">
        <w:t>)AE</w:t>
      </w:r>
      <w:proofErr w:type="gramEnd"/>
      <w:r w:rsidRPr="00254756">
        <w:t xml:space="preserve">, if they were judged clinically relevant by the investigator.  Hepatic injury was defined as pre-specified significant AE. For patients </w:t>
      </w:r>
      <w:r w:rsidRPr="00254756">
        <w:lastRenderedPageBreak/>
        <w:t>with normal liver function at baseline, this was defined as an elevation of AST and/or LT ≥3x ULN combined with an elevation of total bilirubin ≥2x ULN measured in the same blood sample. For patients with impaired liver function tests at baseline, hepatic injury was defined as follows: An elevation of AST and/or ALT &gt;3x ULN combined with an elevation of total bilirubin &gt;2x ULN measured in the same blood sample if transaminases were within normal range; doubling of transaminases combined with an elevation of total bilirubin &gt;2x ULN measured in the same blood sample if transaminases were &gt;2x ULN at baseline</w:t>
      </w:r>
      <w:r w:rsidR="009A7609">
        <w:t>.</w:t>
      </w:r>
    </w:p>
    <w:p w:rsidR="00B42CFB" w:rsidRDefault="00254756" w:rsidP="00254756">
      <w:pPr>
        <w:rPr>
          <w:rStyle w:val="Heading5Char"/>
          <w:rFonts w:eastAsia="Cambria"/>
        </w:rPr>
      </w:pPr>
      <w:r w:rsidRPr="00B42CFB">
        <w:rPr>
          <w:rStyle w:val="Heading5Char"/>
          <w:rFonts w:eastAsia="Cambria"/>
        </w:rPr>
        <w:t>Pivotal studies that assessed safety as a primary outcome</w:t>
      </w:r>
    </w:p>
    <w:p w:rsidR="00254756" w:rsidRPr="00B42CFB" w:rsidRDefault="00254756" w:rsidP="00B42CFB">
      <w:proofErr w:type="gramStart"/>
      <w:r w:rsidRPr="00B42CFB">
        <w:t>None.</w:t>
      </w:r>
      <w:proofErr w:type="gramEnd"/>
    </w:p>
    <w:p w:rsidR="00B42CFB" w:rsidRDefault="00254756" w:rsidP="00254756">
      <w:pPr>
        <w:rPr>
          <w:rStyle w:val="Heading5Char"/>
          <w:rFonts w:eastAsia="Cambria"/>
        </w:rPr>
      </w:pPr>
      <w:r w:rsidRPr="00B42CFB">
        <w:rPr>
          <w:rStyle w:val="Heading5Char"/>
          <w:rFonts w:eastAsia="Cambria"/>
        </w:rPr>
        <w:t>Dose-response and non-pivotal efficacy studies</w:t>
      </w:r>
    </w:p>
    <w:p w:rsidR="00254756" w:rsidRPr="00B42CFB" w:rsidRDefault="00254756" w:rsidP="00B42CFB">
      <w:r w:rsidRPr="00B42CFB">
        <w:t>Sa</w:t>
      </w:r>
      <w:r w:rsidR="00C82447">
        <w:t>fety data from the three Phase I</w:t>
      </w:r>
      <w:r w:rsidRPr="00B42CFB">
        <w:t xml:space="preserve"> studies (1321.1, 1321.2 and 1321.5) was pooled and additional information on the individual studies was provided when appropriate. Safety pa</w:t>
      </w:r>
      <w:r w:rsidR="00B6721A">
        <w:t>rameters assessed in the Phase I</w:t>
      </w:r>
      <w:r w:rsidRPr="00B42CFB">
        <w:t xml:space="preserve"> studies included:</w:t>
      </w:r>
    </w:p>
    <w:p w:rsidR="00254756" w:rsidRPr="00B42CFB" w:rsidRDefault="00254756" w:rsidP="00B42CFB">
      <w:pPr>
        <w:pStyle w:val="ListBullet"/>
      </w:pPr>
      <w:r w:rsidRPr="00B42CFB">
        <w:t>All AEs with an onset any time following the first dose of study drug were assigned to the preceding treatment received. In the pooled analyses of the 3 Phase I trials, all AEs occurring up to 5 days after the last application of trial medication were assigned to the treatment period. All AEs occurring thereafter were assigned to the post</w:t>
      </w:r>
      <w:r w:rsidR="00F374CC">
        <w:t xml:space="preserve"> </w:t>
      </w:r>
      <w:r w:rsidRPr="00B42CFB">
        <w:t>treatment period for the pooled analysis of the 3 Phase I studies. Drug</w:t>
      </w:r>
      <w:r w:rsidR="00F374CC">
        <w:t xml:space="preserve"> </w:t>
      </w:r>
      <w:r w:rsidRPr="00B42CFB">
        <w:t>related AEs, deaths/ SAEs, discontinuations due to AE and certain pre-specified AEs. The number of subjects with pre</w:t>
      </w:r>
      <w:r w:rsidR="00B42CFB">
        <w:t>-</w:t>
      </w:r>
      <w:r w:rsidRPr="00B42CFB">
        <w:t>specified AEs was summarised descriptively for treated subjects based on the individual definitions on trial level.</w:t>
      </w:r>
    </w:p>
    <w:p w:rsidR="00254756" w:rsidRPr="00B42CFB" w:rsidRDefault="00254756" w:rsidP="00B42CFB">
      <w:r w:rsidRPr="00B42CFB">
        <w:t>In trial 1321.1, the following AEs were defined as pre</w:t>
      </w:r>
      <w:r w:rsidR="00B42CFB">
        <w:t xml:space="preserve">-specified significant AEs: </w:t>
      </w:r>
      <w:r w:rsidRPr="00B42CFB">
        <w:t>Drop in SpO2 &lt;90%, Inc</w:t>
      </w:r>
      <w:r w:rsidR="00B42CFB">
        <w:t>rease in body temperature &gt;38°C;</w:t>
      </w:r>
      <w:r w:rsidRPr="00B42CFB">
        <w:t xml:space="preserve"> Drop of systolic blood pressure &lt;90 mmHg, Increase in resting heart rate &gt;100 bpm</w:t>
      </w:r>
      <w:r w:rsidR="00B42CFB">
        <w:t xml:space="preserve">; </w:t>
      </w:r>
      <w:proofErr w:type="gramStart"/>
      <w:r w:rsidR="00B42CFB">
        <w:t>A</w:t>
      </w:r>
      <w:r w:rsidRPr="00B42CFB">
        <w:t>ny</w:t>
      </w:r>
      <w:proofErr w:type="gramEnd"/>
      <w:r w:rsidRPr="00B42CFB">
        <w:t xml:space="preserve"> symptoms of respiratory distress.</w:t>
      </w:r>
    </w:p>
    <w:p w:rsidR="009A7609" w:rsidRDefault="00254756" w:rsidP="00B42CFB">
      <w:r w:rsidRPr="00B42CFB">
        <w:t>The crossover trial 1321.2 categorised the following AEs as pre</w:t>
      </w:r>
      <w:r w:rsidR="00B42CFB">
        <w:t>-</w:t>
      </w:r>
      <w:r w:rsidRPr="00B42CFB">
        <w:t>specified significant AEs: Hepatic injury with an elevation of AST and/or ALT ≥3x ULN combined with an elevation of total bilirubin ≥2x ULN measured in the same blood sample; Increase in body temperature &gt;38°C; Drop of systolic blood pressure &lt;90 mmHg; Increase in heart rate &gt;100 bpm; Any symptoms of respiratory distress</w:t>
      </w:r>
      <w:r w:rsidR="009A7609">
        <w:t>.</w:t>
      </w:r>
    </w:p>
    <w:p w:rsidR="00254756" w:rsidRPr="00B42CFB" w:rsidRDefault="00254756" w:rsidP="00B42CFB">
      <w:r w:rsidRPr="00B42CFB">
        <w:t>In the Japanese trial 1321.5, hepatic injury was defined as pre</w:t>
      </w:r>
      <w:r w:rsidR="00B42CFB">
        <w:t>-</w:t>
      </w:r>
      <w:r w:rsidRPr="00B42CFB">
        <w:t>specified significant AE for subjects with normal liver function at baseline if they had during the trial an elevation of AST and/or ALT ≥3x ULN combined with an elevation of total bilirubin ≥2x ULN measured in the same blood sample.</w:t>
      </w:r>
    </w:p>
    <w:p w:rsidR="00605AD4" w:rsidRDefault="00605AD4" w:rsidP="00605AD4">
      <w:pPr>
        <w:pStyle w:val="Heading4"/>
      </w:pPr>
      <w:r w:rsidRPr="00605AD4">
        <w:t>Patient exposure</w:t>
      </w:r>
    </w:p>
    <w:p w:rsidR="009A7609" w:rsidRDefault="00A907EE" w:rsidP="00A907EE">
      <w:r w:rsidRPr="00A907EE">
        <w:t>In the ongoing Phase</w:t>
      </w:r>
      <w:r w:rsidR="00F374CC">
        <w:t xml:space="preserve"> III S</w:t>
      </w:r>
      <w:r w:rsidRPr="00A907EE">
        <w:t>tudy 1321.3, all of the 123 patients in the interim analysis (dated June 2015) received the pre-specified 5 g dose of idarucizumab. There were 66 patients in Group A (bleeding) and 57 patients in Group B (surgery). The total planned observation time of this study is 3 months. Of 123 patients in this interim analysis, 32 (26%) are still in follow-up at the time of data cut</w:t>
      </w:r>
      <w:r w:rsidR="00173735">
        <w:t>-</w:t>
      </w:r>
      <w:r w:rsidRPr="00A907EE">
        <w:t>off with a minimum of 1 month observation. Sixty-two (50.4%) of the remaining 91 patients completed 3 months observation or did not (</w:t>
      </w:r>
      <w:r w:rsidR="00173735">
        <w:t>n</w:t>
      </w:r>
      <w:r w:rsidR="005E3B15">
        <w:t xml:space="preserve"> </w:t>
      </w:r>
      <w:r w:rsidRPr="00A907EE">
        <w:t>=</w:t>
      </w:r>
      <w:r w:rsidR="005E3B15">
        <w:t xml:space="preserve"> </w:t>
      </w:r>
      <w:r w:rsidRPr="00A907EE">
        <w:t>29, 23.6%); 29 (23.6%) patients did not complete the 3 months duration due to AEs (</w:t>
      </w:r>
      <w:r w:rsidR="00173735">
        <w:t>n</w:t>
      </w:r>
      <w:r w:rsidR="005E3B15">
        <w:t xml:space="preserve"> </w:t>
      </w:r>
      <w:r w:rsidRPr="00A907EE">
        <w:t>=</w:t>
      </w:r>
      <w:r w:rsidR="005E3B15">
        <w:t xml:space="preserve"> </w:t>
      </w:r>
      <w:r w:rsidRPr="00A907EE">
        <w:t>24, 19.5%), lack of compliance with the protocol (</w:t>
      </w:r>
      <w:r w:rsidR="00173735">
        <w:t>n</w:t>
      </w:r>
      <w:r w:rsidR="005E3B15">
        <w:t xml:space="preserve"> </w:t>
      </w:r>
      <w:r w:rsidRPr="00A907EE">
        <w:t>=</w:t>
      </w:r>
      <w:r w:rsidR="005E3B15">
        <w:t xml:space="preserve"> </w:t>
      </w:r>
      <w:r w:rsidRPr="00A907EE">
        <w:t>1, 0.8%), withdrawal of consent (</w:t>
      </w:r>
      <w:r w:rsidR="00173735">
        <w:t>n</w:t>
      </w:r>
      <w:r w:rsidR="005E3B15">
        <w:t xml:space="preserve"> </w:t>
      </w:r>
      <w:r w:rsidRPr="00A907EE">
        <w:t>=</w:t>
      </w:r>
      <w:r w:rsidR="005E3B15">
        <w:t xml:space="preserve"> </w:t>
      </w:r>
      <w:r w:rsidRPr="00A907EE">
        <w:t>1, 0.8%), or other reasons (</w:t>
      </w:r>
      <w:r w:rsidR="00173735">
        <w:t>n</w:t>
      </w:r>
      <w:r w:rsidR="005E3B15">
        <w:t xml:space="preserve"> </w:t>
      </w:r>
      <w:r w:rsidRPr="00A907EE">
        <w:t>=</w:t>
      </w:r>
      <w:r w:rsidR="005E3B15">
        <w:t xml:space="preserve"> </w:t>
      </w:r>
      <w:r w:rsidRPr="00A907EE">
        <w:t>3, 2.4%)</w:t>
      </w:r>
      <w:r w:rsidR="009A7609">
        <w:t>.</w:t>
      </w:r>
    </w:p>
    <w:p w:rsidR="00A907EE" w:rsidRPr="00A907EE" w:rsidRDefault="00A907EE" w:rsidP="00A907EE">
      <w:r w:rsidRPr="00A907EE">
        <w:t>The median time between the last dose of dabigatran etexilate and the start of the first vi</w:t>
      </w:r>
      <w:r w:rsidR="00173735">
        <w:t>al of idarucizumab was 15.6 h</w:t>
      </w:r>
      <w:r w:rsidRPr="00A907EE">
        <w:t>, with a wide r</w:t>
      </w:r>
      <w:r w:rsidR="00173735">
        <w:t>ange from 1.5 to almost 94 h</w:t>
      </w:r>
      <w:r w:rsidRPr="00A907EE">
        <w:t>. Approximately 1/3 of patients took th</w:t>
      </w:r>
      <w:r w:rsidR="00173735">
        <w:t>eir last dose less than 12 h</w:t>
      </w:r>
      <w:r w:rsidRPr="00A907EE">
        <w:t xml:space="preserve"> prior to treatment with idarucizumab, with 37% having the l</w:t>
      </w:r>
      <w:r w:rsidR="00173735">
        <w:t>ast dose between 12 and 24 h and 26% between 24 and 48 h</w:t>
      </w:r>
      <w:r w:rsidR="00951A5C">
        <w:t xml:space="preserve">. The IV </w:t>
      </w:r>
      <w:r w:rsidRPr="00A907EE">
        <w:lastRenderedPageBreak/>
        <w:t>administration of idarucizumab was accomplished either as a spiked vial followed by gravity drip (41.5%) or infusion pump (5.7%), or via a syringe (52.8%). The spiking technique was more frequent in Group A while the syringe was more frequent in Group B. The median time for administration was 5 minutes per vial (range 1-16 minutes), with a median total elapsed time between start of the first vial of idarucizumab until the end of the second vial of 19 minutes (range 5-52 minutes). In addition to the 123 patients in this analysis, there were 2 patients after the cut</w:t>
      </w:r>
      <w:r w:rsidR="00173735">
        <w:t>-</w:t>
      </w:r>
      <w:r w:rsidRPr="00A907EE">
        <w:t>off date who received a s</w:t>
      </w:r>
      <w:r w:rsidR="00813F52">
        <w:t>econd 5 g dose within 24 h</w:t>
      </w:r>
      <w:r w:rsidR="00592D6E">
        <w:t>.</w:t>
      </w:r>
    </w:p>
    <w:p w:rsidR="00A907EE" w:rsidRPr="00A907EE" w:rsidRDefault="00A907EE" w:rsidP="00A907EE">
      <w:r w:rsidRPr="00A907EE">
        <w:t>There were 283 treated subjects in the 3 Phase I studies. Trials 1321.1 and 1321.2 were conducted in Belgium at the same clinical site while the single</w:t>
      </w:r>
      <w:r w:rsidR="00951A5C">
        <w:t xml:space="preserve"> </w:t>
      </w:r>
      <w:r w:rsidRPr="00A907EE">
        <w:t xml:space="preserve">centre study 1321.5 was performed in Japan. Of these 283 treated subjects, 224 subjects were treated with idarucizumab and 105 subjects received placebo (regardless of </w:t>
      </w:r>
      <w:r w:rsidR="00592D6E">
        <w:t xml:space="preserve">dabigatran </w:t>
      </w:r>
      <w:proofErr w:type="spellStart"/>
      <w:r w:rsidR="00592D6E">
        <w:t>etexilate</w:t>
      </w:r>
      <w:proofErr w:type="spellEnd"/>
      <w:r w:rsidRPr="00A907EE">
        <w:t xml:space="preserve"> </w:t>
      </w:r>
      <w:proofErr w:type="spellStart"/>
      <w:r w:rsidRPr="00A907EE">
        <w:t>pretreatment</w:t>
      </w:r>
      <w:proofErr w:type="spellEnd"/>
      <w:r w:rsidRPr="00A907EE">
        <w:t>). Study 1321.1 contributed half of the subjects (52.7%) to the treatment group ‘Ida/</w:t>
      </w:r>
      <w:proofErr w:type="spellStart"/>
      <w:r w:rsidRPr="00A907EE">
        <w:t>DE+Ida</w:t>
      </w:r>
      <w:proofErr w:type="spellEnd"/>
      <w:r w:rsidRPr="00A907EE">
        <w:t xml:space="preserve">’ while similar proportions of subjects from </w:t>
      </w:r>
      <w:r w:rsidR="00951A5C">
        <w:t>S</w:t>
      </w:r>
      <w:r w:rsidRPr="00A907EE">
        <w:t>tudies 1321.2 and 1321.5 were treated with Ida/</w:t>
      </w:r>
      <w:proofErr w:type="spellStart"/>
      <w:r w:rsidRPr="00A907EE">
        <w:t>DE+Ida</w:t>
      </w:r>
      <w:proofErr w:type="spellEnd"/>
      <w:r w:rsidRPr="00A907EE">
        <w:t>. Overall, 141 of 283 treated subjects received pre</w:t>
      </w:r>
      <w:r w:rsidR="00951A5C">
        <w:t>-</w:t>
      </w:r>
      <w:r w:rsidRPr="00A907EE">
        <w:t xml:space="preserve">treatment with DE, with a contribution of similar proportions of subjects across studies (each approximately one third). All 46 treated subjects in the crossover trial 1321.2 were </w:t>
      </w:r>
      <w:proofErr w:type="spellStart"/>
      <w:r w:rsidRPr="00A907EE">
        <w:t>pretreated</w:t>
      </w:r>
      <w:proofErr w:type="spellEnd"/>
      <w:r w:rsidRPr="00A907EE">
        <w:t xml:space="preserve"> with DE before infusion of idarucizumab or placebo whereas about 30% (1321.1) and 60% (1321.5) of the subjects in the respective study received </w:t>
      </w:r>
      <w:proofErr w:type="spellStart"/>
      <w:r w:rsidRPr="00A907EE">
        <w:t>pretreatment</w:t>
      </w:r>
      <w:proofErr w:type="spellEnd"/>
      <w:r w:rsidRPr="00A907EE">
        <w:t xml:space="preserve"> with DE. In the combined Phase I studies, a similar number of subjects were either treated only with idarucizumab (107 subjects) or with </w:t>
      </w:r>
      <w:proofErr w:type="spellStart"/>
      <w:r w:rsidRPr="00A907EE">
        <w:t>DE+Ida</w:t>
      </w:r>
      <w:proofErr w:type="spellEnd"/>
      <w:r w:rsidRPr="00A907EE">
        <w:t xml:space="preserve"> (117 subjects). In the pooled Phase I trials, the most frequently applied dose of </w:t>
      </w:r>
      <w:proofErr w:type="spellStart"/>
      <w:r w:rsidRPr="00A907EE">
        <w:t>idarucizumab</w:t>
      </w:r>
      <w:proofErr w:type="spellEnd"/>
      <w:r w:rsidRPr="00A907EE">
        <w:t xml:space="preserve"> (Ida/</w:t>
      </w:r>
      <w:proofErr w:type="spellStart"/>
      <w:r w:rsidRPr="00A907EE">
        <w:t>DE+Ida</w:t>
      </w:r>
      <w:proofErr w:type="spellEnd"/>
      <w:r w:rsidRPr="00A907EE">
        <w:t>) was in the range of ≥1 g to &lt;2.5 g for 41.1% of all subjects, followed by ≥2.5g to &lt;5 g idarucizumab for 21.0% of subjects. Similar proportions of subjects received 5 g idarucizumab (15.6%) or higher doses of &gt;5 g to 8 g idarucizumab (12.1%), based on all subjects receiving idarucizumab w</w:t>
      </w:r>
      <w:r w:rsidR="00C706B0">
        <w:t xml:space="preserve">ith or without DE </w:t>
      </w:r>
      <w:proofErr w:type="spellStart"/>
      <w:r w:rsidR="00C706B0">
        <w:t>pretreatment</w:t>
      </w:r>
      <w:proofErr w:type="spellEnd"/>
      <w:r w:rsidRPr="00A907EE">
        <w:t>. Among idarucizumab</w:t>
      </w:r>
      <w:r w:rsidR="00951A5C">
        <w:t xml:space="preserve"> </w:t>
      </w:r>
      <w:r w:rsidRPr="00A907EE">
        <w:t>treated subjects who were pre</w:t>
      </w:r>
      <w:r w:rsidR="00951A5C">
        <w:t>-</w:t>
      </w:r>
      <w:r w:rsidRPr="00A907EE">
        <w:t>treated with DE (</w:t>
      </w:r>
      <w:proofErr w:type="spellStart"/>
      <w:r w:rsidRPr="00A907EE">
        <w:t>DE+Ida</w:t>
      </w:r>
      <w:proofErr w:type="spellEnd"/>
      <w:r w:rsidRPr="00A907EE">
        <w:t xml:space="preserve">), the most frequently applied dose of </w:t>
      </w:r>
      <w:proofErr w:type="spellStart"/>
      <w:r w:rsidRPr="00A907EE">
        <w:t>idarucizumab</w:t>
      </w:r>
      <w:proofErr w:type="spellEnd"/>
      <w:r w:rsidRPr="00A907EE">
        <w:t xml:space="preserve"> (</w:t>
      </w:r>
      <w:proofErr w:type="spellStart"/>
      <w:r w:rsidRPr="00A907EE">
        <w:t>DE+Ida</w:t>
      </w:r>
      <w:proofErr w:type="spellEnd"/>
      <w:r w:rsidRPr="00A907EE">
        <w:t xml:space="preserve">) was still in the range of ≥1 g to &lt;2.5 g (42.7%) while the proportions of subjects who received 5 g </w:t>
      </w:r>
      <w:proofErr w:type="spellStart"/>
      <w:r w:rsidRPr="00A907EE">
        <w:t>DE+Ida</w:t>
      </w:r>
      <w:proofErr w:type="spellEnd"/>
      <w:r w:rsidRPr="00A907EE">
        <w:t xml:space="preserve"> were higher (29.9%) than for the dose range ≥2.5g to &lt;5 g </w:t>
      </w:r>
      <w:proofErr w:type="spellStart"/>
      <w:r w:rsidRPr="00A907EE">
        <w:t>DE+Ida</w:t>
      </w:r>
      <w:proofErr w:type="spellEnd"/>
      <w:r w:rsidRPr="00A907EE">
        <w:t xml:space="preserve"> (19.7%).</w:t>
      </w:r>
    </w:p>
    <w:p w:rsidR="009A7609" w:rsidRDefault="00A907EE" w:rsidP="00A907EE">
      <w:r w:rsidRPr="00A907EE">
        <w:t>The vast majority of subjects received idarucizumab as single dose infusion (</w:t>
      </w:r>
      <w:proofErr w:type="spellStart"/>
      <w:r w:rsidRPr="00A907EE">
        <w:t>DE+Ida</w:t>
      </w:r>
      <w:proofErr w:type="spellEnd"/>
      <w:r w:rsidRPr="00A907EE">
        <w:t>: 79.5%, Ida/</w:t>
      </w:r>
      <w:proofErr w:type="spellStart"/>
      <w:r w:rsidRPr="00A907EE">
        <w:t>DE</w:t>
      </w:r>
      <w:r>
        <w:t>+Ida</w:t>
      </w:r>
      <w:proofErr w:type="spellEnd"/>
      <w:r>
        <w:t xml:space="preserve">: 89.3%). </w:t>
      </w:r>
      <w:r w:rsidRPr="00A907EE">
        <w:t>Overall, 9 subjects (</w:t>
      </w:r>
      <w:proofErr w:type="spellStart"/>
      <w:r w:rsidRPr="00A907EE">
        <w:t>DE+Ida</w:t>
      </w:r>
      <w:proofErr w:type="spellEnd"/>
      <w:r w:rsidRPr="00A907EE">
        <w:t>: 7.7%, Ida/</w:t>
      </w:r>
      <w:proofErr w:type="spellStart"/>
      <w:r w:rsidRPr="00A907EE">
        <w:t>DE+Ida</w:t>
      </w:r>
      <w:proofErr w:type="spellEnd"/>
      <w:r w:rsidRPr="00A907EE">
        <w:t>: 4.0%) were treated with 2 single infusions of idarucizumab given 15 min apart and 9 subjects (</w:t>
      </w:r>
      <w:proofErr w:type="spellStart"/>
      <w:r w:rsidRPr="00A907EE">
        <w:t>DE+Ida</w:t>
      </w:r>
      <w:proofErr w:type="spellEnd"/>
      <w:r w:rsidRPr="00A907EE">
        <w:t>: 7.7%, Ida/</w:t>
      </w:r>
      <w:proofErr w:type="spellStart"/>
      <w:r w:rsidRPr="00A907EE">
        <w:t>DE+Ida</w:t>
      </w:r>
      <w:proofErr w:type="spellEnd"/>
      <w:r w:rsidRPr="00A907EE">
        <w:t>: 4.0%) received 2 single infusion of idarucizumab given 60 min apart. Re-exposure to idarucizumab (2 months after the first dose) occurred in 6 subjects (</w:t>
      </w:r>
      <w:proofErr w:type="spellStart"/>
      <w:r w:rsidRPr="00A907EE">
        <w:t>DE+Ida</w:t>
      </w:r>
      <w:proofErr w:type="spellEnd"/>
      <w:r w:rsidRPr="00A907EE">
        <w:t>: 5.1%, Id</w:t>
      </w:r>
      <w:r w:rsidR="00C706B0">
        <w:t>a/</w:t>
      </w:r>
      <w:proofErr w:type="spellStart"/>
      <w:r w:rsidR="00C706B0">
        <w:t>DE+Ida</w:t>
      </w:r>
      <w:proofErr w:type="spellEnd"/>
      <w:r w:rsidR="00C706B0">
        <w:t>: 2.7%) in trial 1321.2</w:t>
      </w:r>
      <w:r w:rsidR="009A7609">
        <w:t>.</w:t>
      </w:r>
    </w:p>
    <w:p w:rsidR="00605AD4" w:rsidRDefault="00605AD4" w:rsidP="00605AD4">
      <w:pPr>
        <w:pStyle w:val="Heading4"/>
      </w:pPr>
      <w:r w:rsidRPr="00605AD4">
        <w:t>Safety issues with the potential for major regulatory impact</w:t>
      </w:r>
    </w:p>
    <w:p w:rsidR="00A907EE" w:rsidRPr="002D7669" w:rsidRDefault="00A907EE" w:rsidP="00A907EE">
      <w:pPr>
        <w:pStyle w:val="Heading5"/>
      </w:pPr>
      <w:bookmarkStart w:id="109" w:name="_Toc272414681"/>
      <w:bookmarkStart w:id="110" w:name="_Toc290846319"/>
      <w:bookmarkStart w:id="111" w:name="_Toc442359369"/>
      <w:r w:rsidRPr="002D7669">
        <w:t>Liver toxicity</w:t>
      </w:r>
      <w:bookmarkEnd w:id="109"/>
      <w:bookmarkEnd w:id="110"/>
      <w:bookmarkEnd w:id="111"/>
    </w:p>
    <w:p w:rsidR="009A7609" w:rsidRDefault="00A907EE" w:rsidP="00A907EE">
      <w:proofErr w:type="gramStart"/>
      <w:r w:rsidRPr="00A907EE">
        <w:t>None</w:t>
      </w:r>
      <w:r w:rsidR="009A7609">
        <w:t>.</w:t>
      </w:r>
      <w:proofErr w:type="gramEnd"/>
    </w:p>
    <w:p w:rsidR="00A907EE" w:rsidRPr="002D7669" w:rsidRDefault="00A907EE" w:rsidP="00A907EE">
      <w:pPr>
        <w:pStyle w:val="Heading5"/>
      </w:pPr>
      <w:bookmarkStart w:id="112" w:name="_Toc272414682"/>
      <w:bookmarkStart w:id="113" w:name="_Toc290846320"/>
      <w:bookmarkStart w:id="114" w:name="_Toc442359370"/>
      <w:r w:rsidRPr="002D7669">
        <w:t>Haematological toxicity</w:t>
      </w:r>
      <w:bookmarkEnd w:id="112"/>
      <w:bookmarkEnd w:id="113"/>
      <w:bookmarkEnd w:id="114"/>
    </w:p>
    <w:p w:rsidR="009A7609" w:rsidRDefault="00A907EE" w:rsidP="00A907EE">
      <w:proofErr w:type="gramStart"/>
      <w:r w:rsidRPr="00A907EE">
        <w:t>None</w:t>
      </w:r>
      <w:r w:rsidR="009A7609">
        <w:t>.</w:t>
      </w:r>
      <w:proofErr w:type="gramEnd"/>
    </w:p>
    <w:p w:rsidR="00A907EE" w:rsidRDefault="00A907EE" w:rsidP="00A907EE">
      <w:pPr>
        <w:pStyle w:val="Heading5"/>
      </w:pPr>
      <w:bookmarkStart w:id="115" w:name="_Toc272414683"/>
      <w:bookmarkStart w:id="116" w:name="_Toc290846321"/>
      <w:bookmarkStart w:id="117" w:name="_Toc442359371"/>
      <w:r w:rsidRPr="002D7669">
        <w:t>Serious skin reactions</w:t>
      </w:r>
      <w:bookmarkEnd w:id="115"/>
      <w:bookmarkEnd w:id="116"/>
      <w:bookmarkEnd w:id="117"/>
    </w:p>
    <w:p w:rsidR="00A907EE" w:rsidRPr="00A907EE" w:rsidRDefault="00A907EE" w:rsidP="00A907EE">
      <w:r w:rsidRPr="00A907EE">
        <w:t>No serious skin reactions were reported in the clinical studies.</w:t>
      </w:r>
    </w:p>
    <w:p w:rsidR="00A907EE" w:rsidRPr="002D7669" w:rsidRDefault="00A907EE" w:rsidP="00A907EE">
      <w:pPr>
        <w:pStyle w:val="Heading5"/>
      </w:pPr>
      <w:bookmarkStart w:id="118" w:name="_Toc272414684"/>
      <w:bookmarkStart w:id="119" w:name="_Toc290846322"/>
      <w:bookmarkStart w:id="120" w:name="_Toc442359372"/>
      <w:r w:rsidRPr="002D7669">
        <w:t>Cardiovascular safety</w:t>
      </w:r>
      <w:bookmarkEnd w:id="118"/>
      <w:bookmarkEnd w:id="119"/>
      <w:bookmarkEnd w:id="120"/>
    </w:p>
    <w:p w:rsidR="009A7609" w:rsidRDefault="00A907EE" w:rsidP="00A907EE">
      <w:proofErr w:type="gramStart"/>
      <w:r w:rsidRPr="00A907EE">
        <w:t>None</w:t>
      </w:r>
      <w:r w:rsidR="009A7609">
        <w:t>.</w:t>
      </w:r>
      <w:proofErr w:type="gramEnd"/>
    </w:p>
    <w:p w:rsidR="00A907EE" w:rsidRPr="002D7669" w:rsidRDefault="00A907EE" w:rsidP="00A907EE">
      <w:pPr>
        <w:pStyle w:val="Heading5"/>
      </w:pPr>
      <w:bookmarkStart w:id="121" w:name="_Toc241374323"/>
      <w:bookmarkStart w:id="122" w:name="_Toc272414685"/>
      <w:bookmarkStart w:id="123" w:name="_Toc290846323"/>
      <w:bookmarkStart w:id="124" w:name="_Toc442359373"/>
      <w:r w:rsidRPr="002D7669">
        <w:lastRenderedPageBreak/>
        <w:t>Unwanted immunological events</w:t>
      </w:r>
      <w:bookmarkEnd w:id="121"/>
      <w:bookmarkEnd w:id="122"/>
      <w:bookmarkEnd w:id="123"/>
      <w:bookmarkEnd w:id="124"/>
    </w:p>
    <w:p w:rsidR="00A907EE" w:rsidRPr="00A907EE" w:rsidRDefault="00A907EE" w:rsidP="00A907EE">
      <w:r w:rsidRPr="00A907EE">
        <w:t>Overall, 18 of 224 subjects (8.0%) treated with idarucizumab in the Phase I stud</w:t>
      </w:r>
      <w:r w:rsidR="00E62082">
        <w:t xml:space="preserve">ies had treatment emergent anti </w:t>
      </w:r>
      <w:r w:rsidRPr="00A907EE">
        <w:t xml:space="preserve">idarucizumab antibody responses. Responses </w:t>
      </w:r>
      <w:r w:rsidR="00E62082">
        <w:t>were characterised as weak (that is,</w:t>
      </w:r>
      <w:r w:rsidRPr="00A907EE">
        <w:t xml:space="preserve"> low titre, maximum titre</w:t>
      </w:r>
      <w:r w:rsidR="00E62082">
        <w:t xml:space="preserve"> </w:t>
      </w:r>
      <w:r w:rsidRPr="00A907EE">
        <w:t>=</w:t>
      </w:r>
      <w:r w:rsidR="00E62082">
        <w:t xml:space="preserve"> </w:t>
      </w:r>
      <w:r w:rsidRPr="00A907EE">
        <w:t>40) and mostly non-blocking, with an even distribution between transient and possibly persistent responses suggesting that idarucizumab may have a low immunogenic potential.</w:t>
      </w:r>
    </w:p>
    <w:p w:rsidR="00A907EE" w:rsidRPr="00A907EE" w:rsidRDefault="00A907EE" w:rsidP="00A907EE">
      <w:r w:rsidRPr="00A907EE">
        <w:t>In studies 1321.1, 1321.2, and 1321.5, pre-existing antibodies with cross-reactivity to idarucizumab were seen in 6.5% to 17.5% of subjects (overall 36/283, 13%). These were generally shown to be non-specific antibodies, with low titres, binding to the C-terminus of the molecule.</w:t>
      </w:r>
    </w:p>
    <w:p w:rsidR="009A7609" w:rsidRDefault="00A907EE" w:rsidP="00A907EE">
      <w:r w:rsidRPr="00A907EE">
        <w:t>The presence of pre-existing anti</w:t>
      </w:r>
      <w:r w:rsidR="004012E0">
        <w:t xml:space="preserve"> </w:t>
      </w:r>
      <w:r w:rsidRPr="00A907EE">
        <w:t>idarucizumab antibodies did no</w:t>
      </w:r>
      <w:r w:rsidR="00E62082">
        <w:t xml:space="preserve">t impact reversal of dabigatran </w:t>
      </w:r>
      <w:r w:rsidRPr="00A907EE">
        <w:t xml:space="preserve">induced prolongation of clotting time for the parameters </w:t>
      </w:r>
      <w:proofErr w:type="spellStart"/>
      <w:r w:rsidRPr="00A907EE">
        <w:t>dTT</w:t>
      </w:r>
      <w:proofErr w:type="spellEnd"/>
      <w:r w:rsidRPr="00A907EE">
        <w:t xml:space="preserve"> and ECT</w:t>
      </w:r>
      <w:r w:rsidR="009A7609">
        <w:t>.</w:t>
      </w:r>
    </w:p>
    <w:p w:rsidR="00A907EE" w:rsidRPr="00A907EE" w:rsidRDefault="00A907EE" w:rsidP="00A907EE">
      <w:r w:rsidRPr="00A907EE">
        <w:t>To assess the potential impact of the anti</w:t>
      </w:r>
      <w:r w:rsidR="00E62082">
        <w:t xml:space="preserve"> </w:t>
      </w:r>
      <w:r w:rsidRPr="00A907EE">
        <w:t>idarucizumab antibody responses on the efficacy of idarucizumab in a subject who might require another course of idarucizumab treatment, a rough estimation of the amount of anti</w:t>
      </w:r>
      <w:r w:rsidR="00E62082">
        <w:t xml:space="preserve"> </w:t>
      </w:r>
      <w:r w:rsidRPr="00A907EE">
        <w:t xml:space="preserve">idarucizumab antibody in circulation and this was compared with the dose of idarucizumab that would be administered. For a titre of 40 (corresponding </w:t>
      </w:r>
      <w:proofErr w:type="gramStart"/>
      <w:r w:rsidRPr="00A907EE">
        <w:t xml:space="preserve">to roughly 3.3 </w:t>
      </w:r>
      <w:proofErr w:type="spellStart"/>
      <w:r w:rsidRPr="00A907EE">
        <w:t>μg</w:t>
      </w:r>
      <w:proofErr w:type="spellEnd"/>
      <w:r w:rsidRPr="00A907EE">
        <w:t xml:space="preserve">/ml </w:t>
      </w:r>
      <w:proofErr w:type="spellStart"/>
      <w:r w:rsidR="004012E0">
        <w:t xml:space="preserve">anti </w:t>
      </w:r>
      <w:r w:rsidR="004012E0" w:rsidRPr="00A907EE">
        <w:t>drug</w:t>
      </w:r>
      <w:proofErr w:type="spellEnd"/>
      <w:r w:rsidR="004012E0" w:rsidRPr="00A907EE">
        <w:t xml:space="preserve"> antibodies</w:t>
      </w:r>
      <w:r w:rsidR="004012E0">
        <w:t xml:space="preserve"> [ADA]</w:t>
      </w:r>
      <w:proofErr w:type="gramEnd"/>
      <w:r w:rsidRPr="00A907EE">
        <w:t>) and 3000 mL plasma volume of a 70 kg person, the amount of anti</w:t>
      </w:r>
      <w:r w:rsidR="004012E0">
        <w:t xml:space="preserve"> </w:t>
      </w:r>
      <w:r w:rsidRPr="00A907EE">
        <w:t xml:space="preserve">idarucizumab antibody in circulation calculates to be roughly 10 mg. For the proposed 5 g therapeutic dose of idarucizumab (resulting in peaks of ~20,000 </w:t>
      </w:r>
      <w:proofErr w:type="spellStart"/>
      <w:r w:rsidRPr="00A907EE">
        <w:t>nmol</w:t>
      </w:r>
      <w:proofErr w:type="spellEnd"/>
      <w:r w:rsidRPr="00A907EE">
        <w:t>/L), it is clear that the dose is overwhelming in comparison to the estimated maximum concentration of treatment</w:t>
      </w:r>
      <w:r w:rsidR="004012E0">
        <w:t xml:space="preserve"> </w:t>
      </w:r>
      <w:r w:rsidRPr="00A907EE">
        <w:t>emergent anti</w:t>
      </w:r>
      <w:r w:rsidR="004012E0">
        <w:t xml:space="preserve"> </w:t>
      </w:r>
      <w:r w:rsidRPr="00A907EE">
        <w:t>idarucizumab antibodies observed to date. Therefore, it is concluded that the impact of anti</w:t>
      </w:r>
      <w:r w:rsidR="004012E0">
        <w:t xml:space="preserve"> </w:t>
      </w:r>
      <w:r w:rsidRPr="00A907EE">
        <w:t>idarucizumab antibody responses on the efficacy of idarucizumab should be minimal in subjects who may require additional courses of treatment.</w:t>
      </w:r>
    </w:p>
    <w:p w:rsidR="00A907EE" w:rsidRPr="00A907EE" w:rsidRDefault="00A907EE" w:rsidP="00A907EE">
      <w:r w:rsidRPr="00A907EE">
        <w:t>In all 3 Phase I studies, antibody formation against idarucizumab and dabigatran was analysed throughout the study including a 3</w:t>
      </w:r>
      <w:r w:rsidR="004012E0">
        <w:t xml:space="preserve"> </w:t>
      </w:r>
      <w:r w:rsidRPr="00A907EE">
        <w:t>month follow-up period. An antibody response was defined as treatment</w:t>
      </w:r>
      <w:r w:rsidR="004012E0">
        <w:t xml:space="preserve"> </w:t>
      </w:r>
      <w:r w:rsidRPr="00A907EE">
        <w:t>emergent in 2 cases. Either the subject showed n</w:t>
      </w:r>
      <w:r w:rsidR="004012E0">
        <w:t>o positive titre at baseline or</w:t>
      </w:r>
      <w:r w:rsidRPr="00A907EE">
        <w:t xml:space="preserve"> a positive titre at post</w:t>
      </w:r>
      <w:r w:rsidR="004012E0">
        <w:t xml:space="preserve"> </w:t>
      </w:r>
      <w:r w:rsidRPr="00A907EE">
        <w:t>treatment visits. Alternatively, the subject had a positive titre at baseline and the titre increased at post</w:t>
      </w:r>
      <w:r w:rsidR="004012E0">
        <w:t xml:space="preserve"> </w:t>
      </w:r>
      <w:r w:rsidRPr="00A907EE">
        <w:t>treatment visits relative to the titres determined at earlier time points. No apparent correlation of antibody development to frequency of AEs was observed in any of the 3 Phase I studies.</w:t>
      </w:r>
    </w:p>
    <w:p w:rsidR="009A7609" w:rsidRDefault="00A907EE" w:rsidP="00A907EE">
      <w:r w:rsidRPr="00A907EE">
        <w:t xml:space="preserve">In the Phase </w:t>
      </w:r>
      <w:r w:rsidR="004012E0">
        <w:t>III S</w:t>
      </w:r>
      <w:r w:rsidRPr="00A907EE">
        <w:t>tudy 1321.3, data for ADA</w:t>
      </w:r>
      <w:r w:rsidR="004012E0">
        <w:t>s</w:t>
      </w:r>
      <w:r w:rsidRPr="00A907EE">
        <w:t xml:space="preserve"> against idarucizumab are available for 47 patients with a pre-dose sample and at least one post</w:t>
      </w:r>
      <w:r w:rsidR="004012E0">
        <w:t xml:space="preserve"> </w:t>
      </w:r>
      <w:r w:rsidRPr="00A907EE">
        <w:t>dose sample. There were 2 patients with baseline, non-specific ADAs, both of whom had persisting ADAs at 30 days but the binding is not at the variable site. One more pat</w:t>
      </w:r>
      <w:r w:rsidR="004012E0">
        <w:t xml:space="preserve">ient </w:t>
      </w:r>
      <w:r w:rsidRPr="00A907EE">
        <w:t>had a treatment</w:t>
      </w:r>
      <w:r w:rsidR="004012E0">
        <w:t xml:space="preserve"> </w:t>
      </w:r>
      <w:r w:rsidRPr="00A907EE">
        <w:t>emergent ADA at 30 days, possibly of mixed specificity. These data are very limited but indicate a low level of immunogenicity for idarucizumab, consistent with the levels of immunogenicity identified in the healthy volunteer population from Phase I</w:t>
      </w:r>
      <w:r w:rsidR="009A7609">
        <w:t>.</w:t>
      </w:r>
    </w:p>
    <w:p w:rsidR="00605AD4" w:rsidRDefault="00605AD4" w:rsidP="00605AD4">
      <w:pPr>
        <w:pStyle w:val="Heading4"/>
      </w:pPr>
      <w:r w:rsidRPr="00605AD4">
        <w:t>Post</w:t>
      </w:r>
      <w:r w:rsidR="00E63418">
        <w:t xml:space="preserve"> </w:t>
      </w:r>
      <w:r w:rsidRPr="00605AD4">
        <w:t>marketing data</w:t>
      </w:r>
    </w:p>
    <w:p w:rsidR="00A907EE" w:rsidRPr="00A907EE" w:rsidRDefault="00A907EE" w:rsidP="00A907EE">
      <w:r w:rsidRPr="00A907EE">
        <w:t>Post marketing data are not available for idarucizumab as idarucizumab is not yet marketed.</w:t>
      </w:r>
    </w:p>
    <w:p w:rsidR="00605AD4" w:rsidRPr="00605AD4" w:rsidRDefault="00605AD4" w:rsidP="00605AD4">
      <w:pPr>
        <w:pStyle w:val="Heading4"/>
      </w:pPr>
      <w:r w:rsidRPr="00605AD4">
        <w:t>Evaluator’s conclusions on safety</w:t>
      </w:r>
    </w:p>
    <w:p w:rsidR="00A907EE" w:rsidRPr="00A907EE" w:rsidRDefault="00A907EE" w:rsidP="00A907EE">
      <w:r w:rsidRPr="00A907EE">
        <w:t xml:space="preserve">In the three Phase </w:t>
      </w:r>
      <w:r w:rsidR="004012E0">
        <w:t>I</w:t>
      </w:r>
      <w:r w:rsidRPr="00A907EE">
        <w:t xml:space="preserve"> studies in volunteers, 283 subjects were studied, </w:t>
      </w:r>
      <w:r w:rsidR="006B3465">
        <w:t>with 224 receiving</w:t>
      </w:r>
      <w:r w:rsidRPr="00A907EE">
        <w:t xml:space="preserve"> at least one dose of idarucizumab. Dosing ranged between 20 mg and 8 g. Most of the doses were at least 1 g, with only 23 subjects receiving less than 1 g. Sixty-two subjects received doses of 5 g or more, with 35 subjects receiving the target clinical dose of 5 g. There were no SAEs in idarucizumab</w:t>
      </w:r>
      <w:r w:rsidR="006B3465">
        <w:t xml:space="preserve"> </w:t>
      </w:r>
      <w:r w:rsidRPr="00A907EE">
        <w:t>treated subjects, no discontinuations due to AEs, no severe AEs, and, importantly, no dose</w:t>
      </w:r>
      <w:r w:rsidR="006B3465">
        <w:t xml:space="preserve"> </w:t>
      </w:r>
      <w:r w:rsidRPr="00A907EE">
        <w:t xml:space="preserve">related AEs or drug reactions. There were no AEs associated </w:t>
      </w:r>
      <w:r w:rsidRPr="00A907EE">
        <w:lastRenderedPageBreak/>
        <w:t>with idarucizumab more than with placebo or other comparison groups such as treatment with DE alone. The most common events in subjects treated with idarucizumab were headache (5.4%), skin irritation (2.7%), dizziness (2.2%) and back pain (1.8%). The AE profile in volunteers did not suggest any worsening renal function. Overall, 18 of 224 subjects (8.0%) treated with idarucizumab in the Phase I studies had treatment</w:t>
      </w:r>
      <w:r w:rsidR="006B3465">
        <w:t xml:space="preserve"> </w:t>
      </w:r>
      <w:r w:rsidRPr="00A907EE">
        <w:t>emergent anti-idarucizumab antibody responses. Responses w</w:t>
      </w:r>
      <w:r w:rsidR="006B3465">
        <w:t xml:space="preserve">ere characterised as weak (that is, </w:t>
      </w:r>
      <w:r w:rsidRPr="00A907EE">
        <w:t>low titre, maximum titre</w:t>
      </w:r>
      <w:r w:rsidR="006B3465">
        <w:t xml:space="preserve"> </w:t>
      </w:r>
      <w:r w:rsidRPr="00A907EE">
        <w:t>=</w:t>
      </w:r>
      <w:r w:rsidR="006B3465">
        <w:t xml:space="preserve"> </w:t>
      </w:r>
      <w:r w:rsidRPr="00A907EE">
        <w:t xml:space="preserve">40) and mostly </w:t>
      </w:r>
      <w:proofErr w:type="spellStart"/>
      <w:proofErr w:type="gramStart"/>
      <w:r w:rsidRPr="00A907EE">
        <w:t>non</w:t>
      </w:r>
      <w:proofErr w:type="gramEnd"/>
      <w:r w:rsidR="00433FBE">
        <w:t xml:space="preserve"> </w:t>
      </w:r>
      <w:r w:rsidRPr="00A907EE">
        <w:t>blocking</w:t>
      </w:r>
      <w:proofErr w:type="spellEnd"/>
      <w:r w:rsidRPr="00A907EE">
        <w:t>, with an even distribution between transient and possibly persistent responses suggesting that idarucizumab may have a low immunogenic potential.</w:t>
      </w:r>
    </w:p>
    <w:p w:rsidR="009A7609" w:rsidRDefault="00A907EE" w:rsidP="00A907EE">
      <w:r w:rsidRPr="00A907EE">
        <w:t>Interim analysis from the ongoing idarucizumab Study 1321.3 (RE-VERSE AD), provided safety data for 123 patients There were 26 deaths in the study, 13 each in bleeding and surgical patients, reflecting the life</w:t>
      </w:r>
      <w:r w:rsidR="00433FBE">
        <w:t xml:space="preserve"> </w:t>
      </w:r>
      <w:r w:rsidRPr="00A907EE">
        <w:t xml:space="preserve">threatening nature of the events that qualified them for treatment.. There were 5 patients with thrombotic events during the study but only one of these occurred within 72 h of treatment and none of the patients were on antithrombotic therapy at the time of the event. One of these patients had an ischemic stroke 24 days after treatment and died 2 days later. The other </w:t>
      </w:r>
      <w:r w:rsidR="006B3465">
        <w:t>SAEs</w:t>
      </w:r>
      <w:r w:rsidRPr="00A907EE">
        <w:t xml:space="preserve"> in the study did not appear to be related to treatment</w:t>
      </w:r>
      <w:r w:rsidR="009A7609">
        <w:t>.</w:t>
      </w:r>
    </w:p>
    <w:p w:rsidR="009A7609" w:rsidRDefault="00A907EE" w:rsidP="00A907EE">
      <w:r w:rsidRPr="00A907EE">
        <w:t>The low immunogenicity of idarucizumab observed in Phase I subjects was confirmed in this interim analysis, although the subset w</w:t>
      </w:r>
      <w:r w:rsidR="00433FBE">
        <w:t>as small (data on ADAs</w:t>
      </w:r>
      <w:r w:rsidRPr="00A907EE">
        <w:t xml:space="preserve"> to idarucizumab was only available for 47 patients). There were no clear signals of any hypersensitivity reaction</w:t>
      </w:r>
      <w:r w:rsidR="009A7609">
        <w:t>.</w:t>
      </w:r>
    </w:p>
    <w:p w:rsidR="009A7609" w:rsidRDefault="00A907EE" w:rsidP="00A907EE">
      <w:r w:rsidRPr="00A907EE">
        <w:t>O</w:t>
      </w:r>
      <w:r w:rsidR="00433FBE">
        <w:t xml:space="preserve">verall, the safety in this open </w:t>
      </w:r>
      <w:r w:rsidRPr="00A907EE">
        <w:t>label patient cohort was good especially considering the severity of target patien</w:t>
      </w:r>
      <w:r w:rsidR="00433FBE">
        <w:t>t population: (severe bleeding/</w:t>
      </w:r>
      <w:r w:rsidRPr="00A907EE">
        <w:t>need for surgery/ invasive procedure). However, interpretation was limited by lack of comparator group</w:t>
      </w:r>
      <w:r w:rsidR="009A7609">
        <w:t>.</w:t>
      </w:r>
    </w:p>
    <w:p w:rsidR="00605AD4" w:rsidRPr="00605AD4" w:rsidRDefault="00605AD4" w:rsidP="00605AD4">
      <w:pPr>
        <w:pStyle w:val="Heading3"/>
        <w:rPr>
          <w:rFonts w:eastAsia="Cambria"/>
        </w:rPr>
      </w:pPr>
      <w:bookmarkStart w:id="125" w:name="_Toc466282945"/>
      <w:r w:rsidRPr="00605AD4">
        <w:rPr>
          <w:rFonts w:eastAsia="Cambria"/>
        </w:rPr>
        <w:t xml:space="preserve">First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125"/>
    </w:p>
    <w:p w:rsidR="00605AD4" w:rsidRDefault="00605AD4" w:rsidP="00605AD4">
      <w:pPr>
        <w:pStyle w:val="Heading4"/>
      </w:pPr>
      <w:r w:rsidRPr="00605AD4">
        <w:t>First round assessment of benefits</w:t>
      </w:r>
    </w:p>
    <w:p w:rsidR="00A907EE" w:rsidRPr="00A907EE" w:rsidRDefault="00A907EE" w:rsidP="00A907EE">
      <w:r w:rsidRPr="00A907EE">
        <w:t>The benefits of P</w:t>
      </w:r>
      <w:r w:rsidR="00433FBE">
        <w:t xml:space="preserve">raxbind </w:t>
      </w:r>
      <w:r w:rsidRPr="00A907EE">
        <w:t>in the proposed usage are:</w:t>
      </w:r>
    </w:p>
    <w:p w:rsidR="00A907EE" w:rsidRPr="00A907EE" w:rsidRDefault="00A907EE" w:rsidP="00A907EE">
      <w:pPr>
        <w:pStyle w:val="ListBullet"/>
      </w:pPr>
      <w:r w:rsidRPr="00A907EE">
        <w:t>Idarucizumab is a humanised monoclonal Fab that binds to dabigatran with very high affinity, approximately 300</w:t>
      </w:r>
      <w:r w:rsidR="009337C1">
        <w:t xml:space="preserve"> </w:t>
      </w:r>
      <w:r w:rsidRPr="00A907EE">
        <w:t>fold more potent than the binding affinity of dabigatran for thrombin. The idarucizumab dabigatran complex is characterised by a rapid on-rate and extremely slow off-rate resulting in a very stable complex.</w:t>
      </w:r>
    </w:p>
    <w:p w:rsidR="009A7609" w:rsidRDefault="00A907EE" w:rsidP="00A907EE">
      <w:pPr>
        <w:pStyle w:val="ListBullet"/>
      </w:pPr>
      <w:r w:rsidRPr="00A907EE">
        <w:t>Complete and s</w:t>
      </w:r>
      <w:r w:rsidR="009337C1">
        <w:t xml:space="preserve">ustained reversal of dabigatran </w:t>
      </w:r>
      <w:r w:rsidRPr="00A907EE">
        <w:t>induced clotting time prolongation was observed immediately after the idarucizumab infusion, lasting over the entire observa</w:t>
      </w:r>
      <w:r w:rsidR="009337C1">
        <w:t>tion period of at least 24 h</w:t>
      </w:r>
      <w:r w:rsidR="009A7609">
        <w:t>.</w:t>
      </w:r>
    </w:p>
    <w:p w:rsidR="009A7609" w:rsidRDefault="00A907EE" w:rsidP="00A907EE">
      <w:pPr>
        <w:pStyle w:val="ListBullet"/>
      </w:pPr>
      <w:proofErr w:type="spellStart"/>
      <w:r w:rsidRPr="00A907EE">
        <w:t>Idarucizumab</w:t>
      </w:r>
      <w:proofErr w:type="spellEnd"/>
      <w:r w:rsidRPr="00A907EE">
        <w:t xml:space="preserve"> is specific reversal agent for only dabigatran and does not reverse effects of other anticoagulants</w:t>
      </w:r>
      <w:r w:rsidR="009A7609">
        <w:t>.</w:t>
      </w:r>
    </w:p>
    <w:p w:rsidR="00A907EE" w:rsidRPr="00A907EE" w:rsidRDefault="00A907EE" w:rsidP="00A907EE">
      <w:pPr>
        <w:pStyle w:val="ListBullet"/>
      </w:pPr>
      <w:proofErr w:type="spellStart"/>
      <w:r w:rsidRPr="00A907EE">
        <w:t>Idarucizumab</w:t>
      </w:r>
      <w:proofErr w:type="spellEnd"/>
      <w:r w:rsidRPr="00A907EE">
        <w:t xml:space="preserve"> has no </w:t>
      </w:r>
      <w:proofErr w:type="spellStart"/>
      <w:r w:rsidRPr="00A907EE">
        <w:t>prothrombotic</w:t>
      </w:r>
      <w:proofErr w:type="spellEnd"/>
      <w:r w:rsidRPr="00A907EE">
        <w:t xml:space="preserve"> effect.</w:t>
      </w:r>
    </w:p>
    <w:p w:rsidR="009A7609" w:rsidRDefault="00A907EE" w:rsidP="00A907EE">
      <w:pPr>
        <w:pStyle w:val="ListBullet"/>
      </w:pPr>
      <w:r w:rsidRPr="00A907EE">
        <w:t>The reversal of the anticoagulant effects of dabigatran by idarucizumab has been demonstra</w:t>
      </w:r>
      <w:r w:rsidR="009337C1">
        <w:t>ted in 283 healthy volunteers (in 3 Phase I</w:t>
      </w:r>
      <w:r w:rsidRPr="00A907EE">
        <w:t xml:space="preserve"> studies). Supportive evidence was provided by interim</w:t>
      </w:r>
      <w:r w:rsidR="009337C1">
        <w:t xml:space="preserve"> results from an ongoing Phase III</w:t>
      </w:r>
      <w:r w:rsidRPr="00A907EE">
        <w:t>, open</w:t>
      </w:r>
      <w:r w:rsidR="009337C1">
        <w:t xml:space="preserve"> </w:t>
      </w:r>
      <w:r w:rsidRPr="00A907EE">
        <w:t>label, uncontrolled, case cohort study in 123 patients, with uncontrolled or life</w:t>
      </w:r>
      <w:r w:rsidR="009337C1">
        <w:t xml:space="preserve"> </w:t>
      </w:r>
      <w:r w:rsidRPr="00A907EE">
        <w:t>threatening bleeding or those requiring emergency surgery/procedures when rapid reversal is required</w:t>
      </w:r>
      <w:r w:rsidR="009A7609">
        <w:t>.</w:t>
      </w:r>
    </w:p>
    <w:p w:rsidR="00A907EE" w:rsidRPr="00A907EE" w:rsidRDefault="00A907EE" w:rsidP="00A907EE">
      <w:pPr>
        <w:pStyle w:val="ListBullet"/>
      </w:pPr>
      <w:r w:rsidRPr="00A907EE">
        <w:t>No major safety concerns in a target population of elderly patients with a high frequency of co-morbidities who present at the</w:t>
      </w:r>
      <w:r w:rsidR="009337C1">
        <w:t xml:space="preserve"> hospital with a severe or life </w:t>
      </w:r>
      <w:r w:rsidRPr="00A907EE">
        <w:t>threatening bleed or a need for emergency surgery/intervention.</w:t>
      </w:r>
    </w:p>
    <w:p w:rsidR="00605AD4" w:rsidRDefault="00605AD4" w:rsidP="00605AD4">
      <w:pPr>
        <w:pStyle w:val="Heading4"/>
      </w:pPr>
      <w:r w:rsidRPr="00605AD4">
        <w:lastRenderedPageBreak/>
        <w:t>First round assessment of risks</w:t>
      </w:r>
    </w:p>
    <w:p w:rsidR="00A907EE" w:rsidRPr="00A907EE" w:rsidRDefault="00A907EE" w:rsidP="00A907EE">
      <w:r w:rsidRPr="00A907EE">
        <w:t>The risks of P</w:t>
      </w:r>
      <w:r w:rsidR="009337C1">
        <w:t>raxbind</w:t>
      </w:r>
      <w:r w:rsidRPr="00A907EE">
        <w:t xml:space="preserve"> in the proposed usage are:</w:t>
      </w:r>
    </w:p>
    <w:p w:rsidR="00A907EE" w:rsidRPr="00A907EE" w:rsidRDefault="00A907EE" w:rsidP="00A907EE">
      <w:pPr>
        <w:pStyle w:val="ListBullet"/>
      </w:pPr>
      <w:r w:rsidRPr="00A907EE">
        <w:t>Risk of thromboembolic events</w:t>
      </w:r>
    </w:p>
    <w:p w:rsidR="00A907EE" w:rsidRPr="00A907EE" w:rsidRDefault="00A907EE" w:rsidP="00A907EE">
      <w:pPr>
        <w:pStyle w:val="ListBullet"/>
      </w:pPr>
      <w:r w:rsidRPr="00A907EE">
        <w:t>Hypersensitivity</w:t>
      </w:r>
    </w:p>
    <w:p w:rsidR="00A907EE" w:rsidRPr="00A907EE" w:rsidRDefault="00A907EE" w:rsidP="00A907EE">
      <w:pPr>
        <w:pStyle w:val="ListBullet"/>
      </w:pPr>
      <w:r w:rsidRPr="00A907EE">
        <w:t>Immunogenicity</w:t>
      </w:r>
    </w:p>
    <w:p w:rsidR="00A907EE" w:rsidRPr="00A907EE" w:rsidRDefault="00A907EE" w:rsidP="00A907EE">
      <w:pPr>
        <w:pStyle w:val="ListBullet"/>
      </w:pPr>
      <w:r w:rsidRPr="00A907EE">
        <w:t>Lack of data on clinical outcomes although it is accepted that it would be difficult to conduct controlled clinical trials in this target population.</w:t>
      </w:r>
    </w:p>
    <w:p w:rsidR="00605AD4" w:rsidRPr="00605AD4" w:rsidRDefault="00605AD4" w:rsidP="00605AD4">
      <w:pPr>
        <w:pStyle w:val="Heading4"/>
      </w:pPr>
      <w:r w:rsidRPr="00605AD4">
        <w:t>First round assessment of benefit-risk balance</w:t>
      </w:r>
    </w:p>
    <w:p w:rsidR="009A7609" w:rsidRDefault="00A907EE" w:rsidP="00A907EE">
      <w:r w:rsidRPr="00A907EE">
        <w:t xml:space="preserve">A small fraction of patients who are treated with DE and who have co-morbidities may require emergency surgery or other invasive procedures related to those co-morbidities, </w:t>
      </w:r>
      <w:r w:rsidR="009337C1">
        <w:t xml:space="preserve">for example, </w:t>
      </w:r>
      <w:r w:rsidRPr="00A907EE">
        <w:t>cardiac catheteri</w:t>
      </w:r>
      <w:r w:rsidR="009337C1">
        <w:t>s</w:t>
      </w:r>
      <w:r w:rsidRPr="00A907EE">
        <w:t>ation for a patient with acute coronary syndrome, surgery for a patient with acute appendicitis or major trauma without overt bleeding on presentation. Currently, there is no antidote available to reverse the anticoagulant effect of DE and the acute management of serious bleeding in patients on dabigatran etexilate, including life-threatening bleeds, is limited to supportive care, administration of blood or blood products and, in suitable patients, consideration of haemodialysis t</w:t>
      </w:r>
      <w:r w:rsidR="00862253">
        <w:t>o remove the drug</w:t>
      </w:r>
      <w:r w:rsidRPr="00A907EE">
        <w:t>.</w:t>
      </w:r>
      <w:r w:rsidR="00862253">
        <w:rPr>
          <w:rStyle w:val="FootnoteReference"/>
        </w:rPr>
        <w:footnoteReference w:id="11"/>
      </w:r>
      <w:r w:rsidRPr="00A907EE">
        <w:t xml:space="preserve"> Similarly, there are no other alternatives for the management of dabigatran</w:t>
      </w:r>
      <w:r w:rsidR="0098796D">
        <w:t xml:space="preserve"> </w:t>
      </w:r>
      <w:r w:rsidRPr="00A907EE">
        <w:t>associated peri-operative bleeds</w:t>
      </w:r>
      <w:r w:rsidR="009A7609">
        <w:t>.</w:t>
      </w:r>
    </w:p>
    <w:p w:rsidR="00A907EE" w:rsidRPr="00A907EE" w:rsidRDefault="00A907EE" w:rsidP="00A907EE">
      <w:proofErr w:type="spellStart"/>
      <w:r w:rsidRPr="00A907EE">
        <w:t>Idarucizumab</w:t>
      </w:r>
      <w:proofErr w:type="spellEnd"/>
      <w:r w:rsidRPr="00A907EE">
        <w:t xml:space="preserve"> directly, rapidly and specifically neutralises dabigatran’s anticoagulant effect due to its very high affinity for dabigatran (</w:t>
      </w:r>
      <w:proofErr w:type="spellStart"/>
      <w:proofErr w:type="gramStart"/>
      <w:r w:rsidRPr="00A907EE">
        <w:t>Kd</w:t>
      </w:r>
      <w:proofErr w:type="spellEnd"/>
      <w:proofErr w:type="gramEnd"/>
      <w:r w:rsidRPr="00A907EE">
        <w:t xml:space="preserve"> = 2.1pM). This affinity is approximately 300-fold higher than the affinity of dabigatran for thrombin (</w:t>
      </w:r>
      <w:proofErr w:type="spellStart"/>
      <w:proofErr w:type="gramStart"/>
      <w:r w:rsidRPr="00A907EE">
        <w:t>Kd</w:t>
      </w:r>
      <w:proofErr w:type="spellEnd"/>
      <w:proofErr w:type="gramEnd"/>
      <w:r w:rsidRPr="00A907EE">
        <w:t xml:space="preserve"> = 0.7 </w:t>
      </w:r>
      <w:proofErr w:type="spellStart"/>
      <w:r w:rsidRPr="00A907EE">
        <w:t>nM</w:t>
      </w:r>
      <w:proofErr w:type="spellEnd"/>
      <w:r w:rsidRPr="00A907EE">
        <w:t>). This high affinity for dabigatran means any unbound dabigatran will preferentially bind to idarucizumab. In dynamic equilibrium, any thrombin-bound dabigatran (or other plasma protein</w:t>
      </w:r>
      <w:r w:rsidR="0098796D">
        <w:t xml:space="preserve"> </w:t>
      </w:r>
      <w:r w:rsidRPr="00A907EE">
        <w:t xml:space="preserve">bound dabigatran) will equilibrate with unbound dabigatran and rapidly thereafter be bound by any free idarucizumab. Idarucizumab itself has no known pharmacologic effect and preclinical data have shown that it does not bind to factors in the coagulation cascade or other </w:t>
      </w:r>
      <w:proofErr w:type="spellStart"/>
      <w:r w:rsidRPr="00A907EE">
        <w:t>antithrombotics</w:t>
      </w:r>
      <w:proofErr w:type="spellEnd"/>
      <w:r w:rsidRPr="00A907EE">
        <w:t>.</w:t>
      </w:r>
    </w:p>
    <w:p w:rsidR="00A907EE" w:rsidRPr="00A907EE" w:rsidRDefault="00A907EE" w:rsidP="00A907EE">
      <w:r w:rsidRPr="00A907EE">
        <w:t xml:space="preserve">The reversal of the anticoagulant effects of dabigatran by </w:t>
      </w:r>
      <w:proofErr w:type="gramStart"/>
      <w:r w:rsidRPr="00A907EE">
        <w:t>idarucizumab,</w:t>
      </w:r>
      <w:proofErr w:type="gramEnd"/>
      <w:r w:rsidRPr="00A907EE">
        <w:t xml:space="preserve"> was demonstrated in volunteers, and the effect of the antidote in patients with uncontrolled or life-threatening bleeding or those requiring emergency surgery/procedures when rapid reversal is required is being evaluated in an ongoing study (1321.3) with interim data in 123 patients available at time of submission of current dossier. This was established using several different coagulation tests and corroborated by simultaneously measuring the disappearance of unbound sum dabigatran. An immediate, complete and sustained effect was demonstrated in healthy volunteers, in the elderly, in the </w:t>
      </w:r>
      <w:proofErr w:type="spellStart"/>
      <w:r w:rsidRPr="00A907EE">
        <w:t>renally</w:t>
      </w:r>
      <w:proofErr w:type="spellEnd"/>
      <w:r w:rsidRPr="00A907EE">
        <w:t xml:space="preserve"> impaired and in patients with life</w:t>
      </w:r>
      <w:r w:rsidR="0098796D">
        <w:t xml:space="preserve"> </w:t>
      </w:r>
      <w:r w:rsidRPr="00A907EE">
        <w:t>threatening or urgent conditions that required immediate intervention. This reversal was also demonstrated to be dose</w:t>
      </w:r>
      <w:r w:rsidR="0098796D">
        <w:t xml:space="preserve"> </w:t>
      </w:r>
      <w:r w:rsidRPr="00A907EE">
        <w:t xml:space="preserve">dependent and dependent on the amount of dabigatran in the patient. A dose of 5 g of idarucizumab was calculated to be sufficient for full reversal of dabigatran anticoagulant effect in 99% of patients, based on dabigatran plasma concentrations observed in the RE-LY trial. A massive amount of dabigatran, as could occur in cases of </w:t>
      </w:r>
      <w:proofErr w:type="spellStart"/>
      <w:r w:rsidRPr="00A907EE">
        <w:t>Pradaxa</w:t>
      </w:r>
      <w:proofErr w:type="spellEnd"/>
      <w:r w:rsidRPr="00A907EE">
        <w:t xml:space="preserve"> </w:t>
      </w:r>
      <w:proofErr w:type="spellStart"/>
      <w:r w:rsidRPr="00A907EE">
        <w:t>overdosage</w:t>
      </w:r>
      <w:proofErr w:type="spellEnd"/>
      <w:r w:rsidRPr="00A907EE">
        <w:t>, may also be reversed by the proposed clinical dose of 5 g. However, plasma concentrations in excess of e.g.800 ng/mL may result in partial reversal. The complete dose of 5 g is administered intravenously, as two consecutive infusions over 5 to 10 minutes each or as a bolus injection. Local coagula</w:t>
      </w:r>
      <w:r w:rsidR="0098796D">
        <w:t xml:space="preserve">tion </w:t>
      </w:r>
      <w:r w:rsidR="0098796D">
        <w:lastRenderedPageBreak/>
        <w:t xml:space="preserve">tests, for example, </w:t>
      </w:r>
      <w:proofErr w:type="spellStart"/>
      <w:r w:rsidR="0098796D">
        <w:t>aPTT</w:t>
      </w:r>
      <w:proofErr w:type="spellEnd"/>
      <w:r w:rsidR="0098796D">
        <w:t xml:space="preserve">, </w:t>
      </w:r>
      <w:proofErr w:type="spellStart"/>
      <w:r w:rsidR="0098796D">
        <w:t>dTT</w:t>
      </w:r>
      <w:proofErr w:type="spellEnd"/>
      <w:r w:rsidR="0098796D">
        <w:t>, pre</w:t>
      </w:r>
      <w:r w:rsidRPr="00A907EE">
        <w:t xml:space="preserve"> and post</w:t>
      </w:r>
      <w:r w:rsidR="0098796D">
        <w:t xml:space="preserve"> </w:t>
      </w:r>
      <w:r w:rsidRPr="00A907EE">
        <w:t>treatment, may help the treating physician determine whether reversal of dabigatran has occurred.</w:t>
      </w:r>
    </w:p>
    <w:p w:rsidR="00A907EE" w:rsidRPr="00A907EE" w:rsidRDefault="00A907EE" w:rsidP="00A907EE">
      <w:r w:rsidRPr="00A907EE">
        <w:t>The reversal of elevated anticoagulation tests in dabigatran</w:t>
      </w:r>
      <w:r w:rsidR="0098796D">
        <w:t xml:space="preserve"> </w:t>
      </w:r>
      <w:r w:rsidRPr="00A907EE">
        <w:t>treated patients is a surrogate for clinical efficacy. Together with a direct assay demonstrating the removal of “active”</w:t>
      </w:r>
      <w:r w:rsidR="0098796D">
        <w:t xml:space="preserve"> </w:t>
      </w:r>
      <w:r w:rsidRPr="00A907EE">
        <w:t>dabigatran (unbound sum dabigatran) from the plasma, these data document the pharmacologic effect of idarucizumab in the target population.</w:t>
      </w:r>
    </w:p>
    <w:p w:rsidR="009A7609" w:rsidRDefault="00A907EE" w:rsidP="00A907EE">
      <w:r w:rsidRPr="00A907EE">
        <w:t>While imp</w:t>
      </w:r>
      <w:r w:rsidR="0098796D">
        <w:t xml:space="preserve">roved clinical outcomes of, for example, </w:t>
      </w:r>
      <w:r w:rsidRPr="00A907EE">
        <w:t xml:space="preserve">reduction or stoppage of bleeding, or decrease in bleeding-associated mortality in a controlled clinical trial would be preferred, ethical and logistic constraints, as well as the need for an extremely large sample size, mean such a trial would take years to complete if it could be done at all. Even after over 50 years of use of warfarin and congeners, there are no clinical outcomes data showing clinical benefit or mortality reduction in bleeding patients on warfarin with administration of Vitamin K or fresh frozen plasma (FFP). In this context, demonstration of pharmacologic reversal of dabigatran in the target patient population, coupled with data in the same patients showing that unbound sum dabigatran levels were reduced at the same time was the proposed clinical development approach for </w:t>
      </w:r>
      <w:proofErr w:type="spellStart"/>
      <w:r w:rsidRPr="00A907EE">
        <w:t>idarucizumab</w:t>
      </w:r>
      <w:proofErr w:type="spellEnd"/>
      <w:r w:rsidR="009A7609">
        <w:t>.</w:t>
      </w:r>
    </w:p>
    <w:p w:rsidR="009A7609" w:rsidRDefault="00A907EE" w:rsidP="00A907EE">
      <w:r w:rsidRPr="00A907EE">
        <w:t>The reversal of coagulation test values and reduced levels of unbound sum dabigatran reliably demonstrate reversal of dabig</w:t>
      </w:r>
      <w:r w:rsidR="00D066BE">
        <w:t xml:space="preserve">atran induced anticoagulation. </w:t>
      </w:r>
      <w:r w:rsidRPr="00A907EE">
        <w:t>Idarucizumab addresses the potential clinical need for an agent to rapidly reverse the anticoagulant effects of dabigatran in case of emergency surgery or life</w:t>
      </w:r>
      <w:r w:rsidR="0098796D">
        <w:t xml:space="preserve"> </w:t>
      </w:r>
      <w:r w:rsidRPr="00A907EE">
        <w:t xml:space="preserve">threatening or uncontrolled bleeding associated with dabigatran. </w:t>
      </w:r>
    </w:p>
    <w:p w:rsidR="00A907EE" w:rsidRPr="00A907EE" w:rsidRDefault="00A907EE" w:rsidP="00A907EE">
      <w:proofErr w:type="spellStart"/>
      <w:r w:rsidRPr="00A907EE">
        <w:t>Idarucizumab</w:t>
      </w:r>
      <w:proofErr w:type="spellEnd"/>
      <w:r w:rsidRPr="00A907EE">
        <w:t xml:space="preserve"> is not intended for use in patients with minor bleeding or other bleeding where standard supportive care is sufficient. It is expected that usage of this drug would be confined to </w:t>
      </w:r>
      <w:r w:rsidR="0098796D">
        <w:t>e</w:t>
      </w:r>
      <w:r w:rsidRPr="00A907EE">
        <w:t xml:space="preserve">mergency </w:t>
      </w:r>
      <w:r w:rsidR="0098796D">
        <w:t>d</w:t>
      </w:r>
      <w:r w:rsidRPr="00A907EE">
        <w:t>epartments or other critical care facilities.</w:t>
      </w:r>
    </w:p>
    <w:p w:rsidR="00A907EE" w:rsidRPr="00A907EE" w:rsidRDefault="00A907EE" w:rsidP="00A907EE">
      <w:r w:rsidRPr="00A907EE">
        <w:t>Idarucizumab had an excellent safety profile in healthy volunteers with no SAEs, no discontinuations due to AEs, no severe AEs, and no dose</w:t>
      </w:r>
      <w:r w:rsidR="0098796D">
        <w:t xml:space="preserve"> </w:t>
      </w:r>
      <w:r w:rsidRPr="00A907EE">
        <w:t>related AEs or drug reactions. Similarly, in the 123 patients (included in</w:t>
      </w:r>
      <w:r w:rsidR="0098796D">
        <w:t xml:space="preserve"> the interim analysis of Phase III</w:t>
      </w:r>
      <w:r w:rsidRPr="00A907EE">
        <w:t xml:space="preserve"> study 1321.3), AEs were common but appeared to be unrelate</w:t>
      </w:r>
      <w:r w:rsidR="0098796D">
        <w:t xml:space="preserve">d to treatment. Nine of </w:t>
      </w:r>
      <w:r w:rsidRPr="00A907EE">
        <w:t>the 26</w:t>
      </w:r>
      <w:r w:rsidR="0098796D">
        <w:t xml:space="preserve"> deaths were </w:t>
      </w:r>
      <w:r w:rsidRPr="00A907EE">
        <w:t>either due to the events at presentation or later in the trial due to co-morbidities. The mortality rate was not unexpected in a high risk population with life</w:t>
      </w:r>
      <w:r w:rsidR="0098796D">
        <w:t xml:space="preserve"> </w:t>
      </w:r>
      <w:r w:rsidRPr="00A907EE">
        <w:t>threatening events. Though two patients developed thrombotic events, these occurred 9 and 13 days after treatment with idarucizumab and in the absence of any antithrombotic treatment. Thus, there was no indication of a pro-thrombotic effect, consistent with evaluations in volunteers and with the preclinical data. There was no evidence of worsening renal function when this drug is given to patients with renal impairment and full efficacy is maintained. Other blood products may be administered as required.</w:t>
      </w:r>
    </w:p>
    <w:p w:rsidR="00A907EE" w:rsidRPr="00A907EE" w:rsidRDefault="00A907EE" w:rsidP="00A907EE">
      <w:r w:rsidRPr="00A907EE">
        <w:t>Overall, the ability to safely reverse the anticoagulant effect of dabigatran in patients who require rapid reversal could improve the surgical risk of patients requiring emergency surgery, improve the management of serious bleeding events and further increase the overall safety profile of anticoagulation therapy with dabigatran.</w:t>
      </w:r>
    </w:p>
    <w:p w:rsidR="00A907EE" w:rsidRPr="00A907EE" w:rsidRDefault="00A907EE" w:rsidP="00A907EE">
      <w:r w:rsidRPr="00A907EE">
        <w:t xml:space="preserve">The benefit-risk balance of </w:t>
      </w:r>
      <w:r w:rsidR="0098796D">
        <w:t>Praxbind, given the proposed usage,</w:t>
      </w:r>
      <w:r w:rsidRPr="00A907EE">
        <w:t xml:space="preserve"> is favourable.</w:t>
      </w:r>
    </w:p>
    <w:p w:rsidR="00605AD4" w:rsidRPr="00605AD4" w:rsidRDefault="00605AD4" w:rsidP="00605AD4">
      <w:pPr>
        <w:pStyle w:val="Heading3"/>
        <w:rPr>
          <w:rFonts w:eastAsia="Cambria"/>
        </w:rPr>
      </w:pPr>
      <w:bookmarkStart w:id="126" w:name="_Toc466282946"/>
      <w:r w:rsidRPr="00605AD4">
        <w:rPr>
          <w:rFonts w:eastAsia="Cambria"/>
        </w:rPr>
        <w:t xml:space="preserve">First </w:t>
      </w:r>
      <w:r w:rsidR="00E63418">
        <w:rPr>
          <w:rFonts w:eastAsia="Cambria"/>
        </w:rPr>
        <w:t>r</w:t>
      </w:r>
      <w:r w:rsidRPr="00605AD4">
        <w:rPr>
          <w:rFonts w:eastAsia="Cambria"/>
        </w:rPr>
        <w:t xml:space="preserve">ound </w:t>
      </w:r>
      <w:r w:rsidR="00E63418">
        <w:rPr>
          <w:rFonts w:eastAsia="Cambria"/>
        </w:rPr>
        <w:t>r</w:t>
      </w:r>
      <w:r w:rsidRPr="00605AD4">
        <w:rPr>
          <w:rFonts w:eastAsia="Cambria"/>
        </w:rPr>
        <w:t xml:space="preserve">ecommendation </w:t>
      </w:r>
      <w:r w:rsidR="00E63418">
        <w:rPr>
          <w:rFonts w:eastAsia="Cambria"/>
        </w:rPr>
        <w:t>r</w:t>
      </w:r>
      <w:r w:rsidRPr="00605AD4">
        <w:rPr>
          <w:rFonts w:eastAsia="Cambria"/>
        </w:rPr>
        <w:t xml:space="preserve">egarding </w:t>
      </w:r>
      <w:r w:rsidR="00E63418">
        <w:rPr>
          <w:rFonts w:eastAsia="Cambria"/>
        </w:rPr>
        <w:t>a</w:t>
      </w:r>
      <w:r w:rsidRPr="00605AD4">
        <w:rPr>
          <w:rFonts w:eastAsia="Cambria"/>
        </w:rPr>
        <w:t>uthorisation</w:t>
      </w:r>
      <w:bookmarkEnd w:id="126"/>
    </w:p>
    <w:p w:rsidR="003636B2" w:rsidRDefault="00A907EE" w:rsidP="00A907EE">
      <w:r w:rsidRPr="00A907EE">
        <w:t xml:space="preserve">It is recommended that approval be granted for </w:t>
      </w:r>
      <w:r w:rsidR="003636B2">
        <w:t>Praxbind</w:t>
      </w:r>
      <w:r w:rsidRPr="00A907EE">
        <w:t xml:space="preserve"> (idarucizumab</w:t>
      </w:r>
      <w:r w:rsidR="003636B2">
        <w:t>) for the proposed indication:</w:t>
      </w:r>
    </w:p>
    <w:p w:rsidR="009A2BBA" w:rsidRPr="009A2BBA" w:rsidRDefault="003636B2" w:rsidP="009A2BBA">
      <w:pPr>
        <w:ind w:left="720"/>
        <w:rPr>
          <w:i/>
        </w:rPr>
      </w:pPr>
      <w:r w:rsidRPr="009A2BBA">
        <w:rPr>
          <w:i/>
        </w:rPr>
        <w:t xml:space="preserve">Praxbind </w:t>
      </w:r>
      <w:r w:rsidR="00A907EE" w:rsidRPr="009A2BBA">
        <w:rPr>
          <w:i/>
        </w:rPr>
        <w:t>is a specific reversal agent for dabigatran and is indicated in patients treated with P</w:t>
      </w:r>
      <w:r w:rsidRPr="009A2BBA">
        <w:rPr>
          <w:i/>
        </w:rPr>
        <w:t>radaxa</w:t>
      </w:r>
      <w:r w:rsidR="00A907EE" w:rsidRPr="009A2BBA">
        <w:rPr>
          <w:i/>
        </w:rPr>
        <w:t xml:space="preserve"> (dabigatran etexilate) when rapid reversal of the anticoagulant effects of dabigatran is required:</w:t>
      </w:r>
    </w:p>
    <w:p w:rsidR="009A2BBA" w:rsidRPr="009A2BBA" w:rsidRDefault="00A907EE" w:rsidP="009A2BBA">
      <w:pPr>
        <w:pStyle w:val="ListBullet3"/>
        <w:rPr>
          <w:i/>
        </w:rPr>
      </w:pPr>
      <w:r w:rsidRPr="009A2BBA">
        <w:rPr>
          <w:i/>
        </w:rPr>
        <w:t>for emergency surgery/urgent procedures</w:t>
      </w:r>
    </w:p>
    <w:p w:rsidR="00A907EE" w:rsidRPr="009A2BBA" w:rsidRDefault="00A907EE" w:rsidP="009A2BBA">
      <w:pPr>
        <w:pStyle w:val="ListBullet3"/>
        <w:rPr>
          <w:i/>
        </w:rPr>
      </w:pPr>
      <w:proofErr w:type="gramStart"/>
      <w:r w:rsidRPr="009A2BBA">
        <w:rPr>
          <w:i/>
        </w:rPr>
        <w:lastRenderedPageBreak/>
        <w:t>in</w:t>
      </w:r>
      <w:proofErr w:type="gramEnd"/>
      <w:r w:rsidRPr="009A2BBA">
        <w:rPr>
          <w:i/>
        </w:rPr>
        <w:t xml:space="preserve"> life-threaten</w:t>
      </w:r>
      <w:r w:rsidR="009A2BBA" w:rsidRPr="009A2BBA">
        <w:rPr>
          <w:i/>
        </w:rPr>
        <w:t>ing or uncontrolled bleeding.</w:t>
      </w:r>
    </w:p>
    <w:p w:rsidR="00A907EE" w:rsidRPr="00A907EE" w:rsidRDefault="00A907EE" w:rsidP="00A907EE">
      <w:r w:rsidRPr="00A907EE">
        <w:t xml:space="preserve">However, approval is subject to </w:t>
      </w:r>
      <w:r w:rsidR="009A2BBA">
        <w:t>the following:</w:t>
      </w:r>
    </w:p>
    <w:p w:rsidR="00A907EE" w:rsidRPr="00A907EE" w:rsidRDefault="00A907EE" w:rsidP="003636B2">
      <w:pPr>
        <w:pStyle w:val="ListBullet"/>
      </w:pPr>
      <w:r w:rsidRPr="00A907EE">
        <w:t>incorporation of suggested</w:t>
      </w:r>
      <w:r w:rsidR="0098796D">
        <w:t xml:space="preserve"> changes to the proposed PI</w:t>
      </w:r>
    </w:p>
    <w:p w:rsidR="009A7609" w:rsidRDefault="00A907EE" w:rsidP="003636B2">
      <w:pPr>
        <w:pStyle w:val="ListBullet"/>
      </w:pPr>
      <w:proofErr w:type="gramStart"/>
      <w:r w:rsidRPr="00A907EE">
        <w:t>continued</w:t>
      </w:r>
      <w:proofErr w:type="gramEnd"/>
      <w:r w:rsidRPr="00A907EE">
        <w:t xml:space="preserve"> approval for this indication may be contingent upon the results of the ongoing cohort case series study (1321.3) and results should be provided for evaluation on completion of this study</w:t>
      </w:r>
      <w:r w:rsidR="009A7609">
        <w:t>.</w:t>
      </w:r>
    </w:p>
    <w:p w:rsidR="009A7609" w:rsidRDefault="00A907EE" w:rsidP="003636B2">
      <w:pPr>
        <w:pStyle w:val="ListBullet"/>
      </w:pPr>
      <w:proofErr w:type="gramStart"/>
      <w:r w:rsidRPr="00A907EE">
        <w:t>an</w:t>
      </w:r>
      <w:proofErr w:type="gramEnd"/>
      <w:r w:rsidRPr="00A907EE">
        <w:t xml:space="preserve"> adequate response to questions</w:t>
      </w:r>
      <w:r w:rsidR="006E4755">
        <w:t xml:space="preserve"> below</w:t>
      </w:r>
      <w:r w:rsidR="009A7609">
        <w:t>.</w:t>
      </w:r>
    </w:p>
    <w:p w:rsidR="00605AD4" w:rsidRPr="00605AD4" w:rsidRDefault="00605AD4" w:rsidP="00605AD4">
      <w:pPr>
        <w:pStyle w:val="Heading3"/>
        <w:rPr>
          <w:rFonts w:eastAsia="Cambria"/>
        </w:rPr>
      </w:pPr>
      <w:bookmarkStart w:id="127" w:name="_Toc466282947"/>
      <w:r w:rsidRPr="00605AD4">
        <w:rPr>
          <w:rFonts w:eastAsia="Cambria"/>
        </w:rPr>
        <w:t xml:space="preserve">Clinical </w:t>
      </w:r>
      <w:r w:rsidR="00E63418">
        <w:rPr>
          <w:rFonts w:eastAsia="Cambria"/>
        </w:rPr>
        <w:t>q</w:t>
      </w:r>
      <w:r w:rsidRPr="00605AD4">
        <w:rPr>
          <w:rFonts w:eastAsia="Cambria"/>
        </w:rPr>
        <w:t>uestions</w:t>
      </w:r>
      <w:bookmarkEnd w:id="127"/>
    </w:p>
    <w:p w:rsidR="00C92802" w:rsidRPr="009E5085" w:rsidRDefault="00C92802" w:rsidP="00C92802">
      <w:pPr>
        <w:pStyle w:val="Heading4"/>
      </w:pPr>
      <w:bookmarkStart w:id="128" w:name="_Toc272414702"/>
      <w:bookmarkStart w:id="129" w:name="_Toc290846342"/>
      <w:bookmarkStart w:id="130" w:name="_Toc442359391"/>
      <w:r w:rsidRPr="009E5085">
        <w:t>Pharmacokinetics</w:t>
      </w:r>
      <w:bookmarkEnd w:id="128"/>
      <w:bookmarkEnd w:id="129"/>
      <w:bookmarkEnd w:id="130"/>
    </w:p>
    <w:p w:rsidR="009A7609" w:rsidRDefault="00C92802" w:rsidP="00C92802">
      <w:proofErr w:type="gramStart"/>
      <w:r w:rsidRPr="00C92802">
        <w:t>None</w:t>
      </w:r>
      <w:r w:rsidR="009A7609">
        <w:t>.</w:t>
      </w:r>
      <w:proofErr w:type="gramEnd"/>
    </w:p>
    <w:p w:rsidR="00C92802" w:rsidRDefault="00C92802" w:rsidP="00C92802">
      <w:pPr>
        <w:pStyle w:val="Heading4"/>
      </w:pPr>
      <w:bookmarkStart w:id="131" w:name="_Toc272414703"/>
      <w:bookmarkStart w:id="132" w:name="_Toc290846343"/>
      <w:bookmarkStart w:id="133" w:name="_Toc442359392"/>
      <w:r w:rsidRPr="009E5085">
        <w:t>Pharmacodynamics</w:t>
      </w:r>
      <w:bookmarkEnd w:id="131"/>
      <w:bookmarkEnd w:id="132"/>
      <w:bookmarkEnd w:id="133"/>
    </w:p>
    <w:p w:rsidR="00C92802" w:rsidRPr="00C92802" w:rsidRDefault="00C92802" w:rsidP="00C92802">
      <w:proofErr w:type="gramStart"/>
      <w:r w:rsidRPr="00C92802">
        <w:t>None.</w:t>
      </w:r>
      <w:proofErr w:type="gramEnd"/>
    </w:p>
    <w:p w:rsidR="00C92802" w:rsidRPr="009E5085" w:rsidRDefault="00C92802" w:rsidP="00C92802">
      <w:pPr>
        <w:pStyle w:val="Heading4"/>
      </w:pPr>
      <w:bookmarkStart w:id="134" w:name="_Toc272414704"/>
      <w:bookmarkStart w:id="135" w:name="_Toc290846344"/>
      <w:bookmarkStart w:id="136" w:name="_Toc442359393"/>
      <w:r w:rsidRPr="009E5085">
        <w:t>Efficacy</w:t>
      </w:r>
      <w:bookmarkEnd w:id="134"/>
      <w:bookmarkEnd w:id="135"/>
      <w:bookmarkEnd w:id="136"/>
    </w:p>
    <w:p w:rsidR="00C92802" w:rsidRDefault="00C92802" w:rsidP="00C92802">
      <w:pPr>
        <w:autoSpaceDE w:val="0"/>
        <w:autoSpaceDN w:val="0"/>
        <w:adjustRightInd w:val="0"/>
        <w:rPr>
          <w:rStyle w:val="Heading5Char"/>
          <w:rFonts w:eastAsia="Cambria"/>
        </w:rPr>
      </w:pPr>
      <w:r>
        <w:rPr>
          <w:rStyle w:val="Heading5Char"/>
          <w:rFonts w:eastAsia="Cambria"/>
        </w:rPr>
        <w:t>Question 1</w:t>
      </w:r>
    </w:p>
    <w:p w:rsidR="00C92802" w:rsidRPr="00C92802" w:rsidRDefault="00C92802" w:rsidP="00C92802">
      <w:pPr>
        <w:autoSpaceDE w:val="0"/>
        <w:autoSpaceDN w:val="0"/>
        <w:adjustRightInd w:val="0"/>
      </w:pPr>
      <w:r w:rsidRPr="00C92802">
        <w:t>A 4</w:t>
      </w:r>
      <w:r>
        <w:t xml:space="preserve"> </w:t>
      </w:r>
      <w:r w:rsidRPr="00C92802">
        <w:t xml:space="preserve">month safety update summarises safety and efficacy data from this ongoing study and provides data </w:t>
      </w:r>
      <w:r>
        <w:t>in 123 patients</w:t>
      </w:r>
      <w:r w:rsidRPr="00C92802">
        <w:t xml:space="preserve">. However, the cover letter, clinical overview and clinical summary of efficacy </w:t>
      </w:r>
      <w:r>
        <w:t>in</w:t>
      </w:r>
      <w:r w:rsidRPr="00C92802">
        <w:t xml:space="preserve"> the current </w:t>
      </w:r>
      <w:r>
        <w:t xml:space="preserve">submission </w:t>
      </w:r>
      <w:r w:rsidRPr="00C92802">
        <w:t xml:space="preserve">only summarise data in 26 patients from </w:t>
      </w:r>
      <w:r>
        <w:t>S</w:t>
      </w:r>
      <w:r w:rsidRPr="00C92802">
        <w:t>tudy 1321.3. Can t</w:t>
      </w:r>
      <w:r>
        <w:t>he sponsor</w:t>
      </w:r>
      <w:r w:rsidRPr="00C92802">
        <w:t xml:space="preserve"> please provide clarification on why data from the 123 patients was not included in the summary of efficacy or overview especially considering fact that both FDA and EMA mention data from 123 patients in their approval statements and labelling</w:t>
      </w:r>
      <w:r>
        <w:t>?</w:t>
      </w:r>
    </w:p>
    <w:p w:rsidR="00C92802" w:rsidRDefault="00C92802" w:rsidP="00C92802">
      <w:pPr>
        <w:rPr>
          <w:rStyle w:val="Heading5Char"/>
          <w:rFonts w:eastAsia="Cambria"/>
        </w:rPr>
      </w:pPr>
      <w:r w:rsidRPr="00C92802">
        <w:rPr>
          <w:rStyle w:val="Heading5Char"/>
          <w:rFonts w:eastAsia="Cambria"/>
        </w:rPr>
        <w:t>Question 2</w:t>
      </w:r>
    </w:p>
    <w:p w:rsidR="00C92802" w:rsidRPr="00C92802" w:rsidRDefault="00C92802" w:rsidP="00C92802">
      <w:r w:rsidRPr="00C92802">
        <w:t>Table 2.1.1:2 of th</w:t>
      </w:r>
      <w:r w:rsidR="0098796D">
        <w:t xml:space="preserve">e Clinical summary of efficacy </w:t>
      </w:r>
      <w:r w:rsidRPr="00C92802">
        <w:t>mentions dose groups a</w:t>
      </w:r>
      <w:r>
        <w:t xml:space="preserve">s Part 1 and Part 2 </w:t>
      </w:r>
      <w:r w:rsidRPr="00C92802">
        <w:t>(see below: shown as Table 4)</w:t>
      </w:r>
      <w:r w:rsidR="0098796D">
        <w:t>.</w:t>
      </w:r>
    </w:p>
    <w:p w:rsidR="00C92802" w:rsidRPr="00C92802" w:rsidRDefault="00C92802" w:rsidP="00C92802">
      <w:pPr>
        <w:pStyle w:val="TableTitle"/>
      </w:pPr>
      <w:proofErr w:type="gramStart"/>
      <w:r>
        <w:t>Table 4.</w:t>
      </w:r>
      <w:proofErr w:type="gramEnd"/>
      <w:r>
        <w:t xml:space="preserve"> Comparison of mean AUEC</w:t>
      </w:r>
      <w:r w:rsidRPr="0098796D">
        <w:rPr>
          <w:vertAlign w:val="subscript"/>
        </w:rPr>
        <w:t>above</w:t>
      </w:r>
      <w:proofErr w:type="gramStart"/>
      <w:r w:rsidRPr="0098796D">
        <w:rPr>
          <w:vertAlign w:val="subscript"/>
        </w:rPr>
        <w:t>,2</w:t>
      </w:r>
      <w:proofErr w:type="gramEnd"/>
      <w:r w:rsidRPr="0098796D">
        <w:rPr>
          <w:vertAlign w:val="subscript"/>
        </w:rPr>
        <w:t xml:space="preserve">-12 </w:t>
      </w:r>
      <w:r>
        <w:t xml:space="preserve">ratio post-Ida/pre-Ida for the coagulation markers </w:t>
      </w:r>
      <w:proofErr w:type="spellStart"/>
      <w:r>
        <w:t>dTT</w:t>
      </w:r>
      <w:proofErr w:type="spellEnd"/>
      <w:r>
        <w:t xml:space="preserve">, ECT, </w:t>
      </w:r>
      <w:proofErr w:type="spellStart"/>
      <w:r>
        <w:t>aPTT</w:t>
      </w:r>
      <w:proofErr w:type="spellEnd"/>
      <w:r>
        <w:t xml:space="preserve"> and TT.</w:t>
      </w:r>
    </w:p>
    <w:p w:rsidR="00C92802" w:rsidRPr="00F45456" w:rsidRDefault="00C92802" w:rsidP="00C92802">
      <w:pPr>
        <w:rPr>
          <w:rFonts w:asciiTheme="majorHAnsi" w:hAnsiTheme="majorHAnsi"/>
        </w:rPr>
      </w:pPr>
      <w:r>
        <w:rPr>
          <w:noProof/>
          <w:lang w:eastAsia="en-AU"/>
        </w:rPr>
        <w:drawing>
          <wp:inline distT="0" distB="0" distL="0" distR="0" wp14:anchorId="52580AC8" wp14:editId="16A28715">
            <wp:extent cx="5400040" cy="2687905"/>
            <wp:effectExtent l="0" t="0" r="0" b="0"/>
            <wp:docPr id="6" name="Picture 6" descr="Table 4. Comparison of mean AUECabove,2-12 ratio post-Ida/pre-Ida for the coagulation markers dTT, ECT, aPTT and 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00040" cy="2687905"/>
                    </a:xfrm>
                    <a:prstGeom prst="rect">
                      <a:avLst/>
                    </a:prstGeom>
                  </pic:spPr>
                </pic:pic>
              </a:graphicData>
            </a:graphic>
          </wp:inline>
        </w:drawing>
      </w:r>
    </w:p>
    <w:p w:rsidR="00C92802" w:rsidRPr="00C92802" w:rsidRDefault="00C92802" w:rsidP="00C92802">
      <w:r w:rsidRPr="00C92802">
        <w:lastRenderedPageBreak/>
        <w:t>There is an error in this table as Part 1 did not involve administration of dabigatran and it should actually read Part 2 and Part</w:t>
      </w:r>
      <w:r w:rsidR="00B7382C">
        <w:t xml:space="preserve"> 3. Can the sponsor</w:t>
      </w:r>
      <w:r w:rsidRPr="00C92802">
        <w:t xml:space="preserve"> provide clarification on this?</w:t>
      </w:r>
    </w:p>
    <w:p w:rsidR="00C92802" w:rsidRPr="00C92802" w:rsidRDefault="00C92802" w:rsidP="00C92802">
      <w:pPr>
        <w:pStyle w:val="Heading4"/>
      </w:pPr>
      <w:bookmarkStart w:id="137" w:name="_Toc272414705"/>
      <w:bookmarkStart w:id="138" w:name="_Toc290846345"/>
      <w:bookmarkStart w:id="139" w:name="_Toc442359394"/>
      <w:r w:rsidRPr="00C92802">
        <w:t>Safety</w:t>
      </w:r>
      <w:bookmarkEnd w:id="137"/>
      <w:bookmarkEnd w:id="138"/>
      <w:bookmarkEnd w:id="139"/>
    </w:p>
    <w:p w:rsidR="009A7609" w:rsidRDefault="00C92802" w:rsidP="00C92802">
      <w:proofErr w:type="gramStart"/>
      <w:r w:rsidRPr="00C92802">
        <w:t>None</w:t>
      </w:r>
      <w:r w:rsidR="009A7609">
        <w:t>.</w:t>
      </w:r>
      <w:proofErr w:type="gramEnd"/>
    </w:p>
    <w:p w:rsidR="00605AD4" w:rsidRPr="00605AD4" w:rsidRDefault="00605AD4" w:rsidP="00605AD4">
      <w:pPr>
        <w:pStyle w:val="Heading3"/>
        <w:rPr>
          <w:rFonts w:eastAsia="Cambria"/>
        </w:rPr>
      </w:pPr>
      <w:bookmarkStart w:id="140" w:name="_Toc466282948"/>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e</w:t>
      </w:r>
      <w:r w:rsidRPr="00605AD4">
        <w:rPr>
          <w:rFonts w:eastAsia="Cambria"/>
        </w:rPr>
        <w:t>valuation</w:t>
      </w:r>
      <w:bookmarkEnd w:id="140"/>
    </w:p>
    <w:p w:rsidR="00605AD4" w:rsidRPr="00605AD4" w:rsidRDefault="00B7382C" w:rsidP="00605AD4">
      <w:r>
        <w:t xml:space="preserve">Details of sponsor’s responses to clinical questions and evaluator’s </w:t>
      </w:r>
      <w:r w:rsidR="00D86178">
        <w:t xml:space="preserve">subsequent </w:t>
      </w:r>
      <w:r>
        <w:t>comments are contained in Attachment 2.</w:t>
      </w:r>
    </w:p>
    <w:p w:rsidR="00605AD4" w:rsidRPr="00605AD4" w:rsidRDefault="00605AD4" w:rsidP="00546154">
      <w:pPr>
        <w:pStyle w:val="Heading3"/>
        <w:rPr>
          <w:rFonts w:eastAsia="Cambria"/>
        </w:rPr>
      </w:pPr>
      <w:bookmarkStart w:id="141" w:name="_Toc466282949"/>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141"/>
    </w:p>
    <w:p w:rsidR="00D86178" w:rsidRPr="009E5085" w:rsidRDefault="00D86178" w:rsidP="00D86178">
      <w:pPr>
        <w:pStyle w:val="Heading4"/>
      </w:pPr>
      <w:bookmarkStart w:id="142" w:name="_Toc272414709"/>
      <w:bookmarkStart w:id="143" w:name="_Toc290846349"/>
      <w:bookmarkStart w:id="144" w:name="_Toc442359398"/>
      <w:r w:rsidRPr="009E5085">
        <w:t>Second round assessment of benefits</w:t>
      </w:r>
      <w:bookmarkEnd w:id="142"/>
      <w:bookmarkEnd w:id="143"/>
      <w:bookmarkEnd w:id="144"/>
    </w:p>
    <w:p w:rsidR="00D86178" w:rsidRPr="00D86178" w:rsidRDefault="00D86178" w:rsidP="00D86178">
      <w:bookmarkStart w:id="145" w:name="_Toc272414710"/>
      <w:bookmarkStart w:id="146" w:name="_Toc290846350"/>
      <w:r w:rsidRPr="00D86178">
        <w:t>After consideration of the responses to clinical questions, the benefits of P</w:t>
      </w:r>
      <w:r w:rsidR="00C4721D">
        <w:t>raxbind</w:t>
      </w:r>
      <w:r w:rsidRPr="00D86178">
        <w:t xml:space="preserve"> in the proposed usage are unchanged from those identified </w:t>
      </w:r>
      <w:r>
        <w:t>in the first round evaluation</w:t>
      </w:r>
      <w:r w:rsidRPr="00D86178">
        <w:t>.</w:t>
      </w:r>
    </w:p>
    <w:p w:rsidR="00D86178" w:rsidRDefault="00D86178" w:rsidP="00D86178">
      <w:pPr>
        <w:pStyle w:val="Heading4"/>
      </w:pPr>
      <w:bookmarkStart w:id="147" w:name="_Toc442359399"/>
      <w:r w:rsidRPr="009E5085">
        <w:t>Second round assessment of risks</w:t>
      </w:r>
      <w:bookmarkEnd w:id="145"/>
      <w:bookmarkEnd w:id="146"/>
      <w:bookmarkEnd w:id="147"/>
    </w:p>
    <w:p w:rsidR="00D86178" w:rsidRPr="00C4721D" w:rsidRDefault="00D86178" w:rsidP="00C4721D">
      <w:r w:rsidRPr="00C4721D">
        <w:t xml:space="preserve">After consideration of the responses to clinical questions, the risks of </w:t>
      </w:r>
      <w:r w:rsidR="00D055A8" w:rsidRPr="00D86178">
        <w:t>P</w:t>
      </w:r>
      <w:r w:rsidR="00D055A8">
        <w:t>raxbind</w:t>
      </w:r>
      <w:r w:rsidR="00D055A8" w:rsidRPr="00C4721D">
        <w:t xml:space="preserve"> </w:t>
      </w:r>
      <w:r w:rsidR="00D055A8">
        <w:t>i</w:t>
      </w:r>
      <w:r w:rsidRPr="00C4721D">
        <w:t xml:space="preserve">n the proposed usage are unchanged from those identified </w:t>
      </w:r>
      <w:r w:rsidR="00C4721D" w:rsidRPr="00C4721D">
        <w:t>in the first round evaluation</w:t>
      </w:r>
      <w:r w:rsidRPr="00C4721D">
        <w:t>.</w:t>
      </w:r>
    </w:p>
    <w:p w:rsidR="00D86178" w:rsidRPr="009E5085" w:rsidRDefault="00D86178" w:rsidP="00D86178">
      <w:pPr>
        <w:pStyle w:val="Heading4"/>
      </w:pPr>
      <w:bookmarkStart w:id="148" w:name="_Toc272414711"/>
      <w:bookmarkStart w:id="149" w:name="_Toc290846351"/>
      <w:bookmarkStart w:id="150" w:name="_Toc442359400"/>
      <w:r w:rsidRPr="009E5085">
        <w:t>Second round assessment of benefit-risk balance</w:t>
      </w:r>
      <w:bookmarkEnd w:id="148"/>
      <w:bookmarkEnd w:id="149"/>
      <w:bookmarkEnd w:id="150"/>
    </w:p>
    <w:p w:rsidR="009A7609" w:rsidRDefault="00D86178" w:rsidP="00C4721D">
      <w:r w:rsidRPr="00C4721D">
        <w:t xml:space="preserve">After consideration of the responses to clinical questions, the benefit-risk balance of </w:t>
      </w:r>
      <w:r w:rsidR="00D055A8" w:rsidRPr="00D86178">
        <w:t>P</w:t>
      </w:r>
      <w:r w:rsidR="00D055A8">
        <w:t>raxbind</w:t>
      </w:r>
      <w:r w:rsidRPr="00C4721D">
        <w:t xml:space="preserve"> in the proposed usage is unchanged from that identified </w:t>
      </w:r>
      <w:r w:rsidR="00C4721D" w:rsidRPr="00C4721D">
        <w:t>in the first round evaluation</w:t>
      </w:r>
      <w:r w:rsidR="009A7609">
        <w:t>.</w:t>
      </w:r>
    </w:p>
    <w:p w:rsidR="00605AD4" w:rsidRDefault="00D055A8" w:rsidP="00D055A8">
      <w:pPr>
        <w:pStyle w:val="Heading3"/>
      </w:pPr>
      <w:bookmarkStart w:id="151" w:name="_Toc466282950"/>
      <w:r>
        <w:t>Second round recommendation regarding authorisation</w:t>
      </w:r>
      <w:bookmarkEnd w:id="151"/>
    </w:p>
    <w:p w:rsidR="00D055A8" w:rsidRPr="00D055A8" w:rsidRDefault="00D055A8" w:rsidP="00D055A8">
      <w:r w:rsidRPr="00D055A8">
        <w:t>It is recommended that approval be granted for P</w:t>
      </w:r>
      <w:r>
        <w:t>raxbind</w:t>
      </w:r>
      <w:r w:rsidRPr="00D055A8">
        <w:t xml:space="preserve"> (idarucizumab) for the proposed indication:</w:t>
      </w:r>
    </w:p>
    <w:p w:rsidR="00D055A8" w:rsidRPr="00D055A8" w:rsidRDefault="00D055A8" w:rsidP="00D055A8">
      <w:pPr>
        <w:ind w:left="720"/>
        <w:rPr>
          <w:i/>
        </w:rPr>
      </w:pPr>
      <w:r w:rsidRPr="00D055A8">
        <w:rPr>
          <w:i/>
        </w:rPr>
        <w:t>Praxbind is a specific reversal agent for dabigatran and is indicated in patients treated with Pradaxa (dabigatran etexilate) when rapid reversal of the anticoagulant effects of dabigatran is required:</w:t>
      </w:r>
    </w:p>
    <w:p w:rsidR="00D055A8" w:rsidRPr="00D055A8" w:rsidRDefault="00D055A8" w:rsidP="00D055A8">
      <w:pPr>
        <w:pStyle w:val="ListBullet3"/>
        <w:rPr>
          <w:i/>
        </w:rPr>
      </w:pPr>
      <w:r w:rsidRPr="00D055A8">
        <w:rPr>
          <w:i/>
        </w:rPr>
        <w:t>for emergency surgery/urgent procedures</w:t>
      </w:r>
    </w:p>
    <w:p w:rsidR="00D055A8" w:rsidRPr="00D055A8" w:rsidRDefault="00D055A8" w:rsidP="00D055A8">
      <w:pPr>
        <w:pStyle w:val="ListBullet3"/>
        <w:rPr>
          <w:i/>
        </w:rPr>
      </w:pPr>
      <w:proofErr w:type="gramStart"/>
      <w:r w:rsidRPr="00D055A8">
        <w:rPr>
          <w:i/>
        </w:rPr>
        <w:t>in</w:t>
      </w:r>
      <w:proofErr w:type="gramEnd"/>
      <w:r w:rsidRPr="00D055A8">
        <w:rPr>
          <w:i/>
        </w:rPr>
        <w:t xml:space="preserve"> life-threatening or uncontrolled bleeding.</w:t>
      </w:r>
    </w:p>
    <w:p w:rsidR="00D055A8" w:rsidRDefault="00D055A8" w:rsidP="00D055A8">
      <w:r w:rsidRPr="00D055A8">
        <w:t>Continued approval for this indication may be contingent upon the results of an ongoing cohort case series study.</w:t>
      </w:r>
    </w:p>
    <w:p w:rsidR="00502A84" w:rsidRPr="00E41208" w:rsidRDefault="00502A84" w:rsidP="00502A84">
      <w:pPr>
        <w:pStyle w:val="Heading2"/>
      </w:pPr>
      <w:bookmarkStart w:id="152" w:name="_Toc466282951"/>
      <w:r w:rsidRPr="00E41208">
        <w:t>V. P</w:t>
      </w:r>
      <w:r>
        <w:t>opulation pharmacokinetics</w:t>
      </w:r>
      <w:bookmarkEnd w:id="152"/>
    </w:p>
    <w:p w:rsidR="00370E62" w:rsidRDefault="00370E62" w:rsidP="004C3DF7">
      <w:pPr>
        <w:pStyle w:val="Heading3"/>
      </w:pPr>
      <w:bookmarkStart w:id="153" w:name="_Toc466282952"/>
      <w:r>
        <w:t>Rationale</w:t>
      </w:r>
      <w:bookmarkEnd w:id="153"/>
    </w:p>
    <w:p w:rsidR="004C3DF7" w:rsidRDefault="00370E62" w:rsidP="004C3DF7">
      <w:r w:rsidRPr="00413D8E">
        <w:t xml:space="preserve">This evaluation reviews a population </w:t>
      </w:r>
      <w:r w:rsidR="0098796D">
        <w:t>PK</w:t>
      </w:r>
      <w:r w:rsidRPr="00413D8E">
        <w:t xml:space="preserve"> analysis of idarucizumab and its interaction with dabigatran and effect on the PK-</w:t>
      </w:r>
      <w:r w:rsidR="0098796D">
        <w:t>PD</w:t>
      </w:r>
      <w:r w:rsidRPr="00413D8E">
        <w:t xml:space="preserve"> of dabigatran on coagulation biomar</w:t>
      </w:r>
      <w:r w:rsidR="0098796D">
        <w:t xml:space="preserve">kers in three Phase I studies. </w:t>
      </w:r>
      <w:r w:rsidRPr="00413D8E">
        <w:t>The report is entitled “</w:t>
      </w:r>
      <w:r w:rsidRPr="00413D8E">
        <w:rPr>
          <w:rFonts w:eastAsia="TimesNewRoman"/>
        </w:rPr>
        <w:t>Idarucizumab and dabigatran population pharmacokinetics and</w:t>
      </w:r>
      <w:r w:rsidRPr="00413D8E">
        <w:t xml:space="preserve"> </w:t>
      </w:r>
      <w:r w:rsidRPr="00413D8E">
        <w:rPr>
          <w:rFonts w:eastAsia="TimesNewRoman"/>
        </w:rPr>
        <w:t>dabigatran exposure-response relationships in healthy subjects”</w:t>
      </w:r>
      <w:r w:rsidRPr="00413D8E">
        <w:t xml:space="preserve">. </w:t>
      </w:r>
      <w:r w:rsidRPr="00413D8E">
        <w:lastRenderedPageBreak/>
        <w:t>The report was evaluated to determine the validity of the analysis methods and results and their clinical implications.</w:t>
      </w:r>
    </w:p>
    <w:p w:rsidR="004C3DF7" w:rsidRDefault="009F6207" w:rsidP="009F6207">
      <w:pPr>
        <w:pStyle w:val="Heading3"/>
      </w:pPr>
      <w:bookmarkStart w:id="154" w:name="_Toc466282953"/>
      <w:r>
        <w:t>Evaluation of analysis conducted</w:t>
      </w:r>
      <w:bookmarkEnd w:id="154"/>
    </w:p>
    <w:p w:rsidR="009F6207" w:rsidRPr="00413D8E" w:rsidRDefault="009F6207" w:rsidP="009F6207">
      <w:pPr>
        <w:pStyle w:val="Heading4"/>
      </w:pPr>
      <w:bookmarkStart w:id="155" w:name="_Toc439904552"/>
      <w:r w:rsidRPr="00413D8E">
        <w:t>Analysis conducted</w:t>
      </w:r>
      <w:bookmarkEnd w:id="155"/>
    </w:p>
    <w:p w:rsidR="009F6207" w:rsidRPr="009F6207" w:rsidRDefault="009F6207" w:rsidP="009F6207">
      <w:r w:rsidRPr="009F6207">
        <w:t>The analyses conducted included a population PK analysis to characterise the disposition of and interaction between idarucizumab and dabigatran and PK/PD analyses to characterise the effect of dabigatran on c</w:t>
      </w:r>
      <w:r w:rsidR="00D066BE">
        <w:t xml:space="preserve">oagulation biomarkers in three </w:t>
      </w:r>
      <w:proofErr w:type="gramStart"/>
      <w:r w:rsidR="00D066BE">
        <w:t>P</w:t>
      </w:r>
      <w:r w:rsidRPr="009F6207">
        <w:t>hase</w:t>
      </w:r>
      <w:proofErr w:type="gramEnd"/>
      <w:r w:rsidRPr="009F6207">
        <w:t xml:space="preserve"> </w:t>
      </w:r>
      <w:r w:rsidR="00D066BE">
        <w:t>I</w:t>
      </w:r>
      <w:r w:rsidRPr="009F6207">
        <w:t xml:space="preserve"> studies, 1321.1, 1321.2 and 1321.5.</w:t>
      </w:r>
    </w:p>
    <w:p w:rsidR="009F6207" w:rsidRPr="009F6207" w:rsidRDefault="009F6207" w:rsidP="009F6207">
      <w:r w:rsidRPr="009F6207">
        <w:t xml:space="preserve">Analyses were conducted by </w:t>
      </w:r>
      <w:r w:rsidR="001F1A83">
        <w:t>the sponsor</w:t>
      </w:r>
      <w:r w:rsidRPr="009F6207">
        <w:t>.</w:t>
      </w:r>
    </w:p>
    <w:p w:rsidR="009F6207" w:rsidRPr="00413D8E" w:rsidRDefault="009F6207" w:rsidP="009F6207">
      <w:pPr>
        <w:pStyle w:val="Heading4"/>
      </w:pPr>
      <w:bookmarkStart w:id="156" w:name="_Toc439904553"/>
      <w:r w:rsidRPr="00413D8E">
        <w:t>Evaluation of analysis conducted</w:t>
      </w:r>
      <w:bookmarkEnd w:id="156"/>
    </w:p>
    <w:p w:rsidR="009F6207" w:rsidRPr="009F6207" w:rsidRDefault="009F6207" w:rsidP="009F6207">
      <w:r w:rsidRPr="009F6207">
        <w:t>Base and final population PK models were evaluated. Analyses were run using NONMEM v7.3, whereas v7.2 was used to generate the PK results provided by the sponsor.</w:t>
      </w:r>
    </w:p>
    <w:p w:rsidR="009A7609" w:rsidRDefault="004024A7" w:rsidP="009F6207">
      <w:r>
        <w:t xml:space="preserve">The PK control files </w:t>
      </w:r>
      <w:r w:rsidR="009F6207" w:rsidRPr="009F6207">
        <w:t>for the base and final PK models, respectively, were run after simplification of the variance-covariance matrix to estimate only the diagonal elements. The results were compared with the sponsor’s PK output files. Parameter estimation was successfully performed using the iterative two stage method and the Expectation Maximization using Monte Carlo importance sampling. However, implementation of the Stochastic Approximation Expectation Method failed to run successfully. Nevertheless, PK parameter estimates using the methods implemented were consistent with those reported by the sponsor and were deemed sufficiently similar to validate the sponsor’s results</w:t>
      </w:r>
      <w:r w:rsidR="009A7609">
        <w:t>.</w:t>
      </w:r>
    </w:p>
    <w:p w:rsidR="002D5F5D" w:rsidRDefault="002D5F5D" w:rsidP="006312E4">
      <w:pPr>
        <w:pStyle w:val="Heading3"/>
      </w:pPr>
      <w:bookmarkStart w:id="157" w:name="_Toc466282954"/>
      <w:r>
        <w:t>Results summary</w:t>
      </w:r>
      <w:bookmarkEnd w:id="157"/>
    </w:p>
    <w:p w:rsidR="002D5F5D" w:rsidRPr="002D5F5D" w:rsidRDefault="002D5F5D" w:rsidP="002D5F5D">
      <w:r w:rsidRPr="002D5F5D">
        <w:t>In summary, detailed descriptions of the analysis data sets, PK modelling results and PK/PD modelling results were presented in a logical manner using accepted model building and model evaluation techniques. However, there were some omissions and inconsistencies that hindered interpretation of the results:</w:t>
      </w:r>
    </w:p>
    <w:p w:rsidR="009A7609" w:rsidRDefault="002D5F5D" w:rsidP="002D5F5D">
      <w:pPr>
        <w:pStyle w:val="ListBullet"/>
      </w:pPr>
      <w:r w:rsidRPr="002D5F5D">
        <w:t>a complete description of the PK data set and exclusions and more granularity in the development of the structural PK model (as recorded in the run log) would have been useful,</w:t>
      </w:r>
    </w:p>
    <w:p w:rsidR="002D5F5D" w:rsidRPr="002D5F5D" w:rsidRDefault="002D5F5D" w:rsidP="002D5F5D">
      <w:pPr>
        <w:pStyle w:val="ListBullet"/>
      </w:pPr>
      <w:r w:rsidRPr="002D5F5D">
        <w:t>trends in goodness of fit plots were shown using smoothing functions for the PK model but not for the PK/PD models,</w:t>
      </w:r>
    </w:p>
    <w:p w:rsidR="002D5F5D" w:rsidRPr="002D5F5D" w:rsidRDefault="002D5F5D" w:rsidP="002D5F5D">
      <w:pPr>
        <w:pStyle w:val="ListBullet"/>
      </w:pPr>
      <w:r w:rsidRPr="002D5F5D">
        <w:t>correlations among covariates were illustrated using scatterplots with smoothing functions and correlation coefficients for the PK/PD analysis but not the PK analysis,</w:t>
      </w:r>
    </w:p>
    <w:p w:rsidR="002D5F5D" w:rsidRPr="002D5F5D" w:rsidRDefault="002D5F5D" w:rsidP="002D5F5D">
      <w:pPr>
        <w:pStyle w:val="ListBullet"/>
      </w:pPr>
      <w:r w:rsidRPr="002D5F5D">
        <w:t>in the PK/PD model evaluation but not the PK model evaluation, sensitivity analyses were conducted to explore the impact of outliers on parameter estimation,</w:t>
      </w:r>
    </w:p>
    <w:p w:rsidR="002D5F5D" w:rsidRPr="002D5F5D" w:rsidRDefault="002D5F5D" w:rsidP="002D5F5D">
      <w:pPr>
        <w:pStyle w:val="ListBullet"/>
      </w:pPr>
      <w:r w:rsidRPr="002D5F5D">
        <w:t>handling of BLQ idarucizumab plasma concentrations and their impact on PK parameter estimation was not discussed anywhere in the report,</w:t>
      </w:r>
    </w:p>
    <w:p w:rsidR="002D5F5D" w:rsidRPr="002D5F5D" w:rsidRDefault="002D5F5D" w:rsidP="002D5F5D">
      <w:pPr>
        <w:pStyle w:val="ListBullet"/>
      </w:pPr>
      <w:r w:rsidRPr="002D5F5D">
        <w:t>sensitivity analysis to explore the effect of outliers on parameter estimation was conducted for the PK/PD model evaluation but not for the PK model,</w:t>
      </w:r>
    </w:p>
    <w:p w:rsidR="002D5F5D" w:rsidRPr="002D5F5D" w:rsidRDefault="002D5F5D" w:rsidP="002D5F5D">
      <w:pPr>
        <w:pStyle w:val="ListBullet"/>
      </w:pPr>
      <w:proofErr w:type="gramStart"/>
      <w:r w:rsidRPr="002D5F5D">
        <w:t>critical</w:t>
      </w:r>
      <w:proofErr w:type="gramEnd"/>
      <w:r w:rsidRPr="002D5F5D">
        <w:t xml:space="preserve"> evaluation of the VPC plots to address model deficiencies was lacking.</w:t>
      </w:r>
    </w:p>
    <w:p w:rsidR="002D5F5D" w:rsidRPr="00413D8E" w:rsidRDefault="002D5F5D" w:rsidP="002D5F5D">
      <w:r w:rsidRPr="00413D8E">
        <w:t xml:space="preserve">Application of the models to perform simulations was appropriately justified and presented to address their intended purpose. Overall, the population PK and PK/PD </w:t>
      </w:r>
      <w:r w:rsidRPr="00413D8E">
        <w:lastRenderedPageBreak/>
        <w:t xml:space="preserve">models provided acceptable descriptions of the data and the modelling and simulation results were </w:t>
      </w:r>
      <w:r w:rsidR="001F1A83">
        <w:t>presented in accordance with EM</w:t>
      </w:r>
      <w:r w:rsidRPr="00413D8E">
        <w:t>A guidelines.</w:t>
      </w:r>
    </w:p>
    <w:p w:rsidR="002D5F5D" w:rsidRDefault="006312E4" w:rsidP="006312E4">
      <w:pPr>
        <w:pStyle w:val="Heading3"/>
      </w:pPr>
      <w:bookmarkStart w:id="158" w:name="_Toc466282955"/>
      <w:r>
        <w:t>Discussion and conclusion</w:t>
      </w:r>
      <w:bookmarkEnd w:id="158"/>
    </w:p>
    <w:p w:rsidR="006312E4" w:rsidRPr="006312E4" w:rsidRDefault="006312E4" w:rsidP="006312E4">
      <w:r w:rsidRPr="006312E4">
        <w:t>Discussion and conclusions drawn of the PK/PD report focussed on the principal findings of the modelling and simulation analyses and their clinical implications. Points of discussion and a critique are as follows:</w:t>
      </w:r>
    </w:p>
    <w:p w:rsidR="006312E4" w:rsidRPr="006312E4" w:rsidRDefault="006312E4" w:rsidP="006312E4">
      <w:pPr>
        <w:pStyle w:val="Heading4"/>
      </w:pPr>
      <w:r w:rsidRPr="006312E4">
        <w:t>Population PK</w:t>
      </w:r>
    </w:p>
    <w:p w:rsidR="009A7609" w:rsidRDefault="004024A7" w:rsidP="006312E4">
      <w:pPr>
        <w:pStyle w:val="ListBullet"/>
      </w:pPr>
      <w:r>
        <w:t>Idarucizumab PK was described. The central (</w:t>
      </w:r>
      <w:proofErr w:type="spellStart"/>
      <w:proofErr w:type="gramStart"/>
      <w:r>
        <w:t>Vc</w:t>
      </w:r>
      <w:proofErr w:type="spellEnd"/>
      <w:proofErr w:type="gramEnd"/>
      <w:r>
        <w:t xml:space="preserve">) and steady </w:t>
      </w:r>
      <w:r w:rsidR="006312E4" w:rsidRPr="006312E4">
        <w:t>state (</w:t>
      </w:r>
      <w:proofErr w:type="spellStart"/>
      <w:r w:rsidR="006312E4" w:rsidRPr="006312E4">
        <w:t>Vss</w:t>
      </w:r>
      <w:proofErr w:type="spellEnd"/>
      <w:r w:rsidR="006312E4" w:rsidRPr="006312E4">
        <w:t>) volumes were estimated to be 3.25 L and 9.24 L for a 75 kg subject, suggesting that idarucizumab is confined to extracellular fluid. It was stated that idarucizumab PK was linear and not altered when bound to dabigatran. However, these assumptions were based on general goodness of fit of the linear model to the data and were not formally tested</w:t>
      </w:r>
      <w:r w:rsidR="009A7609">
        <w:t>.</w:t>
      </w:r>
    </w:p>
    <w:p w:rsidR="006312E4" w:rsidRPr="006312E4" w:rsidRDefault="00063308" w:rsidP="006312E4">
      <w:pPr>
        <w:pStyle w:val="ListBullet"/>
      </w:pPr>
      <w:proofErr w:type="spellStart"/>
      <w:r>
        <w:t>Idarucizumab</w:t>
      </w:r>
      <w:proofErr w:type="spellEnd"/>
      <w:r>
        <w:t xml:space="preserve"> clearance (CL)</w:t>
      </w:r>
      <w:r w:rsidR="006312E4" w:rsidRPr="006312E4">
        <w:t xml:space="preserve"> was reduced in subjects with renal impairment while </w:t>
      </w:r>
      <w:proofErr w:type="spellStart"/>
      <w:proofErr w:type="gramStart"/>
      <w:r w:rsidR="006312E4" w:rsidRPr="006312E4">
        <w:t>Vc</w:t>
      </w:r>
      <w:proofErr w:type="spellEnd"/>
      <w:proofErr w:type="gramEnd"/>
      <w:r w:rsidR="006312E4" w:rsidRPr="006312E4">
        <w:t xml:space="preserve"> varied with body weight. An effect of Japanese race on idarucizumab CL was deemed to be not clinically relevant.</w:t>
      </w:r>
    </w:p>
    <w:p w:rsidR="006312E4" w:rsidRPr="006312E4" w:rsidRDefault="006312E4" w:rsidP="006312E4">
      <w:pPr>
        <w:pStyle w:val="ListBullet"/>
      </w:pPr>
      <w:r w:rsidRPr="006312E4">
        <w:t>Ultrafiltration was used to exclude quantitation of idarucizumab-bound dabigatran from quantitation of sum dabigatran. However, it also excluded plasma protein bound dabigatran. Consequently, unbound sum dabigatran was quantified and sum dabigatran was derived using the population PK model.</w:t>
      </w:r>
    </w:p>
    <w:p w:rsidR="006312E4" w:rsidRPr="006312E4" w:rsidRDefault="006312E4" w:rsidP="006312E4">
      <w:pPr>
        <w:pStyle w:val="ListBullet"/>
      </w:pPr>
      <w:r w:rsidRPr="006312E4">
        <w:t>Both renal function and age were included as covariates on dabigatran CL/F.</w:t>
      </w:r>
    </w:p>
    <w:p w:rsidR="006312E4" w:rsidRPr="006312E4" w:rsidRDefault="006312E4" w:rsidP="006312E4">
      <w:pPr>
        <w:pStyle w:val="ListBullet"/>
      </w:pPr>
      <w:r w:rsidRPr="006312E4">
        <w:t>Contrary to the statement that age was an influential covariate, it was included in the model based on previous experience but was not statistically significant nor clinically releva</w:t>
      </w:r>
      <w:r w:rsidR="00721EFC">
        <w:t>nt (8% change in CL/F over 20-</w:t>
      </w:r>
      <w:r w:rsidRPr="006312E4">
        <w:t>80 y</w:t>
      </w:r>
      <w:r w:rsidR="006D0F6E">
        <w:t>ears</w:t>
      </w:r>
      <w:r w:rsidRPr="006312E4">
        <w:t xml:space="preserve"> age range).</w:t>
      </w:r>
    </w:p>
    <w:p w:rsidR="006312E4" w:rsidRPr="006312E4" w:rsidRDefault="006312E4" w:rsidP="006312E4">
      <w:pPr>
        <w:pStyle w:val="ListBullet"/>
      </w:pPr>
      <w:r w:rsidRPr="006312E4">
        <w:t>Previously, the relationship between renal function and dabigatran CL/F was characterised using a saturable (</w:t>
      </w:r>
      <w:proofErr w:type="spellStart"/>
      <w:r w:rsidRPr="006312E4">
        <w:t>Emax</w:t>
      </w:r>
      <w:proofErr w:type="spellEnd"/>
      <w:r w:rsidRPr="006312E4">
        <w:t>) relationship. This model was not tested in the analysis because of the small number of subjects with renal impairment in the analysis data set. Instead, a power model described the decrease in dabigatran CL/F with greater renal impairment.</w:t>
      </w:r>
    </w:p>
    <w:p w:rsidR="009A7609" w:rsidRDefault="006312E4" w:rsidP="006312E4">
      <w:pPr>
        <w:pStyle w:val="ListBullet"/>
      </w:pPr>
      <w:r w:rsidRPr="006312E4">
        <w:t>It was noted that the rate and extent of dabigatran redistribution after idarucizumab administration were overestimated in subjects with renal impairment. Inclusion of an additional effect of renal impairment on CL/F and Q/F did not substantially improve the model and warrants further evaluation</w:t>
      </w:r>
      <w:r w:rsidR="009A7609">
        <w:t>.</w:t>
      </w:r>
    </w:p>
    <w:p w:rsidR="006312E4" w:rsidRPr="006312E4" w:rsidRDefault="006312E4" w:rsidP="006312E4">
      <w:pPr>
        <w:pStyle w:val="ListBullet"/>
      </w:pPr>
      <w:r w:rsidRPr="006312E4">
        <w:t>Dabigatran CL/F was increased by 16% in Japanese subjects relative to Caucasian subjects with normal renal function. The difference was not deemed clinically relevant in light of previously published</w:t>
      </w:r>
      <w:r w:rsidR="00FB571D">
        <w:t xml:space="preserve"> results</w:t>
      </w:r>
      <w:r w:rsidRPr="006312E4">
        <w:t>.</w:t>
      </w:r>
      <w:r w:rsidR="00FB571D">
        <w:rPr>
          <w:rStyle w:val="FootnoteReference"/>
        </w:rPr>
        <w:footnoteReference w:id="12"/>
      </w:r>
    </w:p>
    <w:p w:rsidR="006312E4" w:rsidRPr="006312E4" w:rsidRDefault="006312E4" w:rsidP="006312E4">
      <w:pPr>
        <w:pStyle w:val="ListBullet"/>
      </w:pPr>
      <w:r w:rsidRPr="006312E4">
        <w:t xml:space="preserve">It was noted that previous dabigatran PK models have estimated a large </w:t>
      </w:r>
      <w:proofErr w:type="spellStart"/>
      <w:r w:rsidRPr="006312E4">
        <w:t>Vc</w:t>
      </w:r>
      <w:proofErr w:type="spellEnd"/>
      <w:r w:rsidRPr="006312E4">
        <w:t>/F rela</w:t>
      </w:r>
      <w:r w:rsidR="00C15287">
        <w:t xml:space="preserve">tive to </w:t>
      </w:r>
      <w:proofErr w:type="spellStart"/>
      <w:r w:rsidR="00C15287">
        <w:t>Vss</w:t>
      </w:r>
      <w:proofErr w:type="spellEnd"/>
      <w:r w:rsidR="00C15287">
        <w:t>/F (</w:t>
      </w:r>
      <w:proofErr w:type="spellStart"/>
      <w:r w:rsidR="00C15287">
        <w:t>Vc</w:t>
      </w:r>
      <w:proofErr w:type="spellEnd"/>
      <w:r w:rsidR="00C15287">
        <w:t>/F = 756 L and</w:t>
      </w:r>
      <w:r w:rsidRPr="006312E4">
        <w:t xml:space="preserve"> </w:t>
      </w:r>
      <w:proofErr w:type="spellStart"/>
      <w:r w:rsidRPr="006312E4">
        <w:t>Vss</w:t>
      </w:r>
      <w:proofErr w:type="spellEnd"/>
      <w:r w:rsidRPr="006312E4">
        <w:t>/F =</w:t>
      </w:r>
      <w:r w:rsidR="00C15287">
        <w:t xml:space="preserve"> 1101 L) for an 80 kg subject. </w:t>
      </w:r>
      <w:r w:rsidRPr="006312E4">
        <w:t xml:space="preserve">However, in the present PK model, </w:t>
      </w:r>
      <w:proofErr w:type="spellStart"/>
      <w:r w:rsidRPr="006312E4">
        <w:t>Vc</w:t>
      </w:r>
      <w:proofErr w:type="spellEnd"/>
      <w:r w:rsidRPr="006312E4">
        <w:t xml:space="preserve">/F and </w:t>
      </w:r>
      <w:proofErr w:type="spellStart"/>
      <w:r w:rsidRPr="006312E4">
        <w:t>Vss</w:t>
      </w:r>
      <w:proofErr w:type="spellEnd"/>
      <w:r w:rsidRPr="006312E4">
        <w:t xml:space="preserve">/F were estimated to be 278 L and 960 L, respectively, suggesting that the majority of the drug was distributed peripherally not centrally. These estimates derived from the interplay of the amount of drug in the periphery, distributional rate constants and the relative sizes of the central and peripheral compartments influencing dabigatran redistribution after idarucizumab </w:t>
      </w:r>
      <w:r w:rsidRPr="006312E4">
        <w:lastRenderedPageBreak/>
        <w:t>administration and this perturbation of the system may have more accurately reflected dabigatran disposition.</w:t>
      </w:r>
    </w:p>
    <w:p w:rsidR="006312E4" w:rsidRPr="00413D8E" w:rsidRDefault="006312E4" w:rsidP="006312E4">
      <w:pPr>
        <w:pStyle w:val="Heading4"/>
      </w:pPr>
      <w:r w:rsidRPr="00413D8E">
        <w:t xml:space="preserve">Population PK/PD </w:t>
      </w:r>
      <w:r w:rsidR="00753DD4">
        <w:t>m</w:t>
      </w:r>
      <w:r w:rsidRPr="00413D8E">
        <w:t>odels</w:t>
      </w:r>
    </w:p>
    <w:p w:rsidR="006312E4" w:rsidRPr="006312E4" w:rsidRDefault="006312E4" w:rsidP="006312E4">
      <w:pPr>
        <w:pStyle w:val="ListBullet"/>
      </w:pPr>
      <w:r w:rsidRPr="006312E4">
        <w:t>Although not refe</w:t>
      </w:r>
      <w:r w:rsidR="00C15287">
        <w:t xml:space="preserve">renced, it was noted that model predicted sum dabigatran: </w:t>
      </w:r>
      <w:r w:rsidRPr="006312E4">
        <w:t>coagulation biomarker PK/PD relationships were similar to those previously reported. The implications are two-fold: first, there was no clinically relevant effect of idarucizumab on PK/PD relationships (notwithstanding the PK effect of binding dabigatran to render it unavailable in plasma to have an anticoagulant effect). Second, it permit</w:t>
      </w:r>
      <w:r w:rsidR="00C15287">
        <w:t xml:space="preserve">s extrapolation of idarucizumab </w:t>
      </w:r>
      <w:r w:rsidRPr="006312E4">
        <w:t>induced reversal of dabigatran anticoagulant effects to the patient population.</w:t>
      </w:r>
    </w:p>
    <w:p w:rsidR="009A7609" w:rsidRDefault="006312E4" w:rsidP="006312E4">
      <w:pPr>
        <w:pStyle w:val="ListBullet"/>
      </w:pPr>
      <w:r w:rsidRPr="006312E4">
        <w:t>For models in which unbound sum dabigatran was the independent variable, the slope was reduced by approximately 30% corresponding to 30% lower unbound sum dabigatran concentrations compared to sum dabigatran concentrations</w:t>
      </w:r>
      <w:r w:rsidR="009A7609">
        <w:t>.</w:t>
      </w:r>
    </w:p>
    <w:p w:rsidR="006312E4" w:rsidRPr="006312E4" w:rsidRDefault="006312E4" w:rsidP="006312E4">
      <w:pPr>
        <w:pStyle w:val="ListBullet"/>
      </w:pPr>
      <w:r w:rsidRPr="006312E4">
        <w:t xml:space="preserve">For each of the coagulation biomarkers, there was a significant effect of Japanese race. For the most part, the effect of race could be exchanged for an effect of </w:t>
      </w:r>
      <w:r w:rsidR="00C15287">
        <w:t>S</w:t>
      </w:r>
      <w:r w:rsidRPr="006312E4">
        <w:t xml:space="preserve">tudy 1321.5 in addition to other study effects in </w:t>
      </w:r>
      <w:r w:rsidR="00C15287">
        <w:t>S</w:t>
      </w:r>
      <w:r w:rsidRPr="006312E4">
        <w:t>tudies 1321.1 and 1321.2. It was discussed that the effect of race was a surrogate for study effects attributed to bioanalytical differences due perhaps to lot to lot variations in coagulation biomarker assays. The effect of Japanese race remains to be further examined in a patient population (</w:t>
      </w:r>
      <w:r w:rsidR="00C15287">
        <w:t>Phase II/III</w:t>
      </w:r>
      <w:r w:rsidRPr="006312E4">
        <w:t>).</w:t>
      </w:r>
    </w:p>
    <w:p w:rsidR="006312E4" w:rsidRPr="006312E4" w:rsidRDefault="006312E4" w:rsidP="006312E4">
      <w:pPr>
        <w:pStyle w:val="ListBullet"/>
      </w:pPr>
      <w:r w:rsidRPr="006312E4">
        <w:t>Age, body weight and idarucizumab administration were identified as significant predictors IIV in the PK/PD analyses. However the effect sizes were small and as such could be considered to b</w:t>
      </w:r>
      <w:r w:rsidR="00816C14">
        <w:t xml:space="preserve">e clinically irrelevant in the Phase I </w:t>
      </w:r>
      <w:r w:rsidRPr="006312E4">
        <w:t>population evaluated.</w:t>
      </w:r>
    </w:p>
    <w:p w:rsidR="006312E4" w:rsidRPr="006312E4" w:rsidRDefault="006312E4" w:rsidP="006312E4">
      <w:pPr>
        <w:pStyle w:val="Heading4"/>
      </w:pPr>
      <w:r w:rsidRPr="006312E4">
        <w:t>Simulations</w:t>
      </w:r>
    </w:p>
    <w:p w:rsidR="006312E4" w:rsidRPr="006312E4" w:rsidRDefault="006312E4" w:rsidP="006312E4">
      <w:pPr>
        <w:pStyle w:val="ListBullet"/>
      </w:pPr>
      <w:r w:rsidRPr="006312E4">
        <w:t>Simulations demonstrated complete reversal of coagulation in &gt; 96% Caucasian and Japanese patients (75 y</w:t>
      </w:r>
      <w:r w:rsidR="00816C14">
        <w:t>ears of age</w:t>
      </w:r>
      <w:r w:rsidRPr="006312E4">
        <w:t>) across a broad range</w:t>
      </w:r>
      <w:r w:rsidR="007532D3">
        <w:t xml:space="preserve"> of renal function (</w:t>
      </w:r>
      <w:proofErr w:type="spellStart"/>
      <w:r w:rsidR="007532D3">
        <w:t>CrCL</w:t>
      </w:r>
      <w:proofErr w:type="spellEnd"/>
      <w:r w:rsidR="007532D3">
        <w:t xml:space="preserve"> = 40-</w:t>
      </w:r>
      <w:r w:rsidRPr="006312E4">
        <w:t>120 mL/min) following single doses of 1 to 5 g or 2.5 + 2.5 g of idarucizumab. There was no apparent difference in response to a single 5 g dose or two 2.5 g infusions separated by 15 minutes.</w:t>
      </w:r>
    </w:p>
    <w:p w:rsidR="006312E4" w:rsidRPr="006312E4" w:rsidRDefault="006312E4" w:rsidP="006312E4">
      <w:pPr>
        <w:pStyle w:val="ListBullet"/>
      </w:pPr>
      <w:r w:rsidRPr="006312E4">
        <w:t>Idarucizumab was effective over a broad range of renal function. Since CL of idarucizumab and CL/F of dabigatran were both reduced in renal impairment, there may be increased opportunity for binding and therefore efficacy was predicted to be maintained despite renal impairment.</w:t>
      </w:r>
    </w:p>
    <w:p w:rsidR="006312E4" w:rsidRDefault="006312E4" w:rsidP="006312E4">
      <w:r w:rsidRPr="006312E4">
        <w:t>The stated conclusions clearly summarised the key points made in the discussion. These were succinct and appropriately summarised the main findings of the study.</w:t>
      </w:r>
    </w:p>
    <w:p w:rsidR="006312E4" w:rsidRDefault="001F1A83" w:rsidP="001F1A83">
      <w:pPr>
        <w:pStyle w:val="Heading3"/>
      </w:pPr>
      <w:bookmarkStart w:id="159" w:name="_Toc466282956"/>
      <w:r>
        <w:t>Summary and implications</w:t>
      </w:r>
      <w:bookmarkEnd w:id="159"/>
    </w:p>
    <w:p w:rsidR="001F1A83" w:rsidRPr="00413D8E" w:rsidRDefault="001F1A83" w:rsidP="001F1A83">
      <w:pPr>
        <w:pStyle w:val="Heading4"/>
      </w:pPr>
      <w:bookmarkStart w:id="160" w:name="_Toc439904590"/>
      <w:r w:rsidRPr="00413D8E">
        <w:t>Summar</w:t>
      </w:r>
      <w:bookmarkEnd w:id="160"/>
      <w:r>
        <w:t>y</w:t>
      </w:r>
    </w:p>
    <w:p w:rsidR="009A7609" w:rsidRDefault="001F1A83" w:rsidP="001F1A83">
      <w:r w:rsidRPr="001F1A83">
        <w:t>Analyses conducted to characterise the population PK of idarucizumab, its binding interaction with dabigatran and extrinsic factors that may influence idarucizumab PK. In addition, dabigatran’s effect on coagulation biomarkers and the possible influences of extrinsic and treatment</w:t>
      </w:r>
      <w:r w:rsidR="007532D3">
        <w:t xml:space="preserve"> </w:t>
      </w:r>
      <w:r w:rsidRPr="001F1A83">
        <w:t>related factors were investigated using a population analysis approach. The methods used were generally appropriate and adequate for their purpose</w:t>
      </w:r>
      <w:r w:rsidR="009A7609">
        <w:t>.</w:t>
      </w:r>
    </w:p>
    <w:p w:rsidR="001F1A83" w:rsidRPr="001F1A83" w:rsidRDefault="001F1A83" w:rsidP="001F1A83">
      <w:r w:rsidRPr="001F1A83">
        <w:t>On the basis of this evaluation, it was concluded:</w:t>
      </w:r>
    </w:p>
    <w:p w:rsidR="001F1A83" w:rsidRPr="001F1A83" w:rsidRDefault="001F1A83" w:rsidP="001F1A83">
      <w:pPr>
        <w:pStyle w:val="ListBullet"/>
      </w:pPr>
      <w:r w:rsidRPr="001F1A83">
        <w:lastRenderedPageBreak/>
        <w:t>A population PK model was developed to describe the disposition of idarucizumab and dabigatran when administered alone and in combination in healthy subjects. The base and final PK models were verified. Effects of significant covariates identified in the analysis, including age, body weight, renal function and race, remain to be validated in a patient population.</w:t>
      </w:r>
    </w:p>
    <w:p w:rsidR="001F1A83" w:rsidRPr="001F1A83" w:rsidRDefault="001F1A83" w:rsidP="001F1A83">
      <w:pPr>
        <w:pStyle w:val="ListBullet"/>
      </w:pPr>
      <w:r w:rsidRPr="001F1A83">
        <w:t>Unbound dabigatran plasma concentrations were substantially decreased in the presence of idarucizumab due to the formation of an idarucizumab-dabigatran complex. While the model captured the binding interaction, there was some misspecification of the model during the dabigatran redistribution phase that warrants further review of the model. Dabigatran redistribution from the peripheral to the central compartment was attenuated with increasing doses of idarucizumab.</w:t>
      </w:r>
    </w:p>
    <w:p w:rsidR="001F1A83" w:rsidRPr="001F1A83" w:rsidRDefault="001F1A83" w:rsidP="001F1A83">
      <w:pPr>
        <w:pStyle w:val="ListBullet"/>
      </w:pPr>
      <w:r w:rsidRPr="001F1A83">
        <w:t>The primary demographic covariate influencing clearance of both drugs was renal function. As a result, exposures to both idarucizumab and dabigatran may be expected to be increased in renal impairment with increased opportunity for binding. Consequently, idarucizumab efficacy may be expected to be maintained in renal impairment as shown in simu</w:t>
      </w:r>
      <w:r w:rsidR="00225907">
        <w:t xml:space="preserve">lations over a </w:t>
      </w:r>
      <w:proofErr w:type="spellStart"/>
      <w:r w:rsidR="00225907">
        <w:t>CrCL</w:t>
      </w:r>
      <w:proofErr w:type="spellEnd"/>
      <w:r w:rsidR="00225907">
        <w:t xml:space="preserve"> range of 40</w:t>
      </w:r>
      <w:r w:rsidRPr="001F1A83">
        <w:t>-120 mL/min.</w:t>
      </w:r>
    </w:p>
    <w:p w:rsidR="001F1A83" w:rsidRPr="001F1A83" w:rsidRDefault="001F1A83" w:rsidP="001F1A83">
      <w:pPr>
        <w:pStyle w:val="ListBullet"/>
      </w:pPr>
      <w:r w:rsidRPr="001F1A83">
        <w:t xml:space="preserve">Notwithstanding the PK effect of binding dabigatran to render it unavailable in plasma to have an anticoagulant effect, the underlying relationship between dabigatran exposure and anticoagulation was unaffected by </w:t>
      </w:r>
      <w:proofErr w:type="spellStart"/>
      <w:r w:rsidRPr="001F1A83">
        <w:t>idarucizumab</w:t>
      </w:r>
      <w:proofErr w:type="spellEnd"/>
      <w:r w:rsidRPr="001F1A83">
        <w:t xml:space="preserve"> </w:t>
      </w:r>
      <w:proofErr w:type="spellStart"/>
      <w:r w:rsidRPr="001F1A83">
        <w:t>coadministration</w:t>
      </w:r>
      <w:proofErr w:type="spellEnd"/>
      <w:r w:rsidRPr="001F1A83">
        <w:t>. The clinical relevance of the effect of Japanese race on these relationships remains to be further exa</w:t>
      </w:r>
      <w:r w:rsidR="00225907">
        <w:t>mined in a patient population (Phase II/III</w:t>
      </w:r>
      <w:r w:rsidRPr="001F1A83">
        <w:t>).</w:t>
      </w:r>
    </w:p>
    <w:p w:rsidR="001F1A83" w:rsidRPr="001F1A83" w:rsidRDefault="001F1A83" w:rsidP="001F1A83">
      <w:pPr>
        <w:pStyle w:val="ListBullet"/>
      </w:pPr>
      <w:r w:rsidRPr="001F1A83">
        <w:t>Rapid and complete reversal of coagulation was shown to occur in 100% of simulated subjects (40 y and 75 y</w:t>
      </w:r>
      <w:r w:rsidR="0023127B">
        <w:t>ears old</w:t>
      </w:r>
      <w:r w:rsidRPr="001F1A83">
        <w:t xml:space="preserve"> Japanese (60 kg) and</w:t>
      </w:r>
      <w:r w:rsidR="00CB0F60">
        <w:t xml:space="preserve"> Caucasian (80 kg), </w:t>
      </w:r>
      <w:proofErr w:type="spellStart"/>
      <w:r w:rsidR="00CB0F60">
        <w:t>CrCL</w:t>
      </w:r>
      <w:proofErr w:type="spellEnd"/>
      <w:r w:rsidR="00CB0F60">
        <w:t xml:space="preserve"> = 40-</w:t>
      </w:r>
      <w:r w:rsidRPr="001F1A83">
        <w:t>120 mL/min) after a 5 g idarucizumab dose given either as a single infusion or as two 2.5 g infusions 15 min apart. The impact of extremes of body weight by itself and in the presence of renal impairment warrants investigation as both factors significantly influenced idarucizumab disposition.</w:t>
      </w:r>
    </w:p>
    <w:p w:rsidR="001F1A83" w:rsidRPr="00413D8E" w:rsidRDefault="001F1A83" w:rsidP="001F1A83">
      <w:pPr>
        <w:pStyle w:val="Heading4"/>
      </w:pPr>
      <w:bookmarkStart w:id="161" w:name="_Toc439904591"/>
      <w:r w:rsidRPr="00413D8E">
        <w:t>Implications</w:t>
      </w:r>
      <w:bookmarkEnd w:id="161"/>
    </w:p>
    <w:p w:rsidR="001F1A83" w:rsidRPr="001F1A83" w:rsidRDefault="001F1A83" w:rsidP="001F1A83">
      <w:r w:rsidRPr="001F1A83">
        <w:t xml:space="preserve">The PK and PK/PD analyses conducted included 244 and 189 healthy </w:t>
      </w:r>
      <w:r w:rsidR="00CB0F60">
        <w:t xml:space="preserve">subjects, respectively, from 3 </w:t>
      </w:r>
      <w:proofErr w:type="gramStart"/>
      <w:r w:rsidR="00CB0F60">
        <w:t>Phase</w:t>
      </w:r>
      <w:proofErr w:type="gramEnd"/>
      <w:r w:rsidR="00CB0F60">
        <w:t xml:space="preserve"> I</w:t>
      </w:r>
      <w:r w:rsidRPr="001F1A83">
        <w:t xml:space="preserve"> trials. Modelling and simulation results support the administration of 5 g idarucizumab as a single infusion or as two 2.5 g infusions 15 min apart to reverse the anticoagulant effects of steady-state dabigatran (administered as 150 mg or 220 mg BID DE over 4 days). Experience in patients is required to validate the models developed herein using phase 1 data and to provide justification for dosage selection in the clinical setting. Moreover, dose selection must be evaluated in the context of safety data, which was not included in the PK/PD report.</w:t>
      </w:r>
    </w:p>
    <w:p w:rsidR="001F1A83" w:rsidRPr="001F1A83" w:rsidRDefault="001F1A83" w:rsidP="001F1A83">
      <w:r w:rsidRPr="001F1A83">
        <w:t xml:space="preserve">Considerations with regard to the proposed </w:t>
      </w:r>
      <w:r w:rsidR="00EC58FA">
        <w:t>PI</w:t>
      </w:r>
      <w:r w:rsidRPr="001F1A83">
        <w:t xml:space="preserve"> are as follows:</w:t>
      </w:r>
    </w:p>
    <w:p w:rsidR="001F1A83" w:rsidRPr="00413D8E" w:rsidRDefault="001F1A83" w:rsidP="001F1A83">
      <w:pPr>
        <w:pStyle w:val="ListBullet"/>
      </w:pPr>
      <w:r w:rsidRPr="00413D8E">
        <w:t xml:space="preserve">Elderly patients/sex/race and </w:t>
      </w:r>
      <w:r w:rsidR="009E6F22">
        <w:t>r</w:t>
      </w:r>
      <w:r w:rsidRPr="00413D8E">
        <w:t>enal impairment</w:t>
      </w:r>
    </w:p>
    <w:p w:rsidR="001F1A83" w:rsidRPr="001F1A83" w:rsidRDefault="001F1A83" w:rsidP="001F1A83">
      <w:pPr>
        <w:pStyle w:val="ListBullet2"/>
      </w:pPr>
      <w:r w:rsidRPr="001F1A83">
        <w:t>Conclusions regarding effects of age, sex, race and renal impairment on idaruci</w:t>
      </w:r>
      <w:r w:rsidR="00EC58FA">
        <w:t>zumab exposure based solely on Phase I</w:t>
      </w:r>
      <w:r w:rsidRPr="001F1A83">
        <w:t xml:space="preserve"> data are premature and require validation with patient data. On this basis, they should be qualified as preliminary, or removed. Furthermore, based on </w:t>
      </w:r>
      <w:r w:rsidR="00EC58FA">
        <w:t>Phase I</w:t>
      </w:r>
      <w:r w:rsidR="00EC58FA" w:rsidRPr="001F1A83">
        <w:t xml:space="preserve"> </w:t>
      </w:r>
      <w:r w:rsidRPr="001F1A83">
        <w:t>data, renal impairment and body weight are both important determinants of idarucizumab exposure and consideration should be given to exposures at the extremes of these covariate ranges, separately and together.</w:t>
      </w:r>
    </w:p>
    <w:p w:rsidR="008E7846" w:rsidRPr="00E41208" w:rsidRDefault="008E7846" w:rsidP="00546154">
      <w:pPr>
        <w:pStyle w:val="Heading2"/>
      </w:pPr>
      <w:bookmarkStart w:id="162" w:name="_Toc466282957"/>
      <w:r w:rsidRPr="00E41208">
        <w:lastRenderedPageBreak/>
        <w:t>V</w:t>
      </w:r>
      <w:r w:rsidR="00502A84">
        <w:t>I</w:t>
      </w:r>
      <w:r w:rsidRPr="00E41208">
        <w:t xml:space="preserve">. Pharmacovigilance </w:t>
      </w:r>
      <w:r>
        <w:t>f</w:t>
      </w:r>
      <w:r w:rsidRPr="00E41208">
        <w:t>indings</w:t>
      </w:r>
      <w:bookmarkEnd w:id="104"/>
      <w:bookmarkEnd w:id="105"/>
      <w:bookmarkEnd w:id="162"/>
    </w:p>
    <w:p w:rsidR="008E7846" w:rsidRDefault="00386150" w:rsidP="008E7846">
      <w:pPr>
        <w:pStyle w:val="Heading3"/>
        <w:rPr>
          <w:lang w:eastAsia="en-AU"/>
        </w:rPr>
      </w:pPr>
      <w:bookmarkStart w:id="163" w:name="_Toc247691526"/>
      <w:bookmarkStart w:id="164" w:name="_Toc314842509"/>
      <w:bookmarkStart w:id="165" w:name="_Toc466282958"/>
      <w:r>
        <w:rPr>
          <w:lang w:eastAsia="en-AU"/>
        </w:rPr>
        <w:t>Risk m</w:t>
      </w:r>
      <w:r w:rsidR="008E7846">
        <w:rPr>
          <w:lang w:eastAsia="en-AU"/>
        </w:rPr>
        <w:t xml:space="preserve">anagement </w:t>
      </w:r>
      <w:r>
        <w:rPr>
          <w:lang w:eastAsia="en-AU"/>
        </w:rPr>
        <w:t>p</w:t>
      </w:r>
      <w:r w:rsidR="008E7846">
        <w:rPr>
          <w:lang w:eastAsia="en-AU"/>
        </w:rPr>
        <w:t>lan</w:t>
      </w:r>
      <w:bookmarkEnd w:id="163"/>
      <w:bookmarkEnd w:id="164"/>
      <w:bookmarkEnd w:id="165"/>
    </w:p>
    <w:p w:rsidR="008E7846" w:rsidRDefault="008E7846" w:rsidP="008E7846">
      <w:pPr>
        <w:rPr>
          <w:lang w:eastAsia="en-AU"/>
        </w:rPr>
      </w:pPr>
      <w:r>
        <w:rPr>
          <w:lang w:eastAsia="en-AU"/>
        </w:rPr>
        <w:t>The sponsor submitted a</w:t>
      </w:r>
      <w:r w:rsidR="009E6F22">
        <w:rPr>
          <w:lang w:eastAsia="en-AU"/>
        </w:rPr>
        <w:t>n</w:t>
      </w:r>
      <w:r>
        <w:rPr>
          <w:lang w:eastAsia="en-AU"/>
        </w:rPr>
        <w:t xml:space="preserve"> </w:t>
      </w:r>
      <w:r w:rsidR="0094794F" w:rsidRPr="0094794F">
        <w:rPr>
          <w:lang w:eastAsia="en-AU"/>
        </w:rPr>
        <w:t xml:space="preserve">EU RMP (version 2.0, dated 19 November 2015, DLP 17 September 2015) with Australian Specific Annex </w:t>
      </w:r>
      <w:r w:rsidR="0094794F">
        <w:rPr>
          <w:lang w:eastAsia="en-AU"/>
        </w:rPr>
        <w:t xml:space="preserve">(ASA) </w:t>
      </w:r>
      <w:r w:rsidR="0094794F" w:rsidRPr="0094794F">
        <w:rPr>
          <w:lang w:eastAsia="en-AU"/>
        </w:rPr>
        <w:t>(version 2.0, dated 4 December 2015)</w:t>
      </w:r>
      <w:r w:rsidR="0094794F">
        <w:rPr>
          <w:lang w:eastAsia="en-AU"/>
        </w:rPr>
        <w:t xml:space="preserve">, </w:t>
      </w:r>
      <w:r>
        <w:rPr>
          <w:lang w:eastAsia="en-AU"/>
        </w:rPr>
        <w:t xml:space="preserve">which was reviewed by the </w:t>
      </w:r>
      <w:r w:rsidR="00FC1FCA">
        <w:rPr>
          <w:lang w:eastAsia="en-AU"/>
        </w:rPr>
        <w:t>RMP evaluator.</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3029C9">
        <w:rPr>
          <w:lang w:eastAsia="en-AU"/>
        </w:rPr>
        <w:t>5</w:t>
      </w:r>
      <w:r>
        <w:rPr>
          <w:lang w:eastAsia="en-AU"/>
        </w:rPr>
        <w:t>.</w:t>
      </w:r>
    </w:p>
    <w:p w:rsidR="00232A97" w:rsidRDefault="00232A97" w:rsidP="00232A97">
      <w:pPr>
        <w:pStyle w:val="TableTitle"/>
      </w:pPr>
      <w:proofErr w:type="gramStart"/>
      <w:r>
        <w:t xml:space="preserve">Table </w:t>
      </w:r>
      <w:r w:rsidR="003029C9">
        <w:t>5</w:t>
      </w:r>
      <w:r>
        <w:t>:</w:t>
      </w:r>
      <w:r w:rsidRPr="004C5C28">
        <w:t xml:space="preserve"> </w:t>
      </w:r>
      <w:r>
        <w:t>Ongoing safety concerns.</w:t>
      </w:r>
      <w:proofErr w:type="gramEnd"/>
    </w:p>
    <w:tbl>
      <w:tblPr>
        <w:tblStyle w:val="TableTGAblue"/>
        <w:tblW w:w="0" w:type="auto"/>
        <w:tblLook w:val="04A0" w:firstRow="1" w:lastRow="0" w:firstColumn="1" w:lastColumn="0" w:noHBand="0" w:noVBand="1"/>
      </w:tblPr>
      <w:tblGrid>
        <w:gridCol w:w="4304"/>
        <w:gridCol w:w="4416"/>
      </w:tblGrid>
      <w:tr w:rsidR="00913185" w:rsidRPr="0094794F" w:rsidTr="00913185">
        <w:trPr>
          <w:cnfStyle w:val="100000000000" w:firstRow="1" w:lastRow="0" w:firstColumn="0" w:lastColumn="0" w:oddVBand="0" w:evenVBand="0" w:oddHBand="0" w:evenHBand="0" w:firstRowFirstColumn="0" w:firstRowLastColumn="0" w:lastRowFirstColumn="0" w:lastRowLastColumn="0"/>
        </w:trPr>
        <w:tc>
          <w:tcPr>
            <w:tcW w:w="4304" w:type="dxa"/>
          </w:tcPr>
          <w:p w:rsidR="00913185" w:rsidRPr="0094794F" w:rsidRDefault="00913185" w:rsidP="00753DD4">
            <w:r w:rsidRPr="0094794F">
              <w:t>Ongoing safety concern</w:t>
            </w:r>
          </w:p>
        </w:tc>
        <w:tc>
          <w:tcPr>
            <w:tcW w:w="4416" w:type="dxa"/>
          </w:tcPr>
          <w:p w:rsidR="00913185" w:rsidRPr="0094794F" w:rsidRDefault="00913185" w:rsidP="00753DD4"/>
        </w:tc>
      </w:tr>
      <w:tr w:rsidR="00913185" w:rsidRPr="0094794F" w:rsidTr="00913185">
        <w:tc>
          <w:tcPr>
            <w:tcW w:w="4304" w:type="dxa"/>
          </w:tcPr>
          <w:p w:rsidR="00913185" w:rsidRPr="0094794F" w:rsidRDefault="00913185" w:rsidP="00753DD4">
            <w:r w:rsidRPr="0094794F">
              <w:t>Important identified risks</w:t>
            </w:r>
          </w:p>
        </w:tc>
        <w:tc>
          <w:tcPr>
            <w:tcW w:w="4416" w:type="dxa"/>
          </w:tcPr>
          <w:p w:rsidR="00913185" w:rsidRPr="0094794F" w:rsidRDefault="00913185" w:rsidP="00753DD4">
            <w:r w:rsidRPr="0094794F">
              <w:t>None</w:t>
            </w:r>
          </w:p>
        </w:tc>
      </w:tr>
      <w:tr w:rsidR="00913185" w:rsidRPr="0094794F" w:rsidTr="00913185">
        <w:tc>
          <w:tcPr>
            <w:tcW w:w="4304" w:type="dxa"/>
          </w:tcPr>
          <w:p w:rsidR="00913185" w:rsidRPr="0094794F" w:rsidRDefault="00913185" w:rsidP="00753DD4">
            <w:r w:rsidRPr="0094794F">
              <w:t>Important potential risks</w:t>
            </w:r>
          </w:p>
        </w:tc>
        <w:tc>
          <w:tcPr>
            <w:tcW w:w="4416" w:type="dxa"/>
          </w:tcPr>
          <w:p w:rsidR="00913185" w:rsidRPr="0094794F" w:rsidRDefault="00913185" w:rsidP="00753DD4">
            <w:r w:rsidRPr="0094794F">
              <w:t>Immunogenicity</w:t>
            </w:r>
          </w:p>
          <w:p w:rsidR="00913185" w:rsidRPr="0094794F" w:rsidRDefault="00913185" w:rsidP="00753DD4">
            <w:r w:rsidRPr="0094794F">
              <w:t>Hypersensitivity</w:t>
            </w:r>
          </w:p>
          <w:p w:rsidR="00913185" w:rsidRPr="0094794F" w:rsidRDefault="00913185" w:rsidP="00753DD4">
            <w:r w:rsidRPr="0094794F">
              <w:t>Thrombotic events</w:t>
            </w:r>
          </w:p>
          <w:p w:rsidR="00913185" w:rsidRPr="0094794F" w:rsidRDefault="00913185" w:rsidP="00753DD4">
            <w:r w:rsidRPr="0094794F">
              <w:t>Patients with hereditary fructose intolerance</w:t>
            </w:r>
          </w:p>
        </w:tc>
      </w:tr>
      <w:tr w:rsidR="00913185" w:rsidRPr="0094794F" w:rsidTr="00913185">
        <w:tc>
          <w:tcPr>
            <w:tcW w:w="4304" w:type="dxa"/>
          </w:tcPr>
          <w:p w:rsidR="00913185" w:rsidRPr="0094794F" w:rsidRDefault="00913185" w:rsidP="00753DD4">
            <w:r w:rsidRPr="0094794F">
              <w:t>Missing information</w:t>
            </w:r>
          </w:p>
        </w:tc>
        <w:tc>
          <w:tcPr>
            <w:tcW w:w="4416" w:type="dxa"/>
          </w:tcPr>
          <w:p w:rsidR="00913185" w:rsidRPr="0094794F" w:rsidRDefault="00913185" w:rsidP="00753DD4">
            <w:r w:rsidRPr="0094794F">
              <w:t>Paediatric patients</w:t>
            </w:r>
          </w:p>
          <w:p w:rsidR="00913185" w:rsidRPr="0094794F" w:rsidRDefault="00913185" w:rsidP="00753DD4">
            <w:r w:rsidRPr="0094794F">
              <w:t>Pregnancy/breast-feeding</w:t>
            </w:r>
          </w:p>
          <w:p w:rsidR="00913185" w:rsidRPr="0094794F" w:rsidRDefault="00913185" w:rsidP="00753DD4">
            <w:r w:rsidRPr="0094794F">
              <w:t>Re-exposure to idarucizumab</w:t>
            </w:r>
          </w:p>
        </w:tc>
      </w:tr>
    </w:tbl>
    <w:p w:rsidR="00913185" w:rsidRPr="00511344" w:rsidRDefault="00913185" w:rsidP="00913185">
      <w:pPr>
        <w:pStyle w:val="Heading5"/>
      </w:pPr>
      <w:r w:rsidRPr="00511344">
        <w:t xml:space="preserve">RMP </w:t>
      </w:r>
      <w:r>
        <w:t>reviewer comment</w:t>
      </w:r>
    </w:p>
    <w:p w:rsidR="00913185" w:rsidRPr="00913185" w:rsidRDefault="00913185" w:rsidP="00913185">
      <w:r w:rsidRPr="00913185">
        <w:t>Use in patients with renal impairment should be included as an item of missing information in the RMP/ASA.</w:t>
      </w:r>
    </w:p>
    <w:p w:rsidR="00913185" w:rsidRPr="00913185" w:rsidRDefault="00913185" w:rsidP="00913185">
      <w:r w:rsidRPr="00913185">
        <w:t>The sufficiency of the summary of safety concerns will also be considered by the Advisory Committee on the Safety of Medicines</w:t>
      </w:r>
      <w:r w:rsidR="003C2301">
        <w:t xml:space="preserve"> (ACSOM)</w:t>
      </w:r>
      <w:r w:rsidRPr="00913185">
        <w:t>.</w:t>
      </w:r>
    </w:p>
    <w:p w:rsidR="00913185" w:rsidRPr="00913185" w:rsidRDefault="00913185" w:rsidP="00913185">
      <w:r w:rsidRPr="00913185">
        <w:t>The adequacy of the summary of safety concern is also subject to assessment by the clinical and nonclinical evaluators.</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75129C" w:rsidRPr="00511344" w:rsidRDefault="0075129C" w:rsidP="0094794F">
      <w:pPr>
        <w:pStyle w:val="Heading5"/>
      </w:pPr>
      <w:bookmarkStart w:id="166" w:name="_Toc433806335"/>
      <w:r w:rsidRPr="00511344">
        <w:t>Proposed pharmacovigilance activities</w:t>
      </w:r>
      <w:bookmarkEnd w:id="166"/>
    </w:p>
    <w:p w:rsidR="0075129C" w:rsidRDefault="0075129C" w:rsidP="0075129C">
      <w:r w:rsidRPr="0075129C">
        <w:t>Routine pharmacovigilance activities are proposed for all safety concerns.</w:t>
      </w:r>
      <w:r w:rsidR="0094794F">
        <w:t xml:space="preserve"> </w:t>
      </w:r>
      <w:r w:rsidRPr="0075129C">
        <w:t>The following additional pharmacovigilan</w:t>
      </w:r>
      <w:r>
        <w:t xml:space="preserve">ce activities are also proposed (Table </w:t>
      </w:r>
      <w:r w:rsidR="003029C9">
        <w:t>6</w:t>
      </w:r>
      <w:r>
        <w:t>).</w:t>
      </w:r>
    </w:p>
    <w:p w:rsidR="00F95B58" w:rsidRPr="0075129C" w:rsidRDefault="00F95B58" w:rsidP="00753DD4">
      <w:pPr>
        <w:pStyle w:val="TableTitle"/>
        <w:pageBreakBefore/>
      </w:pPr>
      <w:proofErr w:type="gramStart"/>
      <w:r>
        <w:lastRenderedPageBreak/>
        <w:t xml:space="preserve">Table </w:t>
      </w:r>
      <w:r w:rsidR="003029C9">
        <w:t>6</w:t>
      </w:r>
      <w:r>
        <w:t>.</w:t>
      </w:r>
      <w:proofErr w:type="gramEnd"/>
      <w:r w:rsidR="00406DE0">
        <w:t xml:space="preserve"> </w:t>
      </w:r>
      <w:proofErr w:type="gramStart"/>
      <w:r w:rsidR="00406DE0">
        <w:t xml:space="preserve">Proposed </w:t>
      </w:r>
      <w:r w:rsidR="00406DE0" w:rsidRPr="0075129C">
        <w:t>pharmacovigilan</w:t>
      </w:r>
      <w:r w:rsidR="00406DE0">
        <w:t>ce activities.</w:t>
      </w:r>
      <w:proofErr w:type="gramEnd"/>
    </w:p>
    <w:tbl>
      <w:tblPr>
        <w:tblStyle w:val="TableTGAblue"/>
        <w:tblW w:w="8755" w:type="dxa"/>
        <w:tblLayout w:type="fixed"/>
        <w:tblLook w:val="04A0" w:firstRow="1" w:lastRow="0" w:firstColumn="1" w:lastColumn="0" w:noHBand="0" w:noVBand="1"/>
      </w:tblPr>
      <w:tblGrid>
        <w:gridCol w:w="2093"/>
        <w:gridCol w:w="2126"/>
        <w:gridCol w:w="2693"/>
        <w:gridCol w:w="1843"/>
      </w:tblGrid>
      <w:tr w:rsidR="0075129C" w:rsidRPr="00511344" w:rsidTr="0094794F">
        <w:trPr>
          <w:cnfStyle w:val="100000000000" w:firstRow="1" w:lastRow="0" w:firstColumn="0" w:lastColumn="0" w:oddVBand="0" w:evenVBand="0" w:oddHBand="0" w:evenHBand="0" w:firstRowFirstColumn="0" w:firstRowLastColumn="0" w:lastRowFirstColumn="0" w:lastRowLastColumn="0"/>
        </w:trPr>
        <w:tc>
          <w:tcPr>
            <w:tcW w:w="2093" w:type="dxa"/>
          </w:tcPr>
          <w:p w:rsidR="0075129C" w:rsidRPr="00511344" w:rsidRDefault="0075129C" w:rsidP="00753DD4">
            <w:pPr>
              <w:rPr>
                <w:b w:val="0"/>
              </w:rPr>
            </w:pPr>
            <w:r w:rsidRPr="00511344">
              <w:t>Additional activity</w:t>
            </w:r>
          </w:p>
        </w:tc>
        <w:tc>
          <w:tcPr>
            <w:tcW w:w="2126" w:type="dxa"/>
          </w:tcPr>
          <w:p w:rsidR="0075129C" w:rsidRPr="00511344" w:rsidRDefault="0075129C" w:rsidP="00753DD4">
            <w:pPr>
              <w:rPr>
                <w:b w:val="0"/>
              </w:rPr>
            </w:pPr>
            <w:r w:rsidRPr="00511344">
              <w:t>Assigned safety concern</w:t>
            </w:r>
          </w:p>
        </w:tc>
        <w:tc>
          <w:tcPr>
            <w:tcW w:w="2693" w:type="dxa"/>
          </w:tcPr>
          <w:p w:rsidR="0075129C" w:rsidRPr="00511344" w:rsidRDefault="0075129C" w:rsidP="00753DD4">
            <w:pPr>
              <w:rPr>
                <w:b w:val="0"/>
              </w:rPr>
            </w:pPr>
            <w:r w:rsidRPr="00511344">
              <w:t>Actions/outcome proposed</w:t>
            </w:r>
          </w:p>
        </w:tc>
        <w:tc>
          <w:tcPr>
            <w:tcW w:w="1843" w:type="dxa"/>
          </w:tcPr>
          <w:p w:rsidR="0075129C" w:rsidRPr="00511344" w:rsidRDefault="0075129C" w:rsidP="00753DD4">
            <w:pPr>
              <w:rPr>
                <w:b w:val="0"/>
              </w:rPr>
            </w:pPr>
            <w:r w:rsidRPr="00511344">
              <w:t>Estimated planned submission of final data</w:t>
            </w:r>
          </w:p>
        </w:tc>
      </w:tr>
      <w:tr w:rsidR="0075129C" w:rsidRPr="00511344" w:rsidTr="0094794F">
        <w:tc>
          <w:tcPr>
            <w:tcW w:w="2093" w:type="dxa"/>
          </w:tcPr>
          <w:p w:rsidR="0075129C" w:rsidRPr="00511344" w:rsidRDefault="0075129C" w:rsidP="00753DD4">
            <w:r>
              <w:t>Trial 1321.3</w:t>
            </w:r>
            <w:r w:rsidR="00753DD4">
              <w:t xml:space="preserve"> </w:t>
            </w:r>
            <w:r>
              <w:t>Phase III case series clinical study (ongoing)</w:t>
            </w:r>
          </w:p>
        </w:tc>
        <w:tc>
          <w:tcPr>
            <w:tcW w:w="2126" w:type="dxa"/>
          </w:tcPr>
          <w:p w:rsidR="0075129C" w:rsidRPr="00511344" w:rsidRDefault="0075129C" w:rsidP="00753DD4">
            <w:r>
              <w:t>Important potential risks:  ‘Immunogenicity’, ‘Hypersensitivity’ and ‘Thrombotic events’.</w:t>
            </w:r>
          </w:p>
        </w:tc>
        <w:tc>
          <w:tcPr>
            <w:tcW w:w="2693" w:type="dxa"/>
          </w:tcPr>
          <w:p w:rsidR="0075129C" w:rsidRPr="00511344" w:rsidRDefault="0075129C" w:rsidP="00753DD4">
            <w:r>
              <w:t>To evaluate the reversal of the anticoagulant effects of dabigatran by IV administration of 5g idarucizumab in patients treated with dabigatran etexilate who have uncontrolled bleeding or require emergency surgery or procedures.</w:t>
            </w:r>
          </w:p>
        </w:tc>
        <w:tc>
          <w:tcPr>
            <w:tcW w:w="1843" w:type="dxa"/>
          </w:tcPr>
          <w:p w:rsidR="0075129C" w:rsidRPr="00511344" w:rsidRDefault="0075129C" w:rsidP="00753DD4">
            <w:r>
              <w:t>Final report Q4 2017.</w:t>
            </w:r>
          </w:p>
        </w:tc>
      </w:tr>
      <w:tr w:rsidR="0075129C" w:rsidRPr="00511344" w:rsidTr="0094794F">
        <w:tc>
          <w:tcPr>
            <w:tcW w:w="2093" w:type="dxa"/>
          </w:tcPr>
          <w:p w:rsidR="0075129C" w:rsidRDefault="0075129C" w:rsidP="00753DD4">
            <w:r>
              <w:t>Idarucizumab drug administration surveillance program</w:t>
            </w:r>
          </w:p>
        </w:tc>
        <w:tc>
          <w:tcPr>
            <w:tcW w:w="2126" w:type="dxa"/>
          </w:tcPr>
          <w:p w:rsidR="0075129C" w:rsidRDefault="0075129C" w:rsidP="00753DD4">
            <w:r>
              <w:t>No specific safety concerns assigned.</w:t>
            </w:r>
          </w:p>
        </w:tc>
        <w:tc>
          <w:tcPr>
            <w:tcW w:w="2693" w:type="dxa"/>
          </w:tcPr>
          <w:p w:rsidR="0075129C" w:rsidRDefault="0075129C" w:rsidP="00753DD4">
            <w:r>
              <w:t>No detail provided</w:t>
            </w:r>
          </w:p>
        </w:tc>
        <w:tc>
          <w:tcPr>
            <w:tcW w:w="1843" w:type="dxa"/>
          </w:tcPr>
          <w:p w:rsidR="0075129C" w:rsidRDefault="0075129C" w:rsidP="00753DD4">
            <w:r>
              <w:t>Final report planned for Q1 2019 depending on enrolment and market authorisation status.</w:t>
            </w:r>
          </w:p>
        </w:tc>
      </w:tr>
      <w:tr w:rsidR="0075129C" w:rsidRPr="00511344" w:rsidTr="0094794F">
        <w:tc>
          <w:tcPr>
            <w:tcW w:w="2093" w:type="dxa"/>
          </w:tcPr>
          <w:p w:rsidR="0075129C" w:rsidRDefault="0075129C" w:rsidP="00753DD4">
            <w:r>
              <w:t>Trial 1321.11</w:t>
            </w:r>
            <w:r w:rsidR="00753DD4">
              <w:t xml:space="preserve"> </w:t>
            </w:r>
            <w:r>
              <w:t>Non-interventional paediatric safety study.</w:t>
            </w:r>
          </w:p>
        </w:tc>
        <w:tc>
          <w:tcPr>
            <w:tcW w:w="2126" w:type="dxa"/>
          </w:tcPr>
          <w:p w:rsidR="0075129C" w:rsidRDefault="0075129C" w:rsidP="00753DD4">
            <w:r>
              <w:t>Missing information: ‘paediatric patients’</w:t>
            </w:r>
          </w:p>
        </w:tc>
        <w:tc>
          <w:tcPr>
            <w:tcW w:w="2693" w:type="dxa"/>
          </w:tcPr>
          <w:p w:rsidR="0075129C" w:rsidRDefault="0075129C" w:rsidP="00753DD4">
            <w:r>
              <w:t>To evaluate the safety in potential paediatric patients.</w:t>
            </w:r>
          </w:p>
        </w:tc>
        <w:tc>
          <w:tcPr>
            <w:tcW w:w="1843" w:type="dxa"/>
          </w:tcPr>
          <w:p w:rsidR="0075129C" w:rsidRDefault="00753DD4" w:rsidP="00753DD4">
            <w:r>
              <w:t>Final</w:t>
            </w:r>
            <w:r w:rsidR="0075129C">
              <w:t xml:space="preserve"> report planned for Q1 2019 depending on enrolment and marketing authorisation status.</w:t>
            </w:r>
          </w:p>
        </w:tc>
      </w:tr>
    </w:tbl>
    <w:p w:rsidR="0075129C" w:rsidRPr="00511344" w:rsidRDefault="0075129C" w:rsidP="0094794F">
      <w:pPr>
        <w:pStyle w:val="Heading5"/>
      </w:pPr>
      <w:bookmarkStart w:id="167" w:name="_Toc433806336"/>
      <w:r w:rsidRPr="00511344">
        <w:t xml:space="preserve">RMP </w:t>
      </w:r>
      <w:r w:rsidR="0094794F">
        <w:t>reviewer</w:t>
      </w:r>
      <w:r w:rsidRPr="00511344">
        <w:t xml:space="preserve"> comments</w:t>
      </w:r>
      <w:bookmarkEnd w:id="167"/>
    </w:p>
    <w:p w:rsidR="009A7609" w:rsidRDefault="0075129C" w:rsidP="0094794F">
      <w:r w:rsidRPr="0094794F">
        <w:t xml:space="preserve">A protocol for Trial 1321.3 has been provided </w:t>
      </w:r>
      <w:r w:rsidR="00753DD4">
        <w:t>as an attachment to the EU RMP.</w:t>
      </w:r>
    </w:p>
    <w:p w:rsidR="0075129C" w:rsidRPr="0094794F" w:rsidRDefault="0075129C" w:rsidP="0094794F">
      <w:r w:rsidRPr="0094794F">
        <w:t>Little information is given regarding the ‘idarucizumab drug administration surveillance program’ which is briefly mentioned in the RMP but is not included in the ASA. The sponsor should provide further details of this activity including its objectives as</w:t>
      </w:r>
      <w:r w:rsidR="003029C9">
        <w:t xml:space="preserve"> additional pharmacovigilance. </w:t>
      </w:r>
      <w:r w:rsidRPr="0094794F">
        <w:t>Sufficient detail should also be included in a revision to the ASA.</w:t>
      </w:r>
    </w:p>
    <w:p w:rsidR="0075129C" w:rsidRPr="0094794F" w:rsidRDefault="0075129C" w:rsidP="0094794F">
      <w:r w:rsidRPr="0094794F">
        <w:t>Advice will be sought from the ACSOM as to the adequacy of the pharmacovigilance plan to monitor risks associated with idarucizumab in Australia.</w:t>
      </w:r>
    </w:p>
    <w:p w:rsidR="008E7846" w:rsidRDefault="008E7846" w:rsidP="008E7846">
      <w:pPr>
        <w:pStyle w:val="Heading4"/>
        <w:rPr>
          <w:lang w:eastAsia="en-AU"/>
        </w:rPr>
      </w:pPr>
      <w:r>
        <w:rPr>
          <w:lang w:eastAsia="en-AU"/>
        </w:rPr>
        <w:lastRenderedPageBreak/>
        <w:t xml:space="preserve">Risk </w:t>
      </w:r>
      <w:r w:rsidR="003A7F6C">
        <w:rPr>
          <w:lang w:eastAsia="en-AU"/>
        </w:rPr>
        <w:t>m</w:t>
      </w:r>
      <w:r>
        <w:rPr>
          <w:lang w:eastAsia="en-AU"/>
        </w:rPr>
        <w:t xml:space="preserve">inimisation </w:t>
      </w:r>
      <w:r w:rsidR="003A7F6C">
        <w:rPr>
          <w:lang w:eastAsia="en-AU"/>
        </w:rPr>
        <w:t>a</w:t>
      </w:r>
      <w:r>
        <w:rPr>
          <w:lang w:eastAsia="en-AU"/>
        </w:rPr>
        <w:t>ctivities</w:t>
      </w:r>
    </w:p>
    <w:p w:rsidR="0094794F" w:rsidRPr="0094794F" w:rsidRDefault="0094794F" w:rsidP="0094794F">
      <w:r w:rsidRPr="0094794F">
        <w:t>The sponsor has concluded that routin</w:t>
      </w:r>
      <w:r w:rsidR="004D5039">
        <w:t xml:space="preserve">e risk minimisation (that is, </w:t>
      </w:r>
      <w:r w:rsidRPr="0094794F">
        <w:t>product labelling) is sufficient to mitigate the risks</w:t>
      </w:r>
      <w:r w:rsidR="003029C9">
        <w:t xml:space="preserve"> associated with idarucizumab. </w:t>
      </w:r>
      <w:r w:rsidRPr="0094794F">
        <w:t>No additional risk minimisation activities are proposed.</w:t>
      </w:r>
    </w:p>
    <w:p w:rsidR="0094794F" w:rsidRPr="00511344" w:rsidRDefault="0094794F" w:rsidP="0094794F">
      <w:pPr>
        <w:pStyle w:val="Heading5"/>
      </w:pPr>
      <w:r w:rsidRPr="00511344">
        <w:t>RMP</w:t>
      </w:r>
      <w:r>
        <w:t xml:space="preserve"> reviewer comment</w:t>
      </w:r>
    </w:p>
    <w:p w:rsidR="0094794F" w:rsidRPr="0094794F" w:rsidRDefault="0094794F" w:rsidP="0094794F">
      <w:r w:rsidRPr="0094794F">
        <w:t>Routine risk minimisation activities may be acceptable as long as the PI and CMI are sufficiently robust.</w:t>
      </w:r>
    </w:p>
    <w:p w:rsidR="0094794F" w:rsidRPr="0094794F" w:rsidRDefault="0094794F" w:rsidP="0094794F">
      <w:r w:rsidRPr="0094794F">
        <w:t>Advice will be sought from the ACSOM regarding the adequacy of the risk minimisation plan to mitigate risks</w:t>
      </w:r>
      <w:r w:rsidR="00AF15E2">
        <w:t xml:space="preserve"> associated with idarucizumab, </w:t>
      </w:r>
      <w:r w:rsidRPr="0094794F">
        <w:t>particularly given the paucity of international post</w:t>
      </w:r>
      <w:r w:rsidR="00723D36">
        <w:t xml:space="preserve"> </w:t>
      </w:r>
      <w:r w:rsidRPr="0094794F">
        <w:t>marketing experience.</w:t>
      </w:r>
    </w:p>
    <w:p w:rsidR="009A7609" w:rsidRDefault="006F25B8" w:rsidP="006F25B8">
      <w:pPr>
        <w:pStyle w:val="Heading4"/>
        <w:rPr>
          <w:lang w:eastAsia="en-AU"/>
        </w:rPr>
      </w:pPr>
      <w:bookmarkStart w:id="168" w:name="_Toc247691527"/>
      <w:r w:rsidRPr="006F25B8">
        <w:rPr>
          <w:lang w:eastAsia="en-AU"/>
        </w:rPr>
        <w:t>Reconciliation of issues outlined in the RMP report</w:t>
      </w:r>
    </w:p>
    <w:p w:rsidR="00F1158B" w:rsidRDefault="00F1158B" w:rsidP="00F1158B">
      <w:pPr>
        <w:rPr>
          <w:lang w:eastAsia="en-AU"/>
        </w:rPr>
      </w:pPr>
      <w:r>
        <w:rPr>
          <w:lang w:eastAsia="en-AU"/>
        </w:rPr>
        <w:t>The following section summarises the first round evaluation of the RMP, the sponsor’s responses to issues raised by the TGA RMP reviewer, and the RMP reviewer’s evaluation of the sponsor’s responses.</w:t>
      </w:r>
    </w:p>
    <w:p w:rsidR="00A61AD1" w:rsidRDefault="00A61AD1" w:rsidP="00A61AD1">
      <w:pPr>
        <w:pStyle w:val="Heading5"/>
      </w:pPr>
      <w:r w:rsidRPr="00A24C10">
        <w:t xml:space="preserve">Recommendation </w:t>
      </w:r>
      <w:r>
        <w:t xml:space="preserve">#1 </w:t>
      </w:r>
      <w:r w:rsidRPr="00A24C10">
        <w:t>in RMP evaluation report</w:t>
      </w:r>
    </w:p>
    <w:p w:rsidR="00A61AD1" w:rsidRPr="000B2059" w:rsidRDefault="000C7078" w:rsidP="00A61AD1">
      <w:r w:rsidRPr="000C7078">
        <w:t xml:space="preserve">Safety considerations may be raised by the nonclinical and clinical evaluators through the consolidated </w:t>
      </w:r>
      <w:r w:rsidR="00723D36">
        <w:t>S</w:t>
      </w:r>
      <w:r w:rsidRPr="000C7078">
        <w:t xml:space="preserve">ection 31 request and/or the </w:t>
      </w:r>
      <w:r w:rsidR="00723D36">
        <w:t>n</w:t>
      </w:r>
      <w:r w:rsidRPr="000C7078">
        <w:t xml:space="preserve">onclinical and </w:t>
      </w:r>
      <w:r w:rsidR="00723D36">
        <w:t>clinical e</w:t>
      </w:r>
      <w:r w:rsidRPr="000C7078">
        <w:t xml:space="preserve">valuation </w:t>
      </w:r>
      <w:r w:rsidR="00723D36">
        <w:t>r</w:t>
      </w:r>
      <w:r w:rsidRPr="000C7078">
        <w:t>eports respectively. It is important to ensure that the information provided in response to these include</w:t>
      </w:r>
      <w:r w:rsidR="003029C9">
        <w:t>s</w:t>
      </w:r>
      <w:r w:rsidRPr="000C7078">
        <w:t xml:space="preserve"> a consideration of the relevance for the </w:t>
      </w:r>
      <w:r w:rsidR="003029C9">
        <w:t>RMP</w:t>
      </w:r>
      <w:r w:rsidRPr="000C7078">
        <w:t>, and any specific information needed to address this issue in the RMP. For any safety considerations so raised, the sponsor should provide information that is relevant and necessary to address the issue in the RMP.</w:t>
      </w:r>
    </w:p>
    <w:p w:rsidR="00A61AD1" w:rsidRDefault="00A61AD1" w:rsidP="00A61AD1">
      <w:pPr>
        <w:pStyle w:val="Heading5"/>
      </w:pPr>
      <w:r>
        <w:t>Sponsor response</w:t>
      </w:r>
    </w:p>
    <w:p w:rsidR="00A61AD1" w:rsidRPr="002C242A" w:rsidRDefault="000C7078" w:rsidP="00A61AD1">
      <w:r w:rsidRPr="000C7078">
        <w:t xml:space="preserve">The </w:t>
      </w:r>
      <w:r w:rsidR="006F218E">
        <w:t>e</w:t>
      </w:r>
      <w:r w:rsidRPr="000C7078">
        <w:t>valuator’s comment has been noted.</w:t>
      </w:r>
    </w:p>
    <w:p w:rsidR="00A61AD1" w:rsidRDefault="00A61AD1" w:rsidP="00A61AD1">
      <w:pPr>
        <w:pStyle w:val="Heading5"/>
      </w:pPr>
      <w:r>
        <w:t>Evaluator’s comment</w:t>
      </w:r>
    </w:p>
    <w:p w:rsidR="00A61AD1" w:rsidRDefault="000C7078" w:rsidP="00A61AD1">
      <w:pPr>
        <w:rPr>
          <w:lang w:eastAsia="en-AU"/>
        </w:rPr>
      </w:pPr>
      <w:r>
        <w:rPr>
          <w:rFonts w:asciiTheme="minorHAnsi" w:hAnsiTheme="minorHAnsi"/>
        </w:rPr>
        <w:t>N/A</w:t>
      </w:r>
    </w:p>
    <w:p w:rsidR="00B271A3" w:rsidRDefault="00B271A3" w:rsidP="00B271A3">
      <w:pPr>
        <w:pStyle w:val="Heading5"/>
      </w:pPr>
      <w:r w:rsidRPr="00A24C10">
        <w:t xml:space="preserve">Recommendation </w:t>
      </w:r>
      <w:r>
        <w:t xml:space="preserve">#2 </w:t>
      </w:r>
      <w:r w:rsidRPr="00A24C10">
        <w:t>in RMP evaluation report</w:t>
      </w:r>
    </w:p>
    <w:p w:rsidR="00B271A3" w:rsidRPr="000B2059" w:rsidRDefault="00E51FDF" w:rsidP="00B271A3">
      <w:r w:rsidRPr="00E51FDF">
        <w:t>Section 4.2: Given the recent positive opinion in the EU, the sponsor should confirm whether the RMP submitted to Australia is identical to the RMP accepted in the EU. If there have been changes to the RMP as a result of negotiations in the EU, the updated EU RMP reflecting these change</w:t>
      </w:r>
      <w:r>
        <w:t xml:space="preserve">s should be submitted with the Section </w:t>
      </w:r>
      <w:r w:rsidRPr="00E51FDF">
        <w:t>31 response.</w:t>
      </w:r>
    </w:p>
    <w:p w:rsidR="00B271A3" w:rsidRDefault="00B271A3" w:rsidP="00B271A3">
      <w:pPr>
        <w:pStyle w:val="Heading5"/>
      </w:pPr>
      <w:r>
        <w:t>Sponsor response</w:t>
      </w:r>
    </w:p>
    <w:p w:rsidR="00E51FDF" w:rsidRPr="00E51FDF" w:rsidRDefault="00E51FDF" w:rsidP="00E51FDF">
      <w:r w:rsidRPr="00E51FDF">
        <w:t>As a result of negotiations in the EU some details of the RMP have been changed. The updated RMP version 2 dated 19 Nov</w:t>
      </w:r>
      <w:r w:rsidR="001F1C86">
        <w:t>ember</w:t>
      </w:r>
      <w:r w:rsidRPr="00E51FDF">
        <w:t xml:space="preserve"> 2015 and the c</w:t>
      </w:r>
      <w:r w:rsidR="00AF612E">
        <w:t>orresponding updated ASA</w:t>
      </w:r>
      <w:r w:rsidRPr="00E51FDF">
        <w:t xml:space="preserve"> are provided with this response.</w:t>
      </w:r>
    </w:p>
    <w:p w:rsidR="00B271A3" w:rsidRPr="00E51FDF" w:rsidRDefault="00E51FDF" w:rsidP="00E51FDF">
      <w:r w:rsidRPr="00E51FDF">
        <w:t>During the discussion with EMA, the most important change of the EU-RMP was the deletion of the important identified risk “Patients with hereditary fructose intolerance”. The reason for the deletion was the fact that under emergency or life-threatening conditions, the benefit-risk ratio in these patients may be positive. Based on this, in the EU-SmPC, no contraindication for patients with hereditary fructose intolerance has been included but a precaution is included in the warning section.</w:t>
      </w:r>
    </w:p>
    <w:p w:rsidR="00B271A3" w:rsidRDefault="00B271A3" w:rsidP="00B271A3">
      <w:pPr>
        <w:pStyle w:val="Heading5"/>
      </w:pPr>
      <w:r>
        <w:t>Evaluator’s comment</w:t>
      </w:r>
    </w:p>
    <w:p w:rsidR="00B271A3" w:rsidRPr="00E51FDF" w:rsidRDefault="00E51FDF" w:rsidP="00E51FDF">
      <w:r w:rsidRPr="00E51FDF">
        <w:t>This is acceptable from an RMP perspective.</w:t>
      </w:r>
    </w:p>
    <w:p w:rsidR="00B271A3" w:rsidRDefault="00B271A3" w:rsidP="00B271A3">
      <w:pPr>
        <w:pStyle w:val="Heading5"/>
      </w:pPr>
      <w:r w:rsidRPr="00A24C10">
        <w:lastRenderedPageBreak/>
        <w:t xml:space="preserve">Recommendation </w:t>
      </w:r>
      <w:r>
        <w:t xml:space="preserve">#3 </w:t>
      </w:r>
      <w:r w:rsidRPr="00A24C10">
        <w:t>in RMP evaluation report</w:t>
      </w:r>
    </w:p>
    <w:p w:rsidR="00B271A3" w:rsidRPr="00E51FDF" w:rsidRDefault="00E51FDF" w:rsidP="00E51FDF">
      <w:r w:rsidRPr="00E51FDF">
        <w:t>Use in patients with renal impairment should be included as an item of missing information in the RMP/ASA unless a compelling justification can be provided.</w:t>
      </w:r>
    </w:p>
    <w:p w:rsidR="00B271A3" w:rsidRDefault="00B271A3" w:rsidP="00B271A3">
      <w:pPr>
        <w:pStyle w:val="Heading5"/>
      </w:pPr>
      <w:r>
        <w:t>Sponsor response</w:t>
      </w:r>
    </w:p>
    <w:p w:rsidR="00B271A3" w:rsidRPr="00E51FDF" w:rsidRDefault="00E51FDF" w:rsidP="00E51FDF">
      <w:r w:rsidRPr="00E51FDF">
        <w:t>The sponsor has provided th</w:t>
      </w:r>
      <w:r w:rsidR="00712ED4">
        <w:t xml:space="preserve">e requested justification (see Section </w:t>
      </w:r>
      <w:r w:rsidRPr="00E51FDF">
        <w:t>31 response).</w:t>
      </w:r>
    </w:p>
    <w:p w:rsidR="00B271A3" w:rsidRDefault="00B271A3" w:rsidP="00B271A3">
      <w:pPr>
        <w:pStyle w:val="Heading5"/>
      </w:pPr>
      <w:r>
        <w:t>Evaluator’s comment</w:t>
      </w:r>
    </w:p>
    <w:p w:rsidR="00B271A3" w:rsidRPr="00E51FDF" w:rsidRDefault="00E51FDF" w:rsidP="00E51FDF">
      <w:r w:rsidRPr="00E51FDF">
        <w:t>The sponsor’s justification not to include ‘patients with renal impairment’ as an item of missing information is acceptable from an RMP perspective.</w:t>
      </w:r>
    </w:p>
    <w:p w:rsidR="00B271A3" w:rsidRDefault="00B271A3" w:rsidP="00B271A3">
      <w:pPr>
        <w:pStyle w:val="Heading5"/>
      </w:pPr>
      <w:r w:rsidRPr="00A24C10">
        <w:t xml:space="preserve">Recommendation </w:t>
      </w:r>
      <w:r>
        <w:t xml:space="preserve">#4 </w:t>
      </w:r>
      <w:r w:rsidRPr="00A24C10">
        <w:t>in RMP evaluation report</w:t>
      </w:r>
    </w:p>
    <w:p w:rsidR="00B271A3" w:rsidRPr="00D9617A" w:rsidRDefault="00D9617A" w:rsidP="00D9617A">
      <w:r w:rsidRPr="00D9617A">
        <w:t>Little information is given regarding the ‘idarucizumab drug administration surveillance program’ which is briefly mentioned in the EU RMP but is not included in the ASA. The sponsor should provide further details of this activity including its objectives as</w:t>
      </w:r>
      <w:r w:rsidR="00197A4C">
        <w:t xml:space="preserve"> additional pharmacovigilance. </w:t>
      </w:r>
      <w:r w:rsidRPr="00D9617A">
        <w:t>Details of this activity should also be included in a revision to the ASA.</w:t>
      </w:r>
    </w:p>
    <w:p w:rsidR="00B271A3" w:rsidRDefault="00B271A3" w:rsidP="00B271A3">
      <w:pPr>
        <w:pStyle w:val="Heading5"/>
      </w:pPr>
      <w:r>
        <w:t>Sponsor response</w:t>
      </w:r>
    </w:p>
    <w:p w:rsidR="00D9617A" w:rsidRPr="00D9617A" w:rsidRDefault="00D9617A" w:rsidP="00D9617A">
      <w:r w:rsidRPr="00D9617A">
        <w:t>The idarucizumab drug administration surveillance program aims to globally monitor the use of idarucizumab in routine clinical practice including a large proportion of patients receiving idarucizumab. The program will be globally available to all hospital pharmacies where idarucizumab is dispensed depending on market authorisation, country regulations and requirement. The data collected in this surveillance program will be fully anonymised and hospital pharmacy characteristics, basic demographic data as well as basic information on the use of idarucizumab (such as indication of use) will be collected.</w:t>
      </w:r>
    </w:p>
    <w:p w:rsidR="00D9617A" w:rsidRPr="00D9617A" w:rsidRDefault="00D9617A" w:rsidP="00D9617A">
      <w:r w:rsidRPr="00D9617A">
        <w:t>Details of the program can be foun</w:t>
      </w:r>
      <w:r w:rsidR="00197A4C">
        <w:t>d in the submission in document “</w:t>
      </w:r>
      <w:r w:rsidRPr="00D9617A">
        <w:t>Repor</w:t>
      </w:r>
      <w:r w:rsidR="00B04051">
        <w:t>ts of post marketing experience”</w:t>
      </w:r>
      <w:r w:rsidRPr="00D9617A">
        <w:t>. This document is also attached with this response.</w:t>
      </w:r>
    </w:p>
    <w:p w:rsidR="00B271A3" w:rsidRPr="00D9617A" w:rsidRDefault="00D9617A" w:rsidP="00D9617A">
      <w:r w:rsidRPr="00D9617A">
        <w:t>Boehringer Ingelheim is currently assessing the feasibility of implementing this program in Australia. As such, this has not been included in the ASA.</w:t>
      </w:r>
    </w:p>
    <w:p w:rsidR="00B271A3" w:rsidRDefault="00B271A3" w:rsidP="00B271A3">
      <w:pPr>
        <w:pStyle w:val="Heading5"/>
      </w:pPr>
      <w:r>
        <w:t>Evaluator’s comment</w:t>
      </w:r>
    </w:p>
    <w:p w:rsidR="00D9617A" w:rsidRPr="00D9617A" w:rsidRDefault="00D9617A" w:rsidP="00D9617A">
      <w:r w:rsidRPr="00D9617A">
        <w:t xml:space="preserve">Results of this activity should be communicated to the TGA in the appropriate fashion, as well as in </w:t>
      </w:r>
      <w:r w:rsidR="00C25307" w:rsidRPr="00C25307">
        <w:t>Periodic Safety Update Reports</w:t>
      </w:r>
      <w:r w:rsidR="00C25307">
        <w:t xml:space="preserve"> (PSURs)</w:t>
      </w:r>
      <w:r w:rsidRPr="00D9617A">
        <w:t>.</w:t>
      </w:r>
    </w:p>
    <w:p w:rsidR="00B271A3" w:rsidRPr="00D9617A" w:rsidRDefault="00D9617A" w:rsidP="00D9617A">
      <w:r w:rsidRPr="00D9617A">
        <w:t>It is recommended that the surveillance program should be extended to include Australian patients.</w:t>
      </w:r>
    </w:p>
    <w:p w:rsidR="00B271A3" w:rsidRDefault="00B271A3" w:rsidP="00B271A3">
      <w:pPr>
        <w:pStyle w:val="Heading5"/>
      </w:pPr>
      <w:r w:rsidRPr="00A24C10">
        <w:t xml:space="preserve">Recommendation </w:t>
      </w:r>
      <w:r>
        <w:t xml:space="preserve">#5 </w:t>
      </w:r>
      <w:r w:rsidRPr="00A24C10">
        <w:t>in RMP evaluation report</w:t>
      </w:r>
    </w:p>
    <w:p w:rsidR="00B271A3" w:rsidRPr="00D9617A" w:rsidRDefault="00D9617A" w:rsidP="00D9617A">
      <w:r w:rsidRPr="00D9617A">
        <w:t xml:space="preserve">From a risk minimisation perspective there is </w:t>
      </w:r>
      <w:proofErr w:type="gramStart"/>
      <w:r w:rsidRPr="00D9617A">
        <w:t>a risk of under dosage given two 2.5 g vials are</w:t>
      </w:r>
      <w:proofErr w:type="gramEnd"/>
      <w:r w:rsidRPr="00D9617A">
        <w:t xml:space="preserve"> required to achieve the recommended dose. Given there are no alternative dosage regimens proposed it is unclear why a 5</w:t>
      </w:r>
      <w:r w:rsidR="002143BF">
        <w:t xml:space="preserve"> </w:t>
      </w:r>
      <w:r w:rsidRPr="00D9617A">
        <w:t>g vial has not been made available and the sponsor should provide the rationale for the current dosage presentation.</w:t>
      </w:r>
    </w:p>
    <w:p w:rsidR="00B271A3" w:rsidRDefault="00B271A3" w:rsidP="00B271A3">
      <w:pPr>
        <w:pStyle w:val="Heading5"/>
      </w:pPr>
      <w:r>
        <w:t>Sponsor response</w:t>
      </w:r>
    </w:p>
    <w:p w:rsidR="00B271A3" w:rsidRPr="00D9617A" w:rsidRDefault="00D9617A" w:rsidP="00D9617A">
      <w:r w:rsidRPr="00D9617A">
        <w:t xml:space="preserve">The sponsor has provided a justification in </w:t>
      </w:r>
      <w:r w:rsidR="006E4FEA">
        <w:t xml:space="preserve">response to this question (see Section </w:t>
      </w:r>
      <w:r w:rsidRPr="00D9617A">
        <w:t>31 response).</w:t>
      </w:r>
    </w:p>
    <w:p w:rsidR="00B271A3" w:rsidRDefault="00B271A3" w:rsidP="00B271A3">
      <w:pPr>
        <w:pStyle w:val="Heading5"/>
      </w:pPr>
      <w:r>
        <w:t>Evaluator’s comment</w:t>
      </w:r>
    </w:p>
    <w:p w:rsidR="00B271A3" w:rsidRPr="00D9617A" w:rsidRDefault="00D9617A" w:rsidP="00D9617A">
      <w:r w:rsidRPr="00D9617A">
        <w:t>There is an inherent risk of medication error when 2 vials are required to achieve a standard dose.  There should be a low threshold for re-examining the risk minimisation plan should reports of medication error occur in the post</w:t>
      </w:r>
      <w:r w:rsidR="006E4FEA">
        <w:t xml:space="preserve"> </w:t>
      </w:r>
      <w:r w:rsidRPr="00D9617A">
        <w:t>marketing period.</w:t>
      </w:r>
    </w:p>
    <w:p w:rsidR="00B271A3" w:rsidRDefault="00B271A3" w:rsidP="00B271A3">
      <w:pPr>
        <w:pStyle w:val="Heading5"/>
      </w:pPr>
      <w:r w:rsidRPr="00A24C10">
        <w:lastRenderedPageBreak/>
        <w:t xml:space="preserve">Recommendation </w:t>
      </w:r>
      <w:r>
        <w:t xml:space="preserve">#6 </w:t>
      </w:r>
      <w:r w:rsidRPr="00A24C10">
        <w:t>in RMP evaluation report</w:t>
      </w:r>
    </w:p>
    <w:p w:rsidR="00B271A3" w:rsidRPr="00D9617A" w:rsidRDefault="00D9617A" w:rsidP="00D9617A">
      <w:r w:rsidRPr="00D9617A">
        <w:t>The ASA briefly mentions “therapeutic area specific educational material”. Little detail is provided and it is unclear if the sponsor is proposing this as an additional risk minimisation activity. More deta</w:t>
      </w:r>
      <w:r w:rsidR="006E4FEA">
        <w:t xml:space="preserve">il should be provided with the Section </w:t>
      </w:r>
      <w:r w:rsidRPr="00D9617A">
        <w:t>31 response including draft educational materials if available.</w:t>
      </w:r>
    </w:p>
    <w:p w:rsidR="00B271A3" w:rsidRDefault="00B271A3" w:rsidP="00B271A3">
      <w:pPr>
        <w:pStyle w:val="Heading5"/>
      </w:pPr>
      <w:r>
        <w:t>Sponsor response</w:t>
      </w:r>
    </w:p>
    <w:p w:rsidR="00D9617A" w:rsidRPr="00D9617A" w:rsidRDefault="00D9617A" w:rsidP="00D9617A">
      <w:r w:rsidRPr="00D9617A">
        <w:t xml:space="preserve">As stated in the ASA, </w:t>
      </w:r>
      <w:r w:rsidR="006D4FEE">
        <w:t>the sponsor</w:t>
      </w:r>
      <w:r w:rsidRPr="00D9617A">
        <w:t xml:space="preserve"> provides therapeutic area specific educational material on an ongoing basis.</w:t>
      </w:r>
    </w:p>
    <w:p w:rsidR="00D9617A" w:rsidRPr="00D9617A" w:rsidRDefault="00D9617A" w:rsidP="00D9617A">
      <w:r w:rsidRPr="00D9617A">
        <w:t>As part of our routine new product launch activities and commitment to the quality use of medicines, product specific educational materials will be provided to hospitals that request access to idarucizumab (currently via Special Access Scheme (SAS)). These materials include information on the proper and safe use of the product, identification of appropriate patients and dosage and administration information. They have been developed in close consultation with our local idarucizumab advisory board which is comprised of cardiologists, neurologists, haematologists, anaesthetists, emergency physicians and a hospital Director of Pharmacy. A group of trained medical personnel will be available to provide face-to-face training to hospitals.</w:t>
      </w:r>
    </w:p>
    <w:p w:rsidR="00D9617A" w:rsidRPr="00D9617A" w:rsidRDefault="00D9617A" w:rsidP="00D9617A">
      <w:r w:rsidRPr="00D9617A">
        <w:t>A copy of the current educational materials is provided with this response:</w:t>
      </w:r>
    </w:p>
    <w:p w:rsidR="00D9617A" w:rsidRPr="00D9617A" w:rsidRDefault="00D9617A" w:rsidP="00753DD4">
      <w:pPr>
        <w:pStyle w:val="ListBullet"/>
      </w:pPr>
      <w:r w:rsidRPr="00D9617A">
        <w:t>Idaru</w:t>
      </w:r>
      <w:r>
        <w:t>cizumab for dabigatran (Pradaxa</w:t>
      </w:r>
      <w:r w:rsidRPr="00D9617A">
        <w:t>) reversal key considerations for clinicians</w:t>
      </w:r>
    </w:p>
    <w:p w:rsidR="00D9617A" w:rsidRPr="00D9617A" w:rsidRDefault="00D9617A" w:rsidP="00753DD4">
      <w:pPr>
        <w:pStyle w:val="ListBullet"/>
      </w:pPr>
      <w:r w:rsidRPr="00D9617A">
        <w:t xml:space="preserve">Idarucizumab for </w:t>
      </w:r>
      <w:r>
        <w:t>dabigatran (Pradaxa</w:t>
      </w:r>
      <w:r w:rsidRPr="00D9617A">
        <w:t>) reversal SAS reference guide</w:t>
      </w:r>
    </w:p>
    <w:p w:rsidR="00D9617A" w:rsidRPr="00D9617A" w:rsidRDefault="00D9617A" w:rsidP="00753DD4">
      <w:pPr>
        <w:pStyle w:val="ListBullet"/>
      </w:pPr>
      <w:r w:rsidRPr="00D9617A">
        <w:t>Idaru</w:t>
      </w:r>
      <w:r>
        <w:t>cizumab for dabigatran (Pradaxa</w:t>
      </w:r>
      <w:r w:rsidRPr="00D9617A">
        <w:t>) reversal clinical in-service presentation slides</w:t>
      </w:r>
    </w:p>
    <w:p w:rsidR="00D9617A" w:rsidRPr="00D9617A" w:rsidRDefault="00D9617A" w:rsidP="00D9617A">
      <w:pPr>
        <w:pStyle w:val="ListBullet"/>
      </w:pPr>
      <w:r w:rsidRPr="00D9617A">
        <w:t>Idaru</w:t>
      </w:r>
      <w:r>
        <w:t>cizumab for dabigatran (Pradaxa</w:t>
      </w:r>
      <w:r w:rsidRPr="00D9617A">
        <w:t>) reversal SAS reference chart</w:t>
      </w:r>
    </w:p>
    <w:p w:rsidR="00B271A3" w:rsidRPr="00D9617A" w:rsidRDefault="00D9617A" w:rsidP="00D9617A">
      <w:pPr>
        <w:pStyle w:val="ListBullet"/>
      </w:pPr>
      <w:r w:rsidRPr="00D9617A">
        <w:t>Idaru</w:t>
      </w:r>
      <w:r>
        <w:t>cizumab for dabigatran (Pradaxa</w:t>
      </w:r>
      <w:r w:rsidRPr="00D9617A">
        <w:t>) reversal frequently asked questions and answers</w:t>
      </w:r>
    </w:p>
    <w:p w:rsidR="00B271A3" w:rsidRDefault="00B271A3" w:rsidP="00B271A3">
      <w:pPr>
        <w:pStyle w:val="Heading5"/>
      </w:pPr>
      <w:r>
        <w:t>Evaluator’s comment</w:t>
      </w:r>
    </w:p>
    <w:p w:rsidR="00D9617A" w:rsidRPr="00D9617A" w:rsidRDefault="00D9617A" w:rsidP="00D9617A">
      <w:r w:rsidRPr="00D9617A">
        <w:t>Once approved the sponsor should amend the educational materials to reflect the registration of the product and remove references to the SAS which will no longer apply.</w:t>
      </w:r>
    </w:p>
    <w:p w:rsidR="009A7609" w:rsidRDefault="00D9617A" w:rsidP="00D9617A">
      <w:r w:rsidRPr="00D9617A">
        <w:t>The evaluator has no objection to the content of the educational materials</w:t>
      </w:r>
      <w:r w:rsidR="009A7609">
        <w:t>.</w:t>
      </w:r>
    </w:p>
    <w:p w:rsidR="00B271A3" w:rsidRPr="00D9617A" w:rsidRDefault="00D9617A" w:rsidP="00D9617A">
      <w:r w:rsidRPr="00D9617A">
        <w:t>For completeness the ASA should include information on how and when these materials will be distributed and to whom.  The educational materials should also be attached to the ASA as they are considered to be an additional risk minimisation activity.</w:t>
      </w:r>
    </w:p>
    <w:p w:rsidR="00B271A3" w:rsidRDefault="00B271A3" w:rsidP="00B271A3">
      <w:pPr>
        <w:pStyle w:val="Heading5"/>
      </w:pPr>
      <w:r w:rsidRPr="00A24C10">
        <w:t xml:space="preserve">Recommendation </w:t>
      </w:r>
      <w:r>
        <w:t xml:space="preserve">#7 </w:t>
      </w:r>
      <w:r w:rsidRPr="00A24C10">
        <w:t>in RMP evaluation report</w:t>
      </w:r>
    </w:p>
    <w:p w:rsidR="00B271A3" w:rsidRPr="00D9617A" w:rsidRDefault="00D9617A" w:rsidP="00D9617A">
      <w:r w:rsidRPr="00D9617A">
        <w:t>No assay is currently recommended to titrate or monitor dabigatran’s anticoagulant effect in a clinical scenario. This is challenging in the context of an emergency reversal where laboratory confirmation that the reversal has worked would be most useful. There appears to be little guidance in the PI as to how the “reversal” can be confirmed and inclusion of such information in the PI may minimise unnecessary repeat dosing.</w:t>
      </w:r>
    </w:p>
    <w:p w:rsidR="00B271A3" w:rsidRDefault="00B271A3" w:rsidP="00B271A3">
      <w:pPr>
        <w:pStyle w:val="Heading5"/>
      </w:pPr>
      <w:r>
        <w:t>Sponsor response</w:t>
      </w:r>
    </w:p>
    <w:p w:rsidR="00B271A3" w:rsidRPr="00D9617A" w:rsidRDefault="00D9617A" w:rsidP="00D9617A">
      <w:r w:rsidRPr="00D9617A">
        <w:t>The sponsor has provided a respon</w:t>
      </w:r>
      <w:r w:rsidR="00EC35CE">
        <w:t xml:space="preserve">se to this recommendation (see Section </w:t>
      </w:r>
      <w:r w:rsidRPr="00D9617A">
        <w:t>31 response).</w:t>
      </w:r>
    </w:p>
    <w:p w:rsidR="00B271A3" w:rsidRDefault="00B271A3" w:rsidP="00B271A3">
      <w:pPr>
        <w:pStyle w:val="Heading5"/>
      </w:pPr>
      <w:r>
        <w:t>Evaluator’s comment</w:t>
      </w:r>
    </w:p>
    <w:p w:rsidR="009A7609" w:rsidRDefault="00D9617A" w:rsidP="00D9617A">
      <w:r w:rsidRPr="00D9617A">
        <w:t xml:space="preserve">As long as a reliable assay is not available to test the anticoagulant effect of dabigatran the determination of whether the idarucizumab reversal has worked or not is ultimately a clinical one based on a number of factors including physical examination and laboratory testing. </w:t>
      </w:r>
    </w:p>
    <w:p w:rsidR="00B271A3" w:rsidRPr="00D9617A" w:rsidRDefault="00D9617A" w:rsidP="00D9617A">
      <w:r w:rsidRPr="00D9617A">
        <w:lastRenderedPageBreak/>
        <w:t>The risks associated with incomplete reversal are difficult to mitigate in these circumstances.</w:t>
      </w:r>
    </w:p>
    <w:p w:rsidR="00B271A3" w:rsidRDefault="00B271A3" w:rsidP="00B271A3">
      <w:pPr>
        <w:pStyle w:val="Heading5"/>
      </w:pPr>
      <w:r w:rsidRPr="00A24C10">
        <w:t xml:space="preserve">Recommendation </w:t>
      </w:r>
      <w:r>
        <w:t xml:space="preserve">#8 </w:t>
      </w:r>
      <w:r w:rsidRPr="00A24C10">
        <w:t>in RMP evaluation report</w:t>
      </w:r>
    </w:p>
    <w:p w:rsidR="00B271A3" w:rsidRPr="00D9617A" w:rsidRDefault="00D9617A" w:rsidP="00D9617A">
      <w:r w:rsidRPr="00D9617A">
        <w:t>‘Hypersensitivity to idarucizumab or any of its excipients’ should be added as a contraindication and included as routine risk minimisation for the important potential risk ‘hypersensitivity’.</w:t>
      </w:r>
    </w:p>
    <w:p w:rsidR="00B271A3" w:rsidRDefault="00B271A3" w:rsidP="00B271A3">
      <w:pPr>
        <w:pStyle w:val="Heading5"/>
      </w:pPr>
      <w:r>
        <w:t>Sponsor response</w:t>
      </w:r>
    </w:p>
    <w:p w:rsidR="00D9617A" w:rsidRPr="00D9617A" w:rsidRDefault="005E4AAE" w:rsidP="00D9617A">
      <w:r>
        <w:t>The sponsor</w:t>
      </w:r>
      <w:r w:rsidR="00D9617A" w:rsidRPr="00D9617A">
        <w:t xml:space="preserve"> proposes not to add ‘Hypersensitivity to idarucizumab or any of its excipients’ as a contraindication to the Australian PI and idarucizumab RMP for the following reasons:</w:t>
      </w:r>
    </w:p>
    <w:p w:rsidR="00D9617A" w:rsidRPr="00D9617A" w:rsidRDefault="00D9617A" w:rsidP="00D9617A">
      <w:r w:rsidRPr="00D9617A">
        <w:t>Patients to be treated with idarucizumab are mostly critically ill and often in an emergency situation. A careful benefit-risk assessment by the treating physician on single patient level may result in a benefit for idarucizumab treatment. In such a situation, a contraindication may prevent a treating physician from the administration of idarucizumab which may put the patient on an increased risk for an unfavourable outcome.</w:t>
      </w:r>
    </w:p>
    <w:p w:rsidR="00D9617A" w:rsidRPr="00D9617A" w:rsidRDefault="00D9617A" w:rsidP="00D9617A">
      <w:r w:rsidRPr="00D9617A">
        <w:t>Patients treated with idarucizumab are treated under emergency conditions which would allow treatment of events associated with hypersensitivity accordingly.</w:t>
      </w:r>
    </w:p>
    <w:p w:rsidR="00D9617A" w:rsidRPr="00D9617A" w:rsidRDefault="00D9617A" w:rsidP="00D9617A">
      <w:r w:rsidRPr="00D9617A">
        <w:t>BI proposes not to include ‘hypersensitivity to idarucizumab or any of its excipients’ as a contraindication. Instead, the proposed Australian PI includes the following strong warning statement in the Precautions section:</w:t>
      </w:r>
    </w:p>
    <w:p w:rsidR="00D9617A" w:rsidRPr="00D9617A" w:rsidRDefault="00D9617A" w:rsidP="00D9617A">
      <w:pPr>
        <w:ind w:left="720"/>
        <w:rPr>
          <w:i/>
        </w:rPr>
      </w:pPr>
      <w:r w:rsidRPr="00D9617A">
        <w:rPr>
          <w:i/>
        </w:rPr>
        <w:t>Hypersensitivity</w:t>
      </w:r>
    </w:p>
    <w:p w:rsidR="00D9617A" w:rsidRPr="00D9617A" w:rsidRDefault="00D9617A" w:rsidP="005E4AAE">
      <w:pPr>
        <w:ind w:left="720"/>
        <w:rPr>
          <w:i/>
        </w:rPr>
      </w:pPr>
      <w:r w:rsidRPr="00D9617A">
        <w:rPr>
          <w:i/>
        </w:rPr>
        <w:t xml:space="preserve">The risk of using Praxbind in patients with known hypersensitivity (e.g. </w:t>
      </w:r>
      <w:proofErr w:type="spellStart"/>
      <w:r w:rsidRPr="00D9617A">
        <w:rPr>
          <w:i/>
        </w:rPr>
        <w:t>anaphylactoid</w:t>
      </w:r>
      <w:proofErr w:type="spellEnd"/>
      <w:r w:rsidR="005E4AAE">
        <w:rPr>
          <w:i/>
        </w:rPr>
        <w:t xml:space="preserve"> </w:t>
      </w:r>
      <w:r w:rsidRPr="00D9617A">
        <w:rPr>
          <w:i/>
        </w:rPr>
        <w:t xml:space="preserve">reaction) to </w:t>
      </w:r>
      <w:proofErr w:type="spellStart"/>
      <w:r w:rsidRPr="00D9617A">
        <w:rPr>
          <w:i/>
        </w:rPr>
        <w:t>idarucizumab</w:t>
      </w:r>
      <w:proofErr w:type="spellEnd"/>
      <w:r w:rsidRPr="00D9617A">
        <w:rPr>
          <w:i/>
        </w:rPr>
        <w:t xml:space="preserve"> or to any of the excipients needs to be weighed cautiously against the potential benefit of such an emergency treatment. If an anaphylactic reaction or other serious allergic reaction occurs, administration of Praxbind should be discontinued immediately and appropriate therapy initiated.</w:t>
      </w:r>
    </w:p>
    <w:p w:rsidR="00B271A3" w:rsidRPr="00D9617A" w:rsidRDefault="00D9617A" w:rsidP="00D9617A">
      <w:pPr>
        <w:ind w:left="720"/>
      </w:pPr>
      <w:r w:rsidRPr="00D9617A">
        <w:rPr>
          <w:i/>
        </w:rPr>
        <w:t>The statement above is in line with that in the EU-SmPC section 4.4 Special warnings and precautions for use.</w:t>
      </w:r>
    </w:p>
    <w:p w:rsidR="00B271A3" w:rsidRDefault="00B271A3" w:rsidP="00B271A3">
      <w:pPr>
        <w:pStyle w:val="Heading5"/>
      </w:pPr>
      <w:r>
        <w:t>Evaluator’s comment</w:t>
      </w:r>
    </w:p>
    <w:p w:rsidR="00D9617A" w:rsidRPr="00D9617A" w:rsidRDefault="00D9617A" w:rsidP="00D9617A">
      <w:r w:rsidRPr="00D9617A">
        <w:t>The sponsor’s justification is acceptable from an RMP perspective.</w:t>
      </w:r>
    </w:p>
    <w:p w:rsidR="00B271A3" w:rsidRPr="00D9617A" w:rsidRDefault="00D9617A" w:rsidP="00D9617A">
      <w:r w:rsidRPr="00D9617A">
        <w:t>The decision of whether or not to include hypersensitivity as a contraindication is for final determination by the Delegate.</w:t>
      </w:r>
    </w:p>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366708" w:rsidRPr="00366708" w:rsidRDefault="00366708" w:rsidP="00366708">
      <w:r w:rsidRPr="00366708">
        <w:t>It is considered that the sponsor’s response to the TGA S</w:t>
      </w:r>
      <w:r w:rsidR="00EC35CE">
        <w:t xml:space="preserve">ection </w:t>
      </w:r>
      <w:r w:rsidRPr="00366708">
        <w:t>31 Request has adequately addressed most of the issues identified in the RMP evaluation report.</w:t>
      </w:r>
    </w:p>
    <w:p w:rsidR="00366708" w:rsidRPr="00366708" w:rsidRDefault="00366708" w:rsidP="00366708">
      <w:r w:rsidRPr="00366708">
        <w:t>There are outstanding issues.</w:t>
      </w:r>
    </w:p>
    <w:p w:rsidR="00085175" w:rsidRPr="00107999" w:rsidRDefault="00085175" w:rsidP="00085175">
      <w:pPr>
        <w:pStyle w:val="Heading5"/>
      </w:pPr>
      <w:r w:rsidRPr="00107999">
        <w:t>Outstanding issues</w:t>
      </w:r>
    </w:p>
    <w:p w:rsidR="00B728AE" w:rsidRPr="00B728AE" w:rsidRDefault="00EC35CE" w:rsidP="00B728AE">
      <w:pPr>
        <w:pStyle w:val="Heading6"/>
      </w:pPr>
      <w:r>
        <w:t>ASA</w:t>
      </w:r>
    </w:p>
    <w:p w:rsidR="00B728AE" w:rsidRPr="00B728AE" w:rsidRDefault="00B728AE" w:rsidP="00B728AE">
      <w:r w:rsidRPr="00B728AE">
        <w:t>The educational materials currently used with SAS use in Australia are considered to be additiona</w:t>
      </w:r>
      <w:r>
        <w:t>l risk minimisation activities.</w:t>
      </w:r>
      <w:r w:rsidRPr="00B728AE">
        <w:t xml:space="preserve"> It is expected that similar education will continue post</w:t>
      </w:r>
      <w:r w:rsidR="000E7D24">
        <w:t xml:space="preserve"> </w:t>
      </w:r>
      <w:r w:rsidRPr="00B728AE">
        <w:t>approval.</w:t>
      </w:r>
    </w:p>
    <w:p w:rsidR="00085175" w:rsidRDefault="00B728AE" w:rsidP="00085175">
      <w:r w:rsidRPr="00B728AE">
        <w:t>Therefore</w:t>
      </w:r>
      <w:r w:rsidR="000E7D24">
        <w:t>,</w:t>
      </w:r>
      <w:r w:rsidRPr="00B728AE">
        <w:t xml:space="preserve"> it is recommended that the sponsor should amend the educational materials to remove references to the S</w:t>
      </w:r>
      <w:r>
        <w:t xml:space="preserve">AS which will no longer apply. </w:t>
      </w:r>
      <w:r w:rsidRPr="00B728AE">
        <w:t xml:space="preserve">Once amended, the draft </w:t>
      </w:r>
      <w:r w:rsidRPr="00B728AE">
        <w:lastRenderedPageBreak/>
        <w:t>materials should be include</w:t>
      </w:r>
      <w:r>
        <w:t xml:space="preserve">d as an attachment to the ASA. </w:t>
      </w:r>
      <w:r w:rsidRPr="00B728AE">
        <w:t>The ASA should also be updated to include further information on the distribution strategy and effectiveness assessment</w:t>
      </w:r>
      <w:r>
        <w:t xml:space="preserve"> of the educational materials</w:t>
      </w:r>
      <w:r w:rsidRPr="00B728AE">
        <w:t>.</w:t>
      </w:r>
      <w:r>
        <w:t xml:space="preserve"> </w:t>
      </w:r>
      <w:r w:rsidRPr="00B728AE">
        <w:t>The amended ASA with the updated materials should be submitted to the Pharmacovigilance and Special Access Branch prior to approval.</w:t>
      </w:r>
    </w:p>
    <w:p w:rsidR="00B728AE" w:rsidRPr="00B728AE" w:rsidRDefault="00B728AE" w:rsidP="00B728AE">
      <w:pPr>
        <w:pStyle w:val="Heading6"/>
      </w:pPr>
      <w:r w:rsidRPr="00B728AE">
        <w:t xml:space="preserve">Advice from </w:t>
      </w:r>
      <w:r w:rsidR="000E7D24">
        <w:rPr>
          <w:rStyle w:val="st1"/>
        </w:rPr>
        <w:t>ACSOM</w:t>
      </w:r>
    </w:p>
    <w:p w:rsidR="00B728AE" w:rsidRPr="00B728AE" w:rsidRDefault="00B728AE" w:rsidP="00B728AE">
      <w:r w:rsidRPr="00B728AE">
        <w:t>The evaluator sought advice from t</w:t>
      </w:r>
      <w:r w:rsidR="000E7D24">
        <w:t xml:space="preserve">he ACSOM regarding RMP issues. </w:t>
      </w:r>
      <w:r w:rsidRPr="00B728AE">
        <w:t>The ACSOM advice has been considered in reconciling the outstanding RMP issues for this submission.</w:t>
      </w:r>
    </w:p>
    <w:p w:rsidR="00085175" w:rsidRPr="00E24D4B" w:rsidRDefault="00085175" w:rsidP="00085175">
      <w:pPr>
        <w:pStyle w:val="Heading5"/>
      </w:pPr>
      <w:r w:rsidRPr="00E24D4B">
        <w:t>Comments on the safety specification of the RMP</w:t>
      </w:r>
    </w:p>
    <w:p w:rsidR="009A7609" w:rsidRDefault="00085175" w:rsidP="00085175">
      <w:pPr>
        <w:pStyle w:val="Heading6"/>
      </w:pPr>
      <w:r w:rsidRPr="00E24D4B">
        <w:t xml:space="preserve">Clinical </w:t>
      </w:r>
      <w:r>
        <w:t>e</w:t>
      </w:r>
      <w:r w:rsidRPr="00E24D4B">
        <w:t xml:space="preserve">valuation </w:t>
      </w:r>
      <w:r>
        <w:t>r</w:t>
      </w:r>
      <w:r w:rsidRPr="00E24D4B">
        <w:t>eport</w:t>
      </w:r>
    </w:p>
    <w:p w:rsidR="00085175" w:rsidRDefault="00B728AE" w:rsidP="00085175">
      <w:pPr>
        <w:rPr>
          <w:rFonts w:asciiTheme="minorHAnsi" w:hAnsiTheme="minorHAnsi"/>
        </w:rPr>
      </w:pPr>
      <w:r w:rsidRPr="00B728AE">
        <w:rPr>
          <w:rFonts w:asciiTheme="minorHAnsi" w:hAnsiTheme="minorHAnsi"/>
        </w:rPr>
        <w:t xml:space="preserve">The Safety Specification in the draft </w:t>
      </w:r>
      <w:r>
        <w:rPr>
          <w:rFonts w:asciiTheme="minorHAnsi" w:hAnsiTheme="minorHAnsi"/>
        </w:rPr>
        <w:t>RMP</w:t>
      </w:r>
      <w:r w:rsidRPr="00B728AE">
        <w:rPr>
          <w:rFonts w:asciiTheme="minorHAnsi" w:hAnsiTheme="minorHAnsi"/>
        </w:rPr>
        <w:t xml:space="preserve"> (version 1) is satisfactory. The safety specifications identified by the sponsor in the RMP are consi</w:t>
      </w:r>
      <w:r w:rsidR="00421942">
        <w:rPr>
          <w:rFonts w:asciiTheme="minorHAnsi" w:hAnsiTheme="minorHAnsi"/>
        </w:rPr>
        <w:t>stent with the adverse events/</w:t>
      </w:r>
      <w:r w:rsidRPr="00B728AE">
        <w:rPr>
          <w:rFonts w:asciiTheme="minorHAnsi" w:hAnsiTheme="minorHAnsi"/>
        </w:rPr>
        <w:t>safety profile from the clinical trial data in the submission.</w:t>
      </w:r>
    </w:p>
    <w:p w:rsidR="009A7609" w:rsidRDefault="00085175" w:rsidP="00085175">
      <w:pPr>
        <w:pStyle w:val="Heading6"/>
      </w:pPr>
      <w:r>
        <w:t>Nonc</w:t>
      </w:r>
      <w:r w:rsidRPr="004A71C1">
        <w:t xml:space="preserve">linical </w:t>
      </w:r>
      <w:r>
        <w:t>e</w:t>
      </w:r>
      <w:r w:rsidRPr="004A71C1">
        <w:t xml:space="preserve">valuation </w:t>
      </w:r>
      <w:r>
        <w:t>r</w:t>
      </w:r>
      <w:r w:rsidRPr="004A71C1">
        <w:t>eport</w:t>
      </w:r>
    </w:p>
    <w:p w:rsidR="00421942" w:rsidRPr="00421942" w:rsidRDefault="00421942" w:rsidP="00421942">
      <w:r w:rsidRPr="00421942">
        <w:t xml:space="preserve">Results and conclusions drawn from the nonclinical program for idarucizumab detailed in the sponsor’s draft </w:t>
      </w:r>
      <w:r>
        <w:t>RMP</w:t>
      </w:r>
      <w:r w:rsidRPr="00421942">
        <w:t xml:space="preserve"> are in general concordance with those of the </w:t>
      </w:r>
      <w:r w:rsidR="00994570">
        <w:t>n</w:t>
      </w:r>
      <w:r w:rsidRPr="00421942">
        <w:t xml:space="preserve">onclinical </w:t>
      </w:r>
      <w:r w:rsidR="00994570">
        <w:t>e</w:t>
      </w:r>
      <w:r w:rsidRPr="00421942">
        <w:t>valuator.</w:t>
      </w:r>
    </w:p>
    <w:p w:rsidR="00085175" w:rsidRPr="00E24D4B" w:rsidRDefault="00085175" w:rsidP="00085175">
      <w:pPr>
        <w:pStyle w:val="Heading5"/>
      </w:pPr>
      <w:r w:rsidRPr="008B1938">
        <w:t xml:space="preserve">Key changes to the updated </w:t>
      </w:r>
      <w:r>
        <w:t>RMP</w:t>
      </w:r>
    </w:p>
    <w:p w:rsidR="00994570" w:rsidRPr="00994570" w:rsidRDefault="00994570" w:rsidP="00994570">
      <w:r w:rsidRPr="00994570">
        <w:t>EU RMP (versio</w:t>
      </w:r>
      <w:r w:rsidR="000E7D24">
        <w:t>n 1.0 dated 27 January 2015, Data Lock Point [DLP]</w:t>
      </w:r>
      <w:r w:rsidRPr="00994570">
        <w:t xml:space="preserve"> 4 September 2014) with an </w:t>
      </w:r>
      <w:r w:rsidR="001C0134">
        <w:t>ASA</w:t>
      </w:r>
      <w:r w:rsidRPr="00994570">
        <w:t xml:space="preserve"> vers</w:t>
      </w:r>
      <w:r w:rsidR="006C7066">
        <w:t xml:space="preserve">ion 1.0 (dated 18 March 2015) </w:t>
      </w:r>
      <w:r w:rsidRPr="00994570">
        <w:t>has been superseded by:</w:t>
      </w:r>
    </w:p>
    <w:p w:rsidR="009A7609" w:rsidRDefault="00994570" w:rsidP="00994570">
      <w:pPr>
        <w:pStyle w:val="ListBullet2"/>
      </w:pPr>
      <w:r w:rsidRPr="00994570">
        <w:t xml:space="preserve">EU RMP (version 2.0, dated 19 November 2015, DLP 17 September 2015) with </w:t>
      </w:r>
      <w:r w:rsidR="006C7066">
        <w:t>ASA</w:t>
      </w:r>
      <w:r w:rsidRPr="00994570">
        <w:t xml:space="preserve"> (version 2.0, dated 4 December 2015)</w:t>
      </w:r>
    </w:p>
    <w:p w:rsidR="00994570" w:rsidRPr="00994570" w:rsidRDefault="00994570" w:rsidP="00994570">
      <w:pPr>
        <w:pStyle w:val="ListBullet2"/>
        <w:numPr>
          <w:ilvl w:val="0"/>
          <w:numId w:val="0"/>
        </w:numPr>
      </w:pPr>
      <w:r w:rsidRPr="00994570">
        <w:t>Outstanding RMP issues remain in this advice</w:t>
      </w:r>
      <w:r>
        <w:t>.</w:t>
      </w:r>
    </w:p>
    <w:p w:rsidR="009A7609" w:rsidRDefault="00085175" w:rsidP="00085175">
      <w:pPr>
        <w:pStyle w:val="Heading5"/>
      </w:pPr>
      <w:r w:rsidRPr="0065641D">
        <w:t>Suggested wording for conditions of registration</w:t>
      </w:r>
    </w:p>
    <w:p w:rsidR="00085175" w:rsidRPr="0065641D" w:rsidRDefault="00085175" w:rsidP="00085175">
      <w:pPr>
        <w:pStyle w:val="Heading6"/>
      </w:pPr>
      <w:r w:rsidRPr="0065641D">
        <w:t>RMP</w:t>
      </w:r>
    </w:p>
    <w:p w:rsidR="00BB5277" w:rsidRDefault="00BB5277" w:rsidP="00085175">
      <w:r w:rsidRPr="00BB5277">
        <w:t>Any changes to which the sponsor agreed become part of the risk management system, whether they are included in the currently available version of the RMP document, or not includ</w:t>
      </w:r>
      <w:r>
        <w:t>ed, inadvertently or otherwise.</w:t>
      </w:r>
    </w:p>
    <w:p w:rsidR="00085175" w:rsidRPr="00111DE2" w:rsidRDefault="00BB5277" w:rsidP="00085175">
      <w:r w:rsidRPr="00BB5277">
        <w:t>No wording for the RMP condition can be supplied at this time as outstanding R</w:t>
      </w:r>
      <w:r>
        <w:t>MP issues remain (see above)</w:t>
      </w:r>
      <w:r w:rsidRPr="00BB5277">
        <w:t>.</w:t>
      </w:r>
    </w:p>
    <w:p w:rsidR="008E7846" w:rsidRPr="00792A32" w:rsidRDefault="008E7846" w:rsidP="008E7846">
      <w:pPr>
        <w:pStyle w:val="Heading2"/>
      </w:pPr>
      <w:bookmarkStart w:id="169" w:name="_Toc314842510"/>
      <w:bookmarkStart w:id="170" w:name="_Toc466282959"/>
      <w:r>
        <w:t>V</w:t>
      </w:r>
      <w:r w:rsidR="00260213">
        <w:t>I</w:t>
      </w:r>
      <w:r>
        <w:t xml:space="preserve">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6"/>
      <w:bookmarkEnd w:id="168"/>
      <w:bookmarkEnd w:id="169"/>
      <w:bookmarkEnd w:id="170"/>
    </w:p>
    <w:p w:rsidR="008E7846" w:rsidRDefault="008E7846" w:rsidP="008E7846">
      <w:bookmarkStart w:id="171"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72" w:name="_Toc314842511"/>
      <w:bookmarkStart w:id="173" w:name="_Toc466282960"/>
      <w:r>
        <w:t>Quality</w:t>
      </w:r>
      <w:bookmarkEnd w:id="171"/>
      <w:bookmarkEnd w:id="172"/>
      <w:bookmarkEnd w:id="173"/>
    </w:p>
    <w:p w:rsidR="00950651" w:rsidRPr="00950651" w:rsidRDefault="00950651" w:rsidP="00950651">
      <w:r w:rsidRPr="00950651">
        <w:t>The evaluator had no objection to the registration of idarucizumab. The following was noted during the evaluation of the quality aspects of the submission:</w:t>
      </w:r>
    </w:p>
    <w:p w:rsidR="00950651" w:rsidRPr="00950651" w:rsidRDefault="00950651" w:rsidP="00950651">
      <w:pPr>
        <w:pStyle w:val="ListBullet"/>
      </w:pPr>
      <w:r w:rsidRPr="00950651">
        <w:t>Idarucizumab is a humanised Fab fragment of the murine IgG1 antibody directed against the thrombin inhibitor dabigatran.</w:t>
      </w:r>
    </w:p>
    <w:p w:rsidR="00730F8A" w:rsidRDefault="00950651" w:rsidP="00950651">
      <w:pPr>
        <w:pStyle w:val="ListBullet"/>
      </w:pPr>
      <w:r w:rsidRPr="00950651">
        <w:t xml:space="preserve">The predicted molecular mass of idarucizumab is 47,766 Da. It consists of one light chain polypeptide of theoretical average molecular weight of 24,043 Da (reduced) and one heavy chain fragment polypeptide of theoretical average molecular weight of </w:t>
      </w:r>
      <w:r w:rsidRPr="00950651">
        <w:lastRenderedPageBreak/>
        <w:t>23,733 Da (reduced). The two chains are linked by a single disulphide bond. The predicted amino acid sequence</w:t>
      </w:r>
      <w:r>
        <w:t>s of the heavy and light chains.</w:t>
      </w:r>
    </w:p>
    <w:p w:rsidR="00950651" w:rsidRDefault="00950651" w:rsidP="00950651">
      <w:pPr>
        <w:pStyle w:val="ListBullet"/>
      </w:pPr>
      <w:r w:rsidRPr="00950651">
        <w:t>Idarucizumab binds dabigatran in a concave region at the interface of the variable domains</w:t>
      </w:r>
      <w:r>
        <w:t>.</w:t>
      </w:r>
    </w:p>
    <w:p w:rsidR="00950651" w:rsidRPr="00950651" w:rsidRDefault="00950651" w:rsidP="00950651">
      <w:pPr>
        <w:pStyle w:val="ListBullet"/>
      </w:pPr>
      <w:r w:rsidRPr="00950651">
        <w:t>Idarucizumab is produced by expression in Chinese Hamster Ovary cells applying standard mammalian cell culture techniques.</w:t>
      </w:r>
    </w:p>
    <w:p w:rsidR="00950651" w:rsidRPr="00950651" w:rsidRDefault="00950651" w:rsidP="00950651">
      <w:pPr>
        <w:pStyle w:val="ListBullet"/>
      </w:pPr>
      <w:r w:rsidRPr="00950651">
        <w:t xml:space="preserve">Purification and formulation of idarucizumab consists of a series of chromatographic steps (affinity, anion and cation exchange chromatography), virus inactivation, virus filtration, </w:t>
      </w:r>
      <w:proofErr w:type="gramStart"/>
      <w:r w:rsidRPr="00950651">
        <w:t>concentration</w:t>
      </w:r>
      <w:proofErr w:type="gramEnd"/>
      <w:r w:rsidRPr="00950651">
        <w:t xml:space="preserve"> and buffer exchange by tangential flow filtration and final filtration through a 0.2 </w:t>
      </w:r>
      <w:proofErr w:type="spellStart"/>
      <w:r w:rsidRPr="00950651">
        <w:t>μm</w:t>
      </w:r>
      <w:proofErr w:type="spellEnd"/>
      <w:r w:rsidRPr="00950651">
        <w:t xml:space="preserve"> filter.</w:t>
      </w:r>
    </w:p>
    <w:p w:rsidR="009A7609" w:rsidRDefault="00950651" w:rsidP="00950651">
      <w:pPr>
        <w:pStyle w:val="ListBullet"/>
      </w:pPr>
      <w:r w:rsidRPr="00950651">
        <w:t>Idarucizumab drug substance is a colourless to slightly yellow, clear to slightly opalescent solution</w:t>
      </w:r>
      <w:r w:rsidR="009A7609">
        <w:t>.</w:t>
      </w:r>
    </w:p>
    <w:p w:rsidR="00950651" w:rsidRPr="00950651" w:rsidRDefault="00950651" w:rsidP="00950651">
      <w:pPr>
        <w:pStyle w:val="ListBullet"/>
      </w:pPr>
      <w:r w:rsidRPr="00950651">
        <w:t xml:space="preserve">The formulation contains the excipients acetic acid and 25 </w:t>
      </w:r>
      <w:proofErr w:type="spellStart"/>
      <w:r w:rsidRPr="00950651">
        <w:t>nM</w:t>
      </w:r>
      <w:proofErr w:type="spellEnd"/>
      <w:r w:rsidRPr="00950651">
        <w:t xml:space="preserve"> sodium acetate (for buffering), 220 </w:t>
      </w:r>
      <w:proofErr w:type="spellStart"/>
      <w:r w:rsidRPr="00950651">
        <w:t>nM</w:t>
      </w:r>
      <w:proofErr w:type="spellEnd"/>
      <w:r w:rsidRPr="00950651">
        <w:t xml:space="preserve"> sorbitol and 0.2g/L (0.02</w:t>
      </w:r>
      <w:r w:rsidR="00CA1910">
        <w:t xml:space="preserve"> </w:t>
      </w:r>
      <w:proofErr w:type="gramStart"/>
      <w:r w:rsidRPr="00950651">
        <w:t>w%</w:t>
      </w:r>
      <w:proofErr w:type="gramEnd"/>
      <w:r w:rsidRPr="00950651">
        <w:t xml:space="preserve">) </w:t>
      </w:r>
      <w:proofErr w:type="spellStart"/>
      <w:r w:rsidRPr="00950651">
        <w:t>polysorbate</w:t>
      </w:r>
      <w:proofErr w:type="spellEnd"/>
      <w:r w:rsidRPr="00950651">
        <w:t>. It has a final pH of 5.5 (5.5-5</w:t>
      </w:r>
      <w:r w:rsidR="004D09EA">
        <w:t>.7), and an osmolality of 270-</w:t>
      </w:r>
      <w:r w:rsidRPr="00950651">
        <w:t xml:space="preserve">330 </w:t>
      </w:r>
      <w:proofErr w:type="spellStart"/>
      <w:r w:rsidRPr="00950651">
        <w:t>mOsmol</w:t>
      </w:r>
      <w:proofErr w:type="spellEnd"/>
      <w:r w:rsidRPr="00950651">
        <w:t>/kg.</w:t>
      </w:r>
    </w:p>
    <w:p w:rsidR="00950651" w:rsidRPr="00950651" w:rsidRDefault="00950651" w:rsidP="00950651">
      <w:pPr>
        <w:pStyle w:val="ListBullet"/>
      </w:pPr>
      <w:r w:rsidRPr="00950651">
        <w:t>The stability data supported a shelf</w:t>
      </w:r>
      <w:r w:rsidR="004D09EA">
        <w:t xml:space="preserve"> </w:t>
      </w:r>
      <w:r w:rsidRPr="00950651">
        <w:t>life for the drug</w:t>
      </w:r>
      <w:r w:rsidR="004D09EA">
        <w:t xml:space="preserve"> </w:t>
      </w:r>
      <w:r w:rsidRPr="00950651">
        <w:t xml:space="preserve">product </w:t>
      </w:r>
      <w:r w:rsidR="004D09EA">
        <w:t>of 24 months when stored at 2-</w:t>
      </w:r>
      <w:r w:rsidRPr="00950651">
        <w:t xml:space="preserve">8°C. The final product is not </w:t>
      </w:r>
      <w:proofErr w:type="spellStart"/>
      <w:r w:rsidRPr="00950651">
        <w:t>photostable</w:t>
      </w:r>
      <w:proofErr w:type="spellEnd"/>
      <w:r>
        <w:t>.</w:t>
      </w:r>
    </w:p>
    <w:p w:rsidR="008E7846" w:rsidRDefault="008E7846" w:rsidP="008E7846">
      <w:pPr>
        <w:pStyle w:val="Heading3"/>
      </w:pPr>
      <w:bookmarkStart w:id="174" w:name="_Toc314842512"/>
      <w:bookmarkStart w:id="175" w:name="_Toc466282961"/>
      <w:r>
        <w:t>Nonclinical</w:t>
      </w:r>
      <w:bookmarkEnd w:id="174"/>
      <w:bookmarkEnd w:id="175"/>
    </w:p>
    <w:p w:rsidR="00950651" w:rsidRPr="00950651" w:rsidRDefault="00950651" w:rsidP="00950651">
      <w:r w:rsidRPr="00950651">
        <w:t>The evaluator had no objections to the registration of idarucizumab. The evaluator considered the qualities of the studies was high and the nonclinical testing strategy was appropriate for the proposed product. The following were noted during the nonclinical evaluation:</w:t>
      </w:r>
    </w:p>
    <w:p w:rsidR="009A7609" w:rsidRDefault="00950651" w:rsidP="00950651">
      <w:pPr>
        <w:pStyle w:val="ListBullet"/>
      </w:pPr>
      <w:r w:rsidRPr="00950651">
        <w:t>Idarucizumab affinity for dabigatran (</w:t>
      </w:r>
      <w:proofErr w:type="spellStart"/>
      <w:r w:rsidRPr="00950651">
        <w:t>Kd</w:t>
      </w:r>
      <w:proofErr w:type="spellEnd"/>
      <w:r w:rsidRPr="00950651">
        <w:t xml:space="preserve"> 2.1 </w:t>
      </w:r>
      <w:proofErr w:type="spellStart"/>
      <w:r w:rsidRPr="00950651">
        <w:t>pM</w:t>
      </w:r>
      <w:proofErr w:type="spellEnd"/>
      <w:r w:rsidRPr="00950651">
        <w:t>) was &gt; 300 fold higher than the affinity of dabigatran for thrombin (</w:t>
      </w:r>
      <w:proofErr w:type="spellStart"/>
      <w:r w:rsidRPr="00950651">
        <w:t>Kd</w:t>
      </w:r>
      <w:proofErr w:type="spellEnd"/>
      <w:r w:rsidRPr="00950651">
        <w:t xml:space="preserve"> 0.7 </w:t>
      </w:r>
      <w:proofErr w:type="spellStart"/>
      <w:r w:rsidRPr="00950651">
        <w:t>nM</w:t>
      </w:r>
      <w:proofErr w:type="spellEnd"/>
      <w:r w:rsidRPr="00950651">
        <w:t xml:space="preserve">) at pH 7.4, and at pH ≥ 6 </w:t>
      </w:r>
      <w:proofErr w:type="spellStart"/>
      <w:r w:rsidRPr="00950651">
        <w:t>Kd</w:t>
      </w:r>
      <w:proofErr w:type="spellEnd"/>
      <w:r w:rsidRPr="00950651">
        <w:t xml:space="preserve"> was ≤ 62 </w:t>
      </w:r>
      <w:proofErr w:type="spellStart"/>
      <w:r w:rsidRPr="00950651">
        <w:t>pM</w:t>
      </w:r>
      <w:proofErr w:type="spellEnd"/>
      <w:r w:rsidRPr="00950651">
        <w:t>, suggesting that preferential binding to idarucizumab should</w:t>
      </w:r>
      <w:r w:rsidR="00CA1910">
        <w:t xml:space="preserve"> take place in the presence of </w:t>
      </w:r>
      <w:proofErr w:type="spellStart"/>
      <w:r w:rsidRPr="00950651">
        <w:t>acidaemia</w:t>
      </w:r>
      <w:proofErr w:type="spellEnd"/>
      <w:r w:rsidR="009A7609">
        <w:t>.</w:t>
      </w:r>
    </w:p>
    <w:p w:rsidR="00950651" w:rsidRPr="00950651" w:rsidRDefault="00950651" w:rsidP="00950651">
      <w:pPr>
        <w:pStyle w:val="ListBullet"/>
      </w:pPr>
      <w:r w:rsidRPr="00950651">
        <w:t xml:space="preserve">Anticoagulant activity of dabigatran and its acyl </w:t>
      </w:r>
      <w:proofErr w:type="spellStart"/>
      <w:r w:rsidRPr="00950651">
        <w:t>glucuronidated</w:t>
      </w:r>
      <w:proofErr w:type="spellEnd"/>
      <w:r w:rsidRPr="00950651">
        <w:t xml:space="preserve"> active metabolites was reversed by idarucizumab in whole blood and plasma and reduced blood loss in animal models.</w:t>
      </w:r>
    </w:p>
    <w:p w:rsidR="00950651" w:rsidRPr="00950651" w:rsidRDefault="00950651" w:rsidP="00950651">
      <w:pPr>
        <w:pStyle w:val="ListBullet"/>
      </w:pPr>
      <w:r w:rsidRPr="00950651">
        <w:t>Intravenously administered idarucizumab exhibited similar pharmacokinetic parameters in the presence and absence of dabigatran in all species, while total dabigatran plasma levels (including bound and unbound) were increased by idarucizumab. Idarucizumab distribution was confined to the vascular milieu.</w:t>
      </w:r>
    </w:p>
    <w:p w:rsidR="009A7609" w:rsidRDefault="00950651" w:rsidP="00950651">
      <w:pPr>
        <w:pStyle w:val="ListBullet"/>
      </w:pPr>
      <w:r w:rsidRPr="00950651">
        <w:t xml:space="preserve">Excretion of idarucizumab was through the urinary route with a small fraction excreted unchanged, while the remainder was through excretion of catabolised protein. Renal impairment increased plasma exposure to both </w:t>
      </w:r>
      <w:proofErr w:type="spellStart"/>
      <w:r w:rsidRPr="00950651">
        <w:t>idarucizumab</w:t>
      </w:r>
      <w:proofErr w:type="spellEnd"/>
      <w:r w:rsidRPr="00950651">
        <w:t xml:space="preserve"> and dabigatran</w:t>
      </w:r>
      <w:r w:rsidR="009A7609">
        <w:t>.</w:t>
      </w:r>
    </w:p>
    <w:p w:rsidR="009A7609" w:rsidRDefault="00950651" w:rsidP="00950651">
      <w:pPr>
        <w:pStyle w:val="ListBullet"/>
      </w:pPr>
      <w:r w:rsidRPr="00950651">
        <w:t>Repeat dose IV toxicity studies of up to 4 weeks in rats and 2 weeks in monkeys found no evidence of systemic toxicity. In the rat, altered haematological and serum chemistry parameters did</w:t>
      </w:r>
      <w:r w:rsidR="00CA1910">
        <w:t xml:space="preserve"> not correspond to notable post </w:t>
      </w:r>
      <w:r w:rsidRPr="00950651">
        <w:t>mortem findings. In the monkey, the only adverse findings were from a male from a 2 day dosing study with renal function changes, which did not correspond to treatment</w:t>
      </w:r>
      <w:r w:rsidR="00CA1910">
        <w:t xml:space="preserve"> </w:t>
      </w:r>
      <w:r w:rsidRPr="00950651">
        <w:t>related findings of note. Relative exposures attained in the animal studies were low (≥ 6 times the clinical AUC)</w:t>
      </w:r>
      <w:r w:rsidR="009A7609">
        <w:t>.</w:t>
      </w:r>
    </w:p>
    <w:p w:rsidR="009A7609" w:rsidRDefault="00950651" w:rsidP="00950651">
      <w:pPr>
        <w:pStyle w:val="ListBullet"/>
      </w:pPr>
      <w:r w:rsidRPr="00950651">
        <w:t xml:space="preserve">Development of antibodies against idarucizumab was seen in rats and monkeys. There were no adverse findings in animals from the main repeat dose toxicity studies </w:t>
      </w:r>
      <w:r w:rsidRPr="00950651">
        <w:lastRenderedPageBreak/>
        <w:t xml:space="preserve">associated with immunogenic reactions aside from an isolated hypersensitivity reaction in a monkey intermittently dosed with </w:t>
      </w:r>
      <w:proofErr w:type="spellStart"/>
      <w:r w:rsidRPr="00950651">
        <w:t>idarucizumab</w:t>
      </w:r>
      <w:proofErr w:type="spellEnd"/>
      <w:r w:rsidR="009A7609">
        <w:t>.</w:t>
      </w:r>
    </w:p>
    <w:p w:rsidR="00950651" w:rsidRPr="00950651" w:rsidRDefault="00950651" w:rsidP="00950651">
      <w:pPr>
        <w:pStyle w:val="ListBullet"/>
      </w:pPr>
      <w:proofErr w:type="spellStart"/>
      <w:r w:rsidRPr="00950651">
        <w:t>Idarucizumab</w:t>
      </w:r>
      <w:proofErr w:type="spellEnd"/>
      <w:r w:rsidRPr="00950651">
        <w:t xml:space="preserve"> or its complex with dabigatran did not bind with other endogenous target such as other thrombin substrates (factors V, VIII, XIII, fibrinogen, </w:t>
      </w:r>
      <w:proofErr w:type="spellStart"/>
      <w:r w:rsidRPr="00950651">
        <w:t>vWF</w:t>
      </w:r>
      <w:proofErr w:type="spellEnd"/>
      <w:r w:rsidRPr="00950651">
        <w:t>, PAR-1 peptide or protein C), or plasma or serum albumin and did not cause haemolysis of whole human blood.</w:t>
      </w:r>
    </w:p>
    <w:p w:rsidR="00950651" w:rsidRPr="00950651" w:rsidRDefault="00950651" w:rsidP="00950651">
      <w:pPr>
        <w:pStyle w:val="ListBullet"/>
      </w:pPr>
      <w:r w:rsidRPr="00950651">
        <w:t>No major organ toxicity was identified and no clinically relevant effects on respiratory, cardiovascular and CNS systems are anticipated.</w:t>
      </w:r>
    </w:p>
    <w:p w:rsidR="00950651" w:rsidRPr="00950651" w:rsidRDefault="00950651" w:rsidP="00950651">
      <w:pPr>
        <w:pStyle w:val="ListBullet"/>
      </w:pPr>
      <w:r w:rsidRPr="00950651">
        <w:t>The potential genotoxicity, reproductive or developmental toxicity was not tested in animal models but this was considered acceptable given the likely infrequent pattern of use and the likely clinical settings. The evaluator supported the sponsor’s proposed Pregnancy Category of B2.</w:t>
      </w:r>
    </w:p>
    <w:p w:rsidR="00950651" w:rsidRPr="00950651" w:rsidRDefault="00950651" w:rsidP="00950651">
      <w:pPr>
        <w:pStyle w:val="ListBullet"/>
      </w:pPr>
      <w:r w:rsidRPr="00950651">
        <w:t>There was no specific testing in juvenile animals.</w:t>
      </w:r>
    </w:p>
    <w:p w:rsidR="009A7609" w:rsidRDefault="00950651" w:rsidP="00950651">
      <w:pPr>
        <w:pStyle w:val="ListBullet"/>
      </w:pPr>
      <w:r w:rsidRPr="00950651">
        <w:t xml:space="preserve">Idarucizumab did not reverse rivaroxaban, </w:t>
      </w:r>
      <w:proofErr w:type="spellStart"/>
      <w:r w:rsidRPr="00950651">
        <w:t>apixaban</w:t>
      </w:r>
      <w:proofErr w:type="spellEnd"/>
      <w:r w:rsidRPr="00950651">
        <w:t xml:space="preserve">, </w:t>
      </w:r>
      <w:proofErr w:type="spellStart"/>
      <w:r w:rsidRPr="00950651">
        <w:t>hirudin</w:t>
      </w:r>
      <w:proofErr w:type="spellEnd"/>
      <w:r w:rsidRPr="00950651">
        <w:t xml:space="preserve">, </w:t>
      </w:r>
      <w:proofErr w:type="spellStart"/>
      <w:proofErr w:type="gramStart"/>
      <w:r w:rsidRPr="00950651">
        <w:t>argatroban</w:t>
      </w:r>
      <w:proofErr w:type="spellEnd"/>
      <w:r w:rsidRPr="00950651">
        <w:t>,</w:t>
      </w:r>
      <w:proofErr w:type="gramEnd"/>
      <w:r w:rsidRPr="00950651">
        <w:t xml:space="preserve"> heparin or enoxaparin</w:t>
      </w:r>
      <w:r w:rsidR="00100907">
        <w:t xml:space="preserve"> </w:t>
      </w:r>
      <w:r w:rsidRPr="00950651">
        <w:t>induced anticoagulation and did not exhibit its own pharmacological/</w:t>
      </w:r>
      <w:proofErr w:type="spellStart"/>
      <w:r w:rsidRPr="00950651">
        <w:t>prothrombotic</w:t>
      </w:r>
      <w:proofErr w:type="spellEnd"/>
      <w:r w:rsidRPr="00950651">
        <w:t xml:space="preserve"> activity. It did not affect the activity of antiplatelet agents (</w:t>
      </w:r>
      <w:proofErr w:type="spellStart"/>
      <w:r w:rsidRPr="00950651">
        <w:t>ticagrelor</w:t>
      </w:r>
      <w:proofErr w:type="spellEnd"/>
      <w:r w:rsidRPr="00950651">
        <w:t xml:space="preserve"> and </w:t>
      </w:r>
      <w:proofErr w:type="spellStart"/>
      <w:r w:rsidRPr="00950651">
        <w:t>clopidogrel</w:t>
      </w:r>
      <w:proofErr w:type="spellEnd"/>
      <w:r w:rsidRPr="00950651">
        <w:t xml:space="preserve">). It did reverse the activity of </w:t>
      </w:r>
      <w:proofErr w:type="spellStart"/>
      <w:r w:rsidRPr="00950651">
        <w:t>melagatran</w:t>
      </w:r>
      <w:proofErr w:type="spellEnd"/>
      <w:r w:rsidRPr="00950651">
        <w:t xml:space="preserve"> (another factor </w:t>
      </w:r>
      <w:proofErr w:type="spellStart"/>
      <w:r w:rsidRPr="00950651">
        <w:t>IIa</w:t>
      </w:r>
      <w:proofErr w:type="spellEnd"/>
      <w:r w:rsidRPr="00950651">
        <w:t xml:space="preserve"> inhibitor, not registered in Australia)</w:t>
      </w:r>
    </w:p>
    <w:p w:rsidR="00950651" w:rsidRPr="00950651" w:rsidRDefault="00950651" w:rsidP="00950651">
      <w:pPr>
        <w:pStyle w:val="ListBullet"/>
      </w:pPr>
      <w:proofErr w:type="spellStart"/>
      <w:r w:rsidRPr="00950651">
        <w:t>Haemodilu</w:t>
      </w:r>
      <w:r w:rsidR="00100907">
        <w:t>tion</w:t>
      </w:r>
      <w:proofErr w:type="spellEnd"/>
      <w:r w:rsidR="00100907">
        <w:t xml:space="preserve"> and volume expanders (for example, </w:t>
      </w:r>
      <w:r w:rsidRPr="00950651">
        <w:t>4% hydroxyethyl starch) did not affect dabigatran binding with idarucizumab.</w:t>
      </w:r>
    </w:p>
    <w:p w:rsidR="008E7846" w:rsidRDefault="008E7846" w:rsidP="008E7846">
      <w:pPr>
        <w:pStyle w:val="Heading3"/>
      </w:pPr>
      <w:bookmarkStart w:id="176" w:name="_Toc247691530"/>
      <w:bookmarkStart w:id="177" w:name="_Toc314842513"/>
      <w:bookmarkStart w:id="178" w:name="_Toc466282962"/>
      <w:r>
        <w:t>Clinical</w:t>
      </w:r>
      <w:bookmarkEnd w:id="176"/>
      <w:bookmarkEnd w:id="177"/>
      <w:bookmarkEnd w:id="178"/>
    </w:p>
    <w:p w:rsidR="00950651" w:rsidRPr="00213BB5" w:rsidRDefault="00950651" w:rsidP="00213BB5">
      <w:bookmarkStart w:id="179" w:name="_Toc314842514"/>
      <w:r w:rsidRPr="00213BB5">
        <w:t>The clinical dossier included:</w:t>
      </w:r>
    </w:p>
    <w:p w:rsidR="00950651" w:rsidRPr="00213BB5" w:rsidRDefault="00F501D7" w:rsidP="00213BB5">
      <w:pPr>
        <w:pStyle w:val="ListBullet"/>
      </w:pPr>
      <w:r>
        <w:t>3 P</w:t>
      </w:r>
      <w:r w:rsidR="00950651" w:rsidRPr="00213BB5">
        <w:t>hase I studies (</w:t>
      </w:r>
      <w:r w:rsidR="000E5174">
        <w:t>S</w:t>
      </w:r>
      <w:r w:rsidR="00950651" w:rsidRPr="00213BB5">
        <w:t>tudies 1321.1, 1321.2 and 1321.5) in healthy volunteers</w:t>
      </w:r>
    </w:p>
    <w:p w:rsidR="00950651" w:rsidRPr="00213BB5" w:rsidRDefault="00950651" w:rsidP="00213BB5">
      <w:pPr>
        <w:pStyle w:val="ListBullet"/>
      </w:pPr>
      <w:r w:rsidRPr="00213BB5">
        <w:t>1 population pharmacokinetic and pharmacodynamic study</w:t>
      </w:r>
    </w:p>
    <w:p w:rsidR="00950651" w:rsidRPr="00213BB5" w:rsidRDefault="00950651" w:rsidP="00213BB5">
      <w:pPr>
        <w:pStyle w:val="ListBullet"/>
      </w:pPr>
      <w:r w:rsidRPr="00213BB5">
        <w:t>1 (ongoing) phase III study (1321.3)</w:t>
      </w:r>
    </w:p>
    <w:p w:rsidR="009A7609" w:rsidRDefault="00950651" w:rsidP="00213BB5">
      <w:pPr>
        <w:pStyle w:val="ListBullet"/>
      </w:pPr>
      <w:r w:rsidRPr="00213BB5">
        <w:t>Integrated summaries of pharmacology, efficacy and safety</w:t>
      </w:r>
    </w:p>
    <w:p w:rsidR="00950651" w:rsidRDefault="00950651" w:rsidP="00950651">
      <w:pPr>
        <w:spacing w:before="0" w:after="0" w:line="240" w:lineRule="auto"/>
        <w:jc w:val="both"/>
        <w:rPr>
          <w:rFonts w:asciiTheme="minorHAnsi" w:hAnsiTheme="minorHAnsi"/>
          <w:b/>
        </w:rPr>
      </w:pPr>
      <w:r w:rsidRPr="003F08CF">
        <w:rPr>
          <w:rFonts w:asciiTheme="minorHAnsi" w:hAnsiTheme="minorHAnsi"/>
          <w:b/>
        </w:rPr>
        <w:t>Pharmacology</w:t>
      </w:r>
    </w:p>
    <w:p w:rsidR="00950651" w:rsidRPr="00213BB5" w:rsidRDefault="00950651" w:rsidP="00213BB5">
      <w:pPr>
        <w:pStyle w:val="ListBullet"/>
      </w:pPr>
      <w:r w:rsidRPr="00213BB5">
        <w:t>Three pharmacology studies (</w:t>
      </w:r>
      <w:r w:rsidR="000E5174">
        <w:t>S</w:t>
      </w:r>
      <w:r w:rsidRPr="00213BB5">
        <w:t xml:space="preserve">tudies 1321.1, 1321.2 and 1321.5) were submitted. These form a large part of the human exposure to idarucizumab. From these studies and the population pharmacokinetic </w:t>
      </w:r>
      <w:r w:rsidR="00F910DE">
        <w:t>S</w:t>
      </w:r>
      <w:r w:rsidRPr="00213BB5">
        <w:t xml:space="preserve">tudy </w:t>
      </w:r>
      <w:proofErr w:type="spellStart"/>
      <w:r w:rsidR="00F910DE">
        <w:t>Pop</w:t>
      </w:r>
      <w:r w:rsidRPr="00213BB5">
        <w:t>PK</w:t>
      </w:r>
      <w:proofErr w:type="spellEnd"/>
      <w:r w:rsidRPr="00213BB5">
        <w:t xml:space="preserve"> 01-02-05</w:t>
      </w:r>
      <w:r w:rsidR="00790329">
        <w:t>,</w:t>
      </w:r>
      <w:r w:rsidRPr="00213BB5">
        <w:t xml:space="preserve"> the </w:t>
      </w:r>
      <w:r w:rsidR="00790329">
        <w:t xml:space="preserve">PK </w:t>
      </w:r>
      <w:r w:rsidRPr="00213BB5">
        <w:t>of idarucizumab and the effects on dabigatran pharmacokinetics were characterised by:</w:t>
      </w:r>
    </w:p>
    <w:p w:rsidR="00950651" w:rsidRPr="00213BB5" w:rsidRDefault="00950651" w:rsidP="00213BB5">
      <w:pPr>
        <w:pStyle w:val="ListBullet2"/>
      </w:pPr>
      <w:proofErr w:type="spellStart"/>
      <w:r w:rsidRPr="00213BB5">
        <w:t>Cmax</w:t>
      </w:r>
      <w:proofErr w:type="spellEnd"/>
      <w:r w:rsidRPr="00213BB5">
        <w:t xml:space="preserve"> was 25 µ</w:t>
      </w:r>
      <w:proofErr w:type="spellStart"/>
      <w:r w:rsidRPr="00213BB5">
        <w:t>mol</w:t>
      </w:r>
      <w:proofErr w:type="spellEnd"/>
      <w:r w:rsidRPr="00213BB5">
        <w:t xml:space="preserve">/L, </w:t>
      </w:r>
      <w:proofErr w:type="gramStart"/>
      <w:r w:rsidRPr="00213BB5">
        <w:t>28.3 µ</w:t>
      </w:r>
      <w:proofErr w:type="spellStart"/>
      <w:r w:rsidRPr="00213BB5">
        <w:t>mol</w:t>
      </w:r>
      <w:proofErr w:type="spellEnd"/>
      <w:r w:rsidRPr="00213BB5">
        <w:t>/L</w:t>
      </w:r>
      <w:proofErr w:type="gramEnd"/>
      <w:r w:rsidRPr="00213BB5">
        <w:t>, 32.1 µ</w:t>
      </w:r>
      <w:proofErr w:type="spellStart"/>
      <w:r w:rsidRPr="00213BB5">
        <w:t>mol</w:t>
      </w:r>
      <w:proofErr w:type="spellEnd"/>
      <w:r w:rsidRPr="00213BB5">
        <w:t>/L after 5</w:t>
      </w:r>
      <w:r w:rsidR="00803F0B">
        <w:t xml:space="preserve"> </w:t>
      </w:r>
      <w:r w:rsidRPr="00213BB5">
        <w:t xml:space="preserve">g idarucizumab by infusion given </w:t>
      </w:r>
      <w:r w:rsidR="00F910DE">
        <w:t>to healthy volunteers aged 45-</w:t>
      </w:r>
      <w:r w:rsidRPr="00213BB5">
        <w:t xml:space="preserve">64, healthy volunteers aged 65-80, and subjects with mild renal impairment, respectively. </w:t>
      </w:r>
      <w:proofErr w:type="spellStart"/>
      <w:r w:rsidRPr="00213BB5">
        <w:t>Cmax</w:t>
      </w:r>
      <w:proofErr w:type="spellEnd"/>
      <w:r w:rsidRPr="00213BB5">
        <w:t xml:space="preserve"> was </w:t>
      </w:r>
      <w:proofErr w:type="gramStart"/>
      <w:r w:rsidRPr="00213BB5">
        <w:t>26.5 µ</w:t>
      </w:r>
      <w:proofErr w:type="spellStart"/>
      <w:r w:rsidRPr="00213BB5">
        <w:t>mol</w:t>
      </w:r>
      <w:proofErr w:type="spellEnd"/>
      <w:r w:rsidRPr="00213BB5">
        <w:t>/L</w:t>
      </w:r>
      <w:proofErr w:type="gramEnd"/>
      <w:r w:rsidRPr="00213BB5">
        <w:t xml:space="preserve"> after 2 doses of 2.5 g idarucizumab in subjects with moderate renal impairment.</w:t>
      </w:r>
    </w:p>
    <w:p w:rsidR="00950651" w:rsidRPr="00213BB5" w:rsidRDefault="00950651" w:rsidP="00213BB5">
      <w:pPr>
        <w:pStyle w:val="ListBullet2"/>
      </w:pPr>
      <w:r w:rsidRPr="00213BB5">
        <w:t xml:space="preserve">Median </w:t>
      </w:r>
      <w:proofErr w:type="spellStart"/>
      <w:r w:rsidRPr="00213BB5">
        <w:t>Tmax</w:t>
      </w:r>
      <w:proofErr w:type="spellEnd"/>
      <w:r w:rsidRPr="00213BB5">
        <w:t xml:space="preserve"> of 6 minutes after a 5 g dose in healthy volunteers</w:t>
      </w:r>
    </w:p>
    <w:p w:rsidR="00950651" w:rsidRPr="00213BB5" w:rsidRDefault="00950651" w:rsidP="00213BB5">
      <w:pPr>
        <w:pStyle w:val="ListBullet2"/>
      </w:pPr>
      <w:r w:rsidRPr="00213BB5">
        <w:t>AUC</w:t>
      </w:r>
      <w:r w:rsidR="00F910DE" w:rsidRPr="00F910DE">
        <w:rPr>
          <w:vertAlign w:val="subscript"/>
        </w:rPr>
        <w:t>0-</w:t>
      </w:r>
      <w:r w:rsidRPr="00F910DE">
        <w:rPr>
          <w:vertAlign w:val="subscript"/>
        </w:rPr>
        <w:t xml:space="preserve">∞ </w:t>
      </w:r>
      <w:r w:rsidRPr="00213BB5">
        <w:t xml:space="preserve">was 37000 </w:t>
      </w:r>
      <w:proofErr w:type="spellStart"/>
      <w:r w:rsidRPr="00213BB5">
        <w:t>nmol</w:t>
      </w:r>
      <w:r w:rsidRPr="00213BB5">
        <w:rPr>
          <w:rFonts w:ascii="Cambria Math" w:hAnsi="Cambria Math" w:cs="Cambria Math"/>
        </w:rPr>
        <w:t>⋅</w:t>
      </w:r>
      <w:r w:rsidRPr="00213BB5">
        <w:t>h</w:t>
      </w:r>
      <w:proofErr w:type="spellEnd"/>
      <w:r w:rsidRPr="00213BB5">
        <w:t xml:space="preserve">/L, </w:t>
      </w:r>
      <w:proofErr w:type="gramStart"/>
      <w:r w:rsidRPr="00213BB5">
        <w:t xml:space="preserve">43900 </w:t>
      </w:r>
      <w:proofErr w:type="spellStart"/>
      <w:r w:rsidRPr="00213BB5">
        <w:t>nmol</w:t>
      </w:r>
      <w:r w:rsidRPr="00213BB5">
        <w:rPr>
          <w:rFonts w:ascii="Cambria Math" w:hAnsi="Cambria Math" w:cs="Cambria Math"/>
        </w:rPr>
        <w:t>⋅</w:t>
      </w:r>
      <w:r w:rsidRPr="00213BB5">
        <w:t>h</w:t>
      </w:r>
      <w:proofErr w:type="spellEnd"/>
      <w:r w:rsidRPr="00213BB5">
        <w:t>/L,</w:t>
      </w:r>
      <w:proofErr w:type="gramEnd"/>
      <w:r w:rsidRPr="00213BB5">
        <w:t xml:space="preserve"> and 53100 </w:t>
      </w:r>
      <w:proofErr w:type="spellStart"/>
      <w:r w:rsidRPr="00213BB5">
        <w:t>nmol</w:t>
      </w:r>
      <w:r w:rsidRPr="00213BB5">
        <w:rPr>
          <w:rFonts w:ascii="Cambria Math" w:hAnsi="Cambria Math" w:cs="Cambria Math"/>
        </w:rPr>
        <w:t>⋅</w:t>
      </w:r>
      <w:r w:rsidRPr="00213BB5">
        <w:t>h</w:t>
      </w:r>
      <w:proofErr w:type="spellEnd"/>
      <w:r w:rsidRPr="00213BB5">
        <w:t xml:space="preserve">/L after 5g </w:t>
      </w:r>
      <w:proofErr w:type="spellStart"/>
      <w:r w:rsidRPr="00213BB5">
        <w:t>idarucizumab</w:t>
      </w:r>
      <w:proofErr w:type="spellEnd"/>
      <w:r w:rsidRPr="00213BB5">
        <w:t xml:space="preserve"> by infusion given </w:t>
      </w:r>
      <w:r w:rsidR="00F910DE">
        <w:t>to healthy volunteers aged 45-</w:t>
      </w:r>
      <w:r w:rsidRPr="00213BB5">
        <w:t>64, healthy volunteers aged 65-80, and subjects with mild renal impairment, respectively. AUC</w:t>
      </w:r>
      <w:r w:rsidR="00F910DE" w:rsidRPr="00F910DE">
        <w:rPr>
          <w:vertAlign w:val="subscript"/>
        </w:rPr>
        <w:t>0-</w:t>
      </w:r>
      <w:r w:rsidRPr="00F910DE">
        <w:rPr>
          <w:vertAlign w:val="subscript"/>
        </w:rPr>
        <w:t xml:space="preserve">∞ </w:t>
      </w:r>
      <w:r w:rsidRPr="00213BB5">
        <w:t xml:space="preserve">was </w:t>
      </w:r>
      <w:proofErr w:type="gramStart"/>
      <w:r w:rsidRPr="00213BB5">
        <w:t xml:space="preserve">67900 </w:t>
      </w:r>
      <w:proofErr w:type="spellStart"/>
      <w:r w:rsidRPr="00213BB5">
        <w:t>nmol</w:t>
      </w:r>
      <w:r w:rsidRPr="00213BB5">
        <w:rPr>
          <w:rFonts w:ascii="Cambria Math" w:hAnsi="Cambria Math" w:cs="Cambria Math"/>
        </w:rPr>
        <w:t>⋅</w:t>
      </w:r>
      <w:r w:rsidRPr="00213BB5">
        <w:t>h</w:t>
      </w:r>
      <w:proofErr w:type="spellEnd"/>
      <w:r w:rsidRPr="00213BB5">
        <w:t>/L</w:t>
      </w:r>
      <w:proofErr w:type="gramEnd"/>
      <w:r w:rsidRPr="00213BB5">
        <w:t xml:space="preserve"> after 2 doses of 2.5 g idarucizumab in subjects with moderate renal impairment.</w:t>
      </w:r>
    </w:p>
    <w:p w:rsidR="00950651" w:rsidRPr="00213BB5" w:rsidRDefault="00950651" w:rsidP="00213BB5">
      <w:pPr>
        <w:pStyle w:val="ListBullet2"/>
      </w:pPr>
      <w:proofErr w:type="spellStart"/>
      <w:r w:rsidRPr="00213BB5">
        <w:t>Cmax</w:t>
      </w:r>
      <w:proofErr w:type="spellEnd"/>
      <w:r w:rsidRPr="00213BB5">
        <w:t xml:space="preserve"> and AUC were dose proportional over the range 20 mg to 8 g.</w:t>
      </w:r>
    </w:p>
    <w:p w:rsidR="00950651" w:rsidRPr="00213BB5" w:rsidRDefault="00950651" w:rsidP="00213BB5">
      <w:pPr>
        <w:pStyle w:val="ListBullet2"/>
      </w:pPr>
      <w:r w:rsidRPr="00213BB5">
        <w:lastRenderedPageBreak/>
        <w:t>Volume of distribution was 6.34 to 8.86 L after a 5</w:t>
      </w:r>
      <w:r w:rsidR="00803F0B">
        <w:t xml:space="preserve"> </w:t>
      </w:r>
      <w:r w:rsidRPr="00213BB5">
        <w:t>g infusion. The population PK modelled central volume of distribution was 3.3</w:t>
      </w:r>
      <w:r w:rsidR="00803F0B">
        <w:t xml:space="preserve"> </w:t>
      </w:r>
      <w:r w:rsidRPr="00213BB5">
        <w:t>L and was a function of body weight.</w:t>
      </w:r>
    </w:p>
    <w:p w:rsidR="00950651" w:rsidRPr="00213BB5" w:rsidRDefault="00950651" w:rsidP="00213BB5">
      <w:pPr>
        <w:pStyle w:val="ListBullet2"/>
      </w:pPr>
      <w:r w:rsidRPr="00213BB5">
        <w:t>Clearance  was 47.1 mL/min, 39.6 mL/min and 32.8 mL/min after 5</w:t>
      </w:r>
      <w:r w:rsidR="00803F0B">
        <w:t xml:space="preserve"> </w:t>
      </w:r>
      <w:r w:rsidRPr="00213BB5">
        <w:t xml:space="preserve">g idarucizumab by infusion given </w:t>
      </w:r>
      <w:r w:rsidR="00803F0B">
        <w:t>to healthy volunteers aged 45-</w:t>
      </w:r>
      <w:r w:rsidRPr="00213BB5">
        <w:t>64, healthy volunteers aged 65-80, and subjects with mild renal impairment, respectively, and 25.7 mL/min after 2 doses of 2.5 g idarucizumab in subjects with moderate renal impairment.</w:t>
      </w:r>
    </w:p>
    <w:p w:rsidR="00950651" w:rsidRPr="00213BB5" w:rsidRDefault="00950651" w:rsidP="00213BB5">
      <w:pPr>
        <w:pStyle w:val="ListBullet2"/>
      </w:pPr>
      <w:r w:rsidRPr="00213BB5">
        <w:t>After IV administration of a 5 g dose 32.12% (</w:t>
      </w:r>
      <w:proofErr w:type="spellStart"/>
      <w:r w:rsidRPr="00213BB5">
        <w:t>gCV</w:t>
      </w:r>
      <w:proofErr w:type="spellEnd"/>
      <w:r w:rsidRPr="00213BB5">
        <w:t xml:space="preserve"> 60%) was recovered i</w:t>
      </w:r>
      <w:r w:rsidR="00F910DE">
        <w:t>n the urine in the first 6 h</w:t>
      </w:r>
      <w:r w:rsidR="00803F0B">
        <w:t>, and &lt;1% in the next 18 h</w:t>
      </w:r>
      <w:r w:rsidRPr="00213BB5">
        <w:t>.</w:t>
      </w:r>
    </w:p>
    <w:p w:rsidR="00950651" w:rsidRPr="00213BB5" w:rsidRDefault="00803F0B" w:rsidP="00213BB5">
      <w:pPr>
        <w:pStyle w:val="ListBullet2"/>
      </w:pPr>
      <w:r>
        <w:t>In volunteers aged 45-</w:t>
      </w:r>
      <w:r w:rsidR="00950651" w:rsidRPr="00213BB5">
        <w:t>64 years the initial half-life was 47 minutes (</w:t>
      </w:r>
      <w:proofErr w:type="spellStart"/>
      <w:r w:rsidR="00950651" w:rsidRPr="00213BB5">
        <w:t>gCV</w:t>
      </w:r>
      <w:proofErr w:type="spellEnd"/>
      <w:r w:rsidR="00950651" w:rsidRPr="00213BB5">
        <w:t xml:space="preserve"> 11.4%).</w:t>
      </w:r>
    </w:p>
    <w:p w:rsidR="00950651" w:rsidRPr="00213BB5" w:rsidRDefault="00950651" w:rsidP="00213BB5">
      <w:pPr>
        <w:pStyle w:val="ListBullet2"/>
      </w:pPr>
      <w:r w:rsidRPr="00213BB5">
        <w:t>The t</w:t>
      </w:r>
      <w:r w:rsidR="00803F0B">
        <w:t>erminal half-life was 10.3 h, 10.8 h, and 9.52 h</w:t>
      </w:r>
      <w:r w:rsidRPr="00213BB5">
        <w:t xml:space="preserve"> after 5</w:t>
      </w:r>
      <w:r w:rsidR="00803F0B">
        <w:t xml:space="preserve"> </w:t>
      </w:r>
      <w:r w:rsidRPr="00213BB5">
        <w:t xml:space="preserve">g idarucizumab by infusion given </w:t>
      </w:r>
      <w:r w:rsidR="00803F0B">
        <w:t>to healthy volunteers aged 45-</w:t>
      </w:r>
      <w:r w:rsidRPr="00213BB5">
        <w:t>64 years, healthy volunteers aged 65-80 years , and subjects with mild renal impairme</w:t>
      </w:r>
      <w:r w:rsidR="00803F0B">
        <w:t>nt, respectively, and 10.1 h</w:t>
      </w:r>
      <w:r w:rsidRPr="00213BB5">
        <w:t xml:space="preserve"> after 2 doses of 2.5 g idarucizumab in subjects with moderate renal impairment.</w:t>
      </w:r>
    </w:p>
    <w:p w:rsidR="00950651" w:rsidRPr="00213BB5" w:rsidRDefault="00950651" w:rsidP="00213BB5">
      <w:pPr>
        <w:pStyle w:val="ListBullet2"/>
      </w:pPr>
      <w:r w:rsidRPr="00213BB5">
        <w:t>A dose dependent increase in low-molecular weight proteins and urine proteins was seen immediately after dosing that pe</w:t>
      </w:r>
      <w:r w:rsidR="00803F0B">
        <w:t>aked at 4 h</w:t>
      </w:r>
      <w:r w:rsidRPr="00213BB5">
        <w:t xml:space="preserve"> then returned to normal </w:t>
      </w:r>
      <w:r w:rsidR="00803F0B">
        <w:t>in almost all cases within 12-24 h</w:t>
      </w:r>
      <w:r w:rsidRPr="00213BB5">
        <w:t xml:space="preserve">. This is thought to be the result of catabolism of idarucizumab protein in the kidney and saturation of tubular uptake processes for the resorption of small (≤ 70 </w:t>
      </w:r>
      <w:proofErr w:type="spellStart"/>
      <w:r w:rsidRPr="00213BB5">
        <w:t>kDa</w:t>
      </w:r>
      <w:proofErr w:type="spellEnd"/>
      <w:r w:rsidRPr="00213BB5">
        <w:t>) proteins from the urine filtrate, rather than acute tubular injury.</w:t>
      </w:r>
    </w:p>
    <w:p w:rsidR="00950651" w:rsidRPr="00213BB5" w:rsidRDefault="00950651" w:rsidP="00213BB5">
      <w:pPr>
        <w:pStyle w:val="ListBullet2"/>
      </w:pPr>
      <w:r w:rsidRPr="00213BB5">
        <w:t>A small increased (up to 1.2 fold) in idarucizumab PK parameters was observed when idarucizumab was administered with steady state dabigatran.</w:t>
      </w:r>
    </w:p>
    <w:p w:rsidR="00950651" w:rsidRPr="00213BB5" w:rsidRDefault="00950651" w:rsidP="00213BB5">
      <w:pPr>
        <w:pStyle w:val="ListBullet2"/>
      </w:pPr>
      <w:r w:rsidRPr="00213BB5">
        <w:t>Doses of 1</w:t>
      </w:r>
      <w:r w:rsidR="00803F0B">
        <w:t xml:space="preserve"> </w:t>
      </w:r>
      <w:r w:rsidRPr="00213BB5">
        <w:t>g, 2</w:t>
      </w:r>
      <w:r w:rsidR="00803F0B">
        <w:t xml:space="preserve"> </w:t>
      </w:r>
      <w:r w:rsidRPr="00213BB5">
        <w:t>g, 4</w:t>
      </w:r>
      <w:r w:rsidR="00803F0B">
        <w:t xml:space="preserve"> </w:t>
      </w:r>
      <w:r w:rsidRPr="00213BB5">
        <w:t>g, and 5</w:t>
      </w:r>
      <w:r w:rsidR="00803F0B">
        <w:t xml:space="preserve"> </w:t>
      </w:r>
      <w:r w:rsidRPr="00213BB5">
        <w:t>g idarucizumab all reduced unbound sum dabigatran concentrations to or below the LLOQ immediately after IV infusion and the decrease was dose-dependent. The decrease was accompanied by an idarucizumab dose-dependent increase in sum dabigatran.</w:t>
      </w:r>
    </w:p>
    <w:p w:rsidR="00950651" w:rsidRPr="00213BB5" w:rsidRDefault="00950651" w:rsidP="00213BB5">
      <w:pPr>
        <w:pStyle w:val="ListBullet2"/>
      </w:pPr>
      <w:r w:rsidRPr="00213BB5">
        <w:t>Idarucizumab transiently reduced the urinary excretion of dabigatran.</w:t>
      </w:r>
    </w:p>
    <w:p w:rsidR="00950651" w:rsidRPr="00213BB5" w:rsidRDefault="00950651" w:rsidP="00213BB5">
      <w:pPr>
        <w:pStyle w:val="ListBullet2"/>
      </w:pPr>
      <w:r w:rsidRPr="00213BB5">
        <w:t>Re</w:t>
      </w:r>
      <w:r w:rsidR="008926BA">
        <w:t>-exposure to dabigatran 24 h</w:t>
      </w:r>
      <w:r w:rsidRPr="00213BB5">
        <w:t xml:space="preserve"> after administration of idarucizumab or placeb</w:t>
      </w:r>
      <w:r w:rsidR="008926BA">
        <w:t>o in healthy subjects aged 45-</w:t>
      </w:r>
      <w:r w:rsidRPr="00213BB5">
        <w:t xml:space="preserve">64 years showed similar trough and peak </w:t>
      </w:r>
      <w:proofErr w:type="spellStart"/>
      <w:r w:rsidRPr="00213BB5">
        <w:t>dTT</w:t>
      </w:r>
      <w:proofErr w:type="spellEnd"/>
      <w:r w:rsidRPr="00213BB5">
        <w:t xml:space="preserve">, ECT, </w:t>
      </w:r>
      <w:proofErr w:type="spellStart"/>
      <w:r w:rsidRPr="00213BB5">
        <w:t>aPTT</w:t>
      </w:r>
      <w:proofErr w:type="spellEnd"/>
      <w:r w:rsidRPr="00213BB5">
        <w:t xml:space="preserve"> and TT ratio to baseline pre and post idarucizumab.</w:t>
      </w:r>
    </w:p>
    <w:p w:rsidR="00950651" w:rsidRPr="00213BB5" w:rsidRDefault="00950651" w:rsidP="00213BB5">
      <w:pPr>
        <w:pStyle w:val="ListBullet2"/>
      </w:pPr>
      <w:r w:rsidRPr="00213BB5">
        <w:t xml:space="preserve">Population PK analysis showed the PK of idarucizumab was best described by a three compartmental fixed effects. Idarucizumab had a steady stated </w:t>
      </w:r>
      <w:proofErr w:type="spellStart"/>
      <w:proofErr w:type="gramStart"/>
      <w:r w:rsidRPr="00213BB5">
        <w:t>Vd</w:t>
      </w:r>
      <w:proofErr w:type="spellEnd"/>
      <w:proofErr w:type="gramEnd"/>
      <w:r w:rsidRPr="00213BB5">
        <w:t xml:space="preserve"> of 9.2L, the model estimate for clearance was 2.3L and the terminal half-life was approximately 12 hours. Clearance was a function of renal function, but not ag</w:t>
      </w:r>
      <w:r w:rsidR="008926BA">
        <w:t xml:space="preserve">e, sex, and body weight. Weight </w:t>
      </w:r>
      <w:r w:rsidRPr="00213BB5">
        <w:t>adjusted clearance was similar in Japanese and white subjects. The size of the central compartment varied with body weight.</w:t>
      </w:r>
    </w:p>
    <w:p w:rsidR="00950651" w:rsidRPr="00213BB5" w:rsidRDefault="00950651" w:rsidP="00213BB5">
      <w:pPr>
        <w:pStyle w:val="ListBullet"/>
      </w:pPr>
      <w:r w:rsidRPr="00213BB5">
        <w:t>The pharmacodynamic effects of idarucizumab from the Phase I studies are:</w:t>
      </w:r>
    </w:p>
    <w:p w:rsidR="00950651" w:rsidRPr="00213BB5" w:rsidRDefault="00950651" w:rsidP="00213BB5">
      <w:pPr>
        <w:pStyle w:val="ListBullet2"/>
      </w:pPr>
      <w:r w:rsidRPr="00213BB5">
        <w:t>Idarucizumab had no direct eff</w:t>
      </w:r>
      <w:r w:rsidR="008926BA">
        <w:t xml:space="preserve">ect on </w:t>
      </w:r>
      <w:proofErr w:type="spellStart"/>
      <w:r w:rsidR="008926BA">
        <w:t>dTT</w:t>
      </w:r>
      <w:proofErr w:type="spellEnd"/>
      <w:r w:rsidR="008926BA">
        <w:t>, ECT, TT</w:t>
      </w:r>
      <w:r w:rsidRPr="00213BB5">
        <w:t xml:space="preserve">, </w:t>
      </w:r>
      <w:proofErr w:type="spellStart"/>
      <w:r w:rsidRPr="00213BB5">
        <w:t>aPTT</w:t>
      </w:r>
      <w:proofErr w:type="spellEnd"/>
      <w:r w:rsidRPr="00213BB5">
        <w:t>, or activated clotting time (ACT) suggesting there was no effect on the coagulation cascade.</w:t>
      </w:r>
    </w:p>
    <w:p w:rsidR="00950651" w:rsidRPr="00213BB5" w:rsidRDefault="00950651" w:rsidP="00213BB5">
      <w:pPr>
        <w:pStyle w:val="ListBullet2"/>
      </w:pPr>
      <w:r w:rsidRPr="00213BB5">
        <w:t xml:space="preserve">The mean and individual endogenous thrombin potential (ETP) profiles, </w:t>
      </w:r>
      <w:proofErr w:type="spellStart"/>
      <w:r w:rsidRPr="00213BB5">
        <w:t>fibrinopeptide</w:t>
      </w:r>
      <w:proofErr w:type="spellEnd"/>
      <w:r w:rsidRPr="00213BB5">
        <w:t xml:space="preserve"> A and coagulation time suggest there is no </w:t>
      </w:r>
      <w:proofErr w:type="spellStart"/>
      <w:r w:rsidRPr="00213BB5">
        <w:t>prothrombotic</w:t>
      </w:r>
      <w:proofErr w:type="spellEnd"/>
      <w:r w:rsidRPr="00213BB5">
        <w:t xml:space="preserve"> potential.</w:t>
      </w:r>
    </w:p>
    <w:p w:rsidR="00950651" w:rsidRPr="00213BB5" w:rsidRDefault="00950651" w:rsidP="00213BB5">
      <w:pPr>
        <w:pStyle w:val="ListBullet2"/>
      </w:pPr>
      <w:r w:rsidRPr="00213BB5">
        <w:t>Idarucizumab completely reversed dabigatran</w:t>
      </w:r>
      <w:r w:rsidR="008926BA">
        <w:t xml:space="preserve"> </w:t>
      </w:r>
      <w:r w:rsidRPr="00213BB5">
        <w:t>induced effects on ETP.</w:t>
      </w:r>
    </w:p>
    <w:p w:rsidR="00950651" w:rsidRPr="00213BB5" w:rsidRDefault="00950651" w:rsidP="00213BB5">
      <w:pPr>
        <w:pStyle w:val="ListBullet2"/>
      </w:pPr>
      <w:r w:rsidRPr="00213BB5">
        <w:t>Re-exposure after 2 months was well tolerated and the PD effects were the same as the initial dose.</w:t>
      </w:r>
    </w:p>
    <w:p w:rsidR="00950651" w:rsidRPr="00213BB5" w:rsidRDefault="00950651" w:rsidP="00213BB5">
      <w:pPr>
        <w:pStyle w:val="ListBullet2"/>
      </w:pPr>
      <w:r w:rsidRPr="00213BB5">
        <w:t>There was no obvious effect of renal function on the reversal of the dabigatran anticoagulant effect of a 5 g dose.</w:t>
      </w:r>
    </w:p>
    <w:p w:rsidR="00950651" w:rsidRPr="00213BB5" w:rsidRDefault="00950651" w:rsidP="00213BB5">
      <w:pPr>
        <w:pStyle w:val="ListBullet2"/>
      </w:pPr>
      <w:r w:rsidRPr="00213BB5">
        <w:lastRenderedPageBreak/>
        <w:t>There were no obvious effect of race (Japanese patients), sex (19 female patients in the Phase I studies) and age.</w:t>
      </w:r>
    </w:p>
    <w:p w:rsidR="00950651" w:rsidRPr="00213BB5" w:rsidRDefault="00950651" w:rsidP="00213BB5">
      <w:pPr>
        <w:pStyle w:val="ListBullet2"/>
      </w:pPr>
      <w:r w:rsidRPr="00213BB5">
        <w:t xml:space="preserve">Where two 2.5 g doses were given the onset of action was within minutes of the first dose as measured by </w:t>
      </w:r>
      <w:proofErr w:type="spellStart"/>
      <w:r w:rsidRPr="00213BB5">
        <w:t>dTT</w:t>
      </w:r>
      <w:proofErr w:type="spellEnd"/>
      <w:r w:rsidRPr="00213BB5">
        <w:t xml:space="preserve">, ECT, and </w:t>
      </w:r>
      <w:proofErr w:type="spellStart"/>
      <w:r w:rsidRPr="00213BB5">
        <w:t>aPTT</w:t>
      </w:r>
      <w:proofErr w:type="spellEnd"/>
      <w:r w:rsidRPr="00213BB5">
        <w:t>.</w:t>
      </w:r>
    </w:p>
    <w:p w:rsidR="00950651" w:rsidRPr="00213BB5" w:rsidRDefault="00950651" w:rsidP="00213BB5">
      <w:pPr>
        <w:pStyle w:val="ListBullet2"/>
      </w:pPr>
      <w:r w:rsidRPr="00213BB5">
        <w:t xml:space="preserve">Anti-idarucizumab antibodies (ADA) had minimal impact on mean </w:t>
      </w:r>
      <w:proofErr w:type="spellStart"/>
      <w:r w:rsidRPr="00213BB5">
        <w:t>Cmax</w:t>
      </w:r>
      <w:proofErr w:type="spellEnd"/>
      <w:r w:rsidRPr="00213BB5">
        <w:t xml:space="preserve"> and AUC.</w:t>
      </w:r>
    </w:p>
    <w:p w:rsidR="00950651" w:rsidRDefault="00950651" w:rsidP="00950651">
      <w:pPr>
        <w:spacing w:before="0" w:after="0" w:line="240" w:lineRule="auto"/>
        <w:jc w:val="both"/>
        <w:rPr>
          <w:rFonts w:asciiTheme="minorHAnsi" w:hAnsiTheme="minorHAnsi"/>
          <w:b/>
        </w:rPr>
      </w:pPr>
      <w:r>
        <w:rPr>
          <w:rFonts w:asciiTheme="minorHAnsi" w:hAnsiTheme="minorHAnsi"/>
          <w:b/>
        </w:rPr>
        <w:t>Efficacy</w:t>
      </w:r>
    </w:p>
    <w:p w:rsidR="00950651" w:rsidRPr="00213BB5" w:rsidRDefault="00950651" w:rsidP="00213BB5">
      <w:pPr>
        <w:pStyle w:val="ListBullet"/>
      </w:pPr>
      <w:r w:rsidRPr="00213BB5">
        <w:t>Study 1321.3  (RE-VERSE AD) This was an interim analysis of the data from 123 patients from an ongoing Phase III, multinational, multicentre, open</w:t>
      </w:r>
      <w:r w:rsidR="00B324F8">
        <w:t xml:space="preserve"> </w:t>
      </w:r>
      <w:r w:rsidRPr="00213BB5">
        <w:t xml:space="preserve">label, </w:t>
      </w:r>
      <w:r w:rsidR="00B324F8">
        <w:t xml:space="preserve">single arm study (case series) </w:t>
      </w:r>
      <w:r w:rsidRPr="00213BB5">
        <w:t xml:space="preserve">investigating the efficacy and safety of the reversal of the anticoagulant effects of dabigatran by the </w:t>
      </w:r>
      <w:r w:rsidR="00B324F8">
        <w:t>iv</w:t>
      </w:r>
      <w:r w:rsidRPr="00213BB5">
        <w:t xml:space="preserve"> administration of 5 g idarucizumab. Idarucizumab was administered as two 2.5 g </w:t>
      </w:r>
      <w:r w:rsidR="00C25EA1">
        <w:t>IV</w:t>
      </w:r>
      <w:r w:rsidRPr="00213BB5">
        <w:t xml:space="preserve"> doses 15 minutes apart. Patients had 3 months of follow up post dose. Patients were ≥ 18 years, and taking dabigatran. Group </w:t>
      </w:r>
      <w:proofErr w:type="gramStart"/>
      <w:r w:rsidRPr="00213BB5">
        <w:t>A</w:t>
      </w:r>
      <w:proofErr w:type="gramEnd"/>
      <w:r w:rsidRPr="00213BB5">
        <w:t xml:space="preserve"> included dabigatran</w:t>
      </w:r>
      <w:r w:rsidR="00B324F8">
        <w:t xml:space="preserve"> </w:t>
      </w:r>
      <w:r w:rsidRPr="00213BB5">
        <w:t xml:space="preserve">treated hospital </w:t>
      </w:r>
      <w:r w:rsidR="00B324F8">
        <w:t>emergency d</w:t>
      </w:r>
      <w:r w:rsidRPr="00213BB5">
        <w:t>epartment patients with uncontrolled bleeding that required urgent medical or surgical treatment. Group B included dabigatran</w:t>
      </w:r>
      <w:r w:rsidR="00B324F8">
        <w:t xml:space="preserve"> </w:t>
      </w:r>
      <w:r w:rsidRPr="00213BB5">
        <w:t>treated ED patients that required emergency surgery or other medical procedure necessitating rapid reversal of dabigatran. The main exclusion criteria for Group A were bleeding manageable with standard care, no clinical signs of bleeding, contraindication to the study medication (including hypersensitivity and hereditary fructose intolerance); and for Group B the main exclusion criteria were, in addition to the above contraindications, elective surgery or procedure or procedures/surgeries with a low risk of bleeding.  The study is ongoing with a planned enrolment of 300 patients.</w:t>
      </w:r>
    </w:p>
    <w:p w:rsidR="00950651" w:rsidRPr="00213BB5" w:rsidRDefault="00950651" w:rsidP="00213BB5">
      <w:pPr>
        <w:pStyle w:val="ListBullet"/>
      </w:pPr>
      <w:r w:rsidRPr="00213BB5">
        <w:t>There were 66 bleeding patients (Group A) and 57 patients needing surgery or a procedure (Group B), with a median age 77 years, mostly ( 85%) white, male (52.8%), with a median body weight of 72 kg and a median Cr Cl of 68.4 mL/min  and mostly (95%) taking dabigatran for stroke prevention in atrial fibrillation. Most had a background of hypertension (77%), congestive heart failure (39%) diabetes (27%), coronary artery disease (31%), prior stroke (28%) and prior TIA (11%).</w:t>
      </w:r>
    </w:p>
    <w:p w:rsidR="009A7609" w:rsidRDefault="00950651" w:rsidP="00213BB5">
      <w:pPr>
        <w:pStyle w:val="ListBullet"/>
      </w:pPr>
      <w:r w:rsidRPr="00213BB5">
        <w:t>About 61% and 60% were aged ≥ 75 years (about 18% and 21% ≥ 85 years) in</w:t>
      </w:r>
      <w:r w:rsidR="00B324F8">
        <w:t xml:space="preserve"> Groups A and B, respectively. </w:t>
      </w:r>
      <w:proofErr w:type="spellStart"/>
      <w:r w:rsidRPr="00213BB5">
        <w:t>CrCL</w:t>
      </w:r>
      <w:proofErr w:type="spellEnd"/>
      <w:r w:rsidRPr="00213BB5">
        <w:t xml:space="preserve"> &lt; 30 mL/min was more common in Group B (21%) than group A (11%), but Cr CL ≥30 - &lt;50 mL/min was more common in Group A (30%) than Group B (18%).  The majority of patients in each group (67% Group A and 63% Group B) were taking dabigatran 110 mg BD, with 29% in Group A and 32% in Group B taking dabigatran150 mg BD and only 1 patient (in Group A) taking 75 mg BD. Five patients were taking other dosage regimens. The median time from the las</w:t>
      </w:r>
      <w:r w:rsidR="00B324F8">
        <w:t>t dose of dabigatran was 15.6 h (range 1.5 to about 94 h</w:t>
      </w:r>
      <w:r w:rsidRPr="00213BB5">
        <w:t>), with about 1/3 last dosed within 12 hours of idarucizumab treatment</w:t>
      </w:r>
      <w:r w:rsidR="00B324F8">
        <w:t xml:space="preserve"> and 26% between 24 and 48 h</w:t>
      </w:r>
      <w:r w:rsidRPr="00213BB5">
        <w:t>. In Group A, 42% had last d</w:t>
      </w:r>
      <w:r w:rsidR="00B324F8">
        <w:t>osed between ≥ 12 and &lt; 24 h</w:t>
      </w:r>
      <w:r w:rsidR="009A7609">
        <w:t>.</w:t>
      </w:r>
    </w:p>
    <w:p w:rsidR="00950651" w:rsidRPr="00213BB5" w:rsidRDefault="00950651" w:rsidP="00213BB5">
      <w:pPr>
        <w:pStyle w:val="ListBullet"/>
      </w:pPr>
      <w:r w:rsidRPr="00213BB5">
        <w:t xml:space="preserve">The median baseline total dabigatran concentration was </w:t>
      </w:r>
      <w:proofErr w:type="gramStart"/>
      <w:r w:rsidRPr="00213BB5">
        <w:t>114 ng/mL (range 5.5 to 3600 ng/mL)</w:t>
      </w:r>
      <w:proofErr w:type="gramEnd"/>
      <w:r w:rsidRPr="00213BB5">
        <w:t>. The two patients with the highest dabigatran concentration</w:t>
      </w:r>
      <w:r w:rsidR="00B324F8">
        <w:t xml:space="preserve">s were not bleeding (Group B). </w:t>
      </w:r>
      <w:r w:rsidRPr="00213BB5">
        <w:t xml:space="preserve">Twenty two patients had normal </w:t>
      </w:r>
      <w:proofErr w:type="spellStart"/>
      <w:r w:rsidRPr="00213BB5">
        <w:t>dTT</w:t>
      </w:r>
      <w:proofErr w:type="spellEnd"/>
      <w:r w:rsidRPr="00213BB5">
        <w:t xml:space="preserve"> at baseline and 9 patients had normal ECT.</w:t>
      </w:r>
    </w:p>
    <w:p w:rsidR="009A7609" w:rsidRDefault="00950651" w:rsidP="00213BB5">
      <w:pPr>
        <w:pStyle w:val="ListBullet"/>
      </w:pPr>
      <w:r w:rsidRPr="00213BB5">
        <w:t>Of the 66 patients in Group A, 41% had GI bleeding, 36% had intracranial bleeding and 18% had trauma r</w:t>
      </w:r>
      <w:r w:rsidR="00B324F8">
        <w:t xml:space="preserve">elated bleeding. Severe or life </w:t>
      </w:r>
      <w:r w:rsidRPr="00213BB5">
        <w:t>threatening GUSTO bleeding was reported in 71%. Diluted thrombin time was elevated in 78% and 72%, and thrombin time was elevated in 96% and 95% of patients in Groups A and B, respectively</w:t>
      </w:r>
      <w:r w:rsidR="009A7609">
        <w:t>.</w:t>
      </w:r>
    </w:p>
    <w:p w:rsidR="00950651" w:rsidRPr="00213BB5" w:rsidRDefault="00950651" w:rsidP="00213BB5">
      <w:pPr>
        <w:pStyle w:val="ListBullet"/>
      </w:pPr>
      <w:r w:rsidRPr="00213BB5">
        <w:t xml:space="preserve">Of the 57 patients in Group B, 23% has fractures, 12% had gall bladder disease requiring cholecystectomy, 9% had acute renal insufficient requiring catheter placement for dialysis, 7% had joint or wound infection, </w:t>
      </w:r>
      <w:proofErr w:type="gramStart"/>
      <w:r w:rsidRPr="00213BB5">
        <w:t>5</w:t>
      </w:r>
      <w:proofErr w:type="gramEnd"/>
      <w:r w:rsidRPr="00213BB5">
        <w:t xml:space="preserve">% had acute appendicitis, small bowel obstruction or bowel perforation. Three patients did not undergo the </w:t>
      </w:r>
      <w:r w:rsidRPr="00213BB5">
        <w:lastRenderedPageBreak/>
        <w:t>planned surgery or procedure (1 had taken an overdose of 125 dabigatran capsules and idarucizumab was given in preparation for insertion of a catheter for dialysis that was not required after clotting tests were normalised with the use of idarucizumab, and 2 patients were too unstable for surgery due to their underlying pathology).</w:t>
      </w:r>
    </w:p>
    <w:p w:rsidR="00950651" w:rsidRPr="00213BB5" w:rsidRDefault="00950651" w:rsidP="00213BB5">
      <w:pPr>
        <w:pStyle w:val="ListBullet"/>
      </w:pPr>
      <w:r w:rsidRPr="00213BB5">
        <w:t xml:space="preserve">The median total dabigatran concentration was </w:t>
      </w:r>
      <w:proofErr w:type="gramStart"/>
      <w:r w:rsidRPr="00213BB5">
        <w:t>132 ng/mL (range 5.5, 886.0)</w:t>
      </w:r>
      <w:proofErr w:type="gramEnd"/>
      <w:r w:rsidRPr="00213BB5">
        <w:t xml:space="preserve"> in Group A and 114 ng/mL (range 6.9, 3600) in Group B.</w:t>
      </w:r>
    </w:p>
    <w:p w:rsidR="00950651" w:rsidRPr="00213BB5" w:rsidRDefault="00950651" w:rsidP="00213BB5">
      <w:pPr>
        <w:pStyle w:val="ListBullet"/>
      </w:pPr>
      <w:r w:rsidRPr="00213BB5">
        <w:t>This was an interim analysis and about 50.4% had reached the three month follow up, 23.6 % of patient did not complete the 3 months observation time (19.</w:t>
      </w:r>
      <w:r w:rsidR="00B324F8">
        <w:t>5% because of AE</w:t>
      </w:r>
      <w:r w:rsidRPr="00213BB5">
        <w:t>) and the remainder had observation ongoing at the time of reporting. There was 1 major protocol variation in a patient with a metastatic melanoma misdiagnosed as an intracranial haemorrhage. This patient died 105 days later from malignancy progression.</w:t>
      </w:r>
    </w:p>
    <w:p w:rsidR="00950651" w:rsidRPr="00213BB5" w:rsidRDefault="00950651" w:rsidP="00213BB5">
      <w:pPr>
        <w:pStyle w:val="ListBullet"/>
      </w:pPr>
      <w:r w:rsidRPr="00213BB5">
        <w:t>The efficacy assessment was based on clotting tests after the administration of idarucizumab. Serial plasma samples for clotting tests were measured at baseline, between the administration of the 2.5 g idarucizuma</w:t>
      </w:r>
      <w:r w:rsidR="00213BB5">
        <w:t>b vials, and thereafter at 10-</w:t>
      </w:r>
      <w:r w:rsidRPr="00213BB5">
        <w:t>30 minu</w:t>
      </w:r>
      <w:r w:rsidR="00213BB5">
        <w:t xml:space="preserve">tes, 1, 2, 4, 12 and 24 h. </w:t>
      </w:r>
      <w:r w:rsidRPr="00213BB5">
        <w:t>For this endpoint each patient acted as his/her own control so reversibility could be calculated using the following formula:</w:t>
      </w:r>
    </w:p>
    <w:p w:rsidR="00950651" w:rsidRPr="00213BB5" w:rsidRDefault="00950651" w:rsidP="00213BB5">
      <w:pPr>
        <w:ind w:left="720"/>
      </w:pPr>
      <w:r w:rsidRPr="00213BB5">
        <w:t xml:space="preserve">Reversal = </w:t>
      </w:r>
      <w:proofErr w:type="spellStart"/>
      <w:r w:rsidRPr="00213BB5">
        <w:rPr>
          <w:u w:val="single"/>
        </w:rPr>
        <w:t>predose</w:t>
      </w:r>
      <w:proofErr w:type="spellEnd"/>
      <w:r w:rsidRPr="00213BB5">
        <w:rPr>
          <w:u w:val="single"/>
        </w:rPr>
        <w:t xml:space="preserve"> coagulation test − minimum </w:t>
      </w:r>
      <w:proofErr w:type="spellStart"/>
      <w:r w:rsidRPr="00213BB5">
        <w:rPr>
          <w:u w:val="single"/>
        </w:rPr>
        <w:t>postdose</w:t>
      </w:r>
      <w:proofErr w:type="spellEnd"/>
      <w:r w:rsidRPr="00213BB5">
        <w:rPr>
          <w:u w:val="single"/>
        </w:rPr>
        <w:t xml:space="preserve"> coagulation test</w:t>
      </w:r>
      <w:r w:rsidRPr="00213BB5">
        <w:t xml:space="preserve">   </w:t>
      </w:r>
      <w:proofErr w:type="gramStart"/>
      <w:r w:rsidRPr="00213BB5">
        <w:t xml:space="preserve">x </w:t>
      </w:r>
      <w:r w:rsidR="00213BB5">
        <w:t xml:space="preserve"> </w:t>
      </w:r>
      <w:r w:rsidRPr="00213BB5">
        <w:t>100</w:t>
      </w:r>
      <w:proofErr w:type="gramEnd"/>
    </w:p>
    <w:p w:rsidR="00950651" w:rsidRPr="00213BB5" w:rsidRDefault="00950651" w:rsidP="00213BB5">
      <w:pPr>
        <w:ind w:left="720"/>
      </w:pPr>
      <w:r w:rsidRPr="00213BB5">
        <w:t xml:space="preserve">                     </w:t>
      </w:r>
      <w:r w:rsidRPr="00213BB5">
        <w:tab/>
      </w:r>
      <w:r w:rsidR="00213BB5">
        <w:tab/>
      </w:r>
      <w:proofErr w:type="spellStart"/>
      <w:proofErr w:type="gramStart"/>
      <w:r w:rsidRPr="00213BB5">
        <w:t>predose</w:t>
      </w:r>
      <w:proofErr w:type="spellEnd"/>
      <w:proofErr w:type="gramEnd"/>
      <w:r w:rsidRPr="00213BB5">
        <w:t xml:space="preserve"> coagulation test − 110% ULN</w:t>
      </w:r>
    </w:p>
    <w:p w:rsidR="009A7609" w:rsidRDefault="00950651" w:rsidP="00213BB5">
      <w:pPr>
        <w:pStyle w:val="ListBullet"/>
      </w:pPr>
      <w:r w:rsidRPr="00213BB5">
        <w:t>The primary efficacy endpoint was the central laboratory determination of the maximum reversal of the anticoagulant effect of</w:t>
      </w:r>
      <w:r w:rsidR="00B324F8">
        <w:t xml:space="preserve"> dabigatran in the first 4 h</w:t>
      </w:r>
      <w:r w:rsidRPr="00213BB5">
        <w:t xml:space="preserve"> after infusion as measured by ECT or </w:t>
      </w:r>
      <w:proofErr w:type="spellStart"/>
      <w:r w:rsidRPr="00213BB5">
        <w:t>dTT</w:t>
      </w:r>
      <w:proofErr w:type="spellEnd"/>
      <w:r w:rsidRPr="00213BB5">
        <w:t xml:space="preserve">. Ninety of the 123 patients had central laboratory data for </w:t>
      </w:r>
      <w:proofErr w:type="spellStart"/>
      <w:r w:rsidRPr="00213BB5">
        <w:t>dTT</w:t>
      </w:r>
      <w:proofErr w:type="spellEnd"/>
      <w:r w:rsidRPr="00213BB5">
        <w:t xml:space="preserve"> and ECT</w:t>
      </w:r>
      <w:r w:rsidR="009A7609">
        <w:t>.</w:t>
      </w:r>
    </w:p>
    <w:p w:rsidR="00950651" w:rsidRPr="00213BB5" w:rsidRDefault="00950651" w:rsidP="00213BB5">
      <w:pPr>
        <w:pStyle w:val="ListBullet2"/>
      </w:pPr>
      <w:r w:rsidRPr="00213BB5">
        <w:t>Reversal occurred immediately after the administration of the first vial of id</w:t>
      </w:r>
      <w:r w:rsidR="00E35EF2">
        <w:t>arucizumab</w:t>
      </w:r>
      <w:r w:rsidRPr="00213BB5">
        <w:t>.</w:t>
      </w:r>
    </w:p>
    <w:p w:rsidR="00950651" w:rsidRPr="00213BB5" w:rsidRDefault="00950651" w:rsidP="00213BB5">
      <w:pPr>
        <w:pStyle w:val="ListBullet2"/>
      </w:pPr>
      <w:r w:rsidRPr="00213BB5">
        <w:t xml:space="preserve">100% reversal of </w:t>
      </w:r>
      <w:proofErr w:type="spellStart"/>
      <w:r w:rsidRPr="00213BB5">
        <w:t>dTT</w:t>
      </w:r>
      <w:proofErr w:type="spellEnd"/>
      <w:r w:rsidRPr="00213BB5">
        <w:t xml:space="preserve"> was achieved in 96.8% and 90.9% of patients in Groups A and B, respectively, and ≥ 80% reversal in 100% patients in both groups.</w:t>
      </w:r>
    </w:p>
    <w:p w:rsidR="00950651" w:rsidRPr="00213BB5" w:rsidRDefault="00950651" w:rsidP="00213BB5">
      <w:pPr>
        <w:pStyle w:val="ListBullet2"/>
      </w:pPr>
      <w:r w:rsidRPr="00213BB5">
        <w:t>100% reversal of ECT occurred in 100% and 91.2%, and ≥ 80% reversal in 100% and 97.1% of patients in Groups A and B, respectively.</w:t>
      </w:r>
    </w:p>
    <w:p w:rsidR="00950651" w:rsidRPr="00213BB5" w:rsidRDefault="00950651" w:rsidP="00213BB5">
      <w:pPr>
        <w:pStyle w:val="ListBullet"/>
      </w:pPr>
      <w:r w:rsidRPr="00213BB5">
        <w:t xml:space="preserve">At 12 and 24 hours </w:t>
      </w:r>
      <w:proofErr w:type="spellStart"/>
      <w:r w:rsidRPr="00213BB5">
        <w:t>dTT</w:t>
      </w:r>
      <w:proofErr w:type="spellEnd"/>
      <w:r w:rsidRPr="00213BB5">
        <w:t xml:space="preserve"> was below the ULN in 90.2% and 80.7% of patients, in Groups A and B </w:t>
      </w:r>
      <w:r w:rsidR="00B324F8">
        <w:t xml:space="preserve">respectively. At 12 and 24 h ECT, </w:t>
      </w:r>
      <w:r w:rsidRPr="00213BB5">
        <w:t>they w</w:t>
      </w:r>
      <w:r w:rsidR="00B324F8">
        <w:t>ere</w:t>
      </w:r>
      <w:r w:rsidRPr="00213BB5">
        <w:t xml:space="preserve"> below the ULN in 71.6% and 54.3%, in Groups A and B</w:t>
      </w:r>
      <w:r w:rsidR="00B324F8">
        <w:t>,</w:t>
      </w:r>
      <w:r w:rsidRPr="00213BB5">
        <w:t xml:space="preserve"> respectively.</w:t>
      </w:r>
    </w:p>
    <w:p w:rsidR="00950651" w:rsidRPr="00213BB5" w:rsidRDefault="00950651" w:rsidP="00213BB5">
      <w:pPr>
        <w:pStyle w:val="ListBullet"/>
      </w:pPr>
      <w:r w:rsidRPr="00213BB5">
        <w:t xml:space="preserve">A sensitivity analysis using the reversal calculation with 100% ULN showed 100% reversal of </w:t>
      </w:r>
      <w:proofErr w:type="spellStart"/>
      <w:r w:rsidRPr="00213BB5">
        <w:t>dTT</w:t>
      </w:r>
      <w:proofErr w:type="spellEnd"/>
      <w:r w:rsidRPr="00213BB5">
        <w:t xml:space="preserve"> was achieved in 97.5% evaluable patients in Group A and 92.9% of evaluable patients in Group B. Using ECT 100% reversal was </w:t>
      </w:r>
      <w:r w:rsidR="002C18AC">
        <w:t>achieved in 89.4% and 88.2% in G</w:t>
      </w:r>
      <w:r w:rsidRPr="00213BB5">
        <w:t>roups A and B</w:t>
      </w:r>
      <w:r w:rsidR="002C18AC">
        <w:t>,</w:t>
      </w:r>
      <w:r w:rsidRPr="00213BB5">
        <w:t xml:space="preserve"> respectively. The differences between the test results may reflect different assay sensitivities.</w:t>
      </w:r>
    </w:p>
    <w:p w:rsidR="00950651" w:rsidRPr="00213BB5" w:rsidRDefault="00950651" w:rsidP="00213BB5">
      <w:pPr>
        <w:pStyle w:val="ListBullet"/>
      </w:pPr>
      <w:r w:rsidRPr="00213BB5">
        <w:t xml:space="preserve">Reversal based on </w:t>
      </w:r>
      <w:proofErr w:type="spellStart"/>
      <w:r w:rsidRPr="00213BB5">
        <w:t>aPTT</w:t>
      </w:r>
      <w:proofErr w:type="spellEnd"/>
      <w:r w:rsidRPr="00213BB5">
        <w:t xml:space="preserve"> measured in the central laboratory or locally at the hospital site.</w:t>
      </w:r>
    </w:p>
    <w:p w:rsidR="00950651" w:rsidRPr="00213BB5" w:rsidRDefault="00950651" w:rsidP="00213BB5">
      <w:pPr>
        <w:pStyle w:val="ListBullet2"/>
      </w:pPr>
      <w:r w:rsidRPr="00213BB5">
        <w:t>Local laboratory measurement</w:t>
      </w:r>
      <w:r w:rsidR="00B324F8">
        <w:t xml:space="preserve"> of </w:t>
      </w:r>
      <w:proofErr w:type="spellStart"/>
      <w:r w:rsidR="00B324F8">
        <w:t>aPTT</w:t>
      </w:r>
      <w:proofErr w:type="spellEnd"/>
      <w:r w:rsidR="00B324F8">
        <w:t xml:space="preserve"> within 30 minutes post</w:t>
      </w:r>
      <w:r w:rsidRPr="00213BB5">
        <w:t xml:space="preserve"> dose: reversal in 75.0%</w:t>
      </w:r>
      <w:r w:rsidR="002C18AC">
        <w:t xml:space="preserve"> of Group A and 75.6% </w:t>
      </w:r>
      <w:r w:rsidRPr="00213BB5">
        <w:t>of Group B</w:t>
      </w:r>
    </w:p>
    <w:p w:rsidR="00950651" w:rsidRPr="00213BB5" w:rsidRDefault="00950651" w:rsidP="00213BB5">
      <w:pPr>
        <w:pStyle w:val="ListBullet2"/>
      </w:pPr>
      <w:r w:rsidRPr="00213BB5">
        <w:t>Central laboratory</w:t>
      </w:r>
      <w:r w:rsidR="00B324F8">
        <w:t xml:space="preserve"> </w:t>
      </w:r>
      <w:proofErr w:type="spellStart"/>
      <w:r w:rsidR="00B324F8">
        <w:t>aPTT</w:t>
      </w:r>
      <w:proofErr w:type="spellEnd"/>
      <w:r w:rsidR="00B324F8">
        <w:t xml:space="preserve">, measured at 4 h post </w:t>
      </w:r>
      <w:r w:rsidR="002C18AC">
        <w:t xml:space="preserve">dose: </w:t>
      </w:r>
      <w:r w:rsidRPr="00213BB5">
        <w:t>reversal in 94.9% of Group A and 84.6% of Group B.</w:t>
      </w:r>
    </w:p>
    <w:p w:rsidR="00950651" w:rsidRPr="00213BB5" w:rsidRDefault="00950651" w:rsidP="00213BB5">
      <w:pPr>
        <w:pStyle w:val="ListBullet"/>
      </w:pPr>
      <w:r w:rsidRPr="00213BB5">
        <w:t>Clinical outcomes of hospitalisation, bleeding status, use of blood products, and re-starting anticoagulant therapy were the secondary endpoints.</w:t>
      </w:r>
    </w:p>
    <w:p w:rsidR="00950651" w:rsidRDefault="00950651" w:rsidP="00213BB5">
      <w:pPr>
        <w:pStyle w:val="ListBullet2"/>
      </w:pPr>
      <w:r>
        <w:t>Hospitalisation:</w:t>
      </w:r>
    </w:p>
    <w:p w:rsidR="009A7609" w:rsidRDefault="00950651" w:rsidP="00213BB5">
      <w:pPr>
        <w:pStyle w:val="ListBullet3"/>
      </w:pPr>
      <w:r w:rsidRPr="00213BB5">
        <w:lastRenderedPageBreak/>
        <w:t>Median hospitalisation w</w:t>
      </w:r>
      <w:r w:rsidR="00A107A4">
        <w:t xml:space="preserve">as 8 days in group </w:t>
      </w:r>
      <w:proofErr w:type="gramStart"/>
      <w:r w:rsidR="00A107A4">
        <w:t>A</w:t>
      </w:r>
      <w:proofErr w:type="gramEnd"/>
      <w:r w:rsidR="00A107A4">
        <w:t xml:space="preserve"> (range 2-</w:t>
      </w:r>
      <w:r w:rsidRPr="00213BB5">
        <w:t>72) an</w:t>
      </w:r>
      <w:r w:rsidR="00A107A4">
        <w:t>d 10 days in Group B (range 2-</w:t>
      </w:r>
      <w:r w:rsidRPr="00213BB5">
        <w:t xml:space="preserve">93).  </w:t>
      </w:r>
    </w:p>
    <w:p w:rsidR="00950651" w:rsidRPr="00213BB5" w:rsidRDefault="00950651" w:rsidP="00213BB5">
      <w:pPr>
        <w:pStyle w:val="ListBullet3"/>
      </w:pPr>
      <w:r w:rsidRPr="00213BB5">
        <w:t xml:space="preserve">Median ICU stay in both groups was 0 </w:t>
      </w:r>
      <w:proofErr w:type="gramStart"/>
      <w:r w:rsidRPr="00213BB5">
        <w:t>days,</w:t>
      </w:r>
      <w:proofErr w:type="gramEnd"/>
      <w:r w:rsidRPr="00213BB5">
        <w:t xml:space="preserve"> the mean stay was 2.5 days in Group A and 1.7 days in Group B.</w:t>
      </w:r>
    </w:p>
    <w:p w:rsidR="00950651" w:rsidRPr="00213BB5" w:rsidRDefault="00950651" w:rsidP="00213BB5">
      <w:pPr>
        <w:pStyle w:val="ListBullet2"/>
      </w:pPr>
      <w:r w:rsidRPr="00213BB5">
        <w:t>Bleeding status:</w:t>
      </w:r>
    </w:p>
    <w:p w:rsidR="009A7609" w:rsidRDefault="00950651" w:rsidP="00213BB5">
      <w:pPr>
        <w:pStyle w:val="ListBullet3"/>
      </w:pPr>
      <w:r w:rsidRPr="00213BB5">
        <w:t xml:space="preserve">Group </w:t>
      </w:r>
      <w:proofErr w:type="gramStart"/>
      <w:r w:rsidRPr="00213BB5">
        <w:t>A</w:t>
      </w:r>
      <w:proofErr w:type="gramEnd"/>
      <w:r w:rsidRPr="00213BB5">
        <w:t xml:space="preserve"> bleeding cessation was determined by the investigator or treating physician for 48 patients (remaining 18 the bleeding site was unable to visualised or identified). For 44 of the 48 patie</w:t>
      </w:r>
      <w:r w:rsidR="002C18AC">
        <w:t>nts bleeding stopped in 72 h</w:t>
      </w:r>
      <w:r w:rsidRPr="00213BB5">
        <w:t xml:space="preserve"> with a median </w:t>
      </w:r>
      <w:r w:rsidR="002C18AC">
        <w:t>of 9.8 h</w:t>
      </w:r>
      <w:r w:rsidR="00A107A4">
        <w:t xml:space="preserve"> (range 0.2 h - </w:t>
      </w:r>
      <w:r w:rsidRPr="00213BB5">
        <w:t>67 days)</w:t>
      </w:r>
      <w:r w:rsidR="009A7609">
        <w:t>.</w:t>
      </w:r>
    </w:p>
    <w:p w:rsidR="00950651" w:rsidRPr="00213BB5" w:rsidRDefault="00950651" w:rsidP="00213BB5">
      <w:pPr>
        <w:pStyle w:val="ListBullet3"/>
      </w:pPr>
      <w:r w:rsidRPr="00213BB5">
        <w:t>Group B haemostasis was judged by the surgeon; 48/52 (92.3%) patients had normal haemostasis, 3 (5.8%) had m</w:t>
      </w:r>
      <w:r w:rsidR="00A107A4">
        <w:t xml:space="preserve">ildly abnormal haemostasis (for example, </w:t>
      </w:r>
      <w:r w:rsidRPr="00213BB5">
        <w:t>slight oozing) and one patient was judged to have moderately abnormal haemostasis resulting in bleeding reported within 24 hours post-surgery.</w:t>
      </w:r>
    </w:p>
    <w:p w:rsidR="00950651" w:rsidRPr="00213BB5" w:rsidRDefault="00950651" w:rsidP="00753DD4">
      <w:pPr>
        <w:pStyle w:val="ListBullet2"/>
      </w:pPr>
      <w:r w:rsidRPr="00213BB5">
        <w:t>Use of blood products:</w:t>
      </w:r>
    </w:p>
    <w:p w:rsidR="00950651" w:rsidRPr="00213BB5" w:rsidRDefault="00950651" w:rsidP="00213BB5">
      <w:pPr>
        <w:pStyle w:val="ListBullet3"/>
      </w:pPr>
      <w:r w:rsidRPr="00213BB5">
        <w:t>34.8% of Group A and 15.8% of Group B had received bleed products (including volume expanders) prior to idarucizumab use.</w:t>
      </w:r>
    </w:p>
    <w:p w:rsidR="00950651" w:rsidRPr="00213BB5" w:rsidRDefault="00950651" w:rsidP="00213BB5">
      <w:pPr>
        <w:pStyle w:val="ListBullet3"/>
      </w:pPr>
      <w:r w:rsidRPr="00213BB5">
        <w:t>After the first vial of idarucizumab about 61% of Group A and 35% of Group B were given blood products. Packed RBCs were given to 51.5% of Group A patients and 17.5% of Group B patients. Fresh Frozen Plasma was given to about 21% of Group A and about 16% of Group B.</w:t>
      </w:r>
    </w:p>
    <w:p w:rsidR="00950651" w:rsidRPr="00213BB5" w:rsidRDefault="00950651" w:rsidP="00213BB5">
      <w:pPr>
        <w:pStyle w:val="ListBullet"/>
        <w:numPr>
          <w:ilvl w:val="0"/>
          <w:numId w:val="0"/>
        </w:numPr>
        <w:ind w:left="360"/>
      </w:pPr>
      <w:r w:rsidRPr="00213BB5">
        <w:t>There was no control group so it is difficult to draw firm conclusions based on the clinical outcomes.</w:t>
      </w:r>
    </w:p>
    <w:p w:rsidR="00950651" w:rsidRPr="00213BB5" w:rsidRDefault="00950651" w:rsidP="00753DD4">
      <w:pPr>
        <w:pStyle w:val="ListBullet"/>
      </w:pPr>
      <w:r w:rsidRPr="00213BB5">
        <w:t>Recommencement of anticoagulant/antithrombotic/antiplatelet therapy:</w:t>
      </w:r>
    </w:p>
    <w:p w:rsidR="009A7609" w:rsidRDefault="00950651" w:rsidP="00753DD4">
      <w:pPr>
        <w:pStyle w:val="ListBullet2"/>
      </w:pPr>
      <w:r w:rsidRPr="00213BB5">
        <w:t>71.2% of Group A and 86% of Group B recommenced a therapy of this type. 25.8% and 59.6% of Groups A and B respectively recommenced dabigatran, and 12.1% of Group A and 43.9% of Group B had bridging therapy prior to this recommencement</w:t>
      </w:r>
      <w:r w:rsidR="009A7609">
        <w:t>.</w:t>
      </w:r>
    </w:p>
    <w:p w:rsidR="00950651" w:rsidRPr="00213BB5" w:rsidRDefault="00950651" w:rsidP="00213BB5">
      <w:pPr>
        <w:pStyle w:val="ListBullet2"/>
      </w:pPr>
      <w:r w:rsidRPr="00213BB5">
        <w:t xml:space="preserve">Median time to recommencement of therapy was 4.57 days in Group A (range 0.16 to 77.23) and 1.31 days in Group B (range 0-40.77 days). The median </w:t>
      </w:r>
      <w:proofErr w:type="gramStart"/>
      <w:r w:rsidRPr="00213BB5">
        <w:t>times to recommencement of dabigatran was</w:t>
      </w:r>
      <w:proofErr w:type="gramEnd"/>
      <w:r w:rsidRPr="00213BB5">
        <w:t xml:space="preserve"> 17.46 days (0.34 to 90.63) and 6.49 days</w:t>
      </w:r>
      <w:r w:rsidR="00E036BF">
        <w:t xml:space="preserve"> </w:t>
      </w:r>
      <w:r w:rsidRPr="00213BB5">
        <w:t>(1.05 to 63.31) for Groups A and B, respectively.</w:t>
      </w:r>
    </w:p>
    <w:p w:rsidR="009A7609" w:rsidRDefault="00950651" w:rsidP="00213BB5">
      <w:pPr>
        <w:pStyle w:val="ListBullet"/>
      </w:pPr>
      <w:r w:rsidRPr="00213BB5">
        <w:t>Repeated dosing:</w:t>
      </w:r>
    </w:p>
    <w:p w:rsidR="009A7609" w:rsidRDefault="00950651" w:rsidP="00213BB5">
      <w:pPr>
        <w:pStyle w:val="ListBullet2"/>
      </w:pPr>
      <w:r w:rsidRPr="00213BB5">
        <w:t>2 patients given an addi</w:t>
      </w:r>
      <w:r w:rsidR="00E036BF">
        <w:t>tional 5 g, one at about 14 h</w:t>
      </w:r>
      <w:r w:rsidRPr="00213BB5">
        <w:t xml:space="preserve"> after the first dose based on rising dabigatran levels and coagulation measurements, and the other about 62 hours due to re-elevation of </w:t>
      </w:r>
      <w:proofErr w:type="spellStart"/>
      <w:r w:rsidRPr="00213BB5">
        <w:t>aPTT</w:t>
      </w:r>
      <w:proofErr w:type="spellEnd"/>
      <w:r w:rsidRPr="00213BB5">
        <w:t xml:space="preserve"> and re-bleeding</w:t>
      </w:r>
      <w:r w:rsidR="009A7609">
        <w:t>.</w:t>
      </w:r>
    </w:p>
    <w:p w:rsidR="00950651" w:rsidRPr="00820B8F" w:rsidRDefault="00950651" w:rsidP="00950651">
      <w:pPr>
        <w:spacing w:before="0" w:after="0" w:line="240" w:lineRule="auto"/>
        <w:jc w:val="both"/>
        <w:rPr>
          <w:rFonts w:asciiTheme="minorHAnsi" w:hAnsiTheme="minorHAnsi"/>
          <w:b/>
        </w:rPr>
      </w:pPr>
      <w:r w:rsidRPr="00820B8F">
        <w:rPr>
          <w:rFonts w:asciiTheme="minorHAnsi" w:hAnsiTheme="minorHAnsi"/>
          <w:b/>
        </w:rPr>
        <w:t>Safety</w:t>
      </w:r>
    </w:p>
    <w:p w:rsidR="00950651" w:rsidRPr="00213BB5" w:rsidRDefault="00E036BF" w:rsidP="00213BB5">
      <w:pPr>
        <w:pStyle w:val="ListBullet"/>
      </w:pPr>
      <w:r>
        <w:t xml:space="preserve">A total of </w:t>
      </w:r>
      <w:r w:rsidR="00950651" w:rsidRPr="00213BB5">
        <w:t>406 adults (283 in Phase I studies and 123 in the Phase III study) were exposed to at least 1 dose of  study drug in the clinical trial programme, of those 347 were exposed to at least one dose of idarucizumab, and 240 were exposed to a combination of dabigatran and idarucizumab.</w:t>
      </w:r>
    </w:p>
    <w:p w:rsidR="00950651" w:rsidRPr="00213BB5" w:rsidRDefault="00950651" w:rsidP="00213BB5">
      <w:pPr>
        <w:pStyle w:val="ListBullet"/>
      </w:pPr>
      <w:r w:rsidRPr="00213BB5">
        <w:t>In the Phase I studies 15.6% of patients received 5 g of idarucizumab, and 12.1% received &gt; 5 to 8 g of idarucizumab, and of the patients taking idarucizumab and dabigatran together about 30% receiv</w:t>
      </w:r>
      <w:r w:rsidR="00E036BF">
        <w:t>ed 5 g idarucizumab. Most (80-</w:t>
      </w:r>
      <w:r w:rsidRPr="00213BB5">
        <w:t xml:space="preserve">90%) received idarucizumab as a single infusion and only 7.7% and 4% received two 2.5 g doses separated by 15 minutes. Most were </w:t>
      </w:r>
      <w:r w:rsidR="00E036BF">
        <w:t>W</w:t>
      </w:r>
      <w:r w:rsidRPr="00213BB5">
        <w:t xml:space="preserve">hite, male and aged 19 to 44 years. Across the Phase I studies AEs were reported by approximately 25% of patients that received either idarucizumab or placebo. AEs were reported in 27.1% with idarucizumab alone </w:t>
      </w:r>
      <w:r w:rsidRPr="00213BB5">
        <w:lastRenderedPageBreak/>
        <w:t>and 34.3% of placebo alone. AEs were reported for about 34% of dabigatran subjects only compared with 27% of dabigatran plus idarucizumab subjects (most were in the DE pre-treatment phase of the study). The e</w:t>
      </w:r>
      <w:r w:rsidR="00700CD1">
        <w:t xml:space="preserve">vents were mostly mild. Overall, </w:t>
      </w:r>
      <w:r w:rsidRPr="00213BB5">
        <w:t>idarucizumab was well tolerated. The most frequent event was headache (7.8%) with pre-treatment with dabigatran and before the idarucizumab dose (5.4% in the idarucizumab group and 1.9% in the placebo group), and in 8.4% of the idarucizumab only patients. Skin irritation (2.7%) and dizziness (2.2%) were also more frequent with idarucizumab ± dabigatran compar</w:t>
      </w:r>
      <w:r w:rsidR="00700CD1">
        <w:t xml:space="preserve">ed with placebo ± dabigatran. Treatment related </w:t>
      </w:r>
      <w:r w:rsidRPr="00213BB5">
        <w:t>AEs in Phase I studies were more common in the DE only arms compared with idarucizumab and dabigatran (overall 6.7% versus 3.1%). Epistaxis in DE group was reported in about 2% of patients and in 0.4% of the idaru</w:t>
      </w:r>
      <w:r w:rsidR="00700CD1">
        <w:t>cizumab group. No deaths or SAEs</w:t>
      </w:r>
      <w:r w:rsidRPr="00213BB5">
        <w:t xml:space="preserve"> occurred in the Phase I studies. There were no discontinuations because of AEs in any of the studies.</w:t>
      </w:r>
    </w:p>
    <w:p w:rsidR="009A7609" w:rsidRDefault="00950651" w:rsidP="00213BB5">
      <w:pPr>
        <w:pStyle w:val="ListBullet"/>
      </w:pPr>
      <w:r w:rsidRPr="00213BB5">
        <w:t xml:space="preserve">In the Phase III study 103 AEs were reported for the 123 patients, for 89.4% of Group A and 77.2% of Group B. In the Phase III studies about 5% or more patients reported the AEs of headache, pneumonia (7/123, 5.7%), anaemia (7/123 5.7%), hypokalaemia (9/123, 7.3%), delirium (9/123, 7.3%), constipation 8/123 (6.5%), and pyrexia (7/123, 5.7%). The most common (≥ 5% patient) in Group </w:t>
      </w:r>
      <w:proofErr w:type="gramStart"/>
      <w:r w:rsidRPr="00213BB5">
        <w:t>A</w:t>
      </w:r>
      <w:proofErr w:type="gramEnd"/>
      <w:r w:rsidRPr="00213BB5">
        <w:t xml:space="preserve"> patients were delirium (10.6%), pyrexia (9.1%), constipation (9.1%), hypokalaemia (9.1%), urinary tract infection (7.6%), headache (7.6%), arthralgia (6.1%) and thrombocytopenia (6.1%) and in Group B were pneumonia (7%), diarrhoea (7%), anaemia (5.3%),</w:t>
      </w:r>
      <w:r w:rsidR="00D56982">
        <w:t xml:space="preserve"> and hypokalaemia (5.3%). The Treatment related </w:t>
      </w:r>
      <w:r w:rsidRPr="00213BB5">
        <w:t>AE epistaxis occurred in 2 patients, was short lived (1 and 2 minutes) and occurred some days after the idarucizumab (2 days and 7 days, respectively)</w:t>
      </w:r>
      <w:r w:rsidR="009A7609">
        <w:t>.</w:t>
      </w:r>
    </w:p>
    <w:p w:rsidR="009A7609" w:rsidRDefault="00950651" w:rsidP="008C4840">
      <w:pPr>
        <w:pStyle w:val="ListBullet"/>
      </w:pPr>
      <w:r w:rsidRPr="00213BB5">
        <w:t xml:space="preserve">Death was reported for 26/123 patients in the Phase III study, 13 in each treatment group: 11 within 1 day of idarucizumab from CV events (5), ICH progression (2), septic shock (2), peritonitis (1), and respiratory failure </w:t>
      </w:r>
      <w:r w:rsidR="00B96ACE">
        <w:t>(1). Another 7</w:t>
      </w:r>
      <w:r w:rsidR="00091788">
        <w:t xml:space="preserve"> patients</w:t>
      </w:r>
      <w:r w:rsidR="00B96ACE">
        <w:t xml:space="preserve"> died on Days 1-</w:t>
      </w:r>
      <w:r w:rsidRPr="00213BB5">
        <w:t>30 after idarucizumab from CV events (4), ICH progression, cerebral infarction, multiple organ failure (</w:t>
      </w:r>
      <w:r w:rsidR="00B96ACE">
        <w:t xml:space="preserve">MSOF). A further 8 </w:t>
      </w:r>
      <w:r w:rsidR="00091788">
        <w:t xml:space="preserve">patients </w:t>
      </w:r>
      <w:r w:rsidR="00B96ACE">
        <w:t>died on 31-</w:t>
      </w:r>
      <w:r w:rsidRPr="00213BB5">
        <w:t xml:space="preserve">106 days after idarucizumab from malignant disease (3), pneumonia (2), GIH, Parkinson’s, general health deterioration. None of the events were considered related to idarucizumab. SAEs were reported for in 47% of Group A and 38.6% of Group B with 53 events overall, including the 26 patients with events leading to death. The SAEs included 5 patients with thrombotic events; 3 in Group A (1 non </w:t>
      </w:r>
      <w:r w:rsidR="00815AC1">
        <w:t xml:space="preserve">ST </w:t>
      </w:r>
      <w:r w:rsidR="00E16225" w:rsidRPr="00E16225">
        <w:t xml:space="preserve">elevation myocardial infarction </w:t>
      </w:r>
      <w:r w:rsidR="00E16225">
        <w:t>[</w:t>
      </w:r>
      <w:r w:rsidRPr="00213BB5">
        <w:t>STEMI</w:t>
      </w:r>
      <w:r w:rsidR="00E16225">
        <w:t>]</w:t>
      </w:r>
      <w:r w:rsidRPr="00213BB5">
        <w:t xml:space="preserve">, one atrial thrombus with DVT and </w:t>
      </w:r>
      <w:r w:rsidR="00815AC1" w:rsidRPr="00815AC1">
        <w:t xml:space="preserve">pulmonary embolism </w:t>
      </w:r>
      <w:r w:rsidR="00815AC1">
        <w:t>(</w:t>
      </w:r>
      <w:r w:rsidRPr="00213BB5">
        <w:t>PE</w:t>
      </w:r>
      <w:r w:rsidR="00815AC1">
        <w:t>)</w:t>
      </w:r>
      <w:r w:rsidRPr="00213BB5">
        <w:t xml:space="preserve">, both in patients with intracranial haemorrhage in whom no antithrombotic treatment was started, and 1 DVT and PE two days after cessation of treatment for a GI bleed),and 2 in Group B (1 Right </w:t>
      </w:r>
      <w:r w:rsidR="00CD03E2">
        <w:t>m</w:t>
      </w:r>
      <w:r w:rsidR="00CD03E2" w:rsidRPr="00CD03E2">
        <w:t xml:space="preserve">iddle cerebral artery </w:t>
      </w:r>
      <w:r w:rsidR="00CD03E2">
        <w:t>[</w:t>
      </w:r>
      <w:r w:rsidRPr="00213BB5">
        <w:t>MCA</w:t>
      </w:r>
      <w:r w:rsidR="00CD03E2">
        <w:t>]</w:t>
      </w:r>
      <w:r w:rsidRPr="00213BB5">
        <w:t xml:space="preserve"> stroke having stopped dabigatran for surgical management of an i</w:t>
      </w:r>
      <w:r w:rsidR="008C4840">
        <w:t xml:space="preserve">nfected knee joint, with a post </w:t>
      </w:r>
      <w:r w:rsidRPr="00213BB5">
        <w:t xml:space="preserve">procedural rectal bleed on </w:t>
      </w:r>
      <w:r w:rsidR="008C4840" w:rsidRPr="008C4840">
        <w:t>low</w:t>
      </w:r>
      <w:r w:rsidR="0013051F">
        <w:t xml:space="preserve"> </w:t>
      </w:r>
      <w:r w:rsidR="008C4840" w:rsidRPr="008C4840">
        <w:t>molecular</w:t>
      </w:r>
      <w:r w:rsidR="0013051F">
        <w:t xml:space="preserve"> </w:t>
      </w:r>
      <w:r w:rsidR="008C4840" w:rsidRPr="008C4840">
        <w:t xml:space="preserve">weight heparin </w:t>
      </w:r>
      <w:r w:rsidR="008C4840">
        <w:t>(</w:t>
      </w:r>
      <w:r w:rsidRPr="00213BB5">
        <w:t>LMWH</w:t>
      </w:r>
      <w:r w:rsidR="008C4840">
        <w:t>)</w:t>
      </w:r>
      <w:r w:rsidRPr="00213BB5">
        <w:t xml:space="preserve"> that had also been ceased, and 1 bilateral below knee DVT in a patient admitted for</w:t>
      </w:r>
      <w:r w:rsidR="008C4840">
        <w:t xml:space="preserve"> surgery to treat cholecystitis</w:t>
      </w:r>
      <w:r w:rsidRPr="00213BB5">
        <w:t>). Two patients had elevated cardiac enzymes and ST segment abnormalities but had no diagnosis of MI</w:t>
      </w:r>
      <w:r w:rsidR="009A7609">
        <w:t>.</w:t>
      </w:r>
    </w:p>
    <w:p w:rsidR="00950651" w:rsidRPr="00213BB5" w:rsidRDefault="00950651" w:rsidP="00213BB5">
      <w:pPr>
        <w:pStyle w:val="ListBullet"/>
      </w:pPr>
      <w:r w:rsidRPr="00213BB5">
        <w:t xml:space="preserve">Three patients met the laboratory criteria for </w:t>
      </w:r>
      <w:proofErr w:type="spellStart"/>
      <w:r w:rsidRPr="00213BB5">
        <w:t>Hy’s</w:t>
      </w:r>
      <w:proofErr w:type="spellEnd"/>
      <w:r w:rsidRPr="00213BB5">
        <w:t xml:space="preserve"> Law in the setting of </w:t>
      </w:r>
      <w:proofErr w:type="spellStart"/>
      <w:r w:rsidRPr="00213BB5">
        <w:t>cholelithiasis</w:t>
      </w:r>
      <w:proofErr w:type="spellEnd"/>
      <w:r w:rsidRPr="00213BB5">
        <w:t xml:space="preserve"> (1), renal and hepatic failure (1), and sepsis with MSOF (1).</w:t>
      </w:r>
    </w:p>
    <w:p w:rsidR="00950651" w:rsidRPr="00213BB5" w:rsidRDefault="00950651" w:rsidP="00213BB5">
      <w:pPr>
        <w:pStyle w:val="ListBullet"/>
      </w:pPr>
      <w:r w:rsidRPr="00213BB5">
        <w:t>There was no signal for de</w:t>
      </w:r>
      <w:r w:rsidR="00D33C52">
        <w:t xml:space="preserve">terioration in renal function. </w:t>
      </w:r>
      <w:r w:rsidRPr="00213BB5">
        <w:t xml:space="preserve">There was a mean reduction in serum creatinine in both treatment groups in the Phase III study on a variable baseline. The highest baseline creatinine was </w:t>
      </w:r>
      <w:proofErr w:type="gramStart"/>
      <w:r w:rsidRPr="00213BB5">
        <w:t>885 µ</w:t>
      </w:r>
      <w:proofErr w:type="spellStart"/>
      <w:r w:rsidRPr="00213BB5">
        <w:t>mol</w:t>
      </w:r>
      <w:proofErr w:type="spellEnd"/>
      <w:r w:rsidRPr="00213BB5">
        <w:t>/L.</w:t>
      </w:r>
      <w:proofErr w:type="gramEnd"/>
    </w:p>
    <w:p w:rsidR="00950651" w:rsidRPr="00213BB5" w:rsidRDefault="00950651" w:rsidP="00213BB5">
      <w:pPr>
        <w:pStyle w:val="ListBullet"/>
      </w:pPr>
      <w:r w:rsidRPr="00213BB5">
        <w:t>Immunogenicity</w:t>
      </w:r>
      <w:r w:rsidR="00213BB5">
        <w:t>:</w:t>
      </w:r>
    </w:p>
    <w:p w:rsidR="00950651" w:rsidRPr="00213BB5" w:rsidRDefault="00950651" w:rsidP="00213BB5">
      <w:pPr>
        <w:pStyle w:val="ListBullet2"/>
      </w:pPr>
      <w:r w:rsidRPr="00213BB5">
        <w:t xml:space="preserve">Overall, across the Phase I studies 36/283 (13%) patients had pre-existing antibodies to idarucizumab, mostly to the C-terminus of idarucizumab and titres </w:t>
      </w:r>
      <w:r w:rsidRPr="00213BB5">
        <w:lastRenderedPageBreak/>
        <w:t xml:space="preserve">were low. There was no effect of ADA on the reversal of dabigatran-induced anticoagulation as measured by </w:t>
      </w:r>
      <w:proofErr w:type="spellStart"/>
      <w:r w:rsidRPr="00213BB5">
        <w:t>dTT</w:t>
      </w:r>
      <w:proofErr w:type="spellEnd"/>
      <w:r w:rsidRPr="00213BB5">
        <w:t xml:space="preserve"> and ECT. In the Phase III study immunogenicity was available from 47 patients with a pre-and post-dose sample.  Two patients had baseline non-specific ADA to the non-variable site of idarucizumab (C-terminus), persisting in both patients at 30 days. Treatment emergent antibodies were reported for 18 patients from the Phase I studies and one p</w:t>
      </w:r>
      <w:r w:rsidR="00D33C52">
        <w:t xml:space="preserve">atient in the Phase III study. </w:t>
      </w:r>
      <w:r w:rsidRPr="00213BB5">
        <w:t>In these patients titres were low, and there was no apparent effect on dabigatran reversal. It is likely that, given the large dose of idarucizumab relative to the antibody titre any negative effect directly due to antibodies is likely to be overwhelmed by large dose of idarucizumab. Few patients had repeated doses of idarucizumab so it is difficult to draw conclusions about the impact of antibodies to idarucizumab in patients requiring additional treatments.</w:t>
      </w:r>
    </w:p>
    <w:p w:rsidR="00950651" w:rsidRPr="00213BB5" w:rsidRDefault="00950651" w:rsidP="00213BB5">
      <w:pPr>
        <w:pStyle w:val="ListBullet2"/>
      </w:pPr>
      <w:r w:rsidRPr="00213BB5">
        <w:t>In addition to the pyrexia events other possible hypersensitivity events included bronchospasm (n</w:t>
      </w:r>
      <w:r w:rsidR="00D33C52">
        <w:t xml:space="preserve"> </w:t>
      </w:r>
      <w:r w:rsidRPr="00213BB5">
        <w:t>=</w:t>
      </w:r>
      <w:r w:rsidR="00D33C52">
        <w:t xml:space="preserve"> </w:t>
      </w:r>
      <w:r w:rsidRPr="00213BB5">
        <w:t>1) and hyperventilation (n</w:t>
      </w:r>
      <w:r w:rsidR="00D33C52">
        <w:t xml:space="preserve"> </w:t>
      </w:r>
      <w:r w:rsidRPr="00213BB5">
        <w:t>=</w:t>
      </w:r>
      <w:r w:rsidR="00D33C52">
        <w:t xml:space="preserve"> </w:t>
      </w:r>
      <w:r w:rsidRPr="00213BB5">
        <w:t>1), rash (n</w:t>
      </w:r>
      <w:r w:rsidR="00D33C52">
        <w:t xml:space="preserve"> </w:t>
      </w:r>
      <w:r w:rsidRPr="00213BB5">
        <w:t>=</w:t>
      </w:r>
      <w:r w:rsidR="00D33C52">
        <w:t xml:space="preserve"> </w:t>
      </w:r>
      <w:r w:rsidRPr="00213BB5">
        <w:t xml:space="preserve">2) and itchiness (1). There were no reported cases of anaphylactic shock or </w:t>
      </w:r>
      <w:proofErr w:type="spellStart"/>
      <w:r w:rsidRPr="00213BB5">
        <w:t>angio</w:t>
      </w:r>
      <w:proofErr w:type="spellEnd"/>
      <w:r w:rsidRPr="00213BB5">
        <w:t>-oedema.</w:t>
      </w:r>
    </w:p>
    <w:p w:rsidR="008E7846" w:rsidRDefault="00386150" w:rsidP="007B6132">
      <w:pPr>
        <w:pStyle w:val="Heading3"/>
        <w:rPr>
          <w:lang w:eastAsia="en-AU"/>
        </w:rPr>
      </w:pPr>
      <w:bookmarkStart w:id="180" w:name="_Toc466282963"/>
      <w:r>
        <w:rPr>
          <w:lang w:eastAsia="en-AU"/>
        </w:rPr>
        <w:t>Risk m</w:t>
      </w:r>
      <w:r w:rsidR="008E7846">
        <w:rPr>
          <w:lang w:eastAsia="en-AU"/>
        </w:rPr>
        <w:t xml:space="preserve">anagement </w:t>
      </w:r>
      <w:r>
        <w:rPr>
          <w:lang w:eastAsia="en-AU"/>
        </w:rPr>
        <w:t>p</w:t>
      </w:r>
      <w:r w:rsidR="008E7846">
        <w:rPr>
          <w:lang w:eastAsia="en-AU"/>
        </w:rPr>
        <w:t>lan</w:t>
      </w:r>
      <w:bookmarkEnd w:id="179"/>
      <w:bookmarkEnd w:id="180"/>
    </w:p>
    <w:p w:rsidR="00950651" w:rsidRPr="00950651" w:rsidRDefault="00950651" w:rsidP="00950651">
      <w:r w:rsidRPr="00950651">
        <w:t>The Pharmacovigilance and Special Access Branch ha</w:t>
      </w:r>
      <w:r w:rsidR="00D33C52">
        <w:t xml:space="preserve">s reviewed EU RMP version 2.0 </w:t>
      </w:r>
      <w:r w:rsidRPr="00950651">
        <w:t xml:space="preserve">and the </w:t>
      </w:r>
      <w:r w:rsidR="00D33C52">
        <w:t xml:space="preserve">ASA version 2.0 </w:t>
      </w:r>
      <w:r w:rsidRPr="00950651">
        <w:t>and has advised that the RMP documents require amendment as there are outstanding issues . These include:</w:t>
      </w:r>
    </w:p>
    <w:p w:rsidR="009A7609" w:rsidRDefault="00950651" w:rsidP="00950651">
      <w:pPr>
        <w:pStyle w:val="ListBullet"/>
      </w:pPr>
      <w:r w:rsidRPr="00950651">
        <w:t>Inclusion of the educational materials as additional Risk Minimisation activities in the ASA</w:t>
      </w:r>
    </w:p>
    <w:p w:rsidR="00950651" w:rsidRPr="00950651" w:rsidRDefault="00D33C52" w:rsidP="00950651">
      <w:pPr>
        <w:pStyle w:val="ListBullet"/>
      </w:pPr>
      <w:r>
        <w:t xml:space="preserve">Removal of the </w:t>
      </w:r>
      <w:r w:rsidR="00950651" w:rsidRPr="00950651">
        <w:t>reference to the Special Access Scheme in the educational materials</w:t>
      </w:r>
    </w:p>
    <w:p w:rsidR="00950651" w:rsidRPr="00950651" w:rsidRDefault="00950651" w:rsidP="00950651">
      <w:pPr>
        <w:pStyle w:val="ListBullet"/>
      </w:pPr>
      <w:r w:rsidRPr="00950651">
        <w:t>Addition of a precaution about transient proteinuria in the PI</w:t>
      </w:r>
    </w:p>
    <w:p w:rsidR="00950651" w:rsidRPr="00950651" w:rsidRDefault="00D33C52" w:rsidP="00950651">
      <w:pPr>
        <w:pStyle w:val="ListBullet"/>
      </w:pPr>
      <w:r>
        <w:t>Inclusion of</w:t>
      </w:r>
      <w:r w:rsidR="00950651" w:rsidRPr="00950651">
        <w:t xml:space="preserve"> Australian patients in the global drug administration surveillance program for idarucizumab</w:t>
      </w:r>
    </w:p>
    <w:p w:rsidR="008E7846" w:rsidRDefault="00AA0ED0" w:rsidP="008E7846">
      <w:pPr>
        <w:pStyle w:val="Heading3"/>
      </w:pPr>
      <w:bookmarkStart w:id="181" w:name="_Toc247691531"/>
      <w:bookmarkStart w:id="182" w:name="_Toc314842515"/>
      <w:bookmarkStart w:id="183" w:name="_Toc196046505"/>
      <w:bookmarkStart w:id="184" w:name="_Toc196046949"/>
      <w:bookmarkStart w:id="185" w:name="_Toc466282964"/>
      <w:r>
        <w:t>Risk-benefit a</w:t>
      </w:r>
      <w:r w:rsidR="008E7846">
        <w:t>nalysis</w:t>
      </w:r>
      <w:bookmarkEnd w:id="181"/>
      <w:bookmarkEnd w:id="182"/>
      <w:bookmarkEnd w:id="185"/>
    </w:p>
    <w:p w:rsidR="009A7609" w:rsidRDefault="00D23139" w:rsidP="00D23139">
      <w:pPr>
        <w:pStyle w:val="Heading4"/>
      </w:pPr>
      <w:r w:rsidRPr="00D23139">
        <w:t>Delegate’s considerations</w:t>
      </w:r>
    </w:p>
    <w:p w:rsidR="00950651" w:rsidRDefault="00950651" w:rsidP="00A56D46">
      <w:pPr>
        <w:pStyle w:val="Heading5"/>
      </w:pPr>
      <w:r>
        <w:t>Efficacy</w:t>
      </w:r>
    </w:p>
    <w:p w:rsidR="00950651" w:rsidRPr="00186B47" w:rsidRDefault="00950651" w:rsidP="00A56D46">
      <w:pPr>
        <w:pStyle w:val="ListBullet"/>
      </w:pPr>
      <w:r w:rsidRPr="00186B47">
        <w:t xml:space="preserve">Idarucizumab is a specific binder of dabigatran with a much higher affinity for dabigatran than dabigatran has for thrombin. Idarucizumab has a 1:1 stoichiometric relationship with dabigatran, and a mass ratio of about </w:t>
      </w:r>
      <w:r>
        <w:t>100</w:t>
      </w:r>
      <w:r w:rsidRPr="00186B47">
        <w:t xml:space="preserve">:1. It needs to attain </w:t>
      </w:r>
      <w:proofErr w:type="spellStart"/>
      <w:r w:rsidRPr="00186B47">
        <w:t>equimolarity</w:t>
      </w:r>
      <w:proofErr w:type="spellEnd"/>
      <w:r w:rsidRPr="00186B47">
        <w:t xml:space="preserve"> or higher relative to plasma dabigatran to sustain the reversal of the effects of dabigatran. It has a rapid ‘on rate’ (within 5 minutes) and very slow ‘off rate’. Idarucizumab has not been shown to bind or modulate clotting factors or co-factors in the coagulation cascade, so has no anticoagulant effect or </w:t>
      </w:r>
      <w:proofErr w:type="spellStart"/>
      <w:r w:rsidRPr="00186B47">
        <w:t>prothrombotic</w:t>
      </w:r>
      <w:proofErr w:type="spellEnd"/>
      <w:r w:rsidRPr="00186B47">
        <w:t xml:space="preserve"> effect.</w:t>
      </w:r>
    </w:p>
    <w:p w:rsidR="00950651" w:rsidRPr="00437900" w:rsidRDefault="00950651" w:rsidP="00A56D46">
      <w:pPr>
        <w:pStyle w:val="ListBullet"/>
      </w:pPr>
      <w:r w:rsidRPr="00437900">
        <w:t>The efficacy of idarucizumab was demonstrated open</w:t>
      </w:r>
      <w:r w:rsidR="00AA7F5D">
        <w:t xml:space="preserve"> </w:t>
      </w:r>
      <w:r w:rsidRPr="00437900">
        <w:t>label single</w:t>
      </w:r>
      <w:r w:rsidR="00AA7F5D">
        <w:t xml:space="preserve"> </w:t>
      </w:r>
      <w:r w:rsidRPr="00437900">
        <w:t xml:space="preserve">arm study with data from an interim analysis of 123 patients enrolled as of the 1 April, 2015 cut-off date. Of those, 85% were </w:t>
      </w:r>
      <w:r w:rsidR="00AA7F5D">
        <w:t>W</w:t>
      </w:r>
      <w:r w:rsidRPr="00437900">
        <w:t>hite with small numbers of patients were of Asian ethnicity. The generalisability of the findings of this study for the Australian community is based on the assumption that the effects of dabigatran on the coagulation cascade and the binding of idarucizumab to dabigatran is independent of patient ethnicity. Idarucizumab patients were older than RE-LY study that supported the indication for the prevention of stroke and systemic embolism in patients with one or mor</w:t>
      </w:r>
      <w:r w:rsidR="00103B87">
        <w:t>e risk factors for stroke (77 versus</w:t>
      </w:r>
      <w:r w:rsidRPr="00437900">
        <w:t xml:space="preserve"> 71.5), were less likely to be male (52.8% </w:t>
      </w:r>
      <w:r w:rsidR="003C0BB7">
        <w:t xml:space="preserve">versus 64%), </w:t>
      </w:r>
      <w:r w:rsidR="003C0BB7">
        <w:lastRenderedPageBreak/>
        <w:t>were lighter (median weight</w:t>
      </w:r>
      <w:r w:rsidRPr="00437900">
        <w:t xml:space="preserve"> 72 kg </w:t>
      </w:r>
      <w:r w:rsidR="003C0BB7">
        <w:t>versus</w:t>
      </w:r>
      <w:r w:rsidRPr="00437900">
        <w:t xml:space="preserve"> 82 kg), and had worse renal function (median </w:t>
      </w:r>
      <w:proofErr w:type="spellStart"/>
      <w:r w:rsidRPr="00437900">
        <w:t>CrCL</w:t>
      </w:r>
      <w:proofErr w:type="spellEnd"/>
      <w:r w:rsidRPr="00437900">
        <w:t xml:space="preserve"> 68.4 mL/min </w:t>
      </w:r>
      <w:r w:rsidR="003C0BB7">
        <w:t>versus</w:t>
      </w:r>
      <w:r w:rsidRPr="00437900">
        <w:t xml:space="preserve"> 55.1 mL/min).</w:t>
      </w:r>
    </w:p>
    <w:p w:rsidR="00950651" w:rsidRPr="00437900" w:rsidRDefault="00950651" w:rsidP="00A56D46">
      <w:pPr>
        <w:pStyle w:val="ListBullet"/>
      </w:pPr>
      <w:r w:rsidRPr="00437900">
        <w:t>The open</w:t>
      </w:r>
      <w:r w:rsidR="00314E5F">
        <w:t xml:space="preserve"> </w:t>
      </w:r>
      <w:r w:rsidRPr="00437900">
        <w:t>label single</w:t>
      </w:r>
      <w:r w:rsidR="00314E5F">
        <w:t xml:space="preserve"> </w:t>
      </w:r>
      <w:r w:rsidRPr="00437900">
        <w:t xml:space="preserve">arm study design is reasonable given that there is no established effective non-specific treatment regimen for dabigatran induced bleeding and there is no alternative method of rapid reversal (within minutes) of the anticoagulant effect of dabigatran in circumstances where urgent procedures including surgeries would provide optimal patient care. The sponsor relies on the reversal of </w:t>
      </w:r>
      <w:proofErr w:type="spellStart"/>
      <w:r w:rsidRPr="00437900">
        <w:t>dTT</w:t>
      </w:r>
      <w:proofErr w:type="spellEnd"/>
      <w:r w:rsidRPr="00437900">
        <w:t xml:space="preserve"> and EC</w:t>
      </w:r>
      <w:r w:rsidR="00314E5F">
        <w:t>T, sustained over 12 to 24 h</w:t>
      </w:r>
      <w:r w:rsidRPr="00437900">
        <w:t>, as a surrogate for clinical efficacy. Causes of bleeding can be complex and reversal of anticoagulation may not result in immediate cessation of bleeding, so this approach is reasonable. As there is no control group interpretation of the clinical outcomes is limited.</w:t>
      </w:r>
    </w:p>
    <w:p w:rsidR="00950651" w:rsidRPr="00437900" w:rsidRDefault="00950651" w:rsidP="00A56D46">
      <w:pPr>
        <w:pStyle w:val="ListBullet"/>
      </w:pPr>
      <w:r w:rsidRPr="00437900">
        <w:t>Two doses 2.5 g given 15 minutes apart can reverse and sustain the reversal of the anticoagulant effect of DE for at least 24 hours in the majority of patients although in a few patients there was an incre</w:t>
      </w:r>
      <w:r w:rsidR="00314E5F">
        <w:t xml:space="preserve">ase in </w:t>
      </w:r>
      <w:proofErr w:type="spellStart"/>
      <w:r w:rsidR="00314E5F">
        <w:t>dTT</w:t>
      </w:r>
      <w:proofErr w:type="spellEnd"/>
      <w:r w:rsidR="00314E5F">
        <w:t xml:space="preserve"> beginning at 12 h and increasing to 24 h</w:t>
      </w:r>
      <w:r w:rsidRPr="00437900">
        <w:t>, attributed to dabigatran redistribution because the binding of the dabigatran complex is very tight. Within the limitations of the data there were no differences in response between males and females.</w:t>
      </w:r>
    </w:p>
    <w:p w:rsidR="00950651" w:rsidRPr="00437900" w:rsidRDefault="00950651" w:rsidP="00A56D46">
      <w:pPr>
        <w:pStyle w:val="ListBullet"/>
      </w:pPr>
      <w:r w:rsidRPr="00437900">
        <w:t>Re-</w:t>
      </w:r>
      <w:r w:rsidR="00314E5F">
        <w:t>initiation of dabigatran 24 h</w:t>
      </w:r>
      <w:r w:rsidRPr="00437900">
        <w:t xml:space="preserve"> after an idarucizumab dose resulted in unbound dabigatran concentrations and anticoagulant activity similar to the pre-idarucizumab findings in healthy volunteers. In patients in the Phase III study the recommencement of anticoagulants was more cautious, as anticipated by the clinical setting, and 8 of 17 patients in Group A and 25 of 34 patients in Group B had bridging therapy prior to dabigatran re-commencement. There is concern that early recommencement in patients with renal disease</w:t>
      </w:r>
      <w:r w:rsidR="00314E5F">
        <w:t>.</w:t>
      </w:r>
    </w:p>
    <w:p w:rsidR="00950651" w:rsidRPr="00437900" w:rsidRDefault="00950651" w:rsidP="00A56D46">
      <w:pPr>
        <w:pStyle w:val="ListBullet"/>
      </w:pPr>
      <w:r w:rsidRPr="00437900">
        <w:t>Pre-exiting Ab with cross-reactivity found in 13% (non</w:t>
      </w:r>
      <w:r w:rsidR="00314E5F">
        <w:t xml:space="preserve">-specific to the C-terminus end, that is, </w:t>
      </w:r>
      <w:r w:rsidRPr="00437900">
        <w:t xml:space="preserve">not the end binding to DE), and had no impact of coagulation parameters </w:t>
      </w:r>
      <w:proofErr w:type="spellStart"/>
      <w:r w:rsidRPr="00437900">
        <w:t>dTT</w:t>
      </w:r>
      <w:proofErr w:type="spellEnd"/>
      <w:r w:rsidRPr="00437900">
        <w:t xml:space="preserve"> and ECT.</w:t>
      </w:r>
    </w:p>
    <w:p w:rsidR="00950651" w:rsidRDefault="00950651" w:rsidP="00A56D46">
      <w:pPr>
        <w:pStyle w:val="Heading5"/>
      </w:pPr>
      <w:r w:rsidRPr="009B2444">
        <w:t>Safety</w:t>
      </w:r>
    </w:p>
    <w:p w:rsidR="009A7609" w:rsidRDefault="00950651" w:rsidP="00A56D46">
      <w:pPr>
        <w:pStyle w:val="ListBullet"/>
      </w:pPr>
      <w:r w:rsidRPr="00A56D46">
        <w:t>Idarucizumab in its proposed will generally be used in a hospital setting, and under direct health professional supervision. Overall idarucizumab was well tolerated. Although there were 26 deaths in the Phase III study the two groups within the study population had an underlying high risk of death and the causes of death for each of the patients were not attributed to the use of idarucizumab. The thrombotic events following the use of idarucizumab reflect the underlying thrombotic risks in a high risk population and und</w:t>
      </w:r>
      <w:r w:rsidR="00260514">
        <w:t xml:space="preserve">er high risk circumstances (for example, </w:t>
      </w:r>
      <w:r w:rsidRPr="00A56D46">
        <w:t>surgery, post</w:t>
      </w:r>
      <w:r w:rsidR="00260514">
        <w:t xml:space="preserve"> </w:t>
      </w:r>
      <w:r w:rsidRPr="00A56D46">
        <w:t>transfusion, and in hospital). Across the clinical trial programme the events were acceptable in the clinical context in which idar</w:t>
      </w:r>
      <w:r w:rsidR="00260514">
        <w:t xml:space="preserve">ucizumab is likely to be used. </w:t>
      </w:r>
      <w:r w:rsidRPr="00A56D46">
        <w:t>The small patient numbers in the Phase III study are insufficient to detect uncommon and rare events, and the absence of comparator group limits the interpretation of the events</w:t>
      </w:r>
      <w:r w:rsidR="009A7609">
        <w:t>.</w:t>
      </w:r>
    </w:p>
    <w:p w:rsidR="00950651" w:rsidRPr="00A56D46" w:rsidRDefault="00950651" w:rsidP="00A56D46">
      <w:pPr>
        <w:pStyle w:val="ListBullet"/>
      </w:pPr>
      <w:proofErr w:type="spellStart"/>
      <w:r w:rsidRPr="00A56D46">
        <w:t>Idarucizumab</w:t>
      </w:r>
      <w:proofErr w:type="spellEnd"/>
      <w:r w:rsidRPr="00A56D46">
        <w:t xml:space="preserve"> is a Fab fragment and has no Fc region so has low potential for reactions associated with Fc such as cytotoxic effect function through complement or interactions </w:t>
      </w:r>
      <w:proofErr w:type="spellStart"/>
      <w:r w:rsidRPr="00A56D46">
        <w:t>Fcγ</w:t>
      </w:r>
      <w:proofErr w:type="spellEnd"/>
      <w:r w:rsidRPr="00A56D46">
        <w:t xml:space="preserve"> receptors. Low numbers of patients had pre-existing antibodies to </w:t>
      </w:r>
      <w:r w:rsidR="00260514">
        <w:t xml:space="preserve">idarucizumab, mostly to the </w:t>
      </w:r>
      <w:proofErr w:type="spellStart"/>
      <w:r w:rsidR="00260514">
        <w:t xml:space="preserve">non </w:t>
      </w:r>
      <w:r w:rsidRPr="00A56D46">
        <w:t>binding</w:t>
      </w:r>
      <w:proofErr w:type="spellEnd"/>
      <w:r w:rsidRPr="00A56D46">
        <w:t xml:space="preserve"> end of the molecule and the titres were low. Small numbers of patients and healthy volunteers have been exposed to idarucizumab so the potential for hypersensitivity reactions with repeated exposure has not been well characterised. The sponsor has included hypersensitivity in the precautions section, but has not included this as a contraindication.</w:t>
      </w:r>
    </w:p>
    <w:p w:rsidR="00950651" w:rsidRPr="00A56D46" w:rsidRDefault="00950651" w:rsidP="00A56D46">
      <w:pPr>
        <w:pStyle w:val="ListBullet"/>
      </w:pPr>
      <w:r w:rsidRPr="00A56D46">
        <w:t>The proposed Praxbind fo</w:t>
      </w:r>
      <w:r w:rsidR="00260514">
        <w:t>rmulation contains up to 4 g</w:t>
      </w:r>
      <w:r w:rsidRPr="00A56D46">
        <w:t xml:space="preserve"> of sorbitol, to support the osmolality of the drug product. This is of concern in patients with hereditary fructose intolerance. Sorbitol is a precursor of fructose, and the parenteral administration of </w:t>
      </w:r>
      <w:r w:rsidRPr="00A56D46">
        <w:lastRenderedPageBreak/>
        <w:t>sorbitol to affected individuals has been associated with profound metabolic abnormalities and deaths. The sponsor has included hypersensitivity in the precautions section, but has not included this as a contraindication.</w:t>
      </w:r>
    </w:p>
    <w:p w:rsidR="00950651" w:rsidRPr="00183F1C" w:rsidRDefault="00950651" w:rsidP="00A56D46">
      <w:pPr>
        <w:pStyle w:val="Heading5"/>
      </w:pPr>
      <w:r>
        <w:t>Indication</w:t>
      </w:r>
    </w:p>
    <w:p w:rsidR="00950651" w:rsidRPr="00A56D46" w:rsidRDefault="00950651" w:rsidP="00A56D46">
      <w:pPr>
        <w:pStyle w:val="ListBullet"/>
      </w:pPr>
      <w:r w:rsidRPr="00A56D46">
        <w:t>The proposed indication is:</w:t>
      </w:r>
    </w:p>
    <w:p w:rsidR="00A56D46" w:rsidRPr="00A56D46" w:rsidRDefault="00260514" w:rsidP="00A56D46">
      <w:pPr>
        <w:pStyle w:val="ListBullet2"/>
        <w:numPr>
          <w:ilvl w:val="0"/>
          <w:numId w:val="0"/>
        </w:numPr>
        <w:ind w:left="720"/>
        <w:rPr>
          <w:i/>
        </w:rPr>
      </w:pPr>
      <w:r>
        <w:rPr>
          <w:i/>
        </w:rPr>
        <w:t xml:space="preserve">Praxbind </w:t>
      </w:r>
      <w:r w:rsidR="00950651" w:rsidRPr="00A56D46">
        <w:rPr>
          <w:i/>
        </w:rPr>
        <w:t xml:space="preserve">is a specific reversal agent for dabigatran and is indicated </w:t>
      </w:r>
      <w:r>
        <w:rPr>
          <w:i/>
        </w:rPr>
        <w:t>in patients treated with Pradaxa</w:t>
      </w:r>
      <w:r w:rsidR="00950651" w:rsidRPr="00A56D46">
        <w:rPr>
          <w:i/>
        </w:rPr>
        <w:t xml:space="preserve"> (dabigatran etexilate) when rapid reversal of the anticoagulant eff</w:t>
      </w:r>
      <w:r w:rsidR="00A56D46" w:rsidRPr="00A56D46">
        <w:rPr>
          <w:i/>
        </w:rPr>
        <w:t>ects of dabigatran is required:</w:t>
      </w:r>
    </w:p>
    <w:p w:rsidR="00A56D46" w:rsidRPr="00A56D46" w:rsidRDefault="00950651" w:rsidP="00A56D46">
      <w:pPr>
        <w:pStyle w:val="ListBullet3"/>
        <w:rPr>
          <w:i/>
        </w:rPr>
      </w:pPr>
      <w:r w:rsidRPr="00A56D46">
        <w:rPr>
          <w:i/>
        </w:rPr>
        <w:t>for emer</w:t>
      </w:r>
      <w:r w:rsidR="00A56D46" w:rsidRPr="00A56D46">
        <w:rPr>
          <w:i/>
        </w:rPr>
        <w:t>gency surgery/urgent procedures</w:t>
      </w:r>
    </w:p>
    <w:p w:rsidR="00950651" w:rsidRPr="00A56D46" w:rsidRDefault="00950651" w:rsidP="00A56D46">
      <w:pPr>
        <w:pStyle w:val="ListBullet3"/>
        <w:rPr>
          <w:i/>
        </w:rPr>
      </w:pPr>
      <w:proofErr w:type="gramStart"/>
      <w:r w:rsidRPr="00A56D46">
        <w:rPr>
          <w:i/>
        </w:rPr>
        <w:t>in</w:t>
      </w:r>
      <w:proofErr w:type="gramEnd"/>
      <w:r w:rsidRPr="00A56D46">
        <w:rPr>
          <w:i/>
        </w:rPr>
        <w:t xml:space="preserve"> life-threatening or uncontrolled bleeding.</w:t>
      </w:r>
    </w:p>
    <w:p w:rsidR="00950651" w:rsidRPr="00A56D46" w:rsidRDefault="00950651" w:rsidP="00A56D46">
      <w:pPr>
        <w:pStyle w:val="ListBullet2"/>
        <w:numPr>
          <w:ilvl w:val="0"/>
          <w:numId w:val="0"/>
        </w:numPr>
        <w:ind w:left="720"/>
        <w:rPr>
          <w:i/>
        </w:rPr>
      </w:pPr>
      <w:r w:rsidRPr="00A56D46">
        <w:rPr>
          <w:i/>
        </w:rPr>
        <w:t>Continued approval for this indication may be contingent upon the results of an ongoing cohort case series study.</w:t>
      </w:r>
    </w:p>
    <w:p w:rsidR="009A7609" w:rsidRDefault="00950651" w:rsidP="00A56D46">
      <w:pPr>
        <w:pStyle w:val="ListBullet"/>
        <w:numPr>
          <w:ilvl w:val="0"/>
          <w:numId w:val="0"/>
        </w:numPr>
        <w:ind w:left="360"/>
      </w:pPr>
      <w:r w:rsidRPr="00A56D46">
        <w:t xml:space="preserve">The clinical evaluator considered it important to convey to prescribers that the evidence to support the indication is limited. The wording is based on the US label which describes the approval of Praxbind as having been under ‘accelerated approval’. Australia does not have a provisional registration approval pathway, but this may be (incorrectly) implied by the qualifying sentence following the main part of the indication, and it is recommended that the sentence is deleted. The limitations of the data can be described in the Precautions section and the Indication should therefore read: </w:t>
      </w:r>
    </w:p>
    <w:p w:rsidR="00A56D46" w:rsidRPr="00A56D46" w:rsidRDefault="00BC07A5" w:rsidP="00A56D46">
      <w:pPr>
        <w:pStyle w:val="ListBullet2"/>
        <w:numPr>
          <w:ilvl w:val="0"/>
          <w:numId w:val="0"/>
        </w:numPr>
        <w:ind w:left="720"/>
        <w:rPr>
          <w:i/>
        </w:rPr>
      </w:pPr>
      <w:proofErr w:type="spellStart"/>
      <w:r>
        <w:rPr>
          <w:i/>
        </w:rPr>
        <w:t>Praxbind</w:t>
      </w:r>
      <w:proofErr w:type="spellEnd"/>
      <w:r w:rsidR="00950651" w:rsidRPr="00A56D46">
        <w:rPr>
          <w:i/>
        </w:rPr>
        <w:t xml:space="preserve"> is a specific reversal agent for dabigatran and is indicated in patients treated with dabigatran etexilate when rapid reversal of the anticoagulant effects </w:t>
      </w:r>
      <w:r w:rsidR="00A56D46" w:rsidRPr="00A56D46">
        <w:rPr>
          <w:i/>
        </w:rPr>
        <w:t>of dabigatran is required:</w:t>
      </w:r>
    </w:p>
    <w:p w:rsidR="00A56D46" w:rsidRPr="00A56D46" w:rsidRDefault="00950651" w:rsidP="00A56D46">
      <w:pPr>
        <w:pStyle w:val="ListBullet3"/>
        <w:rPr>
          <w:i/>
        </w:rPr>
      </w:pPr>
      <w:r w:rsidRPr="00A56D46">
        <w:rPr>
          <w:i/>
        </w:rPr>
        <w:t>for emer</w:t>
      </w:r>
      <w:r w:rsidR="00A56D46" w:rsidRPr="00A56D46">
        <w:rPr>
          <w:i/>
        </w:rPr>
        <w:t>gency surgery/urgent procedures</w:t>
      </w:r>
    </w:p>
    <w:p w:rsidR="00950651" w:rsidRPr="00A56D46" w:rsidRDefault="00950651" w:rsidP="00A56D46">
      <w:pPr>
        <w:pStyle w:val="ListBullet3"/>
        <w:rPr>
          <w:i/>
        </w:rPr>
      </w:pPr>
      <w:proofErr w:type="gramStart"/>
      <w:r w:rsidRPr="00A56D46">
        <w:rPr>
          <w:i/>
        </w:rPr>
        <w:t>in</w:t>
      </w:r>
      <w:proofErr w:type="gramEnd"/>
      <w:r w:rsidRPr="00A56D46">
        <w:rPr>
          <w:i/>
        </w:rPr>
        <w:t xml:space="preserve"> life-threatening or uncontrolled bleeding.</w:t>
      </w:r>
    </w:p>
    <w:p w:rsidR="00950651" w:rsidRPr="00A56D46" w:rsidRDefault="00950651" w:rsidP="00A56D46">
      <w:pPr>
        <w:pStyle w:val="ListBullet"/>
        <w:numPr>
          <w:ilvl w:val="0"/>
          <w:numId w:val="0"/>
        </w:numPr>
        <w:ind w:left="360"/>
      </w:pPr>
      <w:r w:rsidRPr="00A56D46">
        <w:t>It is recognised that there may be generic dabigatran etexilate products on the Australian market in the future, and that specific mention of one trade named product is unnecessarily restrictive, so it is proposed that ‘Pradaxa’ is removed from the indication.</w:t>
      </w:r>
    </w:p>
    <w:p w:rsidR="00950651" w:rsidRPr="00A56D46" w:rsidRDefault="00950651" w:rsidP="00A56D46">
      <w:pPr>
        <w:pStyle w:val="ListBullet"/>
        <w:numPr>
          <w:ilvl w:val="0"/>
          <w:numId w:val="0"/>
        </w:numPr>
        <w:ind w:left="360"/>
      </w:pPr>
      <w:r w:rsidRPr="00A56D46">
        <w:t>There is a potential application for idarucizumab in patients with overdose. Actively bleeding patients with an overdose are covered by the proposed indication, as is use prior to a procedure such as the insertion of a catheter for haemodialysis. The patient at risk of a bleeding event but not requiring an immediate procedure is not included in the indication, however this statement applies to all patients regardless of whether the dabigatran exposure resulted from compliance with recommended dose, medication errors or deliberate self-harm.</w:t>
      </w:r>
    </w:p>
    <w:p w:rsidR="00950651" w:rsidRPr="00A56D46" w:rsidRDefault="00950651" w:rsidP="00A56D46">
      <w:pPr>
        <w:pStyle w:val="Heading5"/>
      </w:pPr>
      <w:r w:rsidRPr="00A56D46">
        <w:t>Dose</w:t>
      </w:r>
    </w:p>
    <w:p w:rsidR="00950651" w:rsidRPr="00A56D46" w:rsidRDefault="00950651" w:rsidP="00A56D46">
      <w:r w:rsidRPr="00A56D46">
        <w:t>The 5g total dose is likely to reverse the dabigatran effect in the majority of clinical settings and is supported by evidence from the Phase III study.</w:t>
      </w:r>
    </w:p>
    <w:p w:rsidR="00950651" w:rsidRDefault="00950651" w:rsidP="00A56D46">
      <w:pPr>
        <w:pStyle w:val="Heading5"/>
      </w:pPr>
      <w:r>
        <w:t>Data deficiencies</w:t>
      </w:r>
    </w:p>
    <w:p w:rsidR="00950651" w:rsidRPr="00A56D46" w:rsidRDefault="00950651" w:rsidP="00A56D46">
      <w:pPr>
        <w:pStyle w:val="ListBullet"/>
      </w:pPr>
      <w:r w:rsidRPr="00A56D46">
        <w:t>The single pivotal study is a small open</w:t>
      </w:r>
      <w:r w:rsidR="00C5243E">
        <w:t xml:space="preserve"> </w:t>
      </w:r>
      <w:r w:rsidRPr="00A56D46">
        <w:t>label cohort study that is ongoing. No long term outcomes have been reported with use of idarucizumab. There is limited repeat dose exposure data. There are no paediatric data but this is noted in the PI.</w:t>
      </w:r>
    </w:p>
    <w:p w:rsidR="009A7609" w:rsidRDefault="00950651" w:rsidP="00A56D46">
      <w:pPr>
        <w:pStyle w:val="Heading5"/>
      </w:pPr>
      <w:r>
        <w:t xml:space="preserve">Conditions of </w:t>
      </w:r>
      <w:r w:rsidR="00753DD4">
        <w:t>r</w:t>
      </w:r>
      <w:r>
        <w:t>egistration</w:t>
      </w:r>
    </w:p>
    <w:p w:rsidR="00950651" w:rsidRPr="00A56D46" w:rsidRDefault="00950651" w:rsidP="00A56D46">
      <w:r w:rsidRPr="00A56D46">
        <w:t>The following are proposed as conditions of registration:</w:t>
      </w:r>
    </w:p>
    <w:p w:rsidR="009A7609" w:rsidRDefault="00950651" w:rsidP="00A56D46">
      <w:pPr>
        <w:pStyle w:val="ListBullet"/>
      </w:pPr>
      <w:r w:rsidRPr="00A56D46">
        <w:lastRenderedPageBreak/>
        <w:t xml:space="preserve">There will be a condition of registration for the implementation of an EU RMP with an </w:t>
      </w:r>
      <w:r w:rsidR="00A56D46">
        <w:t>ASA</w:t>
      </w:r>
      <w:r w:rsidR="009A7609">
        <w:t>.</w:t>
      </w:r>
    </w:p>
    <w:p w:rsidR="00950651" w:rsidRPr="00A56D46" w:rsidRDefault="00950651" w:rsidP="00A56D46">
      <w:pPr>
        <w:pStyle w:val="ListBullet"/>
      </w:pPr>
      <w:r w:rsidRPr="00A56D46">
        <w:t>Provide the final clinical study report for Study 1321.3 to the TGA for evaluation, as soon as possible after completion, for evaluation.</w:t>
      </w:r>
    </w:p>
    <w:p w:rsidR="00950651" w:rsidRPr="00A56D46" w:rsidRDefault="00950651" w:rsidP="00A56D46">
      <w:pPr>
        <w:pStyle w:val="ListBullet"/>
      </w:pPr>
      <w:r w:rsidRPr="00A56D46">
        <w:t>There will be batch release conditions imposed as a condition of registration.</w:t>
      </w:r>
    </w:p>
    <w:p w:rsidR="00950651" w:rsidRDefault="00950651" w:rsidP="006D6813">
      <w:pPr>
        <w:pStyle w:val="Heading5"/>
      </w:pPr>
      <w:r>
        <w:t>Questions for the sponsor</w:t>
      </w:r>
    </w:p>
    <w:p w:rsidR="00950651" w:rsidRPr="006D6813" w:rsidRDefault="00950651" w:rsidP="006D6813">
      <w:pPr>
        <w:pStyle w:val="Numberbullet0"/>
        <w:numPr>
          <w:ilvl w:val="0"/>
          <w:numId w:val="23"/>
        </w:numPr>
      </w:pPr>
      <w:r w:rsidRPr="006D6813">
        <w:t>Please explain the eliminat</w:t>
      </w:r>
      <w:r w:rsidR="00C5243E">
        <w:t>ion pathway for the dabigatran-</w:t>
      </w:r>
      <w:r w:rsidRPr="006D6813">
        <w:t>idarucizumab complex.</w:t>
      </w:r>
    </w:p>
    <w:p w:rsidR="00950651" w:rsidRPr="006D6813" w:rsidRDefault="00950651" w:rsidP="006D6813">
      <w:pPr>
        <w:pStyle w:val="Numberbullet0"/>
        <w:numPr>
          <w:ilvl w:val="0"/>
          <w:numId w:val="23"/>
        </w:numPr>
      </w:pPr>
      <w:r w:rsidRPr="006D6813">
        <w:t xml:space="preserve">In the initial study report for </w:t>
      </w:r>
      <w:r w:rsidR="00C5243E">
        <w:t>S</w:t>
      </w:r>
      <w:r w:rsidRPr="006D6813">
        <w:t xml:space="preserve">tudy 1321.3, 10 of 13 patients with PK measurements had </w:t>
      </w:r>
      <w:r w:rsidR="00C5243E">
        <w:t>detectable idarucizumab 24 h</w:t>
      </w:r>
      <w:r w:rsidRPr="006D6813">
        <w:t xml:space="preserve"> after dosing. Please comment on the likely implications for recommencement of dabigatran after 24 hours. Should </w:t>
      </w:r>
      <w:proofErr w:type="spellStart"/>
      <w:r w:rsidRPr="006D6813">
        <w:t>dTT</w:t>
      </w:r>
      <w:proofErr w:type="spellEnd"/>
      <w:r w:rsidRPr="006D6813">
        <w:t xml:space="preserve"> or another measure of the anticoagulant effect of dabigatran be performed to assess the presence of an effective dose of dabigatran?</w:t>
      </w:r>
    </w:p>
    <w:p w:rsidR="00950651" w:rsidRPr="006D6813" w:rsidRDefault="00950651" w:rsidP="006D6813">
      <w:pPr>
        <w:pStyle w:val="Numberbullet0"/>
        <w:numPr>
          <w:ilvl w:val="0"/>
          <w:numId w:val="23"/>
        </w:numPr>
      </w:pPr>
      <w:r w:rsidRPr="006D6813">
        <w:t>Please explain the rationale for a single 5 g total dose for idarucizumab, given this may be in excess of requirements to bind the total body dabigatran load in many patients?</w:t>
      </w:r>
    </w:p>
    <w:p w:rsidR="00950651" w:rsidRPr="006D6813" w:rsidRDefault="00950651" w:rsidP="006D6813">
      <w:pPr>
        <w:pStyle w:val="Numberbullet0"/>
        <w:numPr>
          <w:ilvl w:val="0"/>
          <w:numId w:val="23"/>
        </w:numPr>
      </w:pPr>
      <w:r w:rsidRPr="006D6813">
        <w:t xml:space="preserve">In </w:t>
      </w:r>
      <w:r w:rsidR="00FA1121">
        <w:t>S</w:t>
      </w:r>
      <w:r w:rsidRPr="006D6813">
        <w:t>tudy 1321.3, hypokalaemia was reported as an AE in 9.1% of patients in Group A, but not present in any of these patients at baseline. Please comment.</w:t>
      </w:r>
    </w:p>
    <w:p w:rsidR="00950651" w:rsidRPr="006D6813" w:rsidRDefault="00950651" w:rsidP="006D6813">
      <w:pPr>
        <w:pStyle w:val="Numberbullet0"/>
        <w:numPr>
          <w:ilvl w:val="0"/>
          <w:numId w:val="23"/>
        </w:numPr>
      </w:pPr>
      <w:r w:rsidRPr="006D6813">
        <w:t>There are clinical circumstances in which patients &lt; 18 years of age may benefit from idar</w:t>
      </w:r>
      <w:r w:rsidR="00FA1121">
        <w:t>ucizumab treatment, for example,</w:t>
      </w:r>
      <w:r w:rsidRPr="006D6813">
        <w:t xml:space="preserve"> pre-procedure or if there is accompanying major bleeding. How does the sponsor plan to investigate the use of idarucizumab in children?</w:t>
      </w:r>
    </w:p>
    <w:p w:rsidR="009A7609" w:rsidRDefault="00950651" w:rsidP="006D6813">
      <w:pPr>
        <w:pStyle w:val="Numberbullet0"/>
        <w:numPr>
          <w:ilvl w:val="0"/>
          <w:numId w:val="23"/>
        </w:numPr>
      </w:pPr>
      <w:r w:rsidRPr="006D6813">
        <w:t>Please describe the drug administration surveillance program that is proposed for the EU. What outcome data and o</w:t>
      </w:r>
      <w:r w:rsidR="00CE556F">
        <w:t xml:space="preserve">ther clinical information (for example, </w:t>
      </w:r>
      <w:r w:rsidRPr="006D6813">
        <w:t xml:space="preserve">use of blood products, </w:t>
      </w:r>
      <w:proofErr w:type="gramStart"/>
      <w:r w:rsidRPr="006D6813">
        <w:t>indication</w:t>
      </w:r>
      <w:r w:rsidR="00E64C60">
        <w:t>s</w:t>
      </w:r>
      <w:proofErr w:type="gramEnd"/>
      <w:r w:rsidRPr="006D6813">
        <w:t xml:space="preserve"> for use) are planned for collection? Will repeated dosing be captured in this program?</w:t>
      </w:r>
    </w:p>
    <w:p w:rsidR="00950651" w:rsidRPr="006D6813" w:rsidRDefault="00950651" w:rsidP="006D6813">
      <w:pPr>
        <w:pStyle w:val="Numberbullet0"/>
        <w:numPr>
          <w:ilvl w:val="0"/>
          <w:numId w:val="23"/>
        </w:numPr>
      </w:pPr>
      <w:r w:rsidRPr="006D6813">
        <w:t>Please provide any updated safety information from S</w:t>
      </w:r>
      <w:r w:rsidR="00C74AAE">
        <w:t xml:space="preserve">tudy 1321.3, including any post </w:t>
      </w:r>
      <w:r w:rsidRPr="006D6813">
        <w:t>market data since launch of idarucizumab internationally.</w:t>
      </w:r>
    </w:p>
    <w:p w:rsidR="00950651" w:rsidRPr="006D6813" w:rsidRDefault="00950651" w:rsidP="006D6813">
      <w:pPr>
        <w:pStyle w:val="Numberbullet0"/>
        <w:numPr>
          <w:ilvl w:val="0"/>
          <w:numId w:val="23"/>
        </w:numPr>
      </w:pPr>
      <w:r w:rsidRPr="006D6813">
        <w:t>Please address any outstanding issues with the RMP in the pre</w:t>
      </w:r>
      <w:r w:rsidR="00E64C60">
        <w:t xml:space="preserve"> </w:t>
      </w:r>
      <w:r w:rsidRPr="006D6813">
        <w:t>ACPM response.</w:t>
      </w:r>
    </w:p>
    <w:p w:rsidR="00D23139" w:rsidRDefault="00D23139" w:rsidP="00D23139">
      <w:pPr>
        <w:pStyle w:val="Heading4"/>
      </w:pPr>
      <w:r w:rsidRPr="00D23139">
        <w:t>Proposed action</w:t>
      </w:r>
    </w:p>
    <w:p w:rsidR="006D6813" w:rsidRPr="006D6813" w:rsidRDefault="00596BB9" w:rsidP="006D6813">
      <w:r>
        <w:t>The Delegate has</w:t>
      </w:r>
      <w:r w:rsidR="006D6813" w:rsidRPr="006D6813">
        <w:t xml:space="preserve"> no reason to say, at this time, that the application for idarucizumab should not be approved for registration.</w:t>
      </w:r>
    </w:p>
    <w:p w:rsidR="00DC75E9" w:rsidRDefault="00DC75E9" w:rsidP="00DC75E9">
      <w:pPr>
        <w:pStyle w:val="Heading5"/>
      </w:pPr>
      <w:r>
        <w:t>Summary of issues</w:t>
      </w:r>
    </w:p>
    <w:p w:rsidR="00DC75E9" w:rsidRPr="00DC75E9" w:rsidRDefault="00DC75E9" w:rsidP="00DC75E9">
      <w:pPr>
        <w:pStyle w:val="ListBullet"/>
      </w:pPr>
      <w:r w:rsidRPr="00DC75E9">
        <w:t>Whether the limited safety and efficacy derived from one s</w:t>
      </w:r>
      <w:r w:rsidR="00C74AAE">
        <w:t xml:space="preserve">mall, single arm, ongoing, open </w:t>
      </w:r>
      <w:r w:rsidRPr="00DC75E9">
        <w:t>label Phase III study is sufficient for approval.</w:t>
      </w:r>
    </w:p>
    <w:p w:rsidR="00DC75E9" w:rsidRPr="00DC75E9" w:rsidRDefault="00DC75E9" w:rsidP="00DC75E9">
      <w:pPr>
        <w:pStyle w:val="ListBullet"/>
      </w:pPr>
      <w:r w:rsidRPr="00DC75E9">
        <w:t>Data on repeated dosing are limited. Most repeated dosing has occurred in 6 healthy volunteers with 2.5 g.</w:t>
      </w:r>
    </w:p>
    <w:p w:rsidR="00DC75E9" w:rsidRPr="00DC75E9" w:rsidRDefault="00DC75E9" w:rsidP="00DC75E9">
      <w:pPr>
        <w:pStyle w:val="ListBullet"/>
      </w:pPr>
      <w:r w:rsidRPr="00DC75E9">
        <w:t>Whether the whole 5</w:t>
      </w:r>
      <w:r w:rsidR="00C74AAE">
        <w:t xml:space="preserve"> </w:t>
      </w:r>
      <w:r w:rsidRPr="00DC75E9">
        <w:t>g is a necessary dose in all circumstances as this may have implications for the recommencement of d</w:t>
      </w:r>
      <w:r w:rsidR="00C74AAE">
        <w:t xml:space="preserve">abigatran anticoagulation, for example, </w:t>
      </w:r>
      <w:r w:rsidRPr="00DC75E9">
        <w:t>after the emergency surgery or procedure.</w:t>
      </w:r>
    </w:p>
    <w:p w:rsidR="00D23139" w:rsidRDefault="00D23139" w:rsidP="00D23139">
      <w:pPr>
        <w:pStyle w:val="Heading4"/>
      </w:pPr>
      <w:r w:rsidRPr="00D23139">
        <w:t>Request for ACPM advice</w:t>
      </w:r>
    </w:p>
    <w:p w:rsidR="006D6813" w:rsidRPr="00DC75E9" w:rsidRDefault="006D6813" w:rsidP="006D6813">
      <w:r w:rsidRPr="00DC75E9">
        <w:t>The committee is requested to provide advice on the following specific issues:</w:t>
      </w:r>
    </w:p>
    <w:p w:rsidR="006D6813" w:rsidRPr="00DC75E9" w:rsidRDefault="006D6813" w:rsidP="006D6813">
      <w:pPr>
        <w:pStyle w:val="Numberbullet0"/>
        <w:numPr>
          <w:ilvl w:val="0"/>
          <w:numId w:val="9"/>
        </w:numPr>
      </w:pPr>
      <w:r w:rsidRPr="00DC75E9">
        <w:lastRenderedPageBreak/>
        <w:t>Please comment on the adequacy of the evidence from the ongoing, small, single</w:t>
      </w:r>
      <w:r w:rsidR="00D164FB">
        <w:t xml:space="preserve"> </w:t>
      </w:r>
      <w:r w:rsidRPr="00DC75E9">
        <w:t>arm, open</w:t>
      </w:r>
      <w:r w:rsidR="00D164FB">
        <w:t xml:space="preserve"> </w:t>
      </w:r>
      <w:r w:rsidRPr="00DC75E9">
        <w:t>label Phase III case series to support the efficacy and safety of idarucizumab for the proposed indication.</w:t>
      </w:r>
    </w:p>
    <w:p w:rsidR="006D6813" w:rsidRPr="00DC75E9" w:rsidRDefault="006D6813" w:rsidP="006D6813">
      <w:pPr>
        <w:pStyle w:val="Numberbullet0"/>
        <w:numPr>
          <w:ilvl w:val="0"/>
          <w:numId w:val="9"/>
        </w:numPr>
      </w:pPr>
      <w:r w:rsidRPr="00DC75E9">
        <w:t>The sponsor does not propose to include hypersensitivity to idarucizumab or its excipi</w:t>
      </w:r>
      <w:r>
        <w:t>ents</w:t>
      </w:r>
      <w:r w:rsidRPr="00DC75E9">
        <w:t>, or hereditary fructose intolerance as a contraindication to the use of idarucizumab. The sponsor has stated in the S</w:t>
      </w:r>
      <w:r>
        <w:t xml:space="preserve">ection </w:t>
      </w:r>
      <w:r w:rsidRPr="00DC75E9">
        <w:t>31 responses that patients treated with idarucizumab are treated under emergency conditions which would allow treatment of events associated with hypersensitivity accordingly. Should ‘hypersensitivity’ or ‘hereditary fructose intolerance’ be contraindications or is the sponsor’s justification acceptable? Should hypersensitivity to idarucizumab or hereditary fructose intolerance be contraindications to the use of dabigatran?</w:t>
      </w:r>
    </w:p>
    <w:p w:rsidR="006D6813" w:rsidRPr="00DC75E9" w:rsidRDefault="006D6813" w:rsidP="006D6813">
      <w:pPr>
        <w:pStyle w:val="Numberbullet0"/>
        <w:numPr>
          <w:ilvl w:val="0"/>
          <w:numId w:val="9"/>
        </w:numPr>
      </w:pPr>
      <w:r w:rsidRPr="00DC75E9">
        <w:t>Please comment on the adequacy of the information about the use in patients with moderate to severe chronic kidney disease? Are extra precautionary statements in the PI warranted?</w:t>
      </w:r>
    </w:p>
    <w:p w:rsidR="006D6813" w:rsidRPr="00DC75E9" w:rsidRDefault="006D6813" w:rsidP="006D6813">
      <w:pPr>
        <w:pStyle w:val="Numberbullet0"/>
        <w:numPr>
          <w:ilvl w:val="0"/>
          <w:numId w:val="9"/>
        </w:numPr>
      </w:pPr>
      <w:r w:rsidRPr="00DC75E9">
        <w:t>The patients in the clinical trials have been adults, and the proposed indication does not specifically exclude children. Does the committee have specific concerns about the potential for the use of idarucizumab in children?</w:t>
      </w:r>
    </w:p>
    <w:p w:rsidR="006D6813" w:rsidRPr="00DC75E9" w:rsidRDefault="006D6813" w:rsidP="006D6813">
      <w:pPr>
        <w:pStyle w:val="Numberbullet0"/>
        <w:numPr>
          <w:ilvl w:val="0"/>
          <w:numId w:val="9"/>
        </w:numPr>
      </w:pPr>
      <w:r w:rsidRPr="00DC75E9">
        <w:t>Idarucizumab has a 1:1 stoichiometric relationship with dabigatran. Should dosing based on measured dabigatran concentration be considered in circumstances where dabigatran levels are available?</w:t>
      </w:r>
    </w:p>
    <w:p w:rsidR="009A7609" w:rsidRDefault="006D6813" w:rsidP="006D6813">
      <w:pPr>
        <w:pStyle w:val="Numberbullet0"/>
        <w:numPr>
          <w:ilvl w:val="0"/>
          <w:numId w:val="9"/>
        </w:numPr>
      </w:pPr>
      <w:r w:rsidRPr="00DC75E9">
        <w:t xml:space="preserve">Please comment on the clarity and accuracy of the PI instructions for recommencement of anticoagulation including dabigatran after the administration of </w:t>
      </w:r>
      <w:proofErr w:type="spellStart"/>
      <w:r w:rsidRPr="00DC75E9">
        <w:t>idarucizumab</w:t>
      </w:r>
      <w:proofErr w:type="spellEnd"/>
      <w:r w:rsidR="009A7609">
        <w:t>.</w:t>
      </w:r>
    </w:p>
    <w:p w:rsidR="006D6813" w:rsidRPr="00232A97" w:rsidRDefault="006D6813" w:rsidP="006D6813">
      <w:r w:rsidRPr="00C80339">
        <w:rPr>
          <w:rFonts w:asciiTheme="minorHAnsi" w:hAnsiTheme="minorHAnsi"/>
        </w:rPr>
        <w:t xml:space="preserve">The committee is </w:t>
      </w:r>
      <w:r>
        <w:rPr>
          <w:rFonts w:asciiTheme="minorHAnsi" w:hAnsiTheme="minorHAnsi"/>
        </w:rPr>
        <w:t>(</w:t>
      </w:r>
      <w:r w:rsidRPr="00C80339">
        <w:rPr>
          <w:rFonts w:asciiTheme="minorHAnsi" w:hAnsiTheme="minorHAnsi"/>
        </w:rPr>
        <w:t>also</w:t>
      </w:r>
      <w:r>
        <w:rPr>
          <w:rFonts w:asciiTheme="minorHAnsi" w:hAnsiTheme="minorHAnsi"/>
        </w:rPr>
        <w:t>)</w:t>
      </w:r>
      <w:r w:rsidRPr="00C80339">
        <w:rPr>
          <w:rFonts w:asciiTheme="minorHAnsi" w:hAnsiTheme="minorHAnsi"/>
        </w:rPr>
        <w:t xml:space="preserve"> requested to provide advice on any other issues that it thinks may be relevant to a decision on whether or not to approve this application</w:t>
      </w:r>
      <w:r>
        <w:rPr>
          <w:rFonts w:asciiTheme="minorHAnsi" w:hAnsiTheme="minorHAnsi"/>
        </w:rPr>
        <w:t>.</w:t>
      </w:r>
    </w:p>
    <w:p w:rsidR="009A7609" w:rsidRDefault="00232A97" w:rsidP="00D23139">
      <w:pPr>
        <w:pStyle w:val="Heading4"/>
      </w:pPr>
      <w:r>
        <w:t>Response from s</w:t>
      </w:r>
      <w:r w:rsidR="00D23139" w:rsidRPr="00D23139">
        <w:t>ponsor</w:t>
      </w:r>
    </w:p>
    <w:p w:rsidR="00232A97" w:rsidRDefault="00AF612E" w:rsidP="00232A97">
      <w:r w:rsidRPr="00AF612E">
        <w:t xml:space="preserve">Presented here is </w:t>
      </w:r>
      <w:proofErr w:type="spellStart"/>
      <w:r w:rsidR="00D164FB">
        <w:t>Boehringer</w:t>
      </w:r>
      <w:proofErr w:type="spellEnd"/>
      <w:r w:rsidR="00D164FB">
        <w:t xml:space="preserve"> </w:t>
      </w:r>
      <w:proofErr w:type="spellStart"/>
      <w:r w:rsidR="00D164FB">
        <w:t>Ingelheim’s</w:t>
      </w:r>
      <w:proofErr w:type="spellEnd"/>
      <w:r w:rsidR="00D164FB">
        <w:t xml:space="preserve"> (BI) pre A</w:t>
      </w:r>
      <w:r w:rsidRPr="00AF612E">
        <w:t>CPM response to the Delegate’s Overview (DO) in relation to our application to register the new biological entity, P</w:t>
      </w:r>
      <w:r>
        <w:t>raxbind</w:t>
      </w:r>
      <w:r w:rsidRPr="00AF612E">
        <w:t xml:space="preserve"> idarucizumab 50 mg/mL solution for injection/infusion vial.</w:t>
      </w:r>
    </w:p>
    <w:p w:rsidR="00AF612E" w:rsidRPr="00EB55FD" w:rsidRDefault="00AF612E" w:rsidP="00EB55FD">
      <w:pPr>
        <w:pStyle w:val="ListBullet"/>
        <w:rPr>
          <w:i/>
        </w:rPr>
      </w:pPr>
      <w:r w:rsidRPr="00EB55FD">
        <w:rPr>
          <w:i/>
        </w:rPr>
        <w:t>Please comment on the adequacy of the evidence from the ongoing, small, single-arm, open label Phase III case series to support the efficacy and safety of idarucizumab for the proposed indication.</w:t>
      </w:r>
    </w:p>
    <w:p w:rsidR="00AF612E" w:rsidRDefault="001C7644" w:rsidP="00EB55FD">
      <w:pPr>
        <w:pStyle w:val="Heading5"/>
      </w:pPr>
      <w:r>
        <w:t>Sponsor comment</w:t>
      </w:r>
    </w:p>
    <w:p w:rsidR="00B460DE" w:rsidRDefault="00B460DE" w:rsidP="00232A97">
      <w:r w:rsidRPr="00B460DE">
        <w:t xml:space="preserve">BI is of the opinion that the data from </w:t>
      </w:r>
      <w:r w:rsidR="00637A98">
        <w:t>S</w:t>
      </w:r>
      <w:r w:rsidRPr="00B460DE">
        <w:t xml:space="preserve">tudy 1321.3 (RE-VERSE AD) are adequate to support the safety and efficacy of idarucizumab in the target population. The data in patients in this modestly sized trial are consistent with the safety and </w:t>
      </w:r>
      <w:r w:rsidR="002C70B8">
        <w:t xml:space="preserve">efficacy demonstrated in double </w:t>
      </w:r>
      <w:r w:rsidRPr="00B460DE">
        <w:t>blind, placebo</w:t>
      </w:r>
      <w:r w:rsidR="002C70B8">
        <w:t xml:space="preserve"> </w:t>
      </w:r>
      <w:r w:rsidRPr="00B460DE">
        <w:t>controlled Phase I studies in healthy subjects. The design of the Phase III study is limited by the low frequency of qualifying events, the urgency of intervention, the lack of standard treatment and the potential ethical dilemma of withholding a potential life-saving therapy from patients wi</w:t>
      </w:r>
      <w:r>
        <w:t>th life</w:t>
      </w:r>
      <w:r w:rsidR="0081267D">
        <w:t xml:space="preserve"> </w:t>
      </w:r>
      <w:r>
        <w:t>threatening conditions.</w:t>
      </w:r>
    </w:p>
    <w:p w:rsidR="00B460DE" w:rsidRDefault="00B460DE" w:rsidP="00232A97">
      <w:r w:rsidRPr="00B460DE">
        <w:t>A large controlled trial with clinical outcomes as the primary endpoints would have been the best design for determination of efficacy and safety. However, such a trial would require thousands of patients, a large number of centres and countries and require many years to conduct, if it would be at all possible. The modest patient recruitment in our current open</w:t>
      </w:r>
      <w:r w:rsidR="0081267D">
        <w:t xml:space="preserve"> </w:t>
      </w:r>
      <w:r w:rsidRPr="00B460DE">
        <w:t xml:space="preserve">label, single cohort study in over 300 centres across 35 countries confirms the difficulty of conducting such a trial. After 1.5 years, less than 50% of sites in the current study have recruited a single patient. Thus, the design of our study was focused on </w:t>
      </w:r>
      <w:r w:rsidRPr="00B460DE">
        <w:lastRenderedPageBreak/>
        <w:t>collecting safety data in patients and showing that idarucizumab reversed dabigatran in the target</w:t>
      </w:r>
      <w:r>
        <w:t xml:space="preserve"> population.</w:t>
      </w:r>
    </w:p>
    <w:p w:rsidR="00B460DE" w:rsidRDefault="00B460DE" w:rsidP="00232A97">
      <w:r w:rsidRPr="00B460DE">
        <w:t>RE-VERSE AD provides reliable evidence that idarucizumab immediately and completely reverses the anticoagulant effect of dabigatran in the target patient population. It has been consistently shown in patients with sepsis, trauma, intracranial haemorrhage, gastrointestinal bleeding and other conditions. These data are also consistent with the effects shown in controlled and blinded Phase I trials in volunteers. Thus, despite the lif</w:t>
      </w:r>
      <w:r w:rsidR="0081267D">
        <w:t xml:space="preserve">e </w:t>
      </w:r>
      <w:r w:rsidRPr="00B460DE">
        <w:t>threatening conditions, multiple co-medications, variable presentations and multiple co-morbidities in this cohort, idarucizumab immediately reverses dabigatran. That is the primary endpoint in patients and the principle that was demonstrated i</w:t>
      </w:r>
      <w:r>
        <w:t>n a rigorous manner in Phase I.</w:t>
      </w:r>
    </w:p>
    <w:p w:rsidR="00B460DE" w:rsidRDefault="00B460DE" w:rsidP="00232A97">
      <w:r w:rsidRPr="00B460DE">
        <w:t xml:space="preserve">The clinical outcomes of the patients are more difficult to assess than pharmacologic reversal due to the variability of the patients at entry and the lack of a control group. Any possible clinical benefits like haemostasis and mortality are secondary endpoints and are subject to interpretation. For Group A, haemostasis is extremely difficult to show because of the inability to visualise most bleeds. In addition, the complicating conditions are multitude and different in every patient. In group B haemostasis is easier to judge because the surgeons know what level of bleeding to expect </w:t>
      </w:r>
      <w:r>
        <w:t>during the operation/procedure.</w:t>
      </w:r>
    </w:p>
    <w:p w:rsidR="00143E65" w:rsidRDefault="00B460DE" w:rsidP="00232A97">
      <w:r w:rsidRPr="00B460DE">
        <w:t>The assessment of safety in a single</w:t>
      </w:r>
      <w:r w:rsidR="0081267D">
        <w:t xml:space="preserve"> </w:t>
      </w:r>
      <w:r w:rsidRPr="00B460DE">
        <w:t>arm trial is also difficult, especially when the patients present with such a wide variety of conditions and co-morbidities. However, the trial supports the safety of idarucizumab based on an adverse event profile consistent with patients with life</w:t>
      </w:r>
      <w:r>
        <w:t xml:space="preserve"> </w:t>
      </w:r>
      <w:r w:rsidRPr="00B460DE">
        <w:t>threatening conditions with multiple co-morbidities. Adverse reactions such as hypersensitivity</w:t>
      </w:r>
      <w:r w:rsidR="00143E65" w:rsidRPr="00143E65">
        <w:t xml:space="preserve"> and thrombosis might be expected, based on the fact that idarucizumab is a protein and affects the coagulation cascade (indirectly through its effect on the dabigatran-thrombin binding). However, the analysis of possible hypersensitivity in the RE-VERSE AD trial, summarised in the 4</w:t>
      </w:r>
      <w:r w:rsidR="0081267D">
        <w:t xml:space="preserve"> </w:t>
      </w:r>
      <w:r w:rsidR="00143E65" w:rsidRPr="00143E65">
        <w:t>Month Safety Update was shown to b</w:t>
      </w:r>
      <w:r w:rsidR="004E504B">
        <w:t>e low</w:t>
      </w:r>
      <w:r w:rsidR="00143E65" w:rsidRPr="00143E65">
        <w:t>. Coupled with the low freque</w:t>
      </w:r>
      <w:r w:rsidR="0081267D">
        <w:t xml:space="preserve">ncy (4%) and low titres of anti </w:t>
      </w:r>
      <w:r w:rsidR="00143E65" w:rsidRPr="00143E65">
        <w:t>idarucizumab antibodies in Phase I subjects, the data support the safety profile. The summary of thrombosis data in the 4</w:t>
      </w:r>
      <w:r w:rsidR="0081267D">
        <w:t xml:space="preserve"> </w:t>
      </w:r>
      <w:r w:rsidR="00143E65" w:rsidRPr="00143E65">
        <w:t>Month Safety Update also confirms that any potential for a pro-thrombotic effect is low. Five of 123 patients experienced a thrombotic event, only one o</w:t>
      </w:r>
      <w:r w:rsidR="0081267D">
        <w:t>f which occurred within 72 h</w:t>
      </w:r>
      <w:r w:rsidR="00143E65" w:rsidRPr="00143E65">
        <w:t xml:space="preserve"> of idarucizumab treatment. None of the patients were on antithrombotic treatment at the time of the event. The events were consistent with the underlying risk o</w:t>
      </w:r>
      <w:r w:rsidR="00143E65">
        <w:t>f thrombosis in these patients.</w:t>
      </w:r>
    </w:p>
    <w:p w:rsidR="001C7644" w:rsidRDefault="00143E65" w:rsidP="00232A97">
      <w:r w:rsidRPr="00143E65">
        <w:t>In summary, the efficacy and safety profile of idarucizumab has been shown to be very consistent over the entire drug development program including preclinical, Phase I and Phase III trials.</w:t>
      </w:r>
    </w:p>
    <w:p w:rsidR="00143E65" w:rsidRPr="002549BF" w:rsidRDefault="002549BF" w:rsidP="002549BF">
      <w:pPr>
        <w:pStyle w:val="ListBullet"/>
        <w:rPr>
          <w:i/>
        </w:rPr>
      </w:pPr>
      <w:r w:rsidRPr="002549BF">
        <w:rPr>
          <w:i/>
        </w:rPr>
        <w:t>The sponsor does not propose to include hypersensitivity to idarucizumab or its excipients, or hereditary fructose intolerance as a contraindication to the use of idarucizumab. The sponsor has stated in the S</w:t>
      </w:r>
      <w:r w:rsidR="0081267D">
        <w:rPr>
          <w:i/>
        </w:rPr>
        <w:t xml:space="preserve">ection </w:t>
      </w:r>
      <w:r w:rsidRPr="002549BF">
        <w:rPr>
          <w:i/>
        </w:rPr>
        <w:t>31 responses that patients treated with idarucizumab are treated under emergency conditions which would allow treatment of events associated with hypersensitivity accordingly. Should ‘hypersensitivity’ or ‘hereditary fructose intolerance’ be contraindications or is the sponsor’s justification acceptable? Should hypersensitivity to idarucizumab or hereditary fructose intolerance be contraindications to the use of dabigatran?</w:t>
      </w:r>
    </w:p>
    <w:p w:rsidR="002549BF" w:rsidRDefault="002549BF" w:rsidP="002549BF">
      <w:pPr>
        <w:pStyle w:val="Heading5"/>
      </w:pPr>
      <w:r>
        <w:t>Sponsor comment</w:t>
      </w:r>
    </w:p>
    <w:p w:rsidR="002549BF" w:rsidRDefault="002549BF" w:rsidP="00232A97">
      <w:r w:rsidRPr="002549BF">
        <w:t>BI is of the opinion that the inclusion of hypersensitivity and patients with hereditary fructose intolerance (HFI) into the contraindication section of the PI may result in a treatment d</w:t>
      </w:r>
      <w:r>
        <w:t>isadvantage for these patients.</w:t>
      </w:r>
    </w:p>
    <w:p w:rsidR="002549BF" w:rsidRDefault="002549BF" w:rsidP="00232A97">
      <w:r w:rsidRPr="002549BF">
        <w:t xml:space="preserve">Patients qualifying for idarucizumab administration for either uncontrolled or life-threatening bleeding or emergency surgery are usually under critically ill conditions. </w:t>
      </w:r>
      <w:r w:rsidRPr="002549BF">
        <w:lastRenderedPageBreak/>
        <w:t xml:space="preserve">Some of these patients are admitted to hospital unconscious. Under these emergency conditions the treating physician may not necessarily gain all relevant information concerning previous hypersensitivity reactions associated to </w:t>
      </w:r>
      <w:r>
        <w:t>P</w:t>
      </w:r>
      <w:r w:rsidR="0081267D">
        <w:t>raxbind</w:t>
      </w:r>
      <w:r>
        <w:t xml:space="preserve"> or information on HFI.</w:t>
      </w:r>
    </w:p>
    <w:p w:rsidR="002549BF" w:rsidRDefault="002549BF" w:rsidP="00232A97">
      <w:r w:rsidRPr="002549BF">
        <w:t>Idarucizumab will be administered in a hospital setting under emergency unit conditions. This allows immediate treatment of events associate</w:t>
      </w:r>
      <w:r>
        <w:t>d with hypersensitivity or HFI.</w:t>
      </w:r>
    </w:p>
    <w:p w:rsidR="002549BF" w:rsidRDefault="002549BF" w:rsidP="00232A97">
      <w:r w:rsidRPr="002549BF">
        <w:t>On an individual case level the treating physician must weigh the risk (previous hypersensitivity reaction, HFI) against the benefit (normalisation of coagulation status to stop bleeding or to allow emergency surgery/procedure). Based on the individual situation, a patient may benefit from idarucizumab treatment although previous hypersensitivity reaction</w:t>
      </w:r>
      <w:r>
        <w:t>s to P</w:t>
      </w:r>
      <w:r w:rsidR="004023DC">
        <w:t>raxbind</w:t>
      </w:r>
      <w:r>
        <w:t xml:space="preserve"> or HFI are known.</w:t>
      </w:r>
    </w:p>
    <w:p w:rsidR="002549BF" w:rsidRDefault="002549BF" w:rsidP="00232A97">
      <w:r w:rsidRPr="002549BF">
        <w:t>Therefore, treating physicians should have an idarucizumab treatment option whenever a positive benefit-risk assessment was made based on individual patient level. However, a contraindication for hypersensitivity or HFI may lead to the situation that a patient is not treated although the benef</w:t>
      </w:r>
      <w:r>
        <w:t>it-risk assessment is positive.</w:t>
      </w:r>
    </w:p>
    <w:p w:rsidR="002549BF" w:rsidRDefault="002549BF" w:rsidP="00232A97">
      <w:r w:rsidRPr="002549BF">
        <w:t>BI concludes that the inclusion of information on hypersensitivity and HFI in the Precautions section provides all relevant information and gives physicians the option to make an assessment for the best treatment option in an individual patient.</w:t>
      </w:r>
    </w:p>
    <w:p w:rsidR="002549BF" w:rsidRPr="00754ADB" w:rsidRDefault="002549BF" w:rsidP="00754ADB">
      <w:pPr>
        <w:pStyle w:val="ListBullet"/>
        <w:rPr>
          <w:i/>
        </w:rPr>
      </w:pPr>
      <w:r w:rsidRPr="00754ADB">
        <w:rPr>
          <w:i/>
        </w:rPr>
        <w:t>Please comment on the adequacy of the information about the use in patients with moderate to severe chronic kidney disease? Are extra precautionary statements in the PI warranted?</w:t>
      </w:r>
    </w:p>
    <w:p w:rsidR="002549BF" w:rsidRDefault="002549BF" w:rsidP="002C70B8">
      <w:pPr>
        <w:pStyle w:val="Heading5"/>
      </w:pPr>
      <w:r>
        <w:t>Sponsor comment</w:t>
      </w:r>
    </w:p>
    <w:p w:rsidR="004E504B" w:rsidRDefault="004E504B" w:rsidP="00232A97">
      <w:r w:rsidRPr="004E504B">
        <w:t>BI considers it unnecessary to include an extra precautionary statement in the PI. The data support the recommendation that no dose adjustment of idarucizumab is required in patients with moderate to severe renal impairment and that there was no impact of renal impairment on the r</w:t>
      </w:r>
      <w:r>
        <w:t>eversal effect of idarucizumab.</w:t>
      </w:r>
    </w:p>
    <w:p w:rsidR="002549BF" w:rsidRDefault="004E504B" w:rsidP="00232A97">
      <w:r w:rsidRPr="004E504B">
        <w:t xml:space="preserve">In the Phase I studies, volunteers with mild or moderate renal impairment have been recruited based on their </w:t>
      </w:r>
      <w:proofErr w:type="spellStart"/>
      <w:r w:rsidRPr="004E504B">
        <w:t>CrCL</w:t>
      </w:r>
      <w:proofErr w:type="spellEnd"/>
      <w:r w:rsidRPr="004E504B">
        <w:t xml:space="preserve"> values; these subjects can be regarded as suffering from chronic kidney disease. In contrast, for patients only a single measurement at baseline (at the time of inclusion into the trial) was taken. For these patients it is unknown whether the renal dysfunction according to </w:t>
      </w:r>
      <w:proofErr w:type="spellStart"/>
      <w:r w:rsidRPr="004E504B">
        <w:t>CrCL</w:t>
      </w:r>
      <w:proofErr w:type="spellEnd"/>
      <w:r w:rsidRPr="004E504B">
        <w:t xml:space="preserve"> categories was due to chronic kidney disease or due to acute renal failure as part of the emergency situation.</w:t>
      </w:r>
    </w:p>
    <w:p w:rsidR="00C90E90" w:rsidRDefault="00C90E90" w:rsidP="00C90E90">
      <w:pPr>
        <w:pStyle w:val="Heading6"/>
      </w:pPr>
      <w:r>
        <w:t>Pharmacokinetics</w:t>
      </w:r>
    </w:p>
    <w:p w:rsidR="00C90E90" w:rsidRDefault="00C90E90" w:rsidP="00232A97">
      <w:r w:rsidRPr="00C90E90">
        <w:t>Volunteers with mild (</w:t>
      </w:r>
      <w:proofErr w:type="spellStart"/>
      <w:r w:rsidRPr="00C90E90">
        <w:t>CrCL</w:t>
      </w:r>
      <w:proofErr w:type="spellEnd"/>
      <w:r w:rsidRPr="00C90E90">
        <w:t xml:space="preserve"> ≥ 60 to &lt; 90 mL/min) and moderate (</w:t>
      </w:r>
      <w:proofErr w:type="spellStart"/>
      <w:r w:rsidRPr="00C90E90">
        <w:t>CrCL</w:t>
      </w:r>
      <w:proofErr w:type="spellEnd"/>
      <w:r w:rsidRPr="00C90E90">
        <w:t xml:space="preserve"> ≥ 30 to &lt; 60 mL/min) renal impairment were included </w:t>
      </w:r>
      <w:r w:rsidR="004023DC">
        <w:t xml:space="preserve">in Study 1321.2. The </w:t>
      </w:r>
      <w:proofErr w:type="spellStart"/>
      <w:r w:rsidR="004023DC">
        <w:t>popPK</w:t>
      </w:r>
      <w:proofErr w:type="spellEnd"/>
      <w:r w:rsidRPr="00C90E90">
        <w:t xml:space="preserve"> analysis identified renal function as a clinically meaningful independent covariate predicting idarucizumab PK. Impaired renal function resulted in decreased clearance, reduced initial half-life and increased AUC of idarucizumab. This information i</w:t>
      </w:r>
      <w:r>
        <w:t>s reflected in the proposed PI.</w:t>
      </w:r>
    </w:p>
    <w:p w:rsidR="004E504B" w:rsidRDefault="00C90E90" w:rsidP="00232A97">
      <w:r w:rsidRPr="00C90E90">
        <w:t>Based on the available data from the dataset of 90 patients in Study 1321.3, idarucizumab AUC</w:t>
      </w:r>
      <w:r w:rsidRPr="004023DC">
        <w:rPr>
          <w:vertAlign w:val="subscript"/>
        </w:rPr>
        <w:t xml:space="preserve">0-24 </w:t>
      </w:r>
      <w:r w:rsidRPr="00C90E90">
        <w:t>was calculated and separated by creatinine clearance (</w:t>
      </w:r>
      <w:proofErr w:type="spellStart"/>
      <w:r w:rsidRPr="00C90E90">
        <w:t>CrCL</w:t>
      </w:r>
      <w:proofErr w:type="spellEnd"/>
      <w:r w:rsidRPr="00C90E90">
        <w:t>; [mL/min]) at baseline (0-&lt;30; ≥30 to &lt;60; ≥60 to &lt;90 and ≥90). The results demonstrate that idarucizumab AUC</w:t>
      </w:r>
      <w:r w:rsidRPr="007B6869">
        <w:rPr>
          <w:vertAlign w:val="subscript"/>
        </w:rPr>
        <w:t xml:space="preserve">0-24 </w:t>
      </w:r>
      <w:r w:rsidRPr="00C90E90">
        <w:t xml:space="preserve">correlates well with degrees of renal impairment (Table </w:t>
      </w:r>
      <w:r w:rsidR="00CC5287">
        <w:t>7</w:t>
      </w:r>
      <w:r w:rsidRPr="00C90E90">
        <w:t>) and thus confirm the observations in Phase I.</w:t>
      </w:r>
    </w:p>
    <w:p w:rsidR="00C90E90" w:rsidRDefault="00C90E90" w:rsidP="00CC5287">
      <w:pPr>
        <w:pStyle w:val="TableTitle"/>
      </w:pPr>
      <w:proofErr w:type="gramStart"/>
      <w:r>
        <w:lastRenderedPageBreak/>
        <w:t>Table 7.</w:t>
      </w:r>
      <w:proofErr w:type="gramEnd"/>
      <w:r w:rsidR="00CC5287" w:rsidRPr="00CC5287">
        <w:t xml:space="preserve"> </w:t>
      </w:r>
      <w:proofErr w:type="spellStart"/>
      <w:r w:rsidR="00CC5287" w:rsidRPr="00CC5287">
        <w:t>Idarucizumab</w:t>
      </w:r>
      <w:proofErr w:type="spellEnd"/>
      <w:r w:rsidR="00CC5287" w:rsidRPr="00CC5287">
        <w:t xml:space="preserve"> AUC</w:t>
      </w:r>
      <w:r w:rsidR="00CC5287" w:rsidRPr="00C706B0">
        <w:rPr>
          <w:vertAlign w:val="subscript"/>
        </w:rPr>
        <w:t xml:space="preserve">0-24 </w:t>
      </w:r>
      <w:r w:rsidR="00CC5287" w:rsidRPr="00CC5287">
        <w:t xml:space="preserve">by </w:t>
      </w:r>
      <w:proofErr w:type="spellStart"/>
      <w:r w:rsidR="00CC5287" w:rsidRPr="00CC5287">
        <w:t>CrCL</w:t>
      </w:r>
      <w:proofErr w:type="spellEnd"/>
      <w:r w:rsidR="00CC5287" w:rsidRPr="00CC5287">
        <w:t xml:space="preserve"> category after administration of 5</w:t>
      </w:r>
      <w:r w:rsidR="004023DC">
        <w:t xml:space="preserve"> </w:t>
      </w:r>
      <w:r w:rsidR="00CC5287" w:rsidRPr="00CC5287">
        <w:t xml:space="preserve">g idarucizumab to patients in </w:t>
      </w:r>
      <w:r w:rsidR="00CC5287">
        <w:t>S</w:t>
      </w:r>
      <w:r w:rsidR="00CC5287" w:rsidRPr="00CC5287">
        <w:t>tudy 1321.3.</w:t>
      </w:r>
    </w:p>
    <w:p w:rsidR="00C90E90" w:rsidRDefault="004C7435" w:rsidP="00232A97">
      <w:r>
        <w:rPr>
          <w:noProof/>
          <w:lang w:eastAsia="en-AU"/>
        </w:rPr>
        <w:drawing>
          <wp:inline distT="0" distB="0" distL="0" distR="0" wp14:anchorId="7424DDBC" wp14:editId="455B5C79">
            <wp:extent cx="5400040" cy="1329818"/>
            <wp:effectExtent l="0" t="0" r="0" b="3810"/>
            <wp:docPr id="7" name="Picture 7" descr="Table 7. Idarucizumab AUC0-24 by CrCL category after administration of 5 g idarucizumab to patients in Study 1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00040" cy="1329818"/>
                    </a:xfrm>
                    <a:prstGeom prst="rect">
                      <a:avLst/>
                    </a:prstGeom>
                  </pic:spPr>
                </pic:pic>
              </a:graphicData>
            </a:graphic>
          </wp:inline>
        </w:drawing>
      </w:r>
    </w:p>
    <w:p w:rsidR="004C7435" w:rsidRDefault="004C7435" w:rsidP="004C7435">
      <w:pPr>
        <w:pStyle w:val="TableDescription"/>
      </w:pPr>
      <w:r w:rsidRPr="004C7435">
        <w:t>*</w:t>
      </w:r>
      <w:r>
        <w:t xml:space="preserve"> </w:t>
      </w:r>
      <w:r w:rsidRPr="004C7435">
        <w:t>Patients with missing serum creatinine at baseline are not included</w:t>
      </w:r>
    </w:p>
    <w:p w:rsidR="004C7435" w:rsidRDefault="004C7435" w:rsidP="004C7435">
      <w:pPr>
        <w:pStyle w:val="Heading6"/>
      </w:pPr>
      <w:r>
        <w:t>Pharmacodynamics</w:t>
      </w:r>
    </w:p>
    <w:p w:rsidR="00CC5287" w:rsidRDefault="004C7435" w:rsidP="004C7435">
      <w:r w:rsidRPr="004C7435">
        <w:t>Renal impairment does not affect the binding of idarucizumab to dabigatran and thus does not impact the reversal effect of idarucizumab. This information is reflected in the proposed PI. Renal impairment res</w:t>
      </w:r>
      <w:r w:rsidR="004023DC">
        <w:t xml:space="preserve">ults in reduced clearance, that is, </w:t>
      </w:r>
      <w:r w:rsidRPr="004C7435">
        <w:t>slower elimination of total idarucizumab (free idarucizumab plus idarucizumab bound to dabigatran). Especially in the early phase after idarucizumab dosing, there is a large surplus of free idarucizumab over dabigatran</w:t>
      </w:r>
      <w:r w:rsidR="008A1852">
        <w:t xml:space="preserve"> </w:t>
      </w:r>
      <w:r w:rsidRPr="004C7435">
        <w:t>bound idarucizumab. Assuming that free and bound idarucizumab follow the same elimination route, this means that, especially in the early phase, predominantly free idarucizumab is eliminated. Renal impairment would thus delay the elimination of free idarucizumab and allow more time for dabigatran binding. This is considered to contribute to better effectiveness of the administered dose and does not warrant an additional precautionary statement. Since renal impairment also leads to increases in dabigatran concentrations, there is an increased amount of idarucizumab to potentially bind an increased amount of dabigatran.</w:t>
      </w:r>
    </w:p>
    <w:p w:rsidR="004C7435" w:rsidRDefault="004C7435" w:rsidP="004C7435">
      <w:pPr>
        <w:pStyle w:val="Heading6"/>
      </w:pPr>
      <w:r>
        <w:t>Safety</w:t>
      </w:r>
    </w:p>
    <w:p w:rsidR="004C7435" w:rsidRDefault="004C7435" w:rsidP="004C7435">
      <w:r w:rsidRPr="004C7435">
        <w:t>Administration of idarucizumab to volunteers with mild or moderate renal impairment as well as patients with different stages of renal impairment was</w:t>
      </w:r>
      <w:r w:rsidR="008A1852">
        <w:t xml:space="preserve"> safe and well tolerated</w:t>
      </w:r>
      <w:r w:rsidRPr="004C7435">
        <w:t xml:space="preserve">. In the RE-VERSE AD trial (study 1321.3), 40% of patients had moderate or severe renal impairment. No adverse reactions or lack of efficacy could be identified in </w:t>
      </w:r>
      <w:r>
        <w:t>these patients.</w:t>
      </w:r>
    </w:p>
    <w:p w:rsidR="004C7435" w:rsidRDefault="004C7435" w:rsidP="004C7435">
      <w:r w:rsidRPr="004C7435">
        <w:t>BI is of the opinion that an extra precautionary statement in the PI is not warranted</w:t>
      </w:r>
      <w:r>
        <w:t>.</w:t>
      </w:r>
    </w:p>
    <w:p w:rsidR="004C7435" w:rsidRPr="004C7435" w:rsidRDefault="004C7435" w:rsidP="004C7435">
      <w:pPr>
        <w:pStyle w:val="ListBullet"/>
        <w:rPr>
          <w:i/>
        </w:rPr>
      </w:pPr>
      <w:r w:rsidRPr="004C7435">
        <w:rPr>
          <w:i/>
        </w:rPr>
        <w:t>The patients in the clinical trials have been adults, and the proposed indication does not specifically exclude children. Does the committee have specific concerns about the potential for the use of idarucizumab in children?</w:t>
      </w:r>
    </w:p>
    <w:p w:rsidR="004C7435" w:rsidRDefault="004C7435" w:rsidP="004C7435">
      <w:pPr>
        <w:pStyle w:val="Heading5"/>
      </w:pPr>
      <w:r>
        <w:t>Sponsor comment</w:t>
      </w:r>
    </w:p>
    <w:p w:rsidR="004C7435" w:rsidRDefault="004C7435" w:rsidP="004C7435">
      <w:r w:rsidRPr="004C7435">
        <w:t>Although the indication statement does not specifically exclude children, the current proposed PI does include the precautionary statement “The safety and efficacy of P</w:t>
      </w:r>
      <w:r w:rsidR="008A1852">
        <w:t>raxbind</w:t>
      </w:r>
      <w:r w:rsidRPr="004C7435">
        <w:t xml:space="preserve"> in the paediatric population has not been established” under the section</w:t>
      </w:r>
      <w:r>
        <w:t xml:space="preserve"> “Use in Specific Populations”.</w:t>
      </w:r>
    </w:p>
    <w:p w:rsidR="004C7435" w:rsidRDefault="004C7435" w:rsidP="004C7435">
      <w:r w:rsidRPr="004C7435">
        <w:t>Dabigatran etexilate is not approved for use in children so use of idarucizumab in this patient group is expected to be low. In an attempt to gain some knowledge, BI has a trial planned in the paediatric population. Recruitment for the paediatric P</w:t>
      </w:r>
      <w:r w:rsidR="00EF3A78">
        <w:t>raxbind</w:t>
      </w:r>
      <w:r w:rsidRPr="004C7435">
        <w:t xml:space="preserve"> trial is based upon recruitment of children into two paediatric trials of dabigatran etexilate. Given that the recruitment of paediatric patients into the dabigatran etexilate trials is expected to be slow and that the rate of bleeding or need for emergency surgery/procedures in children is expected to be extremely small, it may be very difficult to collect any data </w:t>
      </w:r>
      <w:r>
        <w:t>on P</w:t>
      </w:r>
      <w:r w:rsidR="00A95B44">
        <w:t>raxbind</w:t>
      </w:r>
      <w:r>
        <w:t xml:space="preserve"> in this population.</w:t>
      </w:r>
    </w:p>
    <w:p w:rsidR="004C7435" w:rsidRDefault="004C7435" w:rsidP="004C7435">
      <w:r w:rsidRPr="004C7435">
        <w:lastRenderedPageBreak/>
        <w:t xml:space="preserve">Ultimately the decision on usage of </w:t>
      </w:r>
      <w:r w:rsidR="00052CA5">
        <w:t>Praxbind</w:t>
      </w:r>
      <w:r w:rsidRPr="004C7435">
        <w:t xml:space="preserve"> in children treated with dabigatran etexilate may be a consideration of the possible benefits in life</w:t>
      </w:r>
      <w:r w:rsidR="00052CA5">
        <w:t xml:space="preserve"> </w:t>
      </w:r>
      <w:r w:rsidRPr="004C7435">
        <w:t>threatening conditions weighed against the possible risks in the individual children.</w:t>
      </w:r>
    </w:p>
    <w:p w:rsidR="004C7435" w:rsidRPr="004C7435" w:rsidRDefault="004C7435" w:rsidP="004C7435">
      <w:pPr>
        <w:pStyle w:val="ListBullet"/>
        <w:rPr>
          <w:i/>
        </w:rPr>
      </w:pPr>
      <w:r w:rsidRPr="004C7435">
        <w:rPr>
          <w:i/>
        </w:rPr>
        <w:t>Idarucizumab has a 1:1 stoichiometric relationship with dabigatran. Should dosing based on measured dabigatran concentration be considered in circumstances where dabigatran levels are available?</w:t>
      </w:r>
    </w:p>
    <w:p w:rsidR="004C7435" w:rsidRDefault="004C7435" w:rsidP="00052CA5">
      <w:pPr>
        <w:pStyle w:val="Heading5"/>
      </w:pPr>
      <w:r>
        <w:t>Sponsor comment</w:t>
      </w:r>
    </w:p>
    <w:p w:rsidR="004C7435" w:rsidRDefault="004C7435" w:rsidP="004C7435">
      <w:r w:rsidRPr="004C7435">
        <w:t>The current proposed dosing regimen for idarucizumab administration to patients with emergency or life-threatening conditions is optimised for speed</w:t>
      </w:r>
      <w:r>
        <w:t>, simplicity and effectiveness.</w:t>
      </w:r>
    </w:p>
    <w:p w:rsidR="004C7435" w:rsidRDefault="004C7435" w:rsidP="004C7435">
      <w:r w:rsidRPr="004C7435">
        <w:t>A single infusion or bolus dose of 5 g is expected to reverse dabigatran in the vast majority of patients. To date, patient data have demonstrated the safety and effectiveness of this dose of idarucizumab in almost all patients. Results of clotting tests alone, without considering the clinical status of the patient, can be misleading. In addition, a general requirement for the use of clotting tests in context with idarucizumab treatment would introduce time delays, complexity and potential dosing errors in treating patients with these life</w:t>
      </w:r>
      <w:r w:rsidR="00052CA5">
        <w:t xml:space="preserve"> </w:t>
      </w:r>
      <w:r w:rsidRPr="004C7435">
        <w:t>threatening conditions.</w:t>
      </w:r>
    </w:p>
    <w:p w:rsidR="004C7435" w:rsidRDefault="004C7435" w:rsidP="004C7435">
      <w:r w:rsidRPr="004C7435">
        <w:t>Adjusting the dose of idarucizumab according to dabigatran concentrations or the pre-treatment level of anticoagulation has not been tested and may or may not be effective. The precise quantitative relationship between a test result and the amount of idarucizumab required does not exist. For exa</w:t>
      </w:r>
      <w:r w:rsidR="007906FC">
        <w:t xml:space="preserve">mple, a local </w:t>
      </w:r>
      <w:proofErr w:type="spellStart"/>
      <w:r w:rsidR="007906FC">
        <w:t>aPTT</w:t>
      </w:r>
      <w:proofErr w:type="spellEnd"/>
      <w:r w:rsidR="007906FC">
        <w:t xml:space="preserve"> </w:t>
      </w:r>
      <w:r w:rsidRPr="004C7435">
        <w:t>of 55 seconds likely indicates that the patient is anticoagulated but</w:t>
      </w:r>
      <w:r w:rsidR="007906FC">
        <w:t xml:space="preserve"> does not predict whether, for example, </w:t>
      </w:r>
      <w:r w:rsidRPr="004C7435">
        <w:t>1, 2, or 5 g of idarucizumab will completely reverse the anticoagulant effect. In addition, locally available coagulation tests may have differing sensitivity and variability to dabigatran,</w:t>
      </w:r>
      <w:r>
        <w:t xml:space="preserve"> making this even more complex.</w:t>
      </w:r>
    </w:p>
    <w:p w:rsidR="004C7435" w:rsidRDefault="004C7435" w:rsidP="004C7435">
      <w:r w:rsidRPr="004C7435">
        <w:t>Direct measurement of dabigatran concentrations is not widely available and certainly not available in a hospital within minutes in a life-threatening situation. If sampling and analysis was required before dosing, many patients who needed reversal would not be treated. Even if the concentration in plasma wa</w:t>
      </w:r>
      <w:r w:rsidR="00BB4837">
        <w:t xml:space="preserve">s available, an estimate of </w:t>
      </w:r>
      <w:proofErr w:type="spellStart"/>
      <w:proofErr w:type="gramStart"/>
      <w:r w:rsidR="00BB4837">
        <w:t>Vd</w:t>
      </w:r>
      <w:proofErr w:type="spellEnd"/>
      <w:proofErr w:type="gramEnd"/>
      <w:r w:rsidRPr="004C7435">
        <w:t xml:space="preserve"> is required to calculate body load. </w:t>
      </w:r>
      <w:proofErr w:type="spellStart"/>
      <w:proofErr w:type="gramStart"/>
      <w:r w:rsidRPr="004C7435">
        <w:t>Vd</w:t>
      </w:r>
      <w:proofErr w:type="spellEnd"/>
      <w:proofErr w:type="gramEnd"/>
      <w:r w:rsidRPr="004C7435">
        <w:t xml:space="preserve"> is variable and may be even more variable in the target patient population. Calculations of dose based on this collection of information makes it more complex and the </w:t>
      </w:r>
      <w:r>
        <w:t>dosing may be subject to error.</w:t>
      </w:r>
    </w:p>
    <w:p w:rsidR="004C7435" w:rsidRDefault="004C7435" w:rsidP="004C7435">
      <w:r w:rsidRPr="004C7435">
        <w:t>The benefit of trying to individualise dose is to theoretically improve safety and efficacy in each individual patient. However, under the current dosing recommendation there is complete reversal in almost all patients, so it is unlikely that efficacy could be improved. The administration of the minimum effective dose theoretically maximises safety. However, no safety concerns have been identified to date, let alone any dose</w:t>
      </w:r>
      <w:r w:rsidR="00FE5ED4">
        <w:t xml:space="preserve"> </w:t>
      </w:r>
      <w:r w:rsidRPr="004C7435">
        <w:t>related adverse reactions. Therefore, there is no apparent safety benefit in tailoring a dose. As pointed out above, there are multiple issues in trying t</w:t>
      </w:r>
      <w:r>
        <w:t>o establish an individual dose.</w:t>
      </w:r>
    </w:p>
    <w:p w:rsidR="004C7435" w:rsidRDefault="004C7435" w:rsidP="004C7435">
      <w:r w:rsidRPr="004C7435">
        <w:t>Therefore, BI concludes that there is no apparent improvement in the benefit/risk balance in tailoring the dose based on each individual while there is considerable risk and uncertainty in tailoring the dose in each patient.</w:t>
      </w:r>
    </w:p>
    <w:p w:rsidR="004C7435" w:rsidRPr="00D81B94" w:rsidRDefault="004C7435" w:rsidP="00D81B94">
      <w:pPr>
        <w:pStyle w:val="ListBullet"/>
        <w:rPr>
          <w:i/>
        </w:rPr>
      </w:pPr>
      <w:r w:rsidRPr="00D81B94">
        <w:rPr>
          <w:i/>
        </w:rPr>
        <w:t>Please comment on the clarity and accuracy of the PI instructions for recommencement of anticoagulation including dabigatran after the administration of idarucizumab.</w:t>
      </w:r>
    </w:p>
    <w:p w:rsidR="00D81B94" w:rsidRDefault="00D81B94" w:rsidP="004C7435">
      <w:r w:rsidRPr="00D81B94">
        <w:t>Currently the following wording is included in the ‘Dosage and Administration, Restarting Antithrombotic Therapy’ section</w:t>
      </w:r>
      <w:r>
        <w:t xml:space="preserve"> in the proposed Australian PI:</w:t>
      </w:r>
    </w:p>
    <w:p w:rsidR="00D81B94" w:rsidRPr="00D81B94" w:rsidRDefault="00D81B94" w:rsidP="00D81B94">
      <w:pPr>
        <w:ind w:left="720"/>
        <w:rPr>
          <w:i/>
        </w:rPr>
      </w:pPr>
      <w:r w:rsidRPr="00D81B94">
        <w:rPr>
          <w:i/>
        </w:rPr>
        <w:t>Patients being treated with P</w:t>
      </w:r>
      <w:r w:rsidR="00FE5ED4">
        <w:rPr>
          <w:i/>
        </w:rPr>
        <w:t>radaxa</w:t>
      </w:r>
      <w:r w:rsidRPr="00D81B94">
        <w:rPr>
          <w:i/>
        </w:rPr>
        <w:t xml:space="preserve"> have underlying disease states that predispose them to thromboembolic events. Reversing P</w:t>
      </w:r>
      <w:r w:rsidR="00FE5ED4">
        <w:rPr>
          <w:i/>
        </w:rPr>
        <w:t>radaxa</w:t>
      </w:r>
      <w:r w:rsidRPr="00D81B94">
        <w:rPr>
          <w:i/>
        </w:rPr>
        <w:t xml:space="preserve"> exposes patients to the thrombotic risk of their underlying disease. To reduce this risk, resumption of </w:t>
      </w:r>
      <w:r w:rsidRPr="00D81B94">
        <w:rPr>
          <w:i/>
        </w:rPr>
        <w:lastRenderedPageBreak/>
        <w:t>anticoagulant therapy should be considered as soon as medically appropriate. Idarucizumab is a specific reversal agent for dabigatran, with no impact on the effect of other anticoagulant or antithrombotic therapies. P</w:t>
      </w:r>
      <w:r w:rsidR="00FE5ED4">
        <w:rPr>
          <w:i/>
        </w:rPr>
        <w:t xml:space="preserve">radaxa </w:t>
      </w:r>
      <w:r w:rsidRPr="00D81B94">
        <w:rPr>
          <w:i/>
        </w:rPr>
        <w:t xml:space="preserve">treatment can </w:t>
      </w:r>
      <w:r w:rsidR="00FE5ED4">
        <w:rPr>
          <w:i/>
        </w:rPr>
        <w:t>be initiated 24 h</w:t>
      </w:r>
      <w:r w:rsidRPr="00D81B94">
        <w:rPr>
          <w:i/>
        </w:rPr>
        <w:t xml:space="preserve"> after administration of P</w:t>
      </w:r>
      <w:r w:rsidR="00FE5ED4">
        <w:rPr>
          <w:i/>
        </w:rPr>
        <w:t xml:space="preserve">raxbind </w:t>
      </w:r>
      <w:r w:rsidRPr="00D81B94">
        <w:rPr>
          <w:i/>
        </w:rPr>
        <w:t>(refer to dosing in PRECAUTIONS, Use in Specific Populations, Renal impairment).</w:t>
      </w:r>
    </w:p>
    <w:p w:rsidR="004C7435" w:rsidRDefault="00D81B94" w:rsidP="004C7435">
      <w:r w:rsidRPr="00D81B94">
        <w:t>From BI’s perspective, the following key messages are presented in a short, simple and clear way:</w:t>
      </w:r>
    </w:p>
    <w:p w:rsidR="00D81B94" w:rsidRDefault="00D81B94" w:rsidP="00D81B94">
      <w:pPr>
        <w:pStyle w:val="ListBullet"/>
      </w:pPr>
      <w:r w:rsidRPr="00D81B94">
        <w:t>The physician is reminded that there is a consequence to not re-starting antithrombotic</w:t>
      </w:r>
      <w:r>
        <w:t xml:space="preserve"> therapy.</w:t>
      </w:r>
    </w:p>
    <w:p w:rsidR="00D81B94" w:rsidRDefault="00D81B94" w:rsidP="00D81B94">
      <w:pPr>
        <w:pStyle w:val="ListBullet"/>
      </w:pPr>
      <w:r w:rsidRPr="00D81B94">
        <w:t>Dabi</w:t>
      </w:r>
      <w:r w:rsidR="00FE5ED4">
        <w:t>gatran can be re-started 24 h</w:t>
      </w:r>
      <w:r w:rsidRPr="00D81B94">
        <w:t xml:space="preserve"> af</w:t>
      </w:r>
      <w:r w:rsidR="00FE5ED4">
        <w:t>ter administration of Praxbind</w:t>
      </w:r>
      <w:r>
        <w:t>.</w:t>
      </w:r>
    </w:p>
    <w:p w:rsidR="00D81B94" w:rsidRPr="00D81B94" w:rsidRDefault="00D81B94" w:rsidP="00D81B94">
      <w:pPr>
        <w:pStyle w:val="ListBullet"/>
      </w:pPr>
      <w:r w:rsidRPr="00D81B94">
        <w:t>Idarucizumab has no effect on other anticoagulants or anti</w:t>
      </w:r>
      <w:r>
        <w:t xml:space="preserve"> </w:t>
      </w:r>
      <w:proofErr w:type="spellStart"/>
      <w:r w:rsidRPr="00D81B94">
        <w:t>thrombotics</w:t>
      </w:r>
      <w:proofErr w:type="spellEnd"/>
      <w:r w:rsidRPr="00D81B94">
        <w:t>.</w:t>
      </w:r>
    </w:p>
    <w:p w:rsidR="008E7846" w:rsidRDefault="008E7846" w:rsidP="008E7846">
      <w:pPr>
        <w:pStyle w:val="Heading4"/>
      </w:pPr>
      <w:r>
        <w:t xml:space="preserve">Advisory Committee </w:t>
      </w:r>
      <w:r w:rsidR="00E63418">
        <w:t>c</w:t>
      </w:r>
      <w:r>
        <w:t>onsiderations</w:t>
      </w:r>
    </w:p>
    <w:p w:rsidR="006D6813" w:rsidRPr="00135CD8" w:rsidRDefault="006D6813" w:rsidP="00135CD8">
      <w:r w:rsidRPr="00135CD8">
        <w:t xml:space="preserve">The ACPM, taking into account the submitted evidence of efficacy, safety and quality, agreed with the </w:t>
      </w:r>
      <w:r w:rsidR="001C1EA7">
        <w:t>D</w:t>
      </w:r>
      <w:r w:rsidRPr="00135CD8">
        <w:t>elegate and considered P</w:t>
      </w:r>
      <w:r w:rsidR="00DB77A9">
        <w:t>raxbind</w:t>
      </w:r>
      <w:r w:rsidRPr="00135CD8">
        <w:t xml:space="preserve"> solution for infusion containing 2.5 g in 50 mL of idarucizumab to h</w:t>
      </w:r>
      <w:r w:rsidR="00DB77A9">
        <w:t>ave an overall positive benefit-</w:t>
      </w:r>
      <w:r w:rsidRPr="00135CD8">
        <w:t>risk profile for the delegate’s amended indication:</w:t>
      </w:r>
    </w:p>
    <w:p w:rsidR="006D6813" w:rsidRPr="00135CD8" w:rsidRDefault="006D6813" w:rsidP="00135CD8">
      <w:pPr>
        <w:ind w:left="720"/>
        <w:rPr>
          <w:i/>
        </w:rPr>
      </w:pPr>
      <w:r w:rsidRPr="00135CD8">
        <w:rPr>
          <w:i/>
        </w:rPr>
        <w:t>P</w:t>
      </w:r>
      <w:r w:rsidR="004D3ABC">
        <w:rPr>
          <w:i/>
        </w:rPr>
        <w:t>raxbind</w:t>
      </w:r>
      <w:r w:rsidRPr="00135CD8">
        <w:rPr>
          <w:i/>
        </w:rPr>
        <w:t xml:space="preserve"> is a specific reversal agent for dabigatran and is indicated in patients treated with dabigatran etexilate when rapid reversal of the anticoagulant ef</w:t>
      </w:r>
      <w:r w:rsidR="00135CD8">
        <w:rPr>
          <w:i/>
        </w:rPr>
        <w:t>fects of dabigatran is required:</w:t>
      </w:r>
    </w:p>
    <w:p w:rsidR="006D6813" w:rsidRPr="00135CD8" w:rsidRDefault="006D6813" w:rsidP="00135CD8">
      <w:pPr>
        <w:pStyle w:val="ListBullet3"/>
        <w:rPr>
          <w:i/>
        </w:rPr>
      </w:pPr>
      <w:r w:rsidRPr="00135CD8">
        <w:rPr>
          <w:i/>
        </w:rPr>
        <w:t>for emergency surgery/urgent procedures</w:t>
      </w:r>
    </w:p>
    <w:p w:rsidR="006D6813" w:rsidRPr="00135CD8" w:rsidRDefault="006D6813" w:rsidP="00135CD8">
      <w:pPr>
        <w:pStyle w:val="ListBullet3"/>
        <w:rPr>
          <w:i/>
        </w:rPr>
      </w:pPr>
      <w:proofErr w:type="gramStart"/>
      <w:r w:rsidRPr="00135CD8">
        <w:rPr>
          <w:i/>
        </w:rPr>
        <w:t>in</w:t>
      </w:r>
      <w:proofErr w:type="gramEnd"/>
      <w:r w:rsidRPr="00135CD8">
        <w:rPr>
          <w:i/>
        </w:rPr>
        <w:t xml:space="preserve"> life-threatening or uncontrolled bleeding.</w:t>
      </w:r>
    </w:p>
    <w:p w:rsidR="006D6813" w:rsidRPr="00C059E6" w:rsidRDefault="006D6813" w:rsidP="006075E2">
      <w:pPr>
        <w:pStyle w:val="Heading5"/>
      </w:pPr>
      <w:r w:rsidRPr="00C059E6">
        <w:t>Proposed conditions of registration</w:t>
      </w:r>
    </w:p>
    <w:p w:rsidR="009A7609" w:rsidRDefault="006D6813" w:rsidP="006075E2">
      <w:r w:rsidRPr="006075E2">
        <w:t xml:space="preserve">The ACPM agreed with the </w:t>
      </w:r>
      <w:r w:rsidR="0068594A">
        <w:t>D</w:t>
      </w:r>
      <w:r w:rsidRPr="006075E2">
        <w:t>elegate on the proposed conditions of registration</w:t>
      </w:r>
      <w:r w:rsidR="009A7609">
        <w:t>.</w:t>
      </w:r>
    </w:p>
    <w:p w:rsidR="006D6813" w:rsidRPr="00C059E6" w:rsidRDefault="006075E2" w:rsidP="006075E2">
      <w:pPr>
        <w:pStyle w:val="Heading5"/>
        <w:rPr>
          <w:u w:val="single"/>
        </w:rPr>
      </w:pPr>
      <w:r>
        <w:t>Proposed PI/CMI</w:t>
      </w:r>
      <w:r w:rsidR="006D6813" w:rsidRPr="00C059E6">
        <w:t xml:space="preserve"> amendments</w:t>
      </w:r>
    </w:p>
    <w:p w:rsidR="009A7609" w:rsidRDefault="006D6813" w:rsidP="006075E2">
      <w:r w:rsidRPr="006075E2">
        <w:t xml:space="preserve">The ACPM agreed with the </w:t>
      </w:r>
      <w:r w:rsidR="0068594A">
        <w:t>D</w:t>
      </w:r>
      <w:r w:rsidRPr="006075E2">
        <w:t xml:space="preserve">elegate to the proposed amendments to the </w:t>
      </w:r>
      <w:r w:rsidR="006075E2">
        <w:t>PI</w:t>
      </w:r>
      <w:r w:rsidRPr="006075E2">
        <w:t xml:space="preserve"> and </w:t>
      </w:r>
      <w:r w:rsidR="006075E2">
        <w:t>CMI</w:t>
      </w:r>
      <w:r w:rsidRPr="006075E2">
        <w:t xml:space="preserve"> and specifically advised on the inclusion of the following:</w:t>
      </w:r>
    </w:p>
    <w:p w:rsidR="006D6813" w:rsidRPr="006075E2" w:rsidRDefault="006D6813" w:rsidP="006075E2">
      <w:pPr>
        <w:pStyle w:val="ListBullet"/>
      </w:pPr>
      <w:proofErr w:type="gramStart"/>
      <w:r w:rsidRPr="006075E2">
        <w:t>a</w:t>
      </w:r>
      <w:proofErr w:type="gramEnd"/>
      <w:r w:rsidRPr="006075E2">
        <w:t xml:space="preserve"> statement in the CLINICAL TRIALS section of the PI and relevant section of the CMI referencing the limitations of the current data on safety.</w:t>
      </w:r>
    </w:p>
    <w:p w:rsidR="006D6813" w:rsidRPr="00C059E6" w:rsidRDefault="006D6813" w:rsidP="006075E2">
      <w:pPr>
        <w:pStyle w:val="Heading5"/>
        <w:rPr>
          <w:szCs w:val="22"/>
          <w:highlight w:val="yellow"/>
        </w:rPr>
      </w:pPr>
      <w:r w:rsidRPr="00C059E6">
        <w:t xml:space="preserve">Specific </w:t>
      </w:r>
      <w:r w:rsidR="00753DD4">
        <w:t>a</w:t>
      </w:r>
      <w:r w:rsidRPr="00C059E6">
        <w:t>dvice</w:t>
      </w:r>
    </w:p>
    <w:p w:rsidR="006D6813" w:rsidRPr="006075E2" w:rsidRDefault="006D6813" w:rsidP="006075E2">
      <w:pPr>
        <w:rPr>
          <w:highlight w:val="yellow"/>
        </w:rPr>
      </w:pPr>
      <w:r w:rsidRPr="006075E2">
        <w:t xml:space="preserve">The ACPM advised the following in response to the </w:t>
      </w:r>
      <w:r w:rsidR="006075E2">
        <w:t>D</w:t>
      </w:r>
      <w:r w:rsidRPr="006075E2">
        <w:t>elegate’s specific questions on this submission:</w:t>
      </w:r>
    </w:p>
    <w:p w:rsidR="006D6813" w:rsidRPr="00C059E6" w:rsidRDefault="006D6813" w:rsidP="006D6813">
      <w:pPr>
        <w:pStyle w:val="ListParagraph"/>
        <w:numPr>
          <w:ilvl w:val="0"/>
          <w:numId w:val="24"/>
        </w:numPr>
        <w:adjustRightInd w:val="0"/>
        <w:snapToGrid w:val="0"/>
        <w:spacing w:before="0" w:line="240" w:lineRule="auto"/>
        <w:ind w:left="1135" w:hanging="284"/>
        <w:contextualSpacing w:val="0"/>
        <w:rPr>
          <w:bCs/>
          <w:i/>
          <w:iCs/>
        </w:rPr>
      </w:pPr>
      <w:r w:rsidRPr="00C059E6">
        <w:rPr>
          <w:bCs/>
          <w:i/>
          <w:iCs/>
        </w:rPr>
        <w:t xml:space="preserve">Please comment on the adequacy of the evidence </w:t>
      </w:r>
      <w:r w:rsidR="00D454D1">
        <w:rPr>
          <w:bCs/>
          <w:i/>
          <w:iCs/>
        </w:rPr>
        <w:t xml:space="preserve">from the ongoing, small, single </w:t>
      </w:r>
      <w:r w:rsidRPr="00C059E6">
        <w:rPr>
          <w:bCs/>
          <w:i/>
          <w:iCs/>
        </w:rPr>
        <w:t>arm, open</w:t>
      </w:r>
      <w:r w:rsidR="00213BB5">
        <w:rPr>
          <w:bCs/>
          <w:i/>
          <w:iCs/>
        </w:rPr>
        <w:t xml:space="preserve"> </w:t>
      </w:r>
      <w:r w:rsidRPr="00C059E6">
        <w:rPr>
          <w:bCs/>
          <w:i/>
          <w:iCs/>
        </w:rPr>
        <w:t>label Phase III case series to support the efficacy and safety of idarucizumab for the proposed indication.</w:t>
      </w:r>
    </w:p>
    <w:p w:rsidR="006D6813" w:rsidRPr="006075E2" w:rsidRDefault="006D6813" w:rsidP="006075E2">
      <w:r w:rsidRPr="006075E2">
        <w:t>The ACPM advised that, despite the limitations of the data, idarucizumab can be indicated in emergency situations where there are no other evidence</w:t>
      </w:r>
      <w:r w:rsidR="006075E2">
        <w:t xml:space="preserve"> </w:t>
      </w:r>
      <w:r w:rsidRPr="006075E2">
        <w:t>based options. The evidence provided is adequate to support this indication. More data will become available from on-going trials and post marketing reports; however, this is a potentially lifesaving treatment and no safety concerns were apparent. Nonetheless, the limitations of the data should be presented in the PI.</w:t>
      </w:r>
    </w:p>
    <w:p w:rsidR="009A7609" w:rsidRDefault="006D6813" w:rsidP="006D6813">
      <w:pPr>
        <w:pStyle w:val="ListParagraph"/>
        <w:numPr>
          <w:ilvl w:val="0"/>
          <w:numId w:val="24"/>
        </w:numPr>
        <w:adjustRightInd w:val="0"/>
        <w:snapToGrid w:val="0"/>
        <w:spacing w:before="0" w:line="240" w:lineRule="auto"/>
        <w:ind w:left="1135" w:hanging="284"/>
        <w:contextualSpacing w:val="0"/>
        <w:rPr>
          <w:bCs/>
          <w:i/>
          <w:iCs/>
        </w:rPr>
      </w:pPr>
      <w:r w:rsidRPr="00C059E6">
        <w:rPr>
          <w:bCs/>
          <w:i/>
          <w:iCs/>
        </w:rPr>
        <w:t xml:space="preserve">The </w:t>
      </w:r>
      <w:r w:rsidR="00D454D1">
        <w:rPr>
          <w:bCs/>
          <w:i/>
          <w:iCs/>
        </w:rPr>
        <w:t>s</w:t>
      </w:r>
      <w:r w:rsidRPr="00C059E6">
        <w:rPr>
          <w:bCs/>
          <w:i/>
          <w:iCs/>
        </w:rPr>
        <w:t xml:space="preserve">ponsor does not propose to include hypersensitivity to idarucizumab or its excipients, or hereditary fructose intolerance as a contraindication to the use of idarucizumab. The </w:t>
      </w:r>
      <w:r w:rsidR="00D454D1">
        <w:rPr>
          <w:bCs/>
          <w:i/>
          <w:iCs/>
        </w:rPr>
        <w:t>s</w:t>
      </w:r>
      <w:r w:rsidRPr="00C059E6">
        <w:rPr>
          <w:bCs/>
          <w:i/>
          <w:iCs/>
        </w:rPr>
        <w:t>ponsor has stated in the S</w:t>
      </w:r>
      <w:r w:rsidR="00D454D1">
        <w:rPr>
          <w:bCs/>
          <w:i/>
          <w:iCs/>
        </w:rPr>
        <w:t xml:space="preserve">ection </w:t>
      </w:r>
      <w:r w:rsidRPr="00C059E6">
        <w:rPr>
          <w:bCs/>
          <w:i/>
          <w:iCs/>
        </w:rPr>
        <w:t xml:space="preserve">31 responses that patients treated with idarucizumab are treated under emergency conditions which </w:t>
      </w:r>
      <w:r w:rsidRPr="00C059E6">
        <w:rPr>
          <w:bCs/>
          <w:i/>
          <w:iCs/>
        </w:rPr>
        <w:lastRenderedPageBreak/>
        <w:t>would allow treatment of events associated with hypersensitivity accordingly. Should ‘hypersensitivity’ or ‘hereditary fructose intolerance’ be contraindications or is the sponsor’s justification acceptable?</w:t>
      </w:r>
    </w:p>
    <w:p w:rsidR="006D6813" w:rsidRPr="00C059E6" w:rsidRDefault="006D6813" w:rsidP="006D6813">
      <w:pPr>
        <w:rPr>
          <w:bCs/>
          <w:iCs/>
        </w:rPr>
      </w:pPr>
      <w:r w:rsidRPr="00C059E6">
        <w:rPr>
          <w:bCs/>
          <w:iCs/>
        </w:rPr>
        <w:t xml:space="preserve">The ACPM advised that the </w:t>
      </w:r>
      <w:r w:rsidR="006075E2">
        <w:rPr>
          <w:bCs/>
          <w:iCs/>
        </w:rPr>
        <w:t>s</w:t>
      </w:r>
      <w:r w:rsidRPr="00C059E6">
        <w:rPr>
          <w:bCs/>
          <w:iCs/>
        </w:rPr>
        <w:t>ponsor’s justification was acceptable.</w:t>
      </w:r>
    </w:p>
    <w:p w:rsidR="006D6813" w:rsidRPr="00C059E6" w:rsidRDefault="006D6813" w:rsidP="006D6813">
      <w:pPr>
        <w:ind w:left="851"/>
        <w:rPr>
          <w:bCs/>
          <w:i/>
          <w:iCs/>
        </w:rPr>
      </w:pPr>
      <w:r w:rsidRPr="00C059E6">
        <w:rPr>
          <w:bCs/>
          <w:i/>
          <w:iCs/>
        </w:rPr>
        <w:t>Should hypersensitivity to idarucizumab or hereditary fructose intolerance be a contraindication to the use of dabigatran?</w:t>
      </w:r>
    </w:p>
    <w:p w:rsidR="006D6813" w:rsidRPr="00C059E6" w:rsidRDefault="006D6813" w:rsidP="006D6813">
      <w:pPr>
        <w:rPr>
          <w:bCs/>
          <w:iCs/>
        </w:rPr>
      </w:pPr>
      <w:r w:rsidRPr="00C059E6">
        <w:rPr>
          <w:bCs/>
          <w:iCs/>
        </w:rPr>
        <w:t>The ACPM was of the view that as idarucizumab is an emergency treatment hereditary fructose intolerance should not be a contraindication but affected patients should be informed before use and it should be included under PRECAUTIONS.</w:t>
      </w:r>
      <w:r>
        <w:rPr>
          <w:bCs/>
          <w:iCs/>
        </w:rPr>
        <w:t xml:space="preserve"> The ACPM was of the view that this could also usefully be added to the dabigatran PI</w:t>
      </w:r>
    </w:p>
    <w:p w:rsidR="006D6813" w:rsidRPr="00C059E6" w:rsidRDefault="006D6813" w:rsidP="006D6813">
      <w:pPr>
        <w:pStyle w:val="ListParagraph"/>
        <w:numPr>
          <w:ilvl w:val="0"/>
          <w:numId w:val="24"/>
        </w:numPr>
        <w:adjustRightInd w:val="0"/>
        <w:snapToGrid w:val="0"/>
        <w:spacing w:before="0" w:line="240" w:lineRule="auto"/>
        <w:ind w:left="1135" w:hanging="284"/>
        <w:contextualSpacing w:val="0"/>
        <w:rPr>
          <w:bCs/>
          <w:i/>
          <w:iCs/>
        </w:rPr>
      </w:pPr>
      <w:r w:rsidRPr="00C059E6">
        <w:rPr>
          <w:bCs/>
          <w:i/>
          <w:iCs/>
        </w:rPr>
        <w:t>Please comment on the adequacy of the information about the use in patients with moderate to severe chronic kidney disease? Are extra precautionary statements in the PI warranted?</w:t>
      </w:r>
    </w:p>
    <w:p w:rsidR="006D6813" w:rsidRPr="00C059E6" w:rsidRDefault="006D6813" w:rsidP="006D6813">
      <w:pPr>
        <w:rPr>
          <w:bCs/>
          <w:iCs/>
        </w:rPr>
      </w:pPr>
      <w:r w:rsidRPr="00C059E6">
        <w:rPr>
          <w:bCs/>
          <w:iCs/>
        </w:rPr>
        <w:t>The ACPM noted that idarucizumab is a short term treatment and the main issue seems to be the delay in clearance providing lengthened effectiveness</w:t>
      </w:r>
      <w:r>
        <w:rPr>
          <w:bCs/>
          <w:iCs/>
        </w:rPr>
        <w:t xml:space="preserve">, </w:t>
      </w:r>
      <w:r>
        <w:t>similar to the pattern seen with dabigatran in renal impairment</w:t>
      </w:r>
      <w:r w:rsidRPr="00C059E6">
        <w:rPr>
          <w:bCs/>
          <w:iCs/>
        </w:rPr>
        <w:t xml:space="preserve">. This may perhaps potentially increase the chance of a subsequent thrombosis but as yet no evidence has been found. The ACPM noted that kidney function is best quoted in terms of GFR or </w:t>
      </w:r>
      <w:proofErr w:type="spellStart"/>
      <w:r w:rsidRPr="00C059E6">
        <w:rPr>
          <w:bCs/>
          <w:iCs/>
        </w:rPr>
        <w:t>eGFR</w:t>
      </w:r>
      <w:proofErr w:type="spellEnd"/>
      <w:r w:rsidRPr="00C059E6">
        <w:rPr>
          <w:bCs/>
          <w:iCs/>
        </w:rPr>
        <w:t>.</w:t>
      </w:r>
    </w:p>
    <w:p w:rsidR="006D6813" w:rsidRPr="00C059E6" w:rsidRDefault="006D6813" w:rsidP="006D6813">
      <w:pPr>
        <w:pStyle w:val="ListParagraph"/>
        <w:numPr>
          <w:ilvl w:val="0"/>
          <w:numId w:val="24"/>
        </w:numPr>
        <w:adjustRightInd w:val="0"/>
        <w:snapToGrid w:val="0"/>
        <w:spacing w:before="0" w:line="240" w:lineRule="auto"/>
        <w:ind w:left="1135" w:hanging="284"/>
        <w:contextualSpacing w:val="0"/>
        <w:rPr>
          <w:bCs/>
          <w:i/>
          <w:iCs/>
        </w:rPr>
      </w:pPr>
      <w:r w:rsidRPr="00C059E6">
        <w:rPr>
          <w:bCs/>
          <w:i/>
          <w:iCs/>
        </w:rPr>
        <w:t>The patients in the clinical trials have been adults, and the proposed indication does not specifically exclude children. Does the committee have specific concerns about the potential for the use of idarucizumab in children?</w:t>
      </w:r>
    </w:p>
    <w:p w:rsidR="006D6813" w:rsidRPr="00C059E6" w:rsidRDefault="006D6813" w:rsidP="006D6813">
      <w:pPr>
        <w:rPr>
          <w:bCs/>
          <w:iCs/>
        </w:rPr>
      </w:pPr>
      <w:r w:rsidRPr="00C059E6">
        <w:rPr>
          <w:bCs/>
          <w:iCs/>
        </w:rPr>
        <w:t>The ACPM considered need for use would be rare in children and considered this would best be left as a clinician’s decision. The committee noted the report of the planned extension study in conjunction with the current trial of dabigatran in children. The results of this study should be submitted to the TGA as soon as practicable.</w:t>
      </w:r>
    </w:p>
    <w:p w:rsidR="006D6813" w:rsidRPr="00C059E6" w:rsidRDefault="006D6813" w:rsidP="006D6813">
      <w:pPr>
        <w:pStyle w:val="ListParagraph"/>
        <w:numPr>
          <w:ilvl w:val="0"/>
          <w:numId w:val="24"/>
        </w:numPr>
        <w:adjustRightInd w:val="0"/>
        <w:snapToGrid w:val="0"/>
        <w:spacing w:before="0" w:line="240" w:lineRule="auto"/>
        <w:ind w:left="1135" w:hanging="284"/>
        <w:contextualSpacing w:val="0"/>
        <w:rPr>
          <w:bCs/>
          <w:i/>
          <w:iCs/>
        </w:rPr>
      </w:pPr>
      <w:r w:rsidRPr="00C059E6">
        <w:rPr>
          <w:bCs/>
          <w:i/>
          <w:iCs/>
        </w:rPr>
        <w:t>Idarucizumab has a 1:1 stoichiometric relationship with dabigatran. Should dosing based on measured dabigatran concentration be considered in circumstances where dabigatran levels are available?</w:t>
      </w:r>
    </w:p>
    <w:p w:rsidR="009A7609" w:rsidRDefault="006D6813" w:rsidP="006D6813">
      <w:pPr>
        <w:rPr>
          <w:bCs/>
          <w:iCs/>
        </w:rPr>
      </w:pPr>
      <w:r w:rsidRPr="00C059E6">
        <w:rPr>
          <w:bCs/>
          <w:iCs/>
        </w:rPr>
        <w:t xml:space="preserve">The ACPM agreed with the </w:t>
      </w:r>
      <w:r w:rsidR="006075E2">
        <w:rPr>
          <w:bCs/>
          <w:iCs/>
        </w:rPr>
        <w:t>s</w:t>
      </w:r>
      <w:r w:rsidRPr="00C059E6">
        <w:rPr>
          <w:bCs/>
          <w:iCs/>
        </w:rPr>
        <w:t>ponsor’s response; measuring dabigatran levels to calculate dosage of the antidote would add complexity in a critical time-dependent clinical situation. A standard 5 g dose was used in the cohort study. Furthermore, it is unlikely that assays for dabigatran levels will be available in many hospitals</w:t>
      </w:r>
      <w:r w:rsidR="009A7609">
        <w:rPr>
          <w:bCs/>
          <w:iCs/>
        </w:rPr>
        <w:t>.</w:t>
      </w:r>
    </w:p>
    <w:p w:rsidR="009A7609" w:rsidRDefault="006D6813" w:rsidP="006D6813">
      <w:pPr>
        <w:pStyle w:val="ListParagraph"/>
        <w:numPr>
          <w:ilvl w:val="0"/>
          <w:numId w:val="24"/>
        </w:numPr>
        <w:adjustRightInd w:val="0"/>
        <w:snapToGrid w:val="0"/>
        <w:spacing w:before="0" w:line="240" w:lineRule="auto"/>
        <w:ind w:left="1135" w:hanging="284"/>
        <w:contextualSpacing w:val="0"/>
        <w:rPr>
          <w:bCs/>
          <w:i/>
          <w:iCs/>
        </w:rPr>
      </w:pPr>
      <w:r w:rsidRPr="00C059E6">
        <w:rPr>
          <w:bCs/>
          <w:i/>
          <w:iCs/>
        </w:rPr>
        <w:t xml:space="preserve">Please comment on the clarity and accuracy of the PI instructions for recommencement of anticoagulation including dabigatran after the administration of </w:t>
      </w:r>
      <w:proofErr w:type="spellStart"/>
      <w:r w:rsidRPr="00C059E6">
        <w:rPr>
          <w:bCs/>
          <w:i/>
          <w:iCs/>
        </w:rPr>
        <w:t>idarucizumab</w:t>
      </w:r>
      <w:proofErr w:type="spellEnd"/>
      <w:r w:rsidR="009A7609">
        <w:rPr>
          <w:bCs/>
          <w:i/>
          <w:iCs/>
        </w:rPr>
        <w:t>.</w:t>
      </w:r>
    </w:p>
    <w:p w:rsidR="006D6813" w:rsidRPr="00C059E6" w:rsidRDefault="006D6813" w:rsidP="006D6813">
      <w:pPr>
        <w:rPr>
          <w:rFonts w:eastAsia="MS Mincho"/>
          <w:bCs/>
          <w:iCs/>
          <w:lang w:eastAsia="ja-JP"/>
        </w:rPr>
      </w:pPr>
      <w:r w:rsidRPr="00C059E6">
        <w:rPr>
          <w:bCs/>
          <w:iCs/>
        </w:rPr>
        <w:t>The ACPM considered the statements in the PI were reasonable on the product’s intended use; that reversal of the effects of dabigatran exposes patients to the thrombotic risk of their underlying disease and advise</w:t>
      </w:r>
      <w:r>
        <w:rPr>
          <w:bCs/>
          <w:iCs/>
        </w:rPr>
        <w:t xml:space="preserve"> on</w:t>
      </w:r>
      <w:r w:rsidRPr="00C059E6">
        <w:rPr>
          <w:bCs/>
          <w:iCs/>
        </w:rPr>
        <w:t xml:space="preserve"> resumption of anticoagulation as soon as medically appropriate. </w:t>
      </w:r>
      <w:r w:rsidRPr="00C059E6">
        <w:rPr>
          <w:rFonts w:eastAsia="MS Mincho"/>
          <w:bCs/>
          <w:iCs/>
          <w:lang w:eastAsia="ja-JP"/>
        </w:rPr>
        <w:t>The PI also states that dabigatran can be recommenced 24</w:t>
      </w:r>
      <w:r w:rsidR="006075E2">
        <w:rPr>
          <w:rFonts w:eastAsia="MS Mincho"/>
          <w:bCs/>
          <w:iCs/>
          <w:lang w:eastAsia="ja-JP"/>
        </w:rPr>
        <w:t xml:space="preserve"> </w:t>
      </w:r>
      <w:r w:rsidRPr="00C059E6">
        <w:rPr>
          <w:rFonts w:eastAsia="MS Mincho"/>
          <w:bCs/>
          <w:iCs/>
          <w:lang w:eastAsia="ja-JP"/>
        </w:rPr>
        <w:t xml:space="preserve">h after administration of idarucizumab and that dabigatran has no impact on the effect of other anticoagulants or </w:t>
      </w:r>
      <w:proofErr w:type="spellStart"/>
      <w:r w:rsidRPr="00C059E6">
        <w:rPr>
          <w:rFonts w:eastAsia="MS Mincho"/>
          <w:bCs/>
          <w:iCs/>
          <w:lang w:eastAsia="ja-JP"/>
        </w:rPr>
        <w:t>antithrombotics</w:t>
      </w:r>
      <w:proofErr w:type="spellEnd"/>
      <w:r w:rsidRPr="00C059E6">
        <w:rPr>
          <w:rFonts w:eastAsia="MS Mincho"/>
          <w:bCs/>
          <w:iCs/>
          <w:lang w:eastAsia="ja-JP"/>
        </w:rPr>
        <w:t>.</w:t>
      </w:r>
    </w:p>
    <w:p w:rsidR="009A7609" w:rsidRDefault="006D6813" w:rsidP="006D6813">
      <w:pPr>
        <w:rPr>
          <w:bCs/>
        </w:rPr>
      </w:pPr>
      <w:r w:rsidRPr="00C059E6">
        <w:rPr>
          <w:bCs/>
        </w:rPr>
        <w:t>The ACPM advised that implementation by the sponsor of the recommendations outlined above to the satisfaction of the TGA, in addition to the evidence of efficacy and safety provided would support the safe and effective use of th</w:t>
      </w:r>
      <w:r>
        <w:rPr>
          <w:bCs/>
        </w:rPr>
        <w:t>is</w:t>
      </w:r>
      <w:r w:rsidRPr="00C059E6">
        <w:rPr>
          <w:bCs/>
        </w:rPr>
        <w:t xml:space="preserve"> product</w:t>
      </w:r>
      <w:r w:rsidR="009A7609">
        <w:rPr>
          <w:bCs/>
        </w:rPr>
        <w:t>.</w:t>
      </w:r>
    </w:p>
    <w:p w:rsidR="008E7846" w:rsidRPr="002E238E" w:rsidRDefault="008E7846" w:rsidP="008E7846">
      <w:pPr>
        <w:pStyle w:val="Heading3"/>
      </w:pPr>
      <w:bookmarkStart w:id="186" w:name="_Toc247691532"/>
      <w:bookmarkStart w:id="187" w:name="_Toc314842516"/>
      <w:bookmarkStart w:id="188" w:name="_Toc466282965"/>
      <w:bookmarkEnd w:id="107"/>
      <w:bookmarkEnd w:id="183"/>
      <w:bookmarkEnd w:id="184"/>
      <w:r>
        <w:lastRenderedPageBreak/>
        <w:t>Outcome</w:t>
      </w:r>
      <w:bookmarkEnd w:id="186"/>
      <w:bookmarkEnd w:id="187"/>
      <w:bookmarkEnd w:id="188"/>
    </w:p>
    <w:p w:rsidR="00D23139" w:rsidRPr="00D23139" w:rsidRDefault="00D23139" w:rsidP="00D23139">
      <w:bookmarkStart w:id="189" w:name="_Toc247691533"/>
      <w:bookmarkStart w:id="190" w:name="_Toc314842517"/>
      <w:r w:rsidRPr="00D23139">
        <w:t xml:space="preserve">Based on a review of quality, safety and efficacy, TGA approved the registration of </w:t>
      </w:r>
      <w:proofErr w:type="spellStart"/>
      <w:r w:rsidR="00AC373E" w:rsidRPr="00AC373E">
        <w:t>P</w:t>
      </w:r>
      <w:r w:rsidR="00B432FB">
        <w:t>raxbind</w:t>
      </w:r>
      <w:proofErr w:type="spellEnd"/>
      <w:r w:rsidR="00AC373E" w:rsidRPr="00AC373E">
        <w:t xml:space="preserve"> </w:t>
      </w:r>
      <w:r w:rsidR="00B432FB">
        <w:t>(</w:t>
      </w:r>
      <w:proofErr w:type="spellStart"/>
      <w:r w:rsidR="00B432FB">
        <w:t>idarucizumab</w:t>
      </w:r>
      <w:proofErr w:type="spellEnd"/>
      <w:r w:rsidR="00B432FB">
        <w:t xml:space="preserve"> [</w:t>
      </w:r>
      <w:proofErr w:type="spellStart"/>
      <w:r w:rsidR="00B432FB">
        <w:t>rch</w:t>
      </w:r>
      <w:proofErr w:type="spellEnd"/>
      <w:r w:rsidR="00B432FB">
        <w:t>])</w:t>
      </w:r>
      <w:r w:rsidR="00AC373E" w:rsidRPr="00AC373E">
        <w:t xml:space="preserve"> 50</w:t>
      </w:r>
      <w:r w:rsidR="00D40D00">
        <w:t xml:space="preserve"> </w:t>
      </w:r>
      <w:r w:rsidR="00AC373E" w:rsidRPr="00AC373E">
        <w:t>mg/ml solution for injection/infusion vial</w:t>
      </w:r>
      <w:r w:rsidRPr="00D23139">
        <w:t xml:space="preserve"> indicated for:</w:t>
      </w:r>
    </w:p>
    <w:p w:rsidR="00F65816" w:rsidRPr="00F65816" w:rsidRDefault="00F65816" w:rsidP="00F65816">
      <w:pPr>
        <w:ind w:left="720"/>
        <w:rPr>
          <w:i/>
        </w:rPr>
      </w:pPr>
      <w:r w:rsidRPr="00F65816">
        <w:rPr>
          <w:i/>
        </w:rPr>
        <w:t>Praxbind is a specific reversal agent for dabigatran and is indicated in patients treated with dabigatran etexilate (Pradaxa) when rapid reversal of the anticoagulant effects of dabigatran is required:</w:t>
      </w:r>
    </w:p>
    <w:p w:rsidR="00F65816" w:rsidRPr="00F65816" w:rsidRDefault="00F65816" w:rsidP="00F65816">
      <w:pPr>
        <w:pStyle w:val="ListBullet3"/>
        <w:rPr>
          <w:i/>
        </w:rPr>
      </w:pPr>
      <w:r w:rsidRPr="00F65816">
        <w:rPr>
          <w:i/>
        </w:rPr>
        <w:t>for emergency surgery/urgent procedures;</w:t>
      </w:r>
    </w:p>
    <w:p w:rsidR="00F65816" w:rsidRPr="00F65816" w:rsidRDefault="00F65816" w:rsidP="00F65816">
      <w:pPr>
        <w:pStyle w:val="ListBullet3"/>
        <w:rPr>
          <w:i/>
        </w:rPr>
      </w:pPr>
      <w:r w:rsidRPr="00F65816">
        <w:rPr>
          <w:i/>
        </w:rPr>
        <w:t>in life-threatening or uncontrolled bleeding</w:t>
      </w:r>
    </w:p>
    <w:p w:rsidR="00D23139" w:rsidRPr="00D23139" w:rsidRDefault="00D23139" w:rsidP="00D23139">
      <w:pPr>
        <w:pStyle w:val="Heading4"/>
      </w:pPr>
      <w:r w:rsidRPr="00D23139">
        <w:t>Specific conditions of registration applying to these goods</w:t>
      </w:r>
    </w:p>
    <w:p w:rsidR="00D40D00" w:rsidRDefault="00D40D00" w:rsidP="00D23139">
      <w:pPr>
        <w:pStyle w:val="ListBullet"/>
      </w:pPr>
      <w:r w:rsidRPr="00986BB3">
        <w:t xml:space="preserve">The </w:t>
      </w:r>
      <w:r>
        <w:t>idarucizumab</w:t>
      </w:r>
      <w:r w:rsidRPr="00986BB3">
        <w:t xml:space="preserve"> EU-</w:t>
      </w:r>
      <w:r>
        <w:t>RMP</w:t>
      </w:r>
      <w:r w:rsidRPr="00986BB3">
        <w:t xml:space="preserve">, version 2.0, dated 19 November 2015, DLP 17 September 2015) with </w:t>
      </w:r>
      <w:r>
        <w:t>ASA</w:t>
      </w:r>
      <w:r w:rsidRPr="00986BB3">
        <w:t xml:space="preserve"> (version 2.0, dated 11 April 2016), and any subsequent revisions, as agreed with the TGA will be implemented in Australia.</w:t>
      </w:r>
    </w:p>
    <w:p w:rsidR="009C7FFC" w:rsidRPr="009C7FFC" w:rsidRDefault="00525385" w:rsidP="009C7FFC">
      <w:pPr>
        <w:pStyle w:val="ListBullet"/>
      </w:pPr>
      <w:r>
        <w:t>The following study reports</w:t>
      </w:r>
      <w:r w:rsidR="009C7FFC" w:rsidRPr="009C7FFC">
        <w:t>:</w:t>
      </w:r>
    </w:p>
    <w:p w:rsidR="009C7FFC" w:rsidRPr="009C7FFC" w:rsidRDefault="009C7FFC" w:rsidP="009C7FFC">
      <w:pPr>
        <w:pStyle w:val="ListBullet2"/>
      </w:pPr>
      <w:r w:rsidRPr="009C7FFC">
        <w:t>The final clinical study report of Study</w:t>
      </w:r>
      <w:r w:rsidR="00A03AD0">
        <w:t xml:space="preserve"> </w:t>
      </w:r>
      <w:r w:rsidRPr="009C7FFC">
        <w:t>1321.3</w:t>
      </w:r>
    </w:p>
    <w:p w:rsidR="009C7FFC" w:rsidRPr="009C7FFC" w:rsidRDefault="009C7FFC" w:rsidP="009C7FFC">
      <w:pPr>
        <w:pStyle w:val="ListBullet2"/>
      </w:pPr>
      <w:r w:rsidRPr="009C7FFC">
        <w:t>The final study report of the idarucizumab drug administration surveillance program.</w:t>
      </w:r>
    </w:p>
    <w:p w:rsidR="009C7FFC" w:rsidRDefault="009C7FFC" w:rsidP="009C7FFC">
      <w:pPr>
        <w:pStyle w:val="ListBullet"/>
      </w:pPr>
      <w:r>
        <w:t>A</w:t>
      </w:r>
      <w:r w:rsidRPr="00986BB3">
        <w:t>ll</w:t>
      </w:r>
      <w:r>
        <w:t xml:space="preserve"> </w:t>
      </w:r>
      <w:r w:rsidRPr="00986BB3">
        <w:t xml:space="preserve">batches of </w:t>
      </w:r>
      <w:proofErr w:type="spellStart"/>
      <w:r w:rsidRPr="00986BB3">
        <w:t>P</w:t>
      </w:r>
      <w:r w:rsidR="00547EB4">
        <w:t>raxbind</w:t>
      </w:r>
      <w:proofErr w:type="spellEnd"/>
      <w:r w:rsidRPr="00986BB3">
        <w:t xml:space="preserve"> </w:t>
      </w:r>
      <w:proofErr w:type="spellStart"/>
      <w:r w:rsidRPr="00986BB3">
        <w:t>idarucizumab</w:t>
      </w:r>
      <w:proofErr w:type="spellEnd"/>
      <w:r>
        <w:t xml:space="preserve"> </w:t>
      </w:r>
      <w:r w:rsidRPr="00986BB3">
        <w:t>(</w:t>
      </w:r>
      <w:proofErr w:type="spellStart"/>
      <w:r w:rsidRPr="00986BB3">
        <w:t>rch</w:t>
      </w:r>
      <w:proofErr w:type="spellEnd"/>
      <w:r w:rsidRPr="00986BB3">
        <w:t>) imported into/manufactured in Australia must comp</w:t>
      </w:r>
      <w:r>
        <w:t xml:space="preserve">ly with the product details and </w:t>
      </w:r>
      <w:r w:rsidRPr="00986BB3">
        <w:t>specifications approved during evaluation and detailed i</w:t>
      </w:r>
      <w:r>
        <w:t xml:space="preserve">n the Certified Product Details </w:t>
      </w:r>
      <w:r w:rsidRPr="00986BB3">
        <w:t>(CPD).</w:t>
      </w:r>
    </w:p>
    <w:p w:rsidR="009C7FFC" w:rsidRPr="00986BB3" w:rsidRDefault="009C7FFC" w:rsidP="009C7FFC">
      <w:pPr>
        <w:pStyle w:val="ListBullet"/>
      </w:pPr>
      <w:r>
        <w:t xml:space="preserve">Each batch of </w:t>
      </w:r>
      <w:proofErr w:type="spellStart"/>
      <w:r w:rsidR="00547EB4" w:rsidRPr="00986BB3">
        <w:t>P</w:t>
      </w:r>
      <w:r w:rsidR="00547EB4">
        <w:t>raxbind</w:t>
      </w:r>
      <w:proofErr w:type="spellEnd"/>
      <w:r>
        <w:t xml:space="preserve"> </w:t>
      </w:r>
      <w:proofErr w:type="spellStart"/>
      <w:r>
        <w:t>idarucizumab</w:t>
      </w:r>
      <w:proofErr w:type="spellEnd"/>
      <w:r w:rsidRPr="00986BB3">
        <w:t xml:space="preserve"> (</w:t>
      </w:r>
      <w:proofErr w:type="spellStart"/>
      <w:r w:rsidRPr="00986BB3">
        <w:t>rch</w:t>
      </w:r>
      <w:proofErr w:type="spellEnd"/>
      <w:r w:rsidRPr="00986BB3">
        <w:t>) imported into/manufactured i</w:t>
      </w:r>
      <w:r>
        <w:t xml:space="preserve">n Australia is not released for </w:t>
      </w:r>
      <w:r w:rsidRPr="00986BB3">
        <w:t xml:space="preserve">sale until </w:t>
      </w:r>
      <w:r w:rsidR="00A03AD0">
        <w:t>samples and/or the manufacturer’</w:t>
      </w:r>
      <w:r w:rsidRPr="00986BB3">
        <w:t>s rele</w:t>
      </w:r>
      <w:r>
        <w:t xml:space="preserve">ase data have been assessed and </w:t>
      </w:r>
      <w:r w:rsidRPr="00986BB3">
        <w:t>endorsed for release by the TGA Laboratories Branch.</w:t>
      </w:r>
    </w:p>
    <w:p w:rsidR="009C7FFC" w:rsidRPr="00986BB3" w:rsidRDefault="009C7FFC" w:rsidP="009C7FFC">
      <w:pPr>
        <w:pStyle w:val="ListBullet"/>
        <w:numPr>
          <w:ilvl w:val="0"/>
          <w:numId w:val="0"/>
        </w:numPr>
        <w:ind w:left="360"/>
      </w:pPr>
      <w:r w:rsidRPr="00986BB3">
        <w:t>The sponsor must supply:</w:t>
      </w:r>
    </w:p>
    <w:p w:rsidR="009C7FFC" w:rsidRPr="00986BB3" w:rsidRDefault="009C7FFC" w:rsidP="000A5D4F">
      <w:pPr>
        <w:pStyle w:val="ListBullet2"/>
      </w:pPr>
      <w:r w:rsidRPr="00986BB3">
        <w:t xml:space="preserve">Certificates </w:t>
      </w:r>
      <w:r w:rsidR="00703AC4">
        <w:t xml:space="preserve">of Analysis of the </w:t>
      </w:r>
      <w:r w:rsidRPr="00986BB3">
        <w:t>active</w:t>
      </w:r>
      <w:r w:rsidR="00703AC4">
        <w:t xml:space="preserve"> </w:t>
      </w:r>
      <w:r w:rsidRPr="00986BB3">
        <w:t>ingredient (drug substance) and final</w:t>
      </w:r>
      <w:r>
        <w:t xml:space="preserve"> </w:t>
      </w:r>
      <w:r w:rsidRPr="00986BB3">
        <w:t>product.</w:t>
      </w:r>
    </w:p>
    <w:p w:rsidR="009C7FFC" w:rsidRPr="00986BB3" w:rsidRDefault="009C7FFC" w:rsidP="000A5D4F">
      <w:pPr>
        <w:pStyle w:val="ListBullet2"/>
      </w:pPr>
      <w:r w:rsidRPr="00986BB3">
        <w:t>Information on the number of doses to be released in Australia with</w:t>
      </w:r>
      <w:r>
        <w:t xml:space="preserve"> </w:t>
      </w:r>
      <w:r w:rsidRPr="00986BB3">
        <w:t>accompanying expiry date</w:t>
      </w:r>
      <w:r w:rsidR="00703AC4">
        <w:t>s for the product and diluents o</w:t>
      </w:r>
      <w:r w:rsidRPr="00986BB3">
        <w:t>f included).</w:t>
      </w:r>
    </w:p>
    <w:p w:rsidR="009C7FFC" w:rsidRPr="00986BB3" w:rsidRDefault="009C7FFC" w:rsidP="000A5D4F">
      <w:pPr>
        <w:pStyle w:val="ListBullet2"/>
      </w:pPr>
      <w:r w:rsidRPr="00986BB3">
        <w:t>Evidence of the maintenance of registered storage conditions during</w:t>
      </w:r>
      <w:r>
        <w:t xml:space="preserve"> </w:t>
      </w:r>
      <w:r w:rsidRPr="00986BB3">
        <w:t>transport to Australia.</w:t>
      </w:r>
    </w:p>
    <w:p w:rsidR="009752A5" w:rsidRPr="00FC1FCA" w:rsidRDefault="009C7FFC" w:rsidP="000A5D4F">
      <w:pPr>
        <w:pStyle w:val="ListBullet2"/>
      </w:pPr>
      <w:r w:rsidRPr="00986BB3">
        <w:t>3 to 5 vials of each batch for testing by the TGA Laboratories Branch</w:t>
      </w:r>
      <w:r>
        <w:t xml:space="preserve"> </w:t>
      </w:r>
      <w:r w:rsidRPr="00986BB3">
        <w:t>together with any necessary standards, impurities and active</w:t>
      </w:r>
      <w:r>
        <w:t xml:space="preserve"> </w:t>
      </w:r>
      <w:r w:rsidRPr="00986BB3">
        <w:t>pharmaceutical ingredients (with their Certificates of Analysis) required</w:t>
      </w:r>
      <w:r w:rsidR="00F65816">
        <w:t xml:space="preserve"> </w:t>
      </w:r>
      <w:r w:rsidRPr="00986BB3">
        <w:t>for method development and validation.</w:t>
      </w:r>
    </w:p>
    <w:p w:rsidR="008E7846" w:rsidRDefault="00A80B5B" w:rsidP="00D23139">
      <w:pPr>
        <w:pStyle w:val="Heading2"/>
      </w:pPr>
      <w:bookmarkStart w:id="191" w:name="_Toc466282966"/>
      <w:proofErr w:type="gramStart"/>
      <w:r>
        <w:t>Attachment 1.</w:t>
      </w:r>
      <w:proofErr w:type="gramEnd"/>
      <w:r>
        <w:t xml:space="preserve"> </w:t>
      </w:r>
      <w:r w:rsidR="008E7846">
        <w:t xml:space="preserve">Product </w:t>
      </w:r>
      <w:r w:rsidR="00AA0ED0">
        <w:t>I</w:t>
      </w:r>
      <w:r w:rsidR="008E7846">
        <w:t>nformation</w:t>
      </w:r>
      <w:bookmarkEnd w:id="189"/>
      <w:bookmarkEnd w:id="190"/>
      <w:bookmarkEnd w:id="191"/>
    </w:p>
    <w:p w:rsidR="00C80137" w:rsidRDefault="002B3624" w:rsidP="00C80137">
      <w:pPr>
        <w:rPr>
          <w:color w:val="000000"/>
          <w:lang w:eastAsia="en-AU"/>
        </w:rPr>
      </w:pPr>
      <w:r w:rsidRPr="00232A97">
        <w:t xml:space="preserve">The </w:t>
      </w:r>
      <w:r w:rsidR="00133A1B" w:rsidRPr="00232A97">
        <w:t>PI</w:t>
      </w:r>
      <w:r w:rsidRPr="00232A97">
        <w:t xml:space="preserve"> approved for </w:t>
      </w:r>
      <w:r w:rsidR="009C7FFC">
        <w:t>Praxbind</w:t>
      </w:r>
      <w:r w:rsidRPr="00232A97">
        <w:t xml:space="preserve"> at the time this AusPAR was published is at Attachment 1. For the most recent </w:t>
      </w:r>
      <w:r w:rsidR="00133A1B" w:rsidRPr="00232A97">
        <w:t>PI,</w:t>
      </w:r>
      <w:r w:rsidRPr="00232A97">
        <w:t xml:space="preserve"> please refer to the </w:t>
      </w:r>
      <w:r w:rsidR="007C6B9B" w:rsidRPr="00232A97">
        <w:t>TGA website at &lt;</w:t>
      </w:r>
      <w:hyperlink r:id="rId17" w:history="1">
        <w:r w:rsidR="007C6B9B" w:rsidRPr="00232A97">
          <w:rPr>
            <w:rStyle w:val="Hyperlink"/>
          </w:rPr>
          <w:t>https://www.tga.gov.au/product-information-pi</w:t>
        </w:r>
      </w:hyperlink>
      <w:r w:rsidR="00232A97">
        <w:t>&gt;.</w:t>
      </w:r>
    </w:p>
    <w:p w:rsidR="00C80137" w:rsidRDefault="00C80137" w:rsidP="00C80137">
      <w:pPr>
        <w:pStyle w:val="Heading2"/>
        <w:rPr>
          <w:lang w:eastAsia="en-AU"/>
        </w:rPr>
      </w:pPr>
      <w:bookmarkStart w:id="192" w:name="_Toc466282967"/>
      <w:proofErr w:type="gramStart"/>
      <w:r>
        <w:rPr>
          <w:lang w:eastAsia="en-AU"/>
        </w:rPr>
        <w:t>Attachment 2.</w:t>
      </w:r>
      <w:proofErr w:type="gramEnd"/>
      <w:r w:rsidR="00A80B5B">
        <w:rPr>
          <w:lang w:eastAsia="en-AU"/>
        </w:rPr>
        <w:t xml:space="preserve"> </w:t>
      </w:r>
      <w:r>
        <w:rPr>
          <w:lang w:eastAsia="en-AU"/>
        </w:rPr>
        <w:t>Extract from the Clinical Evaluation Report</w:t>
      </w:r>
      <w:bookmarkEnd w:id="192"/>
    </w:p>
    <w:p w:rsidR="00291957" w:rsidRDefault="008E7846" w:rsidP="00232A97">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B452CE">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2" w:history="1">
              <w:r w:rsidRPr="004C239D">
                <w:rPr>
                  <w:rStyle w:val="Hyperlink"/>
                </w:rPr>
                <w:t>info@tga.gov.au</w:t>
              </w:r>
            </w:hyperlink>
            <w:r w:rsidRPr="00487162">
              <w:t xml:space="preserve">  Phone: 1800 020 653  Fax: 02 6232 8605</w:t>
            </w:r>
          </w:p>
          <w:p w:rsidR="001C32CD" w:rsidRPr="004C239D" w:rsidRDefault="009A7609" w:rsidP="00A05FA4">
            <w:pPr>
              <w:pStyle w:val="Address"/>
              <w:spacing w:line="260" w:lineRule="atLeast"/>
              <w:rPr>
                <w:b/>
                <w:color w:val="0000FF"/>
                <w:u w:val="single"/>
              </w:rPr>
            </w:pPr>
            <w:hyperlink r:id="rId23"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609" w:rsidRDefault="009A7609" w:rsidP="00C40A36">
      <w:pPr>
        <w:spacing w:after="0"/>
      </w:pPr>
      <w:r>
        <w:separator/>
      </w:r>
    </w:p>
  </w:endnote>
  <w:endnote w:type="continuationSeparator" w:id="0">
    <w:p w:rsidR="009A7609" w:rsidRDefault="009A760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MS Mincho"/>
    <w:panose1 w:val="00000000000000000000"/>
    <w:charset w:val="80"/>
    <w:family w:val="auto"/>
    <w:notTrueType/>
    <w:pitch w:val="default"/>
    <w:sig w:usb0="00000083" w:usb1="09070000" w:usb2="00000010" w:usb3="00000000" w:csb0="000A0009"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9A7609" w:rsidRPr="00487162" w:rsidTr="00DB750B">
      <w:trPr>
        <w:trHeight w:val="269"/>
      </w:trPr>
      <w:tc>
        <w:tcPr>
          <w:tcW w:w="7371" w:type="dxa"/>
          <w:tcMar>
            <w:top w:w="142" w:type="dxa"/>
            <w:bottom w:w="0" w:type="dxa"/>
          </w:tcMar>
        </w:tcPr>
        <w:p w:rsidR="009A7609" w:rsidRPr="00487162" w:rsidRDefault="009A7609" w:rsidP="006A61B1">
          <w:pPr>
            <w:pStyle w:val="Footer"/>
          </w:pPr>
          <w:r w:rsidRPr="00487162">
            <w:t>AusPA</w:t>
          </w:r>
          <w:r>
            <w:t xml:space="preserve">R Praxbind </w:t>
          </w:r>
          <w:r w:rsidRPr="00612BED">
            <w:t>Boehringer Ingelheim Pty Ltd</w:t>
          </w:r>
          <w:r>
            <w:t xml:space="preserve"> </w:t>
          </w:r>
          <w:r w:rsidRPr="00612BED">
            <w:t>PM-2015-00707-1-3</w:t>
          </w:r>
          <w:r>
            <w:br/>
            <w:t>Final 25 October 2016</w:t>
          </w:r>
        </w:p>
      </w:tc>
      <w:tc>
        <w:tcPr>
          <w:tcW w:w="1490" w:type="dxa"/>
          <w:tcMar>
            <w:top w:w="142" w:type="dxa"/>
            <w:bottom w:w="0" w:type="dxa"/>
          </w:tcMar>
        </w:tcPr>
        <w:p w:rsidR="009A7609" w:rsidRPr="00487162" w:rsidRDefault="009A7609" w:rsidP="00DB750B">
          <w:pPr>
            <w:pStyle w:val="Footer"/>
            <w:jc w:val="right"/>
          </w:pPr>
          <w:r w:rsidRPr="00487162">
            <w:t xml:space="preserve">Page </w:t>
          </w:r>
          <w:r>
            <w:fldChar w:fldCharType="begin"/>
          </w:r>
          <w:r>
            <w:instrText xml:space="preserve"> PAGE  \* Arabic </w:instrText>
          </w:r>
          <w:r>
            <w:fldChar w:fldCharType="separate"/>
          </w:r>
          <w:r w:rsidR="00753DD4">
            <w:rPr>
              <w:noProof/>
            </w:rPr>
            <w:t>3</w:t>
          </w:r>
          <w:r>
            <w:fldChar w:fldCharType="end"/>
          </w:r>
          <w:r w:rsidRPr="00487162">
            <w:t xml:space="preserve"> of </w:t>
          </w:r>
          <w:fldSimple w:instr=" NUMPAGES  \* Arabic ">
            <w:r w:rsidR="00753DD4">
              <w:rPr>
                <w:noProof/>
              </w:rPr>
              <w:t>67</w:t>
            </w:r>
          </w:fldSimple>
        </w:p>
      </w:tc>
    </w:tr>
  </w:tbl>
  <w:p w:rsidR="009A7609" w:rsidRDefault="009A7609"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9A7609" w:rsidRPr="00487162" w:rsidTr="00E45619">
      <w:trPr>
        <w:trHeight w:val="269"/>
      </w:trPr>
      <w:tc>
        <w:tcPr>
          <w:tcW w:w="4519" w:type="dxa"/>
          <w:tcBorders>
            <w:top w:val="single" w:sz="4" w:space="0" w:color="auto"/>
          </w:tcBorders>
          <w:tcMar>
            <w:top w:w="142" w:type="dxa"/>
            <w:bottom w:w="0" w:type="dxa"/>
          </w:tcMar>
        </w:tcPr>
        <w:p w:rsidR="009A7609" w:rsidRPr="00487162" w:rsidRDefault="009A7609" w:rsidP="00FE1DEE">
          <w:pPr>
            <w:pStyle w:val="Footer"/>
          </w:pPr>
          <w:r w:rsidRPr="00487162">
            <w:t>Document title, Part #, Section # - Section title</w:t>
          </w:r>
        </w:p>
        <w:p w:rsidR="009A7609" w:rsidRPr="00487162" w:rsidRDefault="009A7609" w:rsidP="00FE1DEE">
          <w:pPr>
            <w:pStyle w:val="Footer"/>
          </w:pPr>
          <w:r w:rsidRPr="00487162">
            <w:t>V1.0 October 2010</w:t>
          </w:r>
        </w:p>
      </w:tc>
      <w:tc>
        <w:tcPr>
          <w:tcW w:w="4342" w:type="dxa"/>
          <w:tcBorders>
            <w:top w:val="single" w:sz="4" w:space="0" w:color="auto"/>
          </w:tcBorders>
          <w:tcMar>
            <w:top w:w="142" w:type="dxa"/>
            <w:bottom w:w="0" w:type="dxa"/>
          </w:tcMar>
        </w:tcPr>
        <w:p w:rsidR="009A7609" w:rsidRPr="00487162" w:rsidRDefault="009A7609"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4</w:t>
            </w:r>
          </w:fldSimple>
        </w:p>
      </w:tc>
    </w:tr>
  </w:tbl>
  <w:p w:rsidR="009A7609" w:rsidRDefault="009A76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09" w:rsidRPr="001C32CD" w:rsidRDefault="009A7609"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9A7609" w:rsidTr="0010601F">
      <w:trPr>
        <w:trHeight w:val="108"/>
      </w:trPr>
      <w:tc>
        <w:tcPr>
          <w:tcW w:w="8875" w:type="dxa"/>
          <w:gridSpan w:val="2"/>
          <w:tcBorders>
            <w:bottom w:val="single" w:sz="4" w:space="0" w:color="auto"/>
          </w:tcBorders>
          <w:tcMar>
            <w:right w:w="284" w:type="dxa"/>
          </w:tcMar>
        </w:tcPr>
        <w:p w:rsidR="009A7609" w:rsidRDefault="009A7609" w:rsidP="006E08B3">
          <w:pPr>
            <w:pStyle w:val="Heading3"/>
          </w:pPr>
          <w:r>
            <w:t>Copyright</w:t>
          </w:r>
        </w:p>
        <w:p w:rsidR="009A7609" w:rsidRDefault="009A7609" w:rsidP="006E08B3">
          <w:r>
            <w:rPr>
              <w:rFonts w:cs="Arial"/>
            </w:rPr>
            <w:t>©</w:t>
          </w:r>
          <w:r>
            <w:t xml:space="preserve"> Commonwealth of Australia [add year]</w:t>
          </w:r>
        </w:p>
        <w:p w:rsidR="009A7609" w:rsidRDefault="009A7609" w:rsidP="006E08B3"/>
        <w:p w:rsidR="009A7609" w:rsidRDefault="009A760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9A7609" w:rsidRDefault="009A7609" w:rsidP="006E08B3"/>
        <w:p w:rsidR="009A7609" w:rsidRDefault="009A7609" w:rsidP="006E08B3">
          <w:pPr>
            <w:pStyle w:val="Heading3"/>
          </w:pPr>
          <w:r>
            <w:t>Confidentiality</w:t>
          </w:r>
        </w:p>
        <w:p w:rsidR="009A7609" w:rsidRDefault="009A760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9A7609" w:rsidRDefault="009A7609" w:rsidP="006E08B3"/>
        <w:p w:rsidR="009A7609" w:rsidRDefault="009A7609" w:rsidP="006E08B3">
          <w:r>
            <w:t>For submission made by individuals, all personal details, other than your name, will be removed from your submission before it is published on the TGA’s Internet site.</w:t>
          </w:r>
        </w:p>
        <w:p w:rsidR="009A7609" w:rsidRDefault="009A7609" w:rsidP="006E08B3"/>
        <w:p w:rsidR="009A7609" w:rsidRDefault="009A7609"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9A7609" w:rsidTr="0010601F">
      <w:trPr>
        <w:trHeight w:val="417"/>
      </w:trPr>
      <w:tc>
        <w:tcPr>
          <w:tcW w:w="4519" w:type="dxa"/>
          <w:tcBorders>
            <w:top w:val="single" w:sz="4" w:space="0" w:color="auto"/>
          </w:tcBorders>
          <w:tcMar>
            <w:top w:w="142" w:type="dxa"/>
            <w:bottom w:w="0" w:type="dxa"/>
          </w:tcMar>
        </w:tcPr>
        <w:p w:rsidR="009A7609" w:rsidRDefault="009A7609" w:rsidP="006E08B3">
          <w:r>
            <w:t>Document title, Part #, Section # - Section title</w:t>
          </w:r>
        </w:p>
        <w:p w:rsidR="009A7609" w:rsidRDefault="009A7609" w:rsidP="006E08B3">
          <w:r>
            <w:t>V1.0 October 2010</w:t>
          </w:r>
        </w:p>
      </w:tc>
      <w:tc>
        <w:tcPr>
          <w:tcW w:w="4356" w:type="dxa"/>
          <w:tcBorders>
            <w:top w:val="single" w:sz="4" w:space="0" w:color="auto"/>
          </w:tcBorders>
          <w:tcMar>
            <w:top w:w="142" w:type="dxa"/>
            <w:bottom w:w="0" w:type="dxa"/>
          </w:tcMar>
        </w:tcPr>
        <w:p w:rsidR="009A7609" w:rsidRDefault="009A7609"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4</w:t>
            </w:r>
          </w:fldSimple>
          <w:r>
            <w:t xml:space="preserve">  </w:t>
          </w:r>
        </w:p>
      </w:tc>
    </w:tr>
  </w:tbl>
  <w:p w:rsidR="009A7609" w:rsidRDefault="009A76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609" w:rsidRDefault="009A7609" w:rsidP="00C40A36">
      <w:pPr>
        <w:spacing w:after="0"/>
      </w:pPr>
      <w:r>
        <w:separator/>
      </w:r>
    </w:p>
  </w:footnote>
  <w:footnote w:type="continuationSeparator" w:id="0">
    <w:p w:rsidR="009A7609" w:rsidRDefault="009A7609" w:rsidP="00C40A36">
      <w:pPr>
        <w:spacing w:after="0"/>
      </w:pPr>
      <w:r>
        <w:continuationSeparator/>
      </w:r>
    </w:p>
  </w:footnote>
  <w:footnote w:id="1">
    <w:p w:rsidR="009A7609" w:rsidRPr="00170BD2" w:rsidRDefault="009A7609" w:rsidP="009A7609">
      <w:pPr>
        <w:pStyle w:val="FootnoteText"/>
        <w:rPr>
          <w:lang w:val="en-US"/>
        </w:rPr>
      </w:pPr>
      <w:r>
        <w:rPr>
          <w:rStyle w:val="FootnoteReference"/>
        </w:rPr>
        <w:footnoteRef/>
      </w:r>
      <w:r>
        <w:t xml:space="preserve"> </w:t>
      </w:r>
      <w:proofErr w:type="gramStart"/>
      <w:r>
        <w:rPr>
          <w:lang w:val="en-US"/>
        </w:rPr>
        <w:t>Also called “</w:t>
      </w:r>
      <w:proofErr w:type="spellStart"/>
      <w:r>
        <w:rPr>
          <w:lang w:val="en-US"/>
        </w:rPr>
        <w:t>Pradturn</w:t>
      </w:r>
      <w:proofErr w:type="spellEnd"/>
      <w:r>
        <w:rPr>
          <w:lang w:val="en-US"/>
        </w:rPr>
        <w:t>” in this AusPAR.</w:t>
      </w:r>
      <w:proofErr w:type="gramEnd"/>
    </w:p>
  </w:footnote>
  <w:footnote w:id="2">
    <w:p w:rsidR="009A7609" w:rsidRPr="00286E67" w:rsidRDefault="009A7609" w:rsidP="009A7609">
      <w:pPr>
        <w:pStyle w:val="FootnoteText"/>
        <w:rPr>
          <w:lang w:val="en-US"/>
        </w:rPr>
      </w:pPr>
      <w:r>
        <w:rPr>
          <w:rStyle w:val="FootnoteReference"/>
        </w:rPr>
        <w:footnoteRef/>
      </w:r>
      <w:r>
        <w:t xml:space="preserve"> </w:t>
      </w:r>
      <w:r w:rsidRPr="004202D8">
        <w:t>International Conference on Harmonisation of Technical Requirements for Registration of Pharmaceuticals for Human Use (ICH)</w:t>
      </w:r>
      <w:r>
        <w:t>, “</w:t>
      </w:r>
      <w:proofErr w:type="gramStart"/>
      <w:r w:rsidRPr="00286E67">
        <w:t>S6(</w:t>
      </w:r>
      <w:proofErr w:type="gramEnd"/>
      <w:r w:rsidRPr="00286E67">
        <w:t>R1) Preclinical Safety Evaluation of Biotechnology-Derived Pharmaceuticals</w:t>
      </w:r>
      <w:r>
        <w:t>”, July 1997.</w:t>
      </w:r>
    </w:p>
  </w:footnote>
  <w:footnote w:id="3">
    <w:p w:rsidR="009A7609" w:rsidRPr="00B63F0A" w:rsidRDefault="009A7609">
      <w:pPr>
        <w:pStyle w:val="FootnoteText"/>
        <w:rPr>
          <w:lang w:val="en-US"/>
        </w:rPr>
      </w:pPr>
      <w:r>
        <w:rPr>
          <w:rStyle w:val="FootnoteReference"/>
        </w:rPr>
        <w:footnoteRef/>
      </w:r>
      <w:r>
        <w:t xml:space="preserve"> </w:t>
      </w:r>
      <w:proofErr w:type="gramStart"/>
      <w:r>
        <w:rPr>
          <w:lang w:val="en-US"/>
        </w:rPr>
        <w:t>European Medicines Agency, “</w:t>
      </w:r>
      <w:r w:rsidRPr="00B63F0A">
        <w:rPr>
          <w:lang w:val="en-US"/>
        </w:rPr>
        <w:t>ICH guideline S6 (R1) – preclinical safety evaluation of biotechnology-derived pharmaceuticals Step 5</w:t>
      </w:r>
      <w:r>
        <w:rPr>
          <w:lang w:val="en-US"/>
        </w:rPr>
        <w:t xml:space="preserve"> (</w:t>
      </w:r>
      <w:r w:rsidRPr="00B63F0A">
        <w:rPr>
          <w:lang w:val="en-US"/>
        </w:rPr>
        <w:t>EMA/CHMP/ICH/731268/1998</w:t>
      </w:r>
      <w:r>
        <w:rPr>
          <w:lang w:val="en-US"/>
        </w:rPr>
        <w:t>)”, June 2011.</w:t>
      </w:r>
      <w:proofErr w:type="gramEnd"/>
    </w:p>
  </w:footnote>
  <w:footnote w:id="4">
    <w:p w:rsidR="009A7609" w:rsidRPr="007800AF" w:rsidRDefault="009A7609" w:rsidP="009A7609">
      <w:pPr>
        <w:pStyle w:val="FootnoteText"/>
        <w:rPr>
          <w:lang w:val="en-US"/>
        </w:rPr>
      </w:pPr>
      <w:r>
        <w:rPr>
          <w:rStyle w:val="FootnoteReference"/>
        </w:rPr>
        <w:footnoteRef/>
      </w:r>
      <w:r>
        <w:t xml:space="preserve"> </w:t>
      </w:r>
      <w:r w:rsidRPr="007800AF">
        <w:t>International Conference on Harmonisation of Technical Requirements for Registration of Pharmaceuticals for Human Use (ICH)</w:t>
      </w:r>
      <w:r>
        <w:t xml:space="preserve">, “Preclinical safety evaluation of biotechnology-derived pharmaceuticals </w:t>
      </w:r>
      <w:proofErr w:type="gramStart"/>
      <w:r>
        <w:t>S6(</w:t>
      </w:r>
      <w:proofErr w:type="gramEnd"/>
      <w:r>
        <w:t>R1)”, 16 July 1997.</w:t>
      </w:r>
    </w:p>
  </w:footnote>
  <w:footnote w:id="5">
    <w:p w:rsidR="009A7609" w:rsidRPr="00405581" w:rsidRDefault="009A7609">
      <w:pPr>
        <w:pStyle w:val="FootnoteText"/>
        <w:rPr>
          <w:lang w:val="en-US"/>
        </w:rPr>
      </w:pPr>
      <w:r>
        <w:rPr>
          <w:rStyle w:val="FootnoteReference"/>
        </w:rPr>
        <w:footnoteRef/>
      </w:r>
      <w:r>
        <w:t xml:space="preserve"> Category B2: </w:t>
      </w:r>
      <w:r w:rsidRPr="00405581">
        <w:t>Drugs which have been taken by only a limited number of pregnant women and women of childbearing age, without an increase in the frequency of malformation or other direct or indirect harmful effects on the human f</w:t>
      </w:r>
      <w:r>
        <w:t>o</w:t>
      </w:r>
      <w:r w:rsidRPr="00405581">
        <w:t>etus having been observed. Studies in animals are inadequate or may be lacking, but available data show no evidence of an increased occurrence of f</w:t>
      </w:r>
      <w:r>
        <w:t>o</w:t>
      </w:r>
      <w:r w:rsidRPr="00405581">
        <w:t>etal damage.</w:t>
      </w:r>
    </w:p>
  </w:footnote>
  <w:footnote w:id="6">
    <w:p w:rsidR="009A7609" w:rsidRPr="00750E11" w:rsidRDefault="009A7609">
      <w:pPr>
        <w:pStyle w:val="FootnoteText"/>
        <w:rPr>
          <w:lang w:val="en-US"/>
        </w:rPr>
      </w:pPr>
      <w:r>
        <w:rPr>
          <w:rStyle w:val="FootnoteReference"/>
        </w:rPr>
        <w:footnoteRef/>
      </w:r>
      <w:r>
        <w:t xml:space="preserve"> </w:t>
      </w:r>
      <w:proofErr w:type="spellStart"/>
      <w:r w:rsidRPr="00750E11">
        <w:t>Eikelboom</w:t>
      </w:r>
      <w:proofErr w:type="spellEnd"/>
      <w:r w:rsidRPr="00750E11">
        <w:t xml:space="preserve"> JW, et al. Risk of bleeding with 2 doses of dabigatran compared with warfarin in older and younger patients with atrial fibrillation: an analysis of the Randomized Evaluation of Long-Term Anticoagulant Therapy (RE-LY)</w:t>
      </w:r>
      <w:r>
        <w:t xml:space="preserve"> trial. </w:t>
      </w:r>
      <w:r w:rsidRPr="00750E11">
        <w:rPr>
          <w:i/>
        </w:rPr>
        <w:t>Circulation</w:t>
      </w:r>
      <w:r>
        <w:t xml:space="preserve"> 123: 2363-</w:t>
      </w:r>
      <w:r w:rsidRPr="00750E11">
        <w:t>72 (2011).</w:t>
      </w:r>
    </w:p>
  </w:footnote>
  <w:footnote w:id="7">
    <w:p w:rsidR="009A7609" w:rsidRPr="00750E11" w:rsidRDefault="009A7609">
      <w:pPr>
        <w:pStyle w:val="FootnoteText"/>
        <w:rPr>
          <w:lang w:val="en-US"/>
        </w:rPr>
      </w:pPr>
      <w:r>
        <w:rPr>
          <w:rStyle w:val="FootnoteReference"/>
        </w:rPr>
        <w:footnoteRef/>
      </w:r>
      <w:r>
        <w:t xml:space="preserve"> </w:t>
      </w:r>
      <w:proofErr w:type="spellStart"/>
      <w:r w:rsidRPr="00750E11">
        <w:t>Weitz</w:t>
      </w:r>
      <w:proofErr w:type="spellEnd"/>
      <w:r w:rsidRPr="00750E11">
        <w:t xml:space="preserve"> JI, </w:t>
      </w:r>
      <w:r>
        <w:t>et al</w:t>
      </w:r>
      <w:r w:rsidRPr="00750E11">
        <w:t xml:space="preserve">. </w:t>
      </w:r>
      <w:proofErr w:type="spellStart"/>
      <w:r w:rsidRPr="00750E11">
        <w:t>Periprocedural</w:t>
      </w:r>
      <w:proofErr w:type="spellEnd"/>
      <w:r w:rsidRPr="00750E11">
        <w:t xml:space="preserve"> management and approach to bleeding in patients taking dabigatran.</w:t>
      </w:r>
      <w:r>
        <w:t xml:space="preserve"> Circulation 126: 2428-</w:t>
      </w:r>
      <w:r w:rsidRPr="00750E11">
        <w:t xml:space="preserve">32 (2012). </w:t>
      </w:r>
      <w:proofErr w:type="spellStart"/>
      <w:proofErr w:type="gramStart"/>
      <w:r w:rsidRPr="00750E11">
        <w:t>Majeed</w:t>
      </w:r>
      <w:proofErr w:type="spellEnd"/>
      <w:r w:rsidRPr="00750E11">
        <w:t xml:space="preserve"> A, et al. Management and outcomes of major bleeding during treatment with dabigatran or warfarin.</w:t>
      </w:r>
      <w:proofErr w:type="gramEnd"/>
      <w:r>
        <w:t xml:space="preserve"> </w:t>
      </w:r>
      <w:r w:rsidRPr="00750E11">
        <w:rPr>
          <w:i/>
        </w:rPr>
        <w:t>Circulation</w:t>
      </w:r>
      <w:r>
        <w:t xml:space="preserve"> 128: 2325-</w:t>
      </w:r>
      <w:r w:rsidRPr="00750E11">
        <w:t>32 (2013).</w:t>
      </w:r>
    </w:p>
  </w:footnote>
  <w:footnote w:id="8">
    <w:p w:rsidR="009A7609" w:rsidRPr="0055444D" w:rsidRDefault="009A7609">
      <w:pPr>
        <w:pStyle w:val="FootnoteText"/>
        <w:rPr>
          <w:lang w:val="en-US"/>
        </w:rPr>
      </w:pPr>
      <w:r>
        <w:rPr>
          <w:rStyle w:val="FootnoteReference"/>
        </w:rPr>
        <w:footnoteRef/>
      </w:r>
      <w:r>
        <w:t xml:space="preserve"> </w:t>
      </w:r>
      <w:r w:rsidRPr="0055444D">
        <w:t xml:space="preserve">Timing of the reversal: Reversal of dabigatran induced anti-coagulation occurred directly at </w:t>
      </w:r>
      <w:proofErr w:type="spellStart"/>
      <w:r w:rsidRPr="0055444D">
        <w:t>theend</w:t>
      </w:r>
      <w:proofErr w:type="spellEnd"/>
      <w:r w:rsidRPr="0055444D">
        <w:t xml:space="preserve"> of </w:t>
      </w:r>
      <w:proofErr w:type="spellStart"/>
      <w:r w:rsidRPr="0055444D">
        <w:t>idarucizumab</w:t>
      </w:r>
      <w:proofErr w:type="spellEnd"/>
      <w:r w:rsidRPr="0055444D">
        <w:t xml:space="preserve"> infusion</w:t>
      </w:r>
      <w:r>
        <w:t>.</w:t>
      </w:r>
    </w:p>
  </w:footnote>
  <w:footnote w:id="9">
    <w:p w:rsidR="009A7609" w:rsidRPr="0055444D" w:rsidRDefault="009A7609">
      <w:pPr>
        <w:pStyle w:val="FootnoteText"/>
        <w:rPr>
          <w:lang w:val="en-US"/>
        </w:rPr>
      </w:pPr>
      <w:r>
        <w:rPr>
          <w:rStyle w:val="FootnoteReference"/>
        </w:rPr>
        <w:footnoteRef/>
      </w:r>
      <w:r>
        <w:t xml:space="preserve"> </w:t>
      </w:r>
      <w:r w:rsidRPr="0055444D">
        <w:t>Magnitude of the reversal: Return of the mean coagulation time of a specific dose group to below the</w:t>
      </w:r>
      <w:r>
        <w:t xml:space="preserve"> </w:t>
      </w:r>
      <w:r w:rsidRPr="0055444D">
        <w:t>respective ULN</w:t>
      </w:r>
      <w:r>
        <w:t>.</w:t>
      </w:r>
    </w:p>
  </w:footnote>
  <w:footnote w:id="10">
    <w:p w:rsidR="009A7609" w:rsidRPr="0055444D" w:rsidRDefault="009A7609">
      <w:pPr>
        <w:pStyle w:val="FootnoteText"/>
        <w:rPr>
          <w:lang w:val="en-US"/>
        </w:rPr>
      </w:pPr>
      <w:r>
        <w:rPr>
          <w:rStyle w:val="FootnoteReference"/>
        </w:rPr>
        <w:footnoteRef/>
      </w:r>
      <w:r>
        <w:t xml:space="preserve"> </w:t>
      </w:r>
      <w:r w:rsidRPr="0055444D">
        <w:t>Durability of the reversal: mean coagulation times of the respective assay remain below ULN during the entire respective observation period.</w:t>
      </w:r>
      <w:r>
        <w:t xml:space="preserve"> </w:t>
      </w:r>
      <w:r w:rsidRPr="0055444D">
        <w:t>The term ‘sustained for x h’ was used if effect was less persistent.</w:t>
      </w:r>
    </w:p>
  </w:footnote>
  <w:footnote w:id="11">
    <w:p w:rsidR="009A7609" w:rsidRPr="00862253" w:rsidRDefault="009A7609">
      <w:pPr>
        <w:pStyle w:val="FootnoteText"/>
        <w:rPr>
          <w:lang w:val="en-US"/>
        </w:rPr>
      </w:pPr>
      <w:r>
        <w:rPr>
          <w:rStyle w:val="FootnoteReference"/>
        </w:rPr>
        <w:footnoteRef/>
      </w:r>
      <w:r>
        <w:t xml:space="preserve"> </w:t>
      </w:r>
      <w:proofErr w:type="spellStart"/>
      <w:r w:rsidRPr="00750E11">
        <w:t>Weitz</w:t>
      </w:r>
      <w:proofErr w:type="spellEnd"/>
      <w:r w:rsidRPr="00750E11">
        <w:t xml:space="preserve"> JI, </w:t>
      </w:r>
      <w:r>
        <w:t>et al</w:t>
      </w:r>
      <w:r w:rsidRPr="00750E11">
        <w:t xml:space="preserve">. </w:t>
      </w:r>
      <w:proofErr w:type="spellStart"/>
      <w:r w:rsidRPr="00750E11">
        <w:t>Periprocedural</w:t>
      </w:r>
      <w:proofErr w:type="spellEnd"/>
      <w:r w:rsidRPr="00750E11">
        <w:t xml:space="preserve"> management and approach to bleeding in patients taking dabigatran.</w:t>
      </w:r>
      <w:r>
        <w:t xml:space="preserve"> Circulation 126: 2428-</w:t>
      </w:r>
      <w:r w:rsidRPr="00750E11">
        <w:t xml:space="preserve">32 (2012). </w:t>
      </w:r>
      <w:proofErr w:type="spellStart"/>
      <w:proofErr w:type="gramStart"/>
      <w:r w:rsidRPr="00750E11">
        <w:t>Majeed</w:t>
      </w:r>
      <w:proofErr w:type="spellEnd"/>
      <w:r w:rsidRPr="00750E11">
        <w:t xml:space="preserve"> A, et al. Management and outcomes of major bleeding during treatment with dabigatran or warfarin.</w:t>
      </w:r>
      <w:proofErr w:type="gramEnd"/>
      <w:r>
        <w:t xml:space="preserve"> </w:t>
      </w:r>
      <w:r w:rsidRPr="00750E11">
        <w:rPr>
          <w:i/>
        </w:rPr>
        <w:t>Circulation</w:t>
      </w:r>
      <w:r>
        <w:t xml:space="preserve"> 128: 2325-</w:t>
      </w:r>
      <w:r w:rsidRPr="00750E11">
        <w:t>32 (2013).</w:t>
      </w:r>
    </w:p>
  </w:footnote>
  <w:footnote w:id="12">
    <w:p w:rsidR="009A7609" w:rsidRPr="00FB571D" w:rsidRDefault="009A7609">
      <w:pPr>
        <w:pStyle w:val="FootnoteText"/>
        <w:rPr>
          <w:lang w:val="en-US"/>
        </w:rPr>
      </w:pPr>
      <w:r>
        <w:rPr>
          <w:rStyle w:val="FootnoteReference"/>
        </w:rPr>
        <w:footnoteRef/>
      </w:r>
      <w:r>
        <w:t xml:space="preserve"> </w:t>
      </w:r>
      <w:proofErr w:type="spellStart"/>
      <w:proofErr w:type="gramStart"/>
      <w:r w:rsidRPr="00FB571D">
        <w:t>Haertter</w:t>
      </w:r>
      <w:proofErr w:type="spellEnd"/>
      <w:r w:rsidRPr="00FB571D">
        <w:t xml:space="preserve"> S, </w:t>
      </w:r>
      <w:r>
        <w:t>et al</w:t>
      </w:r>
      <w:r w:rsidRPr="00FB571D">
        <w:t>. Pharmacokinetics and pharmacodynamics in Japanese and Caucasian subjects after oral administration of dabigatran etexilate.</w:t>
      </w:r>
      <w:proofErr w:type="gramEnd"/>
      <w:r w:rsidRPr="00FB571D">
        <w:t xml:space="preserve"> </w:t>
      </w:r>
      <w:proofErr w:type="spellStart"/>
      <w:r w:rsidRPr="00C15287">
        <w:rPr>
          <w:i/>
        </w:rPr>
        <w:t>Thromb</w:t>
      </w:r>
      <w:proofErr w:type="spellEnd"/>
      <w:r w:rsidRPr="00C15287">
        <w:rPr>
          <w:i/>
        </w:rPr>
        <w:t xml:space="preserve"> </w:t>
      </w:r>
      <w:proofErr w:type="spellStart"/>
      <w:r w:rsidRPr="00C15287">
        <w:rPr>
          <w:i/>
        </w:rPr>
        <w:t>Haemost</w:t>
      </w:r>
      <w:proofErr w:type="spellEnd"/>
      <w:r w:rsidRPr="00C15287">
        <w:rPr>
          <w:i/>
        </w:rPr>
        <w:t>.</w:t>
      </w:r>
      <w:r>
        <w:t xml:space="preserve"> 107: 260-269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09" w:rsidRDefault="009A7609"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09" w:rsidRDefault="009A7609">
    <w:pPr>
      <w:rPr>
        <w:noProof/>
        <w:lang w:eastAsia="en-AU"/>
      </w:rPr>
    </w:pPr>
    <w:r w:rsidRPr="00347824">
      <w:rPr>
        <w:noProof/>
        <w:lang w:eastAsia="en-AU"/>
      </w:rPr>
      <w:drawing>
        <wp:anchor distT="0" distB="0" distL="114300" distR="114300" simplePos="0" relativeHeight="251659264" behindDoc="1" locked="0" layoutInCell="1" allowOverlap="1" wp14:anchorId="2558CC1B" wp14:editId="5A9AF835">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9A7609" w:rsidRDefault="009A7609" w:rsidP="00593AD1">
    <w:pPr>
      <w:pStyle w:val="HeaderNoLine"/>
    </w:pPr>
    <w:r>
      <w:rPr>
        <w:noProof/>
        <w:lang w:eastAsia="en-AU"/>
      </w:rPr>
      <w:drawing>
        <wp:inline distT="0" distB="0" distL="0" distR="0" wp14:anchorId="0630DF47" wp14:editId="1BF247FD">
          <wp:extent cx="5400675" cy="7639050"/>
          <wp:effectExtent l="0" t="0" r="9525" b="0"/>
          <wp:docPr id="4" name="Picture 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09" w:rsidRDefault="009A76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09" w:rsidRDefault="009A7609">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09" w:rsidRDefault="009A7609">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09" w:rsidRDefault="009A760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09" w:rsidRDefault="009A7609"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09" w:rsidRDefault="009A7609" w:rsidP="006E08B3">
    <w:r>
      <w:t>Therapeutic Goods Administration</w:t>
    </w:r>
  </w:p>
  <w:p w:rsidR="009A7609" w:rsidRDefault="009A7609"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277B"/>
    <w:multiLevelType w:val="hybridMultilevel"/>
    <w:tmpl w:val="2F985B2E"/>
    <w:lvl w:ilvl="0" w:tplc="81E6D03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B54493D"/>
    <w:multiLevelType w:val="hybridMultilevel"/>
    <w:tmpl w:val="E7F09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F964AF"/>
    <w:multiLevelType w:val="hybridMultilevel"/>
    <w:tmpl w:val="1074B926"/>
    <w:lvl w:ilvl="0" w:tplc="64E2A5B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852D61"/>
    <w:multiLevelType w:val="hybridMultilevel"/>
    <w:tmpl w:val="61183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8AA6DF5"/>
    <w:multiLevelType w:val="hybridMultilevel"/>
    <w:tmpl w:val="33361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C53331"/>
    <w:multiLevelType w:val="hybridMultilevel"/>
    <w:tmpl w:val="51746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6D1CC4"/>
    <w:multiLevelType w:val="hybridMultilevel"/>
    <w:tmpl w:val="9F7ABA58"/>
    <w:lvl w:ilvl="0" w:tplc="64E2A5B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8A328CD"/>
    <w:multiLevelType w:val="hybridMultilevel"/>
    <w:tmpl w:val="073CDF66"/>
    <w:lvl w:ilvl="0" w:tplc="8C52881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CF57AC"/>
    <w:multiLevelType w:val="hybridMultilevel"/>
    <w:tmpl w:val="101450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C863C13"/>
    <w:multiLevelType w:val="hybridMultilevel"/>
    <w:tmpl w:val="BA48E7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2DE20459"/>
    <w:multiLevelType w:val="hybridMultilevel"/>
    <w:tmpl w:val="42B81298"/>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7C09F7E">
      <w:start w:val="1"/>
      <w:numFmt w:val="bullet"/>
      <w:lvlText w:val="-"/>
      <w:lvlJc w:val="left"/>
      <w:pPr>
        <w:ind w:left="2880" w:hanging="360"/>
      </w:pPr>
      <w:rPr>
        <w:rFonts w:ascii="Times New Roman" w:eastAsia="Times New Roman" w:hAnsi="Times New Roman" w:cs="Times New Roman"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E243C3"/>
    <w:multiLevelType w:val="hybridMultilevel"/>
    <w:tmpl w:val="BFA47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5">
    <w:nsid w:val="32080ADA"/>
    <w:multiLevelType w:val="hybridMultilevel"/>
    <w:tmpl w:val="038C9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7">
    <w:nsid w:val="47472434"/>
    <w:multiLevelType w:val="hybridMultilevel"/>
    <w:tmpl w:val="E6FAC3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D225140"/>
    <w:multiLevelType w:val="hybridMultilevel"/>
    <w:tmpl w:val="B8DC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AD4370"/>
    <w:multiLevelType w:val="hybridMultilevel"/>
    <w:tmpl w:val="C97AC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9E5346"/>
    <w:multiLevelType w:val="hybridMultilevel"/>
    <w:tmpl w:val="F9CCC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CB66ABA"/>
    <w:multiLevelType w:val="hybridMultilevel"/>
    <w:tmpl w:val="5A560A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B21C8E"/>
    <w:multiLevelType w:val="hybridMultilevel"/>
    <w:tmpl w:val="71E83B1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4">
    <w:nsid w:val="5F58731B"/>
    <w:multiLevelType w:val="hybridMultilevel"/>
    <w:tmpl w:val="5ACCA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FA46603"/>
    <w:multiLevelType w:val="hybridMultilevel"/>
    <w:tmpl w:val="8CC04E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6F6275C"/>
    <w:multiLevelType w:val="hybridMultilevel"/>
    <w:tmpl w:val="675CBA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6DC31861"/>
    <w:multiLevelType w:val="hybridMultilevel"/>
    <w:tmpl w:val="ACF6C404"/>
    <w:lvl w:ilvl="0" w:tplc="80303524">
      <w:start w:val="1"/>
      <w:numFmt w:val="decimal"/>
      <w:lvlText w:val="%1."/>
      <w:lvlJc w:val="left"/>
      <w:pPr>
        <w:ind w:left="1080" w:hanging="360"/>
      </w:pPr>
      <w:rPr>
        <w:rFonts w:hint="default"/>
      </w:rPr>
    </w:lvl>
    <w:lvl w:ilvl="1" w:tplc="611E4F1A">
      <w:start w:val="6"/>
      <w:numFmt w:val="bullet"/>
      <w:lvlText w:val="-"/>
      <w:lvlJc w:val="left"/>
      <w:pPr>
        <w:ind w:left="1800" w:hanging="360"/>
      </w:pPr>
      <w:rPr>
        <w:rFonts w:ascii="Cambria" w:eastAsia="MS Mincho" w:hAnsi="Cambria" w:cs="Calibr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7C675A33"/>
    <w:multiLevelType w:val="hybridMultilevel"/>
    <w:tmpl w:val="515A61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7C9121C6"/>
    <w:multiLevelType w:val="hybridMultilevel"/>
    <w:tmpl w:val="BE707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F065BD6"/>
    <w:multiLevelType w:val="hybridMultilevel"/>
    <w:tmpl w:val="DFF8E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5"/>
  </w:num>
  <w:num w:numId="4">
    <w:abstractNumId w:val="4"/>
  </w:num>
  <w:num w:numId="5">
    <w:abstractNumId w:val="1"/>
  </w:num>
  <w:num w:numId="6">
    <w:abstractNumId w:val="14"/>
  </w:num>
  <w:num w:numId="7">
    <w:abstractNumId w:val="16"/>
  </w:num>
  <w:num w:numId="8">
    <w:abstractNumId w:val="1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26"/>
  </w:num>
  <w:num w:numId="13">
    <w:abstractNumId w:val="20"/>
  </w:num>
  <w:num w:numId="14">
    <w:abstractNumId w:val="21"/>
  </w:num>
  <w:num w:numId="15">
    <w:abstractNumId w:val="13"/>
  </w:num>
  <w:num w:numId="16">
    <w:abstractNumId w:val="7"/>
  </w:num>
  <w:num w:numId="17">
    <w:abstractNumId w:val="11"/>
  </w:num>
  <w:num w:numId="18">
    <w:abstractNumId w:val="28"/>
  </w:num>
  <w:num w:numId="19">
    <w:abstractNumId w:val="22"/>
  </w:num>
  <w:num w:numId="20">
    <w:abstractNumId w:val="29"/>
  </w:num>
  <w:num w:numId="21">
    <w:abstractNumId w:val="17"/>
  </w:num>
  <w:num w:numId="22">
    <w:abstractNumId w:val="25"/>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3"/>
  </w:num>
  <w:num w:numId="26">
    <w:abstractNumId w:val="19"/>
  </w:num>
  <w:num w:numId="27">
    <w:abstractNumId w:val="6"/>
  </w:num>
  <w:num w:numId="28">
    <w:abstractNumId w:val="15"/>
  </w:num>
  <w:num w:numId="29">
    <w:abstractNumId w:val="30"/>
  </w:num>
  <w:num w:numId="30">
    <w:abstractNumId w:val="24"/>
  </w:num>
  <w:num w:numId="31">
    <w:abstractNumId w:val="10"/>
  </w:num>
  <w:num w:numId="32">
    <w:abstractNumId w:val="9"/>
  </w:num>
  <w:num w:numId="33">
    <w:abstractNumId w:val="12"/>
  </w:num>
  <w:num w:numId="34">
    <w:abstractNumId w:val="2"/>
  </w:num>
  <w:num w:numId="3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0A"/>
    <w:rsid w:val="00002031"/>
    <w:rsid w:val="00004734"/>
    <w:rsid w:val="00005E73"/>
    <w:rsid w:val="00006B22"/>
    <w:rsid w:val="0001276A"/>
    <w:rsid w:val="00022C0B"/>
    <w:rsid w:val="000246AE"/>
    <w:rsid w:val="00025C67"/>
    <w:rsid w:val="000378A6"/>
    <w:rsid w:val="00044772"/>
    <w:rsid w:val="00044773"/>
    <w:rsid w:val="00044AAB"/>
    <w:rsid w:val="00052CA5"/>
    <w:rsid w:val="000548B8"/>
    <w:rsid w:val="0005559E"/>
    <w:rsid w:val="000604D6"/>
    <w:rsid w:val="00063308"/>
    <w:rsid w:val="000734D8"/>
    <w:rsid w:val="00074D4C"/>
    <w:rsid w:val="00077775"/>
    <w:rsid w:val="00085175"/>
    <w:rsid w:val="00090471"/>
    <w:rsid w:val="00091788"/>
    <w:rsid w:val="00096AA7"/>
    <w:rsid w:val="000A3AED"/>
    <w:rsid w:val="000A5D4F"/>
    <w:rsid w:val="000A68EB"/>
    <w:rsid w:val="000B3532"/>
    <w:rsid w:val="000B3A75"/>
    <w:rsid w:val="000B442F"/>
    <w:rsid w:val="000B5EA0"/>
    <w:rsid w:val="000C00C2"/>
    <w:rsid w:val="000C690F"/>
    <w:rsid w:val="000C7078"/>
    <w:rsid w:val="000D1295"/>
    <w:rsid w:val="000D391B"/>
    <w:rsid w:val="000D3D6D"/>
    <w:rsid w:val="000D4114"/>
    <w:rsid w:val="000D4FC7"/>
    <w:rsid w:val="000D6433"/>
    <w:rsid w:val="000E34FA"/>
    <w:rsid w:val="000E5174"/>
    <w:rsid w:val="000E6196"/>
    <w:rsid w:val="000E7D24"/>
    <w:rsid w:val="000F4869"/>
    <w:rsid w:val="000F4E64"/>
    <w:rsid w:val="000F5B42"/>
    <w:rsid w:val="000F6E6F"/>
    <w:rsid w:val="00100907"/>
    <w:rsid w:val="00103B87"/>
    <w:rsid w:val="0010601F"/>
    <w:rsid w:val="0010788A"/>
    <w:rsid w:val="00107A31"/>
    <w:rsid w:val="00110EA5"/>
    <w:rsid w:val="00112F56"/>
    <w:rsid w:val="00120558"/>
    <w:rsid w:val="001239BB"/>
    <w:rsid w:val="00125318"/>
    <w:rsid w:val="0013051F"/>
    <w:rsid w:val="001305A2"/>
    <w:rsid w:val="00133238"/>
    <w:rsid w:val="00133A1B"/>
    <w:rsid w:val="00135CD8"/>
    <w:rsid w:val="00135FA0"/>
    <w:rsid w:val="0014197B"/>
    <w:rsid w:val="00143E65"/>
    <w:rsid w:val="001447CD"/>
    <w:rsid w:val="00147E32"/>
    <w:rsid w:val="001516B1"/>
    <w:rsid w:val="00153474"/>
    <w:rsid w:val="00154EBB"/>
    <w:rsid w:val="00156316"/>
    <w:rsid w:val="00161181"/>
    <w:rsid w:val="00162D14"/>
    <w:rsid w:val="00165389"/>
    <w:rsid w:val="00170BD2"/>
    <w:rsid w:val="00173735"/>
    <w:rsid w:val="0017693F"/>
    <w:rsid w:val="0018110E"/>
    <w:rsid w:val="00181684"/>
    <w:rsid w:val="00184226"/>
    <w:rsid w:val="001843C6"/>
    <w:rsid w:val="001850E0"/>
    <w:rsid w:val="00191C31"/>
    <w:rsid w:val="00197A4C"/>
    <w:rsid w:val="001A2158"/>
    <w:rsid w:val="001A525F"/>
    <w:rsid w:val="001A7AAC"/>
    <w:rsid w:val="001B09F9"/>
    <w:rsid w:val="001B5C90"/>
    <w:rsid w:val="001B6448"/>
    <w:rsid w:val="001C0134"/>
    <w:rsid w:val="001C1EA7"/>
    <w:rsid w:val="001C20FA"/>
    <w:rsid w:val="001C2DF9"/>
    <w:rsid w:val="001C32CD"/>
    <w:rsid w:val="001C7644"/>
    <w:rsid w:val="001D2984"/>
    <w:rsid w:val="001D3A0B"/>
    <w:rsid w:val="001D5F7B"/>
    <w:rsid w:val="001E07CF"/>
    <w:rsid w:val="001E59F1"/>
    <w:rsid w:val="001F1A83"/>
    <w:rsid w:val="001F1C86"/>
    <w:rsid w:val="001F2CEE"/>
    <w:rsid w:val="001F49EB"/>
    <w:rsid w:val="001F6CBA"/>
    <w:rsid w:val="00201D4E"/>
    <w:rsid w:val="002076C9"/>
    <w:rsid w:val="00213BB5"/>
    <w:rsid w:val="002143BF"/>
    <w:rsid w:val="00220B8A"/>
    <w:rsid w:val="002257F3"/>
    <w:rsid w:val="00225907"/>
    <w:rsid w:val="0023127B"/>
    <w:rsid w:val="00232A97"/>
    <w:rsid w:val="00233456"/>
    <w:rsid w:val="002339A5"/>
    <w:rsid w:val="00253C04"/>
    <w:rsid w:val="00254756"/>
    <w:rsid w:val="002549BF"/>
    <w:rsid w:val="00257848"/>
    <w:rsid w:val="00260213"/>
    <w:rsid w:val="00260514"/>
    <w:rsid w:val="0027084A"/>
    <w:rsid w:val="00283A72"/>
    <w:rsid w:val="00286434"/>
    <w:rsid w:val="00286BFF"/>
    <w:rsid w:val="00286C59"/>
    <w:rsid w:val="00286E67"/>
    <w:rsid w:val="00291957"/>
    <w:rsid w:val="002942D1"/>
    <w:rsid w:val="0029501A"/>
    <w:rsid w:val="002A0B0C"/>
    <w:rsid w:val="002A3721"/>
    <w:rsid w:val="002A6BFB"/>
    <w:rsid w:val="002B1638"/>
    <w:rsid w:val="002B3624"/>
    <w:rsid w:val="002B79AA"/>
    <w:rsid w:val="002C18AC"/>
    <w:rsid w:val="002C70B8"/>
    <w:rsid w:val="002D0952"/>
    <w:rsid w:val="002D5F5D"/>
    <w:rsid w:val="002E40B3"/>
    <w:rsid w:val="002E4C9A"/>
    <w:rsid w:val="002F043D"/>
    <w:rsid w:val="002F11F8"/>
    <w:rsid w:val="002F3F56"/>
    <w:rsid w:val="002F44B5"/>
    <w:rsid w:val="003029C9"/>
    <w:rsid w:val="00306CFB"/>
    <w:rsid w:val="00311AC0"/>
    <w:rsid w:val="00314E5F"/>
    <w:rsid w:val="0032583B"/>
    <w:rsid w:val="00326308"/>
    <w:rsid w:val="00327883"/>
    <w:rsid w:val="00335504"/>
    <w:rsid w:val="00336B88"/>
    <w:rsid w:val="00337A05"/>
    <w:rsid w:val="00340C18"/>
    <w:rsid w:val="003442FD"/>
    <w:rsid w:val="00347824"/>
    <w:rsid w:val="00347B8E"/>
    <w:rsid w:val="00350567"/>
    <w:rsid w:val="003516DE"/>
    <w:rsid w:val="003521E8"/>
    <w:rsid w:val="003636B2"/>
    <w:rsid w:val="00366708"/>
    <w:rsid w:val="00370CE3"/>
    <w:rsid w:val="00370E62"/>
    <w:rsid w:val="003715B6"/>
    <w:rsid w:val="003728F3"/>
    <w:rsid w:val="0037496E"/>
    <w:rsid w:val="00383221"/>
    <w:rsid w:val="00386150"/>
    <w:rsid w:val="003874CE"/>
    <w:rsid w:val="00390900"/>
    <w:rsid w:val="00393A68"/>
    <w:rsid w:val="003A7F6C"/>
    <w:rsid w:val="003B1C1B"/>
    <w:rsid w:val="003B4D60"/>
    <w:rsid w:val="003B523A"/>
    <w:rsid w:val="003B621B"/>
    <w:rsid w:val="003B7E39"/>
    <w:rsid w:val="003C0BB7"/>
    <w:rsid w:val="003C2301"/>
    <w:rsid w:val="003C58DC"/>
    <w:rsid w:val="003D1E62"/>
    <w:rsid w:val="003E0B99"/>
    <w:rsid w:val="003E2486"/>
    <w:rsid w:val="003E3208"/>
    <w:rsid w:val="003F062D"/>
    <w:rsid w:val="003F0B04"/>
    <w:rsid w:val="004012E0"/>
    <w:rsid w:val="0040134E"/>
    <w:rsid w:val="0040194E"/>
    <w:rsid w:val="004023DC"/>
    <w:rsid w:val="004024A7"/>
    <w:rsid w:val="00402832"/>
    <w:rsid w:val="00405581"/>
    <w:rsid w:val="00406DE0"/>
    <w:rsid w:val="004202D8"/>
    <w:rsid w:val="00421942"/>
    <w:rsid w:val="00425685"/>
    <w:rsid w:val="004267E0"/>
    <w:rsid w:val="004334C7"/>
    <w:rsid w:val="00433FBE"/>
    <w:rsid w:val="00440A2D"/>
    <w:rsid w:val="00440D43"/>
    <w:rsid w:val="00441C3F"/>
    <w:rsid w:val="004478D1"/>
    <w:rsid w:val="00454102"/>
    <w:rsid w:val="0045442B"/>
    <w:rsid w:val="004564A7"/>
    <w:rsid w:val="004617BF"/>
    <w:rsid w:val="00463658"/>
    <w:rsid w:val="004637A0"/>
    <w:rsid w:val="004722CC"/>
    <w:rsid w:val="0048112C"/>
    <w:rsid w:val="004936E4"/>
    <w:rsid w:val="00494E60"/>
    <w:rsid w:val="00497487"/>
    <w:rsid w:val="004A1F43"/>
    <w:rsid w:val="004A44EF"/>
    <w:rsid w:val="004A5821"/>
    <w:rsid w:val="004A6189"/>
    <w:rsid w:val="004A7390"/>
    <w:rsid w:val="004B7B76"/>
    <w:rsid w:val="004C239D"/>
    <w:rsid w:val="004C2DCA"/>
    <w:rsid w:val="004C3657"/>
    <w:rsid w:val="004C3DF7"/>
    <w:rsid w:val="004C61D2"/>
    <w:rsid w:val="004C7435"/>
    <w:rsid w:val="004D09EA"/>
    <w:rsid w:val="004D3ABC"/>
    <w:rsid w:val="004D5039"/>
    <w:rsid w:val="004D711A"/>
    <w:rsid w:val="004E2637"/>
    <w:rsid w:val="004E504B"/>
    <w:rsid w:val="004F0C4A"/>
    <w:rsid w:val="004F0F38"/>
    <w:rsid w:val="004F47D6"/>
    <w:rsid w:val="00501921"/>
    <w:rsid w:val="00502A84"/>
    <w:rsid w:val="00506DB4"/>
    <w:rsid w:val="005127FC"/>
    <w:rsid w:val="00525385"/>
    <w:rsid w:val="00530354"/>
    <w:rsid w:val="0053625B"/>
    <w:rsid w:val="005431F5"/>
    <w:rsid w:val="005434C6"/>
    <w:rsid w:val="00543B39"/>
    <w:rsid w:val="00544BA6"/>
    <w:rsid w:val="00546154"/>
    <w:rsid w:val="00547EB4"/>
    <w:rsid w:val="00550096"/>
    <w:rsid w:val="0055444D"/>
    <w:rsid w:val="00555280"/>
    <w:rsid w:val="00557FF9"/>
    <w:rsid w:val="00562327"/>
    <w:rsid w:val="005711D5"/>
    <w:rsid w:val="00576378"/>
    <w:rsid w:val="00577130"/>
    <w:rsid w:val="00577945"/>
    <w:rsid w:val="00577E38"/>
    <w:rsid w:val="00585322"/>
    <w:rsid w:val="005857C6"/>
    <w:rsid w:val="005901C1"/>
    <w:rsid w:val="005926EE"/>
    <w:rsid w:val="00592D6E"/>
    <w:rsid w:val="00592F6E"/>
    <w:rsid w:val="00593AD1"/>
    <w:rsid w:val="00596BB9"/>
    <w:rsid w:val="005A04C8"/>
    <w:rsid w:val="005A1963"/>
    <w:rsid w:val="005A68B6"/>
    <w:rsid w:val="005A6C65"/>
    <w:rsid w:val="005A7247"/>
    <w:rsid w:val="005B1B2C"/>
    <w:rsid w:val="005B5E7D"/>
    <w:rsid w:val="005C5570"/>
    <w:rsid w:val="005C79A4"/>
    <w:rsid w:val="005D16B2"/>
    <w:rsid w:val="005D3CAF"/>
    <w:rsid w:val="005D4F82"/>
    <w:rsid w:val="005D5442"/>
    <w:rsid w:val="005E3B15"/>
    <w:rsid w:val="005E4AAE"/>
    <w:rsid w:val="00603F32"/>
    <w:rsid w:val="00605AD4"/>
    <w:rsid w:val="006075E2"/>
    <w:rsid w:val="00610A3A"/>
    <w:rsid w:val="00612BED"/>
    <w:rsid w:val="00625A6E"/>
    <w:rsid w:val="006312E4"/>
    <w:rsid w:val="00632398"/>
    <w:rsid w:val="00637A98"/>
    <w:rsid w:val="00640FC3"/>
    <w:rsid w:val="00642020"/>
    <w:rsid w:val="00646CF9"/>
    <w:rsid w:val="00652DB5"/>
    <w:rsid w:val="0065337B"/>
    <w:rsid w:val="0065419D"/>
    <w:rsid w:val="006604D8"/>
    <w:rsid w:val="00660E85"/>
    <w:rsid w:val="00664A5B"/>
    <w:rsid w:val="0066735C"/>
    <w:rsid w:val="0066759F"/>
    <w:rsid w:val="006763D2"/>
    <w:rsid w:val="00680C08"/>
    <w:rsid w:val="00682676"/>
    <w:rsid w:val="00682E41"/>
    <w:rsid w:val="00683659"/>
    <w:rsid w:val="0068594A"/>
    <w:rsid w:val="006907AE"/>
    <w:rsid w:val="006916A0"/>
    <w:rsid w:val="006931B1"/>
    <w:rsid w:val="006939E4"/>
    <w:rsid w:val="006A15C0"/>
    <w:rsid w:val="006A1D39"/>
    <w:rsid w:val="006A3718"/>
    <w:rsid w:val="006A61B1"/>
    <w:rsid w:val="006B3465"/>
    <w:rsid w:val="006C3E2A"/>
    <w:rsid w:val="006C642F"/>
    <w:rsid w:val="006C7066"/>
    <w:rsid w:val="006D03E5"/>
    <w:rsid w:val="006D0F6E"/>
    <w:rsid w:val="006D4FEE"/>
    <w:rsid w:val="006D5D3E"/>
    <w:rsid w:val="006D6813"/>
    <w:rsid w:val="006E08B3"/>
    <w:rsid w:val="006E4755"/>
    <w:rsid w:val="006E4FEA"/>
    <w:rsid w:val="006F17AC"/>
    <w:rsid w:val="006F218E"/>
    <w:rsid w:val="006F25B8"/>
    <w:rsid w:val="006F572E"/>
    <w:rsid w:val="00700CD1"/>
    <w:rsid w:val="0070133A"/>
    <w:rsid w:val="00703AC4"/>
    <w:rsid w:val="00704466"/>
    <w:rsid w:val="0070449B"/>
    <w:rsid w:val="007046D6"/>
    <w:rsid w:val="00705DB0"/>
    <w:rsid w:val="00712ED4"/>
    <w:rsid w:val="00713BF1"/>
    <w:rsid w:val="00721EFC"/>
    <w:rsid w:val="00722B57"/>
    <w:rsid w:val="00723D36"/>
    <w:rsid w:val="0072701B"/>
    <w:rsid w:val="00730F8A"/>
    <w:rsid w:val="00735A8C"/>
    <w:rsid w:val="0074253D"/>
    <w:rsid w:val="00743F2D"/>
    <w:rsid w:val="0074429B"/>
    <w:rsid w:val="00750E11"/>
    <w:rsid w:val="0075129C"/>
    <w:rsid w:val="00752255"/>
    <w:rsid w:val="007532D3"/>
    <w:rsid w:val="00753DD4"/>
    <w:rsid w:val="00754ADB"/>
    <w:rsid w:val="007615BC"/>
    <w:rsid w:val="00762F05"/>
    <w:rsid w:val="007652FF"/>
    <w:rsid w:val="007670CE"/>
    <w:rsid w:val="00770CAC"/>
    <w:rsid w:val="00770EF1"/>
    <w:rsid w:val="00773EF7"/>
    <w:rsid w:val="00774E1D"/>
    <w:rsid w:val="007765D8"/>
    <w:rsid w:val="0077675A"/>
    <w:rsid w:val="007800AF"/>
    <w:rsid w:val="00780355"/>
    <w:rsid w:val="007819FD"/>
    <w:rsid w:val="007852B2"/>
    <w:rsid w:val="00785717"/>
    <w:rsid w:val="00785721"/>
    <w:rsid w:val="00790329"/>
    <w:rsid w:val="007906FC"/>
    <w:rsid w:val="00793A59"/>
    <w:rsid w:val="007A187E"/>
    <w:rsid w:val="007A2E32"/>
    <w:rsid w:val="007A3B0A"/>
    <w:rsid w:val="007B6132"/>
    <w:rsid w:val="007B6869"/>
    <w:rsid w:val="007B6E9F"/>
    <w:rsid w:val="007C1216"/>
    <w:rsid w:val="007C1AF7"/>
    <w:rsid w:val="007C4BDC"/>
    <w:rsid w:val="007C6B9B"/>
    <w:rsid w:val="00802B65"/>
    <w:rsid w:val="00802BDD"/>
    <w:rsid w:val="00803F0B"/>
    <w:rsid w:val="00805D27"/>
    <w:rsid w:val="00806DCB"/>
    <w:rsid w:val="0081267D"/>
    <w:rsid w:val="00812F94"/>
    <w:rsid w:val="00813F52"/>
    <w:rsid w:val="00815AC1"/>
    <w:rsid w:val="00816C14"/>
    <w:rsid w:val="00821776"/>
    <w:rsid w:val="008321F5"/>
    <w:rsid w:val="00832369"/>
    <w:rsid w:val="00834660"/>
    <w:rsid w:val="00836BC2"/>
    <w:rsid w:val="0084305A"/>
    <w:rsid w:val="00847750"/>
    <w:rsid w:val="0085156D"/>
    <w:rsid w:val="0085641B"/>
    <w:rsid w:val="00857136"/>
    <w:rsid w:val="00862253"/>
    <w:rsid w:val="00871A5C"/>
    <w:rsid w:val="00885B11"/>
    <w:rsid w:val="00886D15"/>
    <w:rsid w:val="00887DD8"/>
    <w:rsid w:val="00891BA9"/>
    <w:rsid w:val="008926BA"/>
    <w:rsid w:val="00896018"/>
    <w:rsid w:val="008960DD"/>
    <w:rsid w:val="0089635C"/>
    <w:rsid w:val="00897722"/>
    <w:rsid w:val="008A1852"/>
    <w:rsid w:val="008A2B9D"/>
    <w:rsid w:val="008A3773"/>
    <w:rsid w:val="008A3D9F"/>
    <w:rsid w:val="008A5E0B"/>
    <w:rsid w:val="008A6D59"/>
    <w:rsid w:val="008B4B03"/>
    <w:rsid w:val="008B596F"/>
    <w:rsid w:val="008C159F"/>
    <w:rsid w:val="008C1623"/>
    <w:rsid w:val="008C16F6"/>
    <w:rsid w:val="008C1850"/>
    <w:rsid w:val="008C26F6"/>
    <w:rsid w:val="008C4840"/>
    <w:rsid w:val="008C51A9"/>
    <w:rsid w:val="008E7846"/>
    <w:rsid w:val="008F02E5"/>
    <w:rsid w:val="008F1CCC"/>
    <w:rsid w:val="008F2967"/>
    <w:rsid w:val="008F6943"/>
    <w:rsid w:val="008F6A17"/>
    <w:rsid w:val="00902A21"/>
    <w:rsid w:val="00911545"/>
    <w:rsid w:val="00913185"/>
    <w:rsid w:val="00920330"/>
    <w:rsid w:val="009219D7"/>
    <w:rsid w:val="00922D53"/>
    <w:rsid w:val="00923B70"/>
    <w:rsid w:val="00924482"/>
    <w:rsid w:val="00930237"/>
    <w:rsid w:val="009337C1"/>
    <w:rsid w:val="00933BBD"/>
    <w:rsid w:val="00934FA4"/>
    <w:rsid w:val="00937C17"/>
    <w:rsid w:val="00940A89"/>
    <w:rsid w:val="00946EA5"/>
    <w:rsid w:val="0094794F"/>
    <w:rsid w:val="00950651"/>
    <w:rsid w:val="00951A5C"/>
    <w:rsid w:val="00963C08"/>
    <w:rsid w:val="00964E3D"/>
    <w:rsid w:val="009752A5"/>
    <w:rsid w:val="0098585A"/>
    <w:rsid w:val="0098796D"/>
    <w:rsid w:val="00994570"/>
    <w:rsid w:val="009A224C"/>
    <w:rsid w:val="009A2BBA"/>
    <w:rsid w:val="009A4CED"/>
    <w:rsid w:val="009A690D"/>
    <w:rsid w:val="009A7609"/>
    <w:rsid w:val="009B1D12"/>
    <w:rsid w:val="009B416B"/>
    <w:rsid w:val="009B506D"/>
    <w:rsid w:val="009C4BD5"/>
    <w:rsid w:val="009C7FFC"/>
    <w:rsid w:val="009D4204"/>
    <w:rsid w:val="009D7B77"/>
    <w:rsid w:val="009E0BB0"/>
    <w:rsid w:val="009E3FBB"/>
    <w:rsid w:val="009E6F22"/>
    <w:rsid w:val="009E75FC"/>
    <w:rsid w:val="009F6207"/>
    <w:rsid w:val="009F7353"/>
    <w:rsid w:val="00A0295E"/>
    <w:rsid w:val="00A03AD0"/>
    <w:rsid w:val="00A04F85"/>
    <w:rsid w:val="00A05FA4"/>
    <w:rsid w:val="00A102E4"/>
    <w:rsid w:val="00A107A4"/>
    <w:rsid w:val="00A12C42"/>
    <w:rsid w:val="00A14DF7"/>
    <w:rsid w:val="00A1592A"/>
    <w:rsid w:val="00A3035D"/>
    <w:rsid w:val="00A3246D"/>
    <w:rsid w:val="00A353CF"/>
    <w:rsid w:val="00A365D0"/>
    <w:rsid w:val="00A36FA7"/>
    <w:rsid w:val="00A44DDB"/>
    <w:rsid w:val="00A475B7"/>
    <w:rsid w:val="00A47AF7"/>
    <w:rsid w:val="00A47C3E"/>
    <w:rsid w:val="00A50226"/>
    <w:rsid w:val="00A52299"/>
    <w:rsid w:val="00A53145"/>
    <w:rsid w:val="00A54EA7"/>
    <w:rsid w:val="00A5608D"/>
    <w:rsid w:val="00A56D46"/>
    <w:rsid w:val="00A60BAD"/>
    <w:rsid w:val="00A61AD1"/>
    <w:rsid w:val="00A80B5B"/>
    <w:rsid w:val="00A84E36"/>
    <w:rsid w:val="00A85C8E"/>
    <w:rsid w:val="00A907EE"/>
    <w:rsid w:val="00A9377E"/>
    <w:rsid w:val="00A95B44"/>
    <w:rsid w:val="00A964D1"/>
    <w:rsid w:val="00A96D98"/>
    <w:rsid w:val="00AA0ED0"/>
    <w:rsid w:val="00AA7F5D"/>
    <w:rsid w:val="00AC2B40"/>
    <w:rsid w:val="00AC2BB2"/>
    <w:rsid w:val="00AC2C3C"/>
    <w:rsid w:val="00AC373E"/>
    <w:rsid w:val="00AC512D"/>
    <w:rsid w:val="00AD0083"/>
    <w:rsid w:val="00AD3935"/>
    <w:rsid w:val="00AE65EB"/>
    <w:rsid w:val="00AE67A7"/>
    <w:rsid w:val="00AF15E2"/>
    <w:rsid w:val="00AF1D94"/>
    <w:rsid w:val="00AF60C5"/>
    <w:rsid w:val="00AF612E"/>
    <w:rsid w:val="00B009C6"/>
    <w:rsid w:val="00B01548"/>
    <w:rsid w:val="00B04051"/>
    <w:rsid w:val="00B13EBD"/>
    <w:rsid w:val="00B15186"/>
    <w:rsid w:val="00B21D29"/>
    <w:rsid w:val="00B2291F"/>
    <w:rsid w:val="00B25034"/>
    <w:rsid w:val="00B271A3"/>
    <w:rsid w:val="00B312A9"/>
    <w:rsid w:val="00B324F8"/>
    <w:rsid w:val="00B33588"/>
    <w:rsid w:val="00B33863"/>
    <w:rsid w:val="00B37D17"/>
    <w:rsid w:val="00B4175E"/>
    <w:rsid w:val="00B42CFB"/>
    <w:rsid w:val="00B432FB"/>
    <w:rsid w:val="00B4436A"/>
    <w:rsid w:val="00B452CE"/>
    <w:rsid w:val="00B460DE"/>
    <w:rsid w:val="00B51D08"/>
    <w:rsid w:val="00B54C25"/>
    <w:rsid w:val="00B63F0A"/>
    <w:rsid w:val="00B6721A"/>
    <w:rsid w:val="00B728AE"/>
    <w:rsid w:val="00B7382C"/>
    <w:rsid w:val="00B76B91"/>
    <w:rsid w:val="00B77EB1"/>
    <w:rsid w:val="00B811C6"/>
    <w:rsid w:val="00B855B0"/>
    <w:rsid w:val="00B90E62"/>
    <w:rsid w:val="00B92E08"/>
    <w:rsid w:val="00B96ACE"/>
    <w:rsid w:val="00BA1992"/>
    <w:rsid w:val="00BA1B52"/>
    <w:rsid w:val="00BB0ED0"/>
    <w:rsid w:val="00BB4837"/>
    <w:rsid w:val="00BB5277"/>
    <w:rsid w:val="00BC07A5"/>
    <w:rsid w:val="00BC622A"/>
    <w:rsid w:val="00BD51C6"/>
    <w:rsid w:val="00BE0A78"/>
    <w:rsid w:val="00BE72AB"/>
    <w:rsid w:val="00BE79F0"/>
    <w:rsid w:val="00BF046D"/>
    <w:rsid w:val="00BF1190"/>
    <w:rsid w:val="00BF5D04"/>
    <w:rsid w:val="00C009AA"/>
    <w:rsid w:val="00C1164D"/>
    <w:rsid w:val="00C15287"/>
    <w:rsid w:val="00C16861"/>
    <w:rsid w:val="00C20D04"/>
    <w:rsid w:val="00C25307"/>
    <w:rsid w:val="00C25EA1"/>
    <w:rsid w:val="00C346AB"/>
    <w:rsid w:val="00C404A6"/>
    <w:rsid w:val="00C40A36"/>
    <w:rsid w:val="00C44419"/>
    <w:rsid w:val="00C45E7B"/>
    <w:rsid w:val="00C471B1"/>
    <w:rsid w:val="00C4721D"/>
    <w:rsid w:val="00C5243E"/>
    <w:rsid w:val="00C536A3"/>
    <w:rsid w:val="00C613B7"/>
    <w:rsid w:val="00C6316B"/>
    <w:rsid w:val="00C634A9"/>
    <w:rsid w:val="00C64586"/>
    <w:rsid w:val="00C6660C"/>
    <w:rsid w:val="00C706B0"/>
    <w:rsid w:val="00C70D53"/>
    <w:rsid w:val="00C73D0B"/>
    <w:rsid w:val="00C74AAE"/>
    <w:rsid w:val="00C768D5"/>
    <w:rsid w:val="00C772FF"/>
    <w:rsid w:val="00C80137"/>
    <w:rsid w:val="00C801AF"/>
    <w:rsid w:val="00C80256"/>
    <w:rsid w:val="00C82447"/>
    <w:rsid w:val="00C90E90"/>
    <w:rsid w:val="00C92802"/>
    <w:rsid w:val="00C9475A"/>
    <w:rsid w:val="00C949A6"/>
    <w:rsid w:val="00C94CD4"/>
    <w:rsid w:val="00C9747E"/>
    <w:rsid w:val="00CA1330"/>
    <w:rsid w:val="00CA1910"/>
    <w:rsid w:val="00CB0F60"/>
    <w:rsid w:val="00CB6BC0"/>
    <w:rsid w:val="00CC1B7C"/>
    <w:rsid w:val="00CC343D"/>
    <w:rsid w:val="00CC5287"/>
    <w:rsid w:val="00CC55B4"/>
    <w:rsid w:val="00CC66CA"/>
    <w:rsid w:val="00CC727F"/>
    <w:rsid w:val="00CD03E2"/>
    <w:rsid w:val="00CD5829"/>
    <w:rsid w:val="00CE556F"/>
    <w:rsid w:val="00CE65B7"/>
    <w:rsid w:val="00CF15C3"/>
    <w:rsid w:val="00CF2B6F"/>
    <w:rsid w:val="00CF2F3E"/>
    <w:rsid w:val="00CF58B6"/>
    <w:rsid w:val="00D0062D"/>
    <w:rsid w:val="00D017ED"/>
    <w:rsid w:val="00D040D3"/>
    <w:rsid w:val="00D04C65"/>
    <w:rsid w:val="00D055A8"/>
    <w:rsid w:val="00D066BE"/>
    <w:rsid w:val="00D164FB"/>
    <w:rsid w:val="00D201D2"/>
    <w:rsid w:val="00D224FE"/>
    <w:rsid w:val="00D23139"/>
    <w:rsid w:val="00D23F96"/>
    <w:rsid w:val="00D32AF7"/>
    <w:rsid w:val="00D33C52"/>
    <w:rsid w:val="00D3522E"/>
    <w:rsid w:val="00D40D00"/>
    <w:rsid w:val="00D425BB"/>
    <w:rsid w:val="00D454D1"/>
    <w:rsid w:val="00D5248E"/>
    <w:rsid w:val="00D56982"/>
    <w:rsid w:val="00D56E7E"/>
    <w:rsid w:val="00D6493E"/>
    <w:rsid w:val="00D7195D"/>
    <w:rsid w:val="00D72B7E"/>
    <w:rsid w:val="00D7301E"/>
    <w:rsid w:val="00D81B94"/>
    <w:rsid w:val="00D83AE1"/>
    <w:rsid w:val="00D855D4"/>
    <w:rsid w:val="00D86178"/>
    <w:rsid w:val="00D902C9"/>
    <w:rsid w:val="00D91146"/>
    <w:rsid w:val="00D93466"/>
    <w:rsid w:val="00D93BFA"/>
    <w:rsid w:val="00D9617A"/>
    <w:rsid w:val="00DA1124"/>
    <w:rsid w:val="00DA3A88"/>
    <w:rsid w:val="00DB10AC"/>
    <w:rsid w:val="00DB357F"/>
    <w:rsid w:val="00DB6124"/>
    <w:rsid w:val="00DB750B"/>
    <w:rsid w:val="00DB75B7"/>
    <w:rsid w:val="00DB77A9"/>
    <w:rsid w:val="00DC1AC4"/>
    <w:rsid w:val="00DC6E02"/>
    <w:rsid w:val="00DC75E9"/>
    <w:rsid w:val="00DD28CD"/>
    <w:rsid w:val="00DD5690"/>
    <w:rsid w:val="00DE02AE"/>
    <w:rsid w:val="00DF04B2"/>
    <w:rsid w:val="00DF1D7F"/>
    <w:rsid w:val="00DF4BE4"/>
    <w:rsid w:val="00DF6C1A"/>
    <w:rsid w:val="00E02FB4"/>
    <w:rsid w:val="00E036BF"/>
    <w:rsid w:val="00E073B4"/>
    <w:rsid w:val="00E13FC7"/>
    <w:rsid w:val="00E16225"/>
    <w:rsid w:val="00E20571"/>
    <w:rsid w:val="00E230A3"/>
    <w:rsid w:val="00E235F7"/>
    <w:rsid w:val="00E23659"/>
    <w:rsid w:val="00E239D4"/>
    <w:rsid w:val="00E26130"/>
    <w:rsid w:val="00E35EF2"/>
    <w:rsid w:val="00E40B22"/>
    <w:rsid w:val="00E44ED1"/>
    <w:rsid w:val="00E45619"/>
    <w:rsid w:val="00E4588F"/>
    <w:rsid w:val="00E46DA3"/>
    <w:rsid w:val="00E51BB1"/>
    <w:rsid w:val="00E51FDF"/>
    <w:rsid w:val="00E5436E"/>
    <w:rsid w:val="00E62082"/>
    <w:rsid w:val="00E624A5"/>
    <w:rsid w:val="00E63418"/>
    <w:rsid w:val="00E64BA4"/>
    <w:rsid w:val="00E64C60"/>
    <w:rsid w:val="00E7344E"/>
    <w:rsid w:val="00E746AE"/>
    <w:rsid w:val="00E82665"/>
    <w:rsid w:val="00EB0798"/>
    <w:rsid w:val="00EB2D55"/>
    <w:rsid w:val="00EB40AD"/>
    <w:rsid w:val="00EB55FD"/>
    <w:rsid w:val="00EB586E"/>
    <w:rsid w:val="00EB5FC8"/>
    <w:rsid w:val="00EC35CE"/>
    <w:rsid w:val="00EC463D"/>
    <w:rsid w:val="00EC58FA"/>
    <w:rsid w:val="00EC7A85"/>
    <w:rsid w:val="00ED2922"/>
    <w:rsid w:val="00ED3CAD"/>
    <w:rsid w:val="00ED48EE"/>
    <w:rsid w:val="00ED5A41"/>
    <w:rsid w:val="00ED6DB1"/>
    <w:rsid w:val="00EE151A"/>
    <w:rsid w:val="00EE1DE8"/>
    <w:rsid w:val="00EE27C2"/>
    <w:rsid w:val="00EF10D8"/>
    <w:rsid w:val="00EF3A78"/>
    <w:rsid w:val="00EF4BAD"/>
    <w:rsid w:val="00EF6F80"/>
    <w:rsid w:val="00F033EC"/>
    <w:rsid w:val="00F04F68"/>
    <w:rsid w:val="00F1158B"/>
    <w:rsid w:val="00F12670"/>
    <w:rsid w:val="00F14B27"/>
    <w:rsid w:val="00F21C13"/>
    <w:rsid w:val="00F3148D"/>
    <w:rsid w:val="00F325C5"/>
    <w:rsid w:val="00F32FE0"/>
    <w:rsid w:val="00F35298"/>
    <w:rsid w:val="00F374CC"/>
    <w:rsid w:val="00F45446"/>
    <w:rsid w:val="00F47333"/>
    <w:rsid w:val="00F47E37"/>
    <w:rsid w:val="00F501D7"/>
    <w:rsid w:val="00F53C07"/>
    <w:rsid w:val="00F54B65"/>
    <w:rsid w:val="00F60660"/>
    <w:rsid w:val="00F62823"/>
    <w:rsid w:val="00F640B6"/>
    <w:rsid w:val="00F65816"/>
    <w:rsid w:val="00F66DF2"/>
    <w:rsid w:val="00F70B9F"/>
    <w:rsid w:val="00F75990"/>
    <w:rsid w:val="00F80E40"/>
    <w:rsid w:val="00F848D9"/>
    <w:rsid w:val="00F910DE"/>
    <w:rsid w:val="00F95B58"/>
    <w:rsid w:val="00FA1121"/>
    <w:rsid w:val="00FA5B82"/>
    <w:rsid w:val="00FA639E"/>
    <w:rsid w:val="00FA63BB"/>
    <w:rsid w:val="00FB571D"/>
    <w:rsid w:val="00FC1FCA"/>
    <w:rsid w:val="00FC25E4"/>
    <w:rsid w:val="00FC4EF7"/>
    <w:rsid w:val="00FC5C3E"/>
    <w:rsid w:val="00FD0824"/>
    <w:rsid w:val="00FD119B"/>
    <w:rsid w:val="00FD1EDC"/>
    <w:rsid w:val="00FE1DEE"/>
    <w:rsid w:val="00FE5ED4"/>
    <w:rsid w:val="00FF2126"/>
    <w:rsid w:val="00FF3719"/>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35" w:unhideWhenUsed="0"/>
    <w:lsdException w:name="footnote reference" w:uiPriority="0"/>
    <w:lsdException w:name="annotation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9A7609"/>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45410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qFormat/>
    <w:rsid w:val="00C949A6"/>
    <w:pPr>
      <w:ind w:left="720"/>
      <w:contextualSpacing/>
    </w:pPr>
  </w:style>
  <w:style w:type="paragraph" w:customStyle="1" w:styleId="Bullet1">
    <w:name w:val="Bullet 1"/>
    <w:basedOn w:val="Normal"/>
    <w:rsid w:val="008C16F6"/>
    <w:pPr>
      <w:numPr>
        <w:numId w:val="6"/>
      </w:numPr>
      <w:spacing w:after="0" w:line="240" w:lineRule="auto"/>
    </w:pPr>
    <w:rPr>
      <w:rFonts w:eastAsia="Times New Roman"/>
      <w:kern w:val="24"/>
      <w:szCs w:val="24"/>
      <w:lang w:eastAsia="en-AU"/>
    </w:rPr>
  </w:style>
  <w:style w:type="paragraph" w:customStyle="1" w:styleId="Bullet2">
    <w:name w:val="Bullet 2"/>
    <w:basedOn w:val="Bullet1"/>
    <w:rsid w:val="008C16F6"/>
    <w:pPr>
      <w:numPr>
        <w:numId w:val="7"/>
      </w:numPr>
    </w:pPr>
  </w:style>
  <w:style w:type="paragraph" w:customStyle="1" w:styleId="Bulletpoint">
    <w:name w:val="Bullet point"/>
    <w:basedOn w:val="Normal"/>
    <w:rsid w:val="001239BB"/>
    <w:pPr>
      <w:numPr>
        <w:numId w:val="8"/>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rsid w:val="00B15186"/>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B15186"/>
    <w:rPr>
      <w:rFonts w:ascii="Cambria" w:eastAsia="Times New Roman" w:hAnsi="Cambria" w:cs="Times New Roman"/>
      <w:snapToGrid w:val="0"/>
      <w:kern w:val="16"/>
      <w:szCs w:val="24"/>
    </w:rPr>
  </w:style>
  <w:style w:type="paragraph" w:customStyle="1" w:styleId="AssessmentSubsection">
    <w:name w:val="Assessment Subsection"/>
    <w:basedOn w:val="Standard"/>
    <w:next w:val="Standard"/>
    <w:rsid w:val="00B15186"/>
    <w:pPr>
      <w:keepNext/>
      <w:spacing w:after="110"/>
      <w:outlineLvl w:val="2"/>
    </w:pPr>
    <w:rPr>
      <w:b/>
      <w:i/>
    </w:rPr>
  </w:style>
  <w:style w:type="paragraph" w:customStyle="1" w:styleId="WhiteSpace">
    <w:name w:val="White Space"/>
    <w:basedOn w:val="Standard"/>
    <w:next w:val="Standard"/>
    <w:link w:val="WhiteSpaceChar"/>
    <w:rsid w:val="00B15186"/>
    <w:pPr>
      <w:spacing w:after="0"/>
    </w:pPr>
    <w:rPr>
      <w:sz w:val="16"/>
      <w:szCs w:val="16"/>
    </w:rPr>
  </w:style>
  <w:style w:type="character" w:customStyle="1" w:styleId="WhiteSpaceChar">
    <w:name w:val="White Space Char"/>
    <w:basedOn w:val="DefaultParagraphFont"/>
    <w:link w:val="WhiteSpace"/>
    <w:rsid w:val="00B15186"/>
    <w:rPr>
      <w:rFonts w:ascii="Cambria" w:eastAsia="Times New Roman" w:hAnsi="Cambria" w:cs="Times New Roman"/>
      <w:snapToGrid w:val="0"/>
      <w:kern w:val="16"/>
      <w:sz w:val="16"/>
      <w:szCs w:val="16"/>
    </w:rPr>
  </w:style>
  <w:style w:type="paragraph" w:customStyle="1" w:styleId="AssessmentSubsection2">
    <w:name w:val="Assessment Subsection 2"/>
    <w:basedOn w:val="AssessmentSubsection"/>
    <w:next w:val="Standard"/>
    <w:rsid w:val="00B15186"/>
    <w:pPr>
      <w:outlineLvl w:val="3"/>
    </w:pPr>
    <w:rPr>
      <w:b w:val="0"/>
    </w:rPr>
  </w:style>
  <w:style w:type="character" w:customStyle="1" w:styleId="st1">
    <w:name w:val="st1"/>
    <w:basedOn w:val="DefaultParagraphFont"/>
    <w:rsid w:val="00B728AE"/>
  </w:style>
  <w:style w:type="character" w:customStyle="1" w:styleId="Heading8Char">
    <w:name w:val="Heading 8 Char"/>
    <w:basedOn w:val="DefaultParagraphFont"/>
    <w:link w:val="Heading8"/>
    <w:uiPriority w:val="9"/>
    <w:semiHidden/>
    <w:rsid w:val="00454102"/>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35" w:unhideWhenUsed="0"/>
    <w:lsdException w:name="footnote reference" w:uiPriority="0"/>
    <w:lsdException w:name="annotation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9A7609"/>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45410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qFormat/>
    <w:rsid w:val="00C949A6"/>
    <w:pPr>
      <w:ind w:left="720"/>
      <w:contextualSpacing/>
    </w:pPr>
  </w:style>
  <w:style w:type="paragraph" w:customStyle="1" w:styleId="Bullet1">
    <w:name w:val="Bullet 1"/>
    <w:basedOn w:val="Normal"/>
    <w:rsid w:val="008C16F6"/>
    <w:pPr>
      <w:numPr>
        <w:numId w:val="6"/>
      </w:numPr>
      <w:spacing w:after="0" w:line="240" w:lineRule="auto"/>
    </w:pPr>
    <w:rPr>
      <w:rFonts w:eastAsia="Times New Roman"/>
      <w:kern w:val="24"/>
      <w:szCs w:val="24"/>
      <w:lang w:eastAsia="en-AU"/>
    </w:rPr>
  </w:style>
  <w:style w:type="paragraph" w:customStyle="1" w:styleId="Bullet2">
    <w:name w:val="Bullet 2"/>
    <w:basedOn w:val="Bullet1"/>
    <w:rsid w:val="008C16F6"/>
    <w:pPr>
      <w:numPr>
        <w:numId w:val="7"/>
      </w:numPr>
    </w:pPr>
  </w:style>
  <w:style w:type="paragraph" w:customStyle="1" w:styleId="Bulletpoint">
    <w:name w:val="Bullet point"/>
    <w:basedOn w:val="Normal"/>
    <w:rsid w:val="001239BB"/>
    <w:pPr>
      <w:numPr>
        <w:numId w:val="8"/>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rsid w:val="00B15186"/>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B15186"/>
    <w:rPr>
      <w:rFonts w:ascii="Cambria" w:eastAsia="Times New Roman" w:hAnsi="Cambria" w:cs="Times New Roman"/>
      <w:snapToGrid w:val="0"/>
      <w:kern w:val="16"/>
      <w:szCs w:val="24"/>
    </w:rPr>
  </w:style>
  <w:style w:type="paragraph" w:customStyle="1" w:styleId="AssessmentSubsection">
    <w:name w:val="Assessment Subsection"/>
    <w:basedOn w:val="Standard"/>
    <w:next w:val="Standard"/>
    <w:rsid w:val="00B15186"/>
    <w:pPr>
      <w:keepNext/>
      <w:spacing w:after="110"/>
      <w:outlineLvl w:val="2"/>
    </w:pPr>
    <w:rPr>
      <w:b/>
      <w:i/>
    </w:rPr>
  </w:style>
  <w:style w:type="paragraph" w:customStyle="1" w:styleId="WhiteSpace">
    <w:name w:val="White Space"/>
    <w:basedOn w:val="Standard"/>
    <w:next w:val="Standard"/>
    <w:link w:val="WhiteSpaceChar"/>
    <w:rsid w:val="00B15186"/>
    <w:pPr>
      <w:spacing w:after="0"/>
    </w:pPr>
    <w:rPr>
      <w:sz w:val="16"/>
      <w:szCs w:val="16"/>
    </w:rPr>
  </w:style>
  <w:style w:type="character" w:customStyle="1" w:styleId="WhiteSpaceChar">
    <w:name w:val="White Space Char"/>
    <w:basedOn w:val="DefaultParagraphFont"/>
    <w:link w:val="WhiteSpace"/>
    <w:rsid w:val="00B15186"/>
    <w:rPr>
      <w:rFonts w:ascii="Cambria" w:eastAsia="Times New Roman" w:hAnsi="Cambria" w:cs="Times New Roman"/>
      <w:snapToGrid w:val="0"/>
      <w:kern w:val="16"/>
      <w:sz w:val="16"/>
      <w:szCs w:val="16"/>
    </w:rPr>
  </w:style>
  <w:style w:type="paragraph" w:customStyle="1" w:styleId="AssessmentSubsection2">
    <w:name w:val="Assessment Subsection 2"/>
    <w:basedOn w:val="AssessmentSubsection"/>
    <w:next w:val="Standard"/>
    <w:rsid w:val="00B15186"/>
    <w:pPr>
      <w:outlineLvl w:val="3"/>
    </w:pPr>
    <w:rPr>
      <w:b w:val="0"/>
    </w:rPr>
  </w:style>
  <w:style w:type="character" w:customStyle="1" w:styleId="st1">
    <w:name w:val="st1"/>
    <w:basedOn w:val="DefaultParagraphFont"/>
    <w:rsid w:val="00B728AE"/>
  </w:style>
  <w:style w:type="character" w:customStyle="1" w:styleId="Heading8Char">
    <w:name w:val="Heading 8 Char"/>
    <w:basedOn w:val="DefaultParagraphFont"/>
    <w:link w:val="Heading8"/>
    <w:uiPriority w:val="9"/>
    <w:semiHidden/>
    <w:rsid w:val="00454102"/>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tga.gov.au/product-information-pi"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tga.gov.au" TargetMode="External"/><Relationship Id="rId28" Type="http://schemas.openxmlformats.org/officeDocument/2006/relationships/footer" Target="footer4.xml"/><Relationship Id="rId10" Type="http://schemas.openxmlformats.org/officeDocument/2006/relationships/hyperlink" Target="mailto:tga.copyright@tga.gov.a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517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387CB-0162-43B8-8029-36DE1218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893</TotalTime>
  <Pages>67</Pages>
  <Words>27563</Words>
  <Characters>157113</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Australian Public Assessment Report for Idarucizumab</vt:lpstr>
    </vt:vector>
  </TitlesOfParts>
  <Company>Department of Health </Company>
  <LinksUpToDate>false</LinksUpToDate>
  <CharactersWithSpaces>184308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Idarucizumab</dc:title>
  <dc:subject>prescription medicines</dc:subject>
  <dc:creator>Therapeutic Goods Administration</dc:creator>
  <cp:keywords>AusPARs</cp:keywords>
  <cp:lastModifiedBy>Lack, Janet</cp:lastModifiedBy>
  <cp:revision>465</cp:revision>
  <cp:lastPrinted>2015-09-22T23:39:00Z</cp:lastPrinted>
  <dcterms:created xsi:type="dcterms:W3CDTF">2015-11-02T01:43:00Z</dcterms:created>
  <dcterms:modified xsi:type="dcterms:W3CDTF">2016-11-07T00:53:00Z</dcterms:modified>
  <cp:category/>
</cp:coreProperties>
</file>